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heme="minorEastAsia" w:hAnsiTheme="minorEastAsia" w:eastAsiaTheme="minorEastAsia"/>
          <w:sz w:val="36"/>
          <w:lang w:eastAsia="zh-CN"/>
        </w:rPr>
      </w:pPr>
    </w:p>
    <w:p>
      <w:pPr>
        <w:ind w:left="426"/>
        <w:rPr>
          <w:rFonts w:asciiTheme="minorEastAsia" w:hAnsiTheme="minorEastAsia" w:eastAsiaTheme="minorEastAsia"/>
          <w:sz w:val="52"/>
          <w:szCs w:val="52"/>
          <w:lang w:eastAsia="zh-CN"/>
        </w:rPr>
      </w:pPr>
    </w:p>
    <w:p>
      <w:pPr>
        <w:ind w:left="426"/>
        <w:rPr>
          <w:rFonts w:asciiTheme="minorEastAsia" w:hAnsiTheme="minorEastAsia" w:eastAsiaTheme="minorEastAsia"/>
          <w:sz w:val="52"/>
          <w:szCs w:val="52"/>
          <w:lang w:eastAsia="zh-CN"/>
        </w:rPr>
      </w:pPr>
    </w:p>
    <w:p>
      <w:pPr>
        <w:ind w:left="1936" w:leftChars="0" w:hanging="1936" w:hangingChars="440"/>
        <w:jc w:val="center"/>
        <w:rPr>
          <w:rFonts w:hint="eastAsia" w:asciiTheme="minorEastAsia" w:hAnsiTheme="minorEastAsia" w:eastAsiaTheme="minorEastAsia"/>
          <w:sz w:val="44"/>
          <w:szCs w:val="44"/>
          <w:lang w:eastAsia="zh-CN"/>
        </w:rPr>
      </w:pPr>
      <w:r>
        <w:rPr>
          <w:rFonts w:hint="eastAsia" w:asciiTheme="minorEastAsia" w:hAnsiTheme="minorEastAsia" w:eastAsiaTheme="minorEastAsia"/>
          <w:sz w:val="44"/>
          <w:szCs w:val="44"/>
          <w:lang w:eastAsia="zh-CN"/>
        </w:rPr>
        <w:t>实行社区管理退休人员服务经费</w:t>
      </w:r>
    </w:p>
    <w:p>
      <w:pPr>
        <w:ind w:left="1936" w:leftChars="0" w:hanging="1936" w:hangingChars="440"/>
        <w:jc w:val="center"/>
        <w:rPr>
          <w:rFonts w:asciiTheme="minorEastAsia" w:hAnsiTheme="minorEastAsia" w:eastAsiaTheme="minorEastAsia"/>
          <w:sz w:val="44"/>
          <w:szCs w:val="44"/>
          <w:lang w:eastAsia="zh-CN"/>
        </w:rPr>
      </w:pPr>
      <w:r>
        <w:rPr>
          <w:rFonts w:hint="eastAsia" w:asciiTheme="minorEastAsia" w:hAnsiTheme="minorEastAsia" w:eastAsiaTheme="minorEastAsia"/>
          <w:sz w:val="44"/>
          <w:szCs w:val="44"/>
          <w:lang w:eastAsia="zh-CN"/>
        </w:rPr>
        <w:t>竞争性磋商文件</w:t>
      </w:r>
    </w:p>
    <w:p>
      <w:pPr>
        <w:pStyle w:val="12"/>
        <w:rPr>
          <w:rFonts w:asciiTheme="minorEastAsia" w:hAnsiTheme="minorEastAsia" w:eastAsiaTheme="minorEastAsia"/>
          <w:sz w:val="70"/>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项目名称：</w:t>
      </w:r>
      <w:r>
        <w:rPr>
          <w:rFonts w:hint="eastAsia" w:asciiTheme="minorEastAsia" w:hAnsiTheme="minorEastAsia" w:eastAsiaTheme="minorEastAsia"/>
          <w:sz w:val="36"/>
          <w:lang w:eastAsia="zh-CN"/>
        </w:rPr>
        <w:t>实行社区管理退休人员服务经费</w:t>
      </w:r>
    </w:p>
    <w:p>
      <w:pPr>
        <w:pStyle w:val="2"/>
        <w:rPr>
          <w:lang w:eastAsia="zh-CN"/>
        </w:rPr>
      </w:pPr>
    </w:p>
    <w:p>
      <w:pPr>
        <w:ind w:firstLine="439" w:firstLineChars="122"/>
        <w:rPr>
          <w:rFonts w:asciiTheme="minorEastAsia" w:hAnsiTheme="minorEastAsia" w:eastAsiaTheme="minorEastAsia"/>
          <w:sz w:val="36"/>
          <w:lang w:eastAsia="zh-CN"/>
        </w:rPr>
      </w:pPr>
      <w:r>
        <w:rPr>
          <w:rFonts w:asciiTheme="minorEastAsia" w:hAnsiTheme="minorEastAsia" w:eastAsiaTheme="minorEastAsia"/>
          <w:sz w:val="36"/>
          <w:lang w:eastAsia="zh-CN"/>
        </w:rPr>
        <w:t>项目编</w:t>
      </w:r>
      <w:r>
        <w:rPr>
          <w:rFonts w:asciiTheme="minorEastAsia" w:hAnsiTheme="minorEastAsia" w:eastAsiaTheme="minorEastAsia"/>
          <w:spacing w:val="-1"/>
          <w:sz w:val="36"/>
          <w:lang w:eastAsia="zh-CN"/>
        </w:rPr>
        <w:t>号</w:t>
      </w:r>
      <w:r>
        <w:rPr>
          <w:sz w:val="36"/>
          <w:szCs w:val="36"/>
          <w:lang w:eastAsia="zh-CN"/>
        </w:rPr>
        <w:t>/</w:t>
      </w:r>
      <w:r>
        <w:rPr>
          <w:rFonts w:asciiTheme="minorEastAsia" w:hAnsiTheme="minorEastAsia" w:eastAsiaTheme="minorEastAsia"/>
          <w:sz w:val="36"/>
          <w:lang w:eastAsia="zh-CN"/>
        </w:rPr>
        <w:t>包号：</w:t>
      </w:r>
      <w:r>
        <w:rPr>
          <w:rFonts w:asciiTheme="minorEastAsia" w:hAnsiTheme="minorEastAsia" w:eastAsiaTheme="minorEastAsia"/>
          <w:sz w:val="36"/>
          <w:lang w:eastAsia="zh-CN"/>
        </w:rPr>
        <w:fldChar w:fldCharType="begin"/>
      </w:r>
      <w:r>
        <w:rPr>
          <w:rFonts w:asciiTheme="minorEastAsia" w:hAnsiTheme="minorEastAsia" w:eastAsiaTheme="minorEastAsia"/>
          <w:sz w:val="36"/>
          <w:lang w:eastAsia="zh-CN"/>
        </w:rPr>
        <w:instrText xml:space="preserve"> HYPERLINK "http://219.232.204.193:8080/frontend/plan/project_detail.html?projectUuid=e499c91b-fbbf-4fc4-a372-396153939ff9" </w:instrText>
      </w:r>
      <w:r>
        <w:rPr>
          <w:rFonts w:asciiTheme="minorEastAsia" w:hAnsiTheme="minorEastAsia" w:eastAsiaTheme="minorEastAsia"/>
          <w:sz w:val="36"/>
          <w:lang w:eastAsia="zh-CN"/>
        </w:rPr>
        <w:fldChar w:fldCharType="separate"/>
      </w:r>
      <w:r>
        <w:rPr>
          <w:rFonts w:hint="default" w:asciiTheme="minorEastAsia" w:hAnsiTheme="minorEastAsia" w:eastAsiaTheme="minorEastAsia"/>
          <w:sz w:val="36"/>
          <w:lang w:eastAsia="zh-CN"/>
        </w:rPr>
        <w:t>11011325210200024666-XM001</w:t>
      </w:r>
      <w:r>
        <w:rPr>
          <w:rFonts w:hint="default" w:asciiTheme="minorEastAsia" w:hAnsiTheme="minorEastAsia" w:eastAsiaTheme="minorEastAsia"/>
          <w:sz w:val="36"/>
          <w:lang w:eastAsia="zh-CN"/>
        </w:rPr>
        <w:fldChar w:fldCharType="end"/>
      </w:r>
      <w:r>
        <w:rPr>
          <w:rFonts w:hint="eastAsia" w:asciiTheme="minorEastAsia" w:hAnsiTheme="minorEastAsia" w:eastAsiaTheme="minorEastAsia"/>
          <w:sz w:val="36"/>
          <w:lang w:val="en-US" w:eastAsia="zh-CN"/>
        </w:rPr>
        <w:t xml:space="preserve"> </w:t>
      </w:r>
    </w:p>
    <w:p>
      <w:pPr>
        <w:tabs>
          <w:tab w:val="left" w:pos="3520"/>
        </w:tabs>
        <w:spacing w:before="229" w:line="309" w:lineRule="auto"/>
        <w:ind w:left="426" w:right="-44"/>
        <w:rPr>
          <w:rFonts w:asciiTheme="minorEastAsia" w:hAnsiTheme="minorEastAsia" w:eastAsiaTheme="minorEastAsia"/>
          <w:sz w:val="36"/>
          <w:lang w:eastAsia="zh-CN"/>
        </w:rPr>
      </w:pPr>
      <w:r>
        <w:rPr>
          <w:rFonts w:asciiTheme="minorEastAsia" w:hAnsiTheme="minorEastAsia" w:eastAsiaTheme="minorEastAsia"/>
          <w:sz w:val="36"/>
          <w:lang w:eastAsia="zh-CN"/>
        </w:rPr>
        <w:t>采 购 人：</w:t>
      </w:r>
      <w:r>
        <w:rPr>
          <w:rFonts w:hint="eastAsia" w:asciiTheme="minorEastAsia" w:hAnsiTheme="minorEastAsia" w:eastAsiaTheme="minorEastAsia"/>
          <w:sz w:val="36"/>
          <w:lang w:eastAsia="zh-CN"/>
        </w:rPr>
        <w:t>北京市顺义区劳动服务管理中心</w:t>
      </w:r>
    </w:p>
    <w:p>
      <w:pPr>
        <w:spacing w:before="125"/>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采购代理机构：</w:t>
      </w:r>
      <w:r>
        <w:rPr>
          <w:rFonts w:hint="eastAsia"/>
          <w:bCs/>
          <w:sz w:val="36"/>
          <w:szCs w:val="36"/>
          <w:lang w:eastAsia="zh-CN"/>
        </w:rPr>
        <w:t>北京招竣建设工程咨询有限公司</w:t>
      </w:r>
    </w:p>
    <w:p>
      <w:pPr>
        <w:spacing w:before="125"/>
        <w:ind w:left="952"/>
        <w:rPr>
          <w:rFonts w:asciiTheme="minorEastAsia" w:hAnsiTheme="minorEastAsia" w:eastAsiaTheme="minorEastAsia"/>
          <w:sz w:val="36"/>
          <w:lang w:eastAsia="zh-CN"/>
        </w:rPr>
      </w:pPr>
    </w:p>
    <w:p>
      <w:pPr>
        <w:rPr>
          <w:rFonts w:asciiTheme="minorEastAsia" w:hAnsiTheme="minorEastAsia" w:eastAsiaTheme="minorEastAsia"/>
          <w:sz w:val="36"/>
          <w:lang w:eastAsia="zh-CN"/>
        </w:rPr>
        <w:sectPr>
          <w:pgSz w:w="11910" w:h="16840"/>
          <w:pgMar w:top="1440" w:right="1093" w:bottom="1440" w:left="1357" w:header="720" w:footer="720" w:gutter="0"/>
          <w:cols w:space="720" w:num="1"/>
        </w:sectPr>
      </w:pPr>
    </w:p>
    <w:p>
      <w:pPr>
        <w:pStyle w:val="12"/>
        <w:rPr>
          <w:rFonts w:asciiTheme="minorEastAsia" w:hAnsiTheme="minorEastAsia" w:eastAsiaTheme="minorEastAsia"/>
          <w:sz w:val="20"/>
          <w:lang w:eastAsia="zh-CN"/>
        </w:rPr>
      </w:pPr>
    </w:p>
    <w:p>
      <w:pPr>
        <w:rPr>
          <w:rFonts w:asciiTheme="minorEastAsia" w:hAnsiTheme="minorEastAsia" w:eastAsiaTheme="minorEastAsia"/>
          <w:lang w:eastAsia="zh-CN"/>
        </w:rPr>
      </w:pPr>
    </w:p>
    <w:sdt>
      <w:sdtPr>
        <w:rPr>
          <w:rFonts w:ascii="宋体" w:hAnsi="宋体" w:eastAsia="宋体" w:cs="宋体"/>
          <w:b w:val="0"/>
          <w:bCs w:val="0"/>
          <w:color w:val="auto"/>
          <w:sz w:val="22"/>
          <w:szCs w:val="22"/>
          <w:lang w:val="zh-CN" w:eastAsia="en-US"/>
        </w:rPr>
        <w:id w:val="-1684278046"/>
        <w:docPartObj>
          <w:docPartGallery w:val="Table of Contents"/>
          <w:docPartUnique/>
        </w:docPartObj>
      </w:sdtPr>
      <w:sdtEndPr>
        <w:rPr>
          <w:rFonts w:ascii="宋体" w:hAnsi="宋体" w:eastAsia="宋体" w:cs="宋体"/>
          <w:b w:val="0"/>
          <w:bCs w:val="0"/>
          <w:color w:val="auto"/>
          <w:sz w:val="22"/>
          <w:szCs w:val="22"/>
          <w:lang w:val="zh-CN" w:eastAsia="en-US"/>
        </w:rPr>
      </w:sdtEndPr>
      <w:sdtContent>
        <w:p>
          <w:pPr>
            <w:pStyle w:val="52"/>
            <w:jc w:val="center"/>
            <w:rPr>
              <w:sz w:val="40"/>
            </w:rPr>
          </w:pPr>
          <w:r>
            <w:rPr>
              <w:sz w:val="40"/>
              <w:lang w:val="zh-CN"/>
            </w:rPr>
            <w:t>目录</w:t>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TOC \o "1-3" \h \z \u </w:instrText>
          </w:r>
          <w:r>
            <w:fldChar w:fldCharType="separate"/>
          </w:r>
          <w:r>
            <w:fldChar w:fldCharType="begin"/>
          </w:r>
          <w:r>
            <w:instrText xml:space="preserve"> HYPERLINK \l "_Toc164263440" </w:instrText>
          </w:r>
          <w:r>
            <w:fldChar w:fldCharType="separate"/>
          </w:r>
          <w:r>
            <w:rPr>
              <w:rStyle w:val="34"/>
              <w:rFonts w:hint="eastAsia" w:asciiTheme="minorEastAsia" w:hAnsiTheme="minorEastAsia"/>
              <w:b/>
              <w:lang w:eastAsia="zh-CN"/>
            </w:rPr>
            <w:t>第一章</w:t>
          </w:r>
          <w:r>
            <w:rPr>
              <w:rStyle w:val="34"/>
              <w:rFonts w:asciiTheme="minorEastAsia" w:hAnsiTheme="minorEastAsia"/>
              <w:b/>
              <w:lang w:eastAsia="zh-CN"/>
            </w:rPr>
            <w:t xml:space="preserve"> </w:t>
          </w:r>
          <w:r>
            <w:rPr>
              <w:rStyle w:val="34"/>
              <w:rFonts w:hint="eastAsia" w:asciiTheme="minorEastAsia" w:hAnsiTheme="minorEastAsia"/>
              <w:b/>
              <w:lang w:eastAsia="zh-CN"/>
            </w:rPr>
            <w:t>采购邀请</w:t>
          </w:r>
          <w:r>
            <w:tab/>
          </w:r>
          <w:r>
            <w:fldChar w:fldCharType="begin"/>
          </w:r>
          <w:r>
            <w:instrText xml:space="preserve"> PAGEREF _Toc164263440 \h </w:instrText>
          </w:r>
          <w:r>
            <w:fldChar w:fldCharType="separate"/>
          </w:r>
          <w:r>
            <w:t>1</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"_Toc164263449" </w:instrText>
          </w:r>
          <w:r>
            <w:fldChar w:fldCharType="separate"/>
          </w:r>
          <w:r>
            <w:rPr>
              <w:rStyle w:val="34"/>
              <w:rFonts w:hint="eastAsia" w:asciiTheme="minorEastAsia" w:hAnsiTheme="minorEastAsia"/>
              <w:b/>
              <w:lang w:eastAsia="zh-CN"/>
            </w:rPr>
            <w:t>第二章 供应商须知</w:t>
          </w:r>
          <w:r>
            <w:tab/>
          </w:r>
          <w:r>
            <w:fldChar w:fldCharType="begin"/>
          </w:r>
          <w:r>
            <w:instrText xml:space="preserve"> PAGEREF _Toc164263449 \h </w:instrText>
          </w:r>
          <w:r>
            <w:fldChar w:fldCharType="separate"/>
          </w:r>
          <w:r>
            <w:t>6</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"_Toc164263458" </w:instrText>
          </w:r>
          <w:r>
            <w:fldChar w:fldCharType="separate"/>
          </w:r>
          <w:r>
            <w:rPr>
              <w:rStyle w:val="34"/>
              <w:rFonts w:hint="eastAsia" w:asciiTheme="minorEastAsia" w:hAnsiTheme="minorEastAsia"/>
              <w:b/>
              <w:lang w:eastAsia="zh-CN"/>
            </w:rPr>
            <w:t>第三章 评审方法和评审标准</w:t>
          </w:r>
          <w:r>
            <w:tab/>
          </w:r>
          <w:r>
            <w:fldChar w:fldCharType="begin"/>
          </w:r>
          <w:r>
            <w:instrText xml:space="preserve"> PAGEREF _Toc164263458 \h </w:instrText>
          </w:r>
          <w:r>
            <w:fldChar w:fldCharType="separate"/>
          </w:r>
          <w:r>
            <w:t>22</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"_Toc164263463" </w:instrText>
          </w:r>
          <w:r>
            <w:fldChar w:fldCharType="separate"/>
          </w:r>
          <w:r>
            <w:rPr>
              <w:rStyle w:val="34"/>
              <w:rFonts w:hint="eastAsia" w:asciiTheme="minorEastAsia" w:hAnsiTheme="minorEastAsia"/>
              <w:b/>
              <w:lang w:eastAsia="zh-CN"/>
            </w:rPr>
            <w:t>第四章 采购需求</w:t>
          </w:r>
          <w:r>
            <w:tab/>
          </w:r>
          <w:r>
            <w:fldChar w:fldCharType="begin"/>
          </w:r>
          <w:r>
            <w:instrText xml:space="preserve"> PAGEREF _Toc164263463 \h </w:instrText>
          </w:r>
          <w:r>
            <w:fldChar w:fldCharType="separate"/>
          </w:r>
          <w:r>
            <w:t>30</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"_Toc164263464" </w:instrText>
          </w:r>
          <w:r>
            <w:fldChar w:fldCharType="separate"/>
          </w:r>
          <w:r>
            <w:rPr>
              <w:rStyle w:val="34"/>
              <w:rFonts w:hint="eastAsia" w:asciiTheme="minorEastAsia" w:hAnsiTheme="minorEastAsia"/>
              <w:b/>
              <w:lang w:eastAsia="zh-CN"/>
            </w:rPr>
            <w:t>第五章 合同草案条款</w:t>
          </w:r>
          <w:r>
            <w:tab/>
          </w:r>
          <w:r>
            <w:fldChar w:fldCharType="begin"/>
          </w:r>
          <w:r>
            <w:instrText xml:space="preserve"> PAGEREF _Toc164263464 \h </w:instrText>
          </w:r>
          <w:r>
            <w:fldChar w:fldCharType="separate"/>
          </w:r>
          <w:r>
            <w:t>32</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"_Toc164263465" </w:instrText>
          </w:r>
          <w:r>
            <w:fldChar w:fldCharType="separate"/>
          </w:r>
          <w:r>
            <w:rPr>
              <w:rStyle w:val="34"/>
              <w:rFonts w:hint="eastAsia" w:asciiTheme="minorEastAsia" w:hAnsiTheme="minorEastAsia"/>
              <w:b/>
              <w:lang w:eastAsia="zh-CN"/>
            </w:rPr>
            <w:t>第六章 响应文件格式</w:t>
          </w:r>
          <w:r>
            <w:tab/>
          </w:r>
          <w:r>
            <w:fldChar w:fldCharType="begin"/>
          </w:r>
          <w:r>
            <w:instrText xml:space="preserve"> PAGEREF _Toc164263465 \h </w:instrText>
          </w:r>
          <w:r>
            <w:fldChar w:fldCharType="separate"/>
          </w:r>
          <w:r>
            <w:t>34</w:t>
          </w:r>
          <w:r>
            <w:fldChar w:fldCharType="end"/>
          </w:r>
          <w:r>
            <w:fldChar w:fldCharType="end"/>
          </w:r>
        </w:p>
        <w:p>
          <w:r>
            <w:rPr>
              <w:b/>
              <w:bCs/>
              <w:lang w:val="zh-CN"/>
            </w:rPr>
            <w:fldChar w:fldCharType="end"/>
          </w:r>
        </w:p>
      </w:sdtContent>
    </w:sdt>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sectPr>
          <w:headerReference r:id="rId3" w:type="default"/>
          <w:pgSz w:w="11910" w:h="16840"/>
          <w:pgMar w:top="1440" w:right="1797" w:bottom="1440" w:left="1797" w:header="879" w:footer="0" w:gutter="0"/>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0" w:name="_Toc164263440"/>
      <w:bookmarkStart w:id="1" w:name="OLE_LINK4"/>
      <w:r>
        <w:rPr>
          <w:rFonts w:asciiTheme="minorEastAsia" w:hAnsiTheme="minorEastAsia" w:eastAsiaTheme="minorEastAsia"/>
          <w:b/>
          <w:lang w:eastAsia="zh-CN"/>
        </w:rPr>
        <w:t>第一章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采购邀请</w:t>
      </w:r>
      <w:bookmarkEnd w:id="0"/>
    </w:p>
    <w:p>
      <w:pPr>
        <w:rPr>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sz w:val="24"/>
          <w:lang w:eastAsia="zh-CN"/>
        </w:rPr>
      </w:pPr>
      <w:r>
        <w:rPr>
          <w:rFonts w:hint="eastAsia"/>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sz w:val="24"/>
          <w:lang w:eastAsia="zh-CN"/>
        </w:rPr>
      </w:pPr>
      <w:r>
        <w:rPr>
          <w:rFonts w:hint="eastAsia"/>
          <w:sz w:val="24"/>
          <w:u w:val="single"/>
          <w:lang w:eastAsia="zh-CN"/>
        </w:rPr>
        <w:t>实行社区管理退休人员服务经费的潜在供应商应在北京市政府采购电子交易平台获取磋商文件，并于2025年</w:t>
      </w:r>
      <w:r>
        <w:rPr>
          <w:rFonts w:hint="eastAsia"/>
          <w:sz w:val="24"/>
          <w:u w:val="single"/>
          <w:lang w:val="en-US" w:eastAsia="zh-CN"/>
        </w:rPr>
        <w:t>12</w:t>
      </w:r>
      <w:r>
        <w:rPr>
          <w:rFonts w:hint="eastAsia"/>
          <w:sz w:val="24"/>
          <w:u w:val="single"/>
          <w:lang w:eastAsia="zh-CN"/>
        </w:rPr>
        <w:t>月</w:t>
      </w:r>
      <w:r>
        <w:rPr>
          <w:rFonts w:hint="eastAsia"/>
          <w:sz w:val="24"/>
          <w:u w:val="single"/>
          <w:lang w:val="en-US" w:eastAsia="zh-CN"/>
        </w:rPr>
        <w:t>12</w:t>
      </w:r>
      <w:r>
        <w:rPr>
          <w:rFonts w:hint="eastAsia"/>
          <w:sz w:val="24"/>
          <w:u w:val="single"/>
          <w:lang w:eastAsia="zh-CN"/>
        </w:rPr>
        <w:t>日9点30分（北京时间）前提交响应文件</w:t>
      </w:r>
      <w:r>
        <w:rPr>
          <w:rFonts w:hint="eastAsia"/>
          <w:sz w:val="24"/>
          <w:lang w:eastAsia="zh-CN"/>
        </w:rPr>
        <w:t>。</w:t>
      </w:r>
    </w:p>
    <w:p>
      <w:pPr>
        <w:pStyle w:val="5"/>
        <w:jc w:val="left"/>
        <w:rPr>
          <w:rFonts w:asciiTheme="minorEastAsia" w:hAnsiTheme="minorEastAsia" w:eastAsiaTheme="minorEastAsia"/>
          <w:b/>
          <w:lang w:eastAsia="zh-CN"/>
        </w:rPr>
      </w:pPr>
      <w:bookmarkStart w:id="2" w:name="_Toc164263441"/>
      <w:r>
        <w:rPr>
          <w:rFonts w:asciiTheme="minorEastAsia" w:hAnsiTheme="minorEastAsia" w:eastAsiaTheme="minorEastAsia"/>
          <w:b/>
          <w:lang w:eastAsia="zh-CN"/>
        </w:rPr>
        <w:t>一、项目基本情况</w:t>
      </w:r>
      <w:bookmarkEnd w:id="2"/>
    </w:p>
    <w:p>
      <w:pPr>
        <w:pStyle w:val="12"/>
        <w:spacing w:before="134" w:line="360" w:lineRule="auto"/>
        <w:ind w:left="703"/>
        <w:rPr>
          <w:rFonts w:hint="default" w:asciiTheme="minorEastAsia" w:hAnsiTheme="minorEastAsia" w:eastAsiaTheme="minorEastAsia"/>
          <w:w w:val="105"/>
          <w:lang w:eastAsia="zh-CN"/>
        </w:rPr>
      </w:pPr>
      <w:r>
        <w:rPr>
          <w:rFonts w:asciiTheme="minorEastAsia" w:hAnsiTheme="minorEastAsia" w:eastAsiaTheme="minorEastAsia"/>
          <w:w w:val="105"/>
          <w:lang w:eastAsia="zh-CN"/>
        </w:rPr>
        <w:t>1.项目编号：</w:t>
      </w:r>
      <w:r>
        <w:rPr>
          <w:rFonts w:asciiTheme="minorEastAsia" w:hAnsiTheme="minorEastAsia" w:eastAsiaTheme="minorEastAsia"/>
          <w:w w:val="105"/>
          <w:lang w:eastAsia="zh-CN"/>
        </w:rPr>
        <w:fldChar w:fldCharType="begin"/>
      </w:r>
      <w:r>
        <w:rPr>
          <w:rFonts w:asciiTheme="minorEastAsia" w:hAnsiTheme="minorEastAsia" w:eastAsiaTheme="minorEastAsia"/>
          <w:w w:val="105"/>
          <w:lang w:eastAsia="zh-CN"/>
        </w:rPr>
        <w:instrText xml:space="preserve"> HYPERLINK "http://219.232.204.193:8080/frontend/plan/project_detail.html?projectUuid=e499c91b-fbbf-4fc4-a372-396153939ff9" </w:instrText>
      </w:r>
      <w:r>
        <w:rPr>
          <w:rFonts w:asciiTheme="minorEastAsia" w:hAnsiTheme="minorEastAsia" w:eastAsiaTheme="minorEastAsia"/>
          <w:w w:val="105"/>
          <w:lang w:eastAsia="zh-CN"/>
        </w:rPr>
        <w:fldChar w:fldCharType="separate"/>
      </w:r>
      <w:r>
        <w:rPr>
          <w:rFonts w:hint="default" w:asciiTheme="minorEastAsia" w:hAnsiTheme="minorEastAsia" w:eastAsiaTheme="minorEastAsia"/>
          <w:w w:val="105"/>
          <w:lang w:eastAsia="zh-CN"/>
        </w:rPr>
        <w:t>11011325210200024666-XM001</w:t>
      </w:r>
      <w:r>
        <w:rPr>
          <w:rFonts w:hint="default" w:asciiTheme="minorEastAsia" w:hAnsiTheme="minorEastAsia" w:eastAsiaTheme="minorEastAsia"/>
          <w:w w:val="105"/>
          <w:lang w:eastAsia="zh-CN"/>
        </w:rPr>
        <w:fldChar w:fldCharType="end"/>
      </w:r>
    </w:p>
    <w:p>
      <w:pPr>
        <w:pStyle w:val="12"/>
        <w:spacing w:before="134"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2.项目名称：</w:t>
      </w:r>
      <w:r>
        <w:rPr>
          <w:rFonts w:hint="eastAsia" w:asciiTheme="minorEastAsia" w:hAnsiTheme="minorEastAsia" w:eastAsiaTheme="minorEastAsia"/>
          <w:w w:val="105"/>
          <w:lang w:eastAsia="zh-CN"/>
        </w:rPr>
        <w:t>实行社区管理退休人员服务经费</w:t>
      </w:r>
    </w:p>
    <w:p>
      <w:pPr>
        <w:pStyle w:val="12"/>
        <w:spacing w:before="134"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3.采购方式：竞争性磋商</w:t>
      </w:r>
    </w:p>
    <w:p>
      <w:pPr>
        <w:pStyle w:val="12"/>
        <w:tabs>
          <w:tab w:val="left" w:pos="3449"/>
          <w:tab w:val="left" w:pos="7529"/>
        </w:tabs>
        <w:spacing w:before="134" w:line="360" w:lineRule="auto"/>
        <w:ind w:left="703"/>
        <w:rPr>
          <w:rFonts w:asciiTheme="minorEastAsia" w:hAnsiTheme="minorEastAsia" w:eastAsiaTheme="minorEastAsia"/>
          <w:lang w:eastAsia="zh-CN"/>
        </w:rPr>
      </w:pPr>
      <w:r>
        <w:rPr>
          <w:rFonts w:asciiTheme="minorEastAsia" w:hAnsiTheme="minorEastAsia" w:eastAsiaTheme="minorEastAsia"/>
          <w:spacing w:val="-2"/>
          <w:w w:val="114"/>
          <w:lang w:eastAsia="zh-CN"/>
        </w:rPr>
        <w:t>4</w:t>
      </w:r>
      <w:r>
        <w:rPr>
          <w:rFonts w:asciiTheme="minorEastAsia" w:hAnsiTheme="minorEastAsia" w:eastAsiaTheme="minorEastAsia"/>
          <w:w w:val="114"/>
          <w:lang w:eastAsia="zh-CN"/>
        </w:rPr>
        <w:t>.</w:t>
      </w:r>
      <w:r>
        <w:rPr>
          <w:rFonts w:asciiTheme="minorEastAsia" w:hAnsiTheme="minorEastAsia" w:eastAsiaTheme="minorEastAsia"/>
          <w:lang w:eastAsia="zh-CN"/>
        </w:rPr>
        <w:t>项目预算金额：</w:t>
      </w:r>
      <w:r>
        <w:rPr>
          <w:rFonts w:hint="eastAsia" w:asciiTheme="minorEastAsia" w:hAnsiTheme="minorEastAsia" w:eastAsiaTheme="minorEastAsia"/>
          <w:lang w:val="en-US" w:eastAsia="zh-CN"/>
        </w:rPr>
        <w:t>203.034598</w:t>
      </w:r>
      <w:r>
        <w:rPr>
          <w:rFonts w:asciiTheme="minorEastAsia" w:hAnsiTheme="minorEastAsia" w:eastAsiaTheme="minorEastAsia"/>
          <w:lang w:eastAsia="zh-CN"/>
        </w:rPr>
        <w:t>万元</w:t>
      </w:r>
    </w:p>
    <w:p>
      <w:pPr>
        <w:pStyle w:val="12"/>
        <w:tabs>
          <w:tab w:val="left" w:pos="3449"/>
          <w:tab w:val="left" w:pos="7529"/>
        </w:tabs>
        <w:spacing w:before="134" w:line="360" w:lineRule="auto"/>
        <w:ind w:left="703"/>
        <w:rPr>
          <w:rFonts w:asciiTheme="minorEastAsia" w:hAnsiTheme="minorEastAsia" w:eastAsiaTheme="minorEastAsia"/>
          <w:lang w:eastAsia="zh-CN"/>
        </w:rPr>
      </w:pPr>
      <w:r>
        <w:rPr>
          <w:rFonts w:asciiTheme="minorEastAsia" w:hAnsiTheme="minorEastAsia" w:eastAsiaTheme="minorEastAsia"/>
          <w:lang w:eastAsia="zh-CN"/>
        </w:rPr>
        <w:t>项目最高限价（如有）：</w:t>
      </w:r>
      <w:r>
        <w:rPr>
          <w:rFonts w:hint="eastAsia" w:asciiTheme="minorEastAsia" w:hAnsiTheme="minorEastAsia" w:eastAsiaTheme="minorEastAsia"/>
          <w:lang w:val="en-US" w:eastAsia="zh-CN"/>
        </w:rPr>
        <w:t>203.034598</w:t>
      </w:r>
      <w:r>
        <w:rPr>
          <w:rFonts w:asciiTheme="minorEastAsia" w:hAnsiTheme="minorEastAsia" w:eastAsiaTheme="minorEastAsia"/>
          <w:lang w:eastAsia="zh-CN"/>
        </w:rPr>
        <w:t>万元</w:t>
      </w:r>
    </w:p>
    <w:p>
      <w:pPr>
        <w:pStyle w:val="12"/>
        <w:spacing w:before="137" w:line="360" w:lineRule="auto"/>
        <w:ind w:left="703"/>
        <w:rPr>
          <w:rFonts w:asciiTheme="minorEastAsia" w:hAnsiTheme="minorEastAsia" w:eastAsiaTheme="minorEastAsia"/>
        </w:rPr>
      </w:pPr>
      <w:r>
        <w:rPr>
          <w:rFonts w:asciiTheme="minorEastAsia" w:hAnsiTheme="minorEastAsia" w:eastAsiaTheme="minorEastAsia"/>
          <w:w w:val="105"/>
        </w:rPr>
        <w:t>5.采购需求：</w:t>
      </w:r>
    </w:p>
    <w:p>
      <w:pPr>
        <w:pStyle w:val="12"/>
        <w:spacing w:before="3" w:after="1"/>
        <w:rPr>
          <w:rFonts w:asciiTheme="minorEastAsia" w:hAnsiTheme="minorEastAsia" w:eastAsiaTheme="minorEastAsia"/>
          <w:sz w:val="13"/>
        </w:rPr>
      </w:pPr>
    </w:p>
    <w:tbl>
      <w:tblPr>
        <w:tblStyle w:val="40"/>
        <w:tblW w:w="10351" w:type="dxa"/>
        <w:tblInd w:w="-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292"/>
        <w:gridCol w:w="1439"/>
        <w:gridCol w:w="1800"/>
        <w:gridCol w:w="930"/>
        <w:gridCol w:w="3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8" w:hRule="exact"/>
        </w:trPr>
        <w:tc>
          <w:tcPr>
            <w:tcW w:w="675" w:type="dxa"/>
          </w:tcPr>
          <w:p>
            <w:pPr>
              <w:pStyle w:val="39"/>
              <w:spacing w:before="101"/>
              <w:ind w:left="115" w:right="118"/>
              <w:jc w:val="center"/>
              <w:rPr>
                <w:rFonts w:asciiTheme="minorEastAsia" w:hAnsiTheme="minorEastAsia" w:eastAsiaTheme="minorEastAsia"/>
                <w:sz w:val="21"/>
              </w:rPr>
            </w:pPr>
            <w:r>
              <w:rPr>
                <w:rFonts w:asciiTheme="minorEastAsia" w:hAnsiTheme="minorEastAsia" w:eastAsiaTheme="minorEastAsia"/>
                <w:sz w:val="21"/>
              </w:rPr>
              <w:t>包号</w:t>
            </w:r>
          </w:p>
        </w:tc>
        <w:tc>
          <w:tcPr>
            <w:tcW w:w="2292" w:type="dxa"/>
          </w:tcPr>
          <w:p>
            <w:pPr>
              <w:pStyle w:val="39"/>
              <w:spacing w:before="101"/>
              <w:ind w:left="353"/>
              <w:rPr>
                <w:rFonts w:asciiTheme="minorEastAsia" w:hAnsiTheme="minorEastAsia" w:eastAsiaTheme="minorEastAsia"/>
                <w:sz w:val="21"/>
              </w:rPr>
            </w:pPr>
            <w:r>
              <w:rPr>
                <w:rFonts w:asciiTheme="minorEastAsia" w:hAnsiTheme="minorEastAsia" w:eastAsiaTheme="minorEastAsia"/>
                <w:sz w:val="21"/>
              </w:rPr>
              <w:t>标的名称</w:t>
            </w:r>
          </w:p>
        </w:tc>
        <w:tc>
          <w:tcPr>
            <w:tcW w:w="1439" w:type="dxa"/>
          </w:tcPr>
          <w:p>
            <w:pPr>
              <w:pStyle w:val="39"/>
              <w:spacing w:line="240" w:lineRule="exact"/>
              <w:ind w:left="91" w:right="91"/>
              <w:jc w:val="center"/>
              <w:rPr>
                <w:rFonts w:asciiTheme="minorEastAsia" w:hAnsiTheme="minorEastAsia" w:eastAsiaTheme="minorEastAsia"/>
                <w:sz w:val="21"/>
                <w:lang w:eastAsia="zh-CN"/>
              </w:rPr>
            </w:pPr>
            <w:r>
              <w:rPr>
                <w:rFonts w:asciiTheme="minorEastAsia" w:hAnsiTheme="minorEastAsia" w:eastAsiaTheme="minorEastAsia"/>
                <w:sz w:val="21"/>
                <w:lang w:eastAsia="zh-CN"/>
              </w:rPr>
              <w:t>采购包预算金额</w:t>
            </w:r>
          </w:p>
          <w:p>
            <w:pPr>
              <w:pStyle w:val="39"/>
              <w:spacing w:line="273" w:lineRule="exact"/>
              <w:ind w:left="90" w:right="91"/>
              <w:jc w:val="center"/>
              <w:rPr>
                <w:rFonts w:asciiTheme="minorEastAsia" w:hAnsiTheme="minorEastAsia" w:eastAsiaTheme="minorEastAsia"/>
                <w:sz w:val="21"/>
                <w:lang w:eastAsia="zh-CN"/>
              </w:rPr>
            </w:pPr>
            <w:r>
              <w:rPr>
                <w:rFonts w:asciiTheme="minorEastAsia" w:hAnsiTheme="minorEastAsia" w:eastAsiaTheme="minorEastAsia"/>
                <w:sz w:val="21"/>
                <w:lang w:eastAsia="zh-CN"/>
              </w:rPr>
              <w:t>（万元）</w:t>
            </w:r>
          </w:p>
        </w:tc>
        <w:tc>
          <w:tcPr>
            <w:tcW w:w="1800" w:type="dxa"/>
            <w:vAlign w:val="center"/>
          </w:tcPr>
          <w:p>
            <w:pPr>
              <w:pStyle w:val="39"/>
              <w:spacing w:line="240" w:lineRule="exact"/>
              <w:ind w:left="91" w:right="91"/>
              <w:jc w:val="center"/>
              <w:rPr>
                <w:rFonts w:asciiTheme="minorEastAsia" w:hAnsiTheme="minorEastAsia" w:eastAsiaTheme="minorEastAsia"/>
                <w:sz w:val="21"/>
                <w:lang w:eastAsia="zh-CN"/>
              </w:rPr>
            </w:pPr>
            <w:r>
              <w:rPr>
                <w:rFonts w:hint="eastAsia" w:asciiTheme="minorEastAsia" w:hAnsiTheme="minorEastAsia" w:eastAsiaTheme="minorEastAsia"/>
                <w:sz w:val="21"/>
                <w:lang w:eastAsia="zh-CN"/>
              </w:rPr>
              <w:t>最高限价</w:t>
            </w:r>
            <w:r>
              <w:rPr>
                <w:rFonts w:asciiTheme="minorEastAsia" w:hAnsiTheme="minorEastAsia" w:eastAsiaTheme="minorEastAsia"/>
                <w:sz w:val="21"/>
                <w:lang w:eastAsia="zh-CN"/>
              </w:rPr>
              <w:t>（万元）</w:t>
            </w:r>
          </w:p>
        </w:tc>
        <w:tc>
          <w:tcPr>
            <w:tcW w:w="930" w:type="dxa"/>
          </w:tcPr>
          <w:p>
            <w:pPr>
              <w:pStyle w:val="39"/>
              <w:spacing w:before="101"/>
              <w:ind w:left="283"/>
              <w:rPr>
                <w:rFonts w:asciiTheme="minorEastAsia" w:hAnsiTheme="minorEastAsia" w:eastAsiaTheme="minorEastAsia"/>
                <w:sz w:val="21"/>
              </w:rPr>
            </w:pPr>
            <w:r>
              <w:rPr>
                <w:rFonts w:asciiTheme="minorEastAsia" w:hAnsiTheme="minorEastAsia" w:eastAsiaTheme="minorEastAsia"/>
                <w:sz w:val="21"/>
              </w:rPr>
              <w:t>数量</w:t>
            </w:r>
          </w:p>
        </w:tc>
        <w:tc>
          <w:tcPr>
            <w:tcW w:w="3215" w:type="dxa"/>
          </w:tcPr>
          <w:p>
            <w:pPr>
              <w:pStyle w:val="39"/>
              <w:tabs>
                <w:tab w:val="left" w:pos="2420"/>
              </w:tabs>
              <w:spacing w:before="101"/>
              <w:ind w:right="370" w:rightChars="168" w:firstLine="420" w:firstLineChars="200"/>
              <w:jc w:val="both"/>
              <w:rPr>
                <w:rFonts w:asciiTheme="minorEastAsia" w:hAnsiTheme="minorEastAsia" w:eastAsiaTheme="minorEastAsia"/>
                <w:sz w:val="21"/>
                <w:lang w:eastAsia="zh-CN"/>
              </w:rPr>
            </w:pPr>
            <w:r>
              <w:rPr>
                <w:rFonts w:asciiTheme="minorEastAsia" w:hAnsiTheme="minorEastAsia" w:eastAsiaTheme="minorEastAsia"/>
                <w:sz w:val="21"/>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8" w:hRule="exact"/>
        </w:trPr>
        <w:tc>
          <w:tcPr>
            <w:tcW w:w="675" w:type="dxa"/>
          </w:tcPr>
          <w:p>
            <w:pPr>
              <w:pStyle w:val="39"/>
              <w:spacing w:before="101"/>
              <w:ind w:left="115" w:right="115"/>
              <w:jc w:val="center"/>
              <w:rPr>
                <w:rFonts w:asciiTheme="minorEastAsia" w:hAnsiTheme="minorEastAsia" w:eastAsiaTheme="minorEastAsia"/>
                <w:sz w:val="21"/>
              </w:rPr>
            </w:pPr>
            <w:r>
              <w:rPr>
                <w:rFonts w:asciiTheme="minorEastAsia" w:hAnsiTheme="minorEastAsia" w:eastAsiaTheme="minorEastAsia"/>
                <w:w w:val="115"/>
                <w:sz w:val="21"/>
              </w:rPr>
              <w:t>01</w:t>
            </w:r>
          </w:p>
        </w:tc>
        <w:tc>
          <w:tcPr>
            <w:tcW w:w="2292" w:type="dxa"/>
          </w:tcPr>
          <w:p>
            <w:pPr>
              <w:spacing w:line="48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实行社区管理退休人员服务经费</w:t>
            </w:r>
          </w:p>
        </w:tc>
        <w:tc>
          <w:tcPr>
            <w:tcW w:w="1439" w:type="dxa"/>
          </w:tcPr>
          <w:p>
            <w:pPr>
              <w:jc w:val="both"/>
              <w:rPr>
                <w:rFonts w:hint="eastAsia" w:asciiTheme="minorEastAsia" w:hAnsiTheme="minorEastAsia" w:eastAsiaTheme="minorEastAsia"/>
                <w:lang w:val="en-US" w:eastAsia="zh-CN"/>
              </w:rPr>
            </w:pPr>
          </w:p>
          <w:p>
            <w:pPr>
              <w:ind w:firstLine="220" w:firstLineChars="10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203.034598</w:t>
            </w:r>
          </w:p>
        </w:tc>
        <w:tc>
          <w:tcPr>
            <w:tcW w:w="1800" w:type="dxa"/>
            <w:vAlign w:val="center"/>
          </w:tcPr>
          <w:p>
            <w:pPr>
              <w:pStyle w:val="39"/>
              <w:spacing w:line="240" w:lineRule="exact"/>
              <w:ind w:right="91" w:firstLine="220" w:firstLineChars="100"/>
              <w:jc w:val="both"/>
              <w:rPr>
                <w:rFonts w:asciiTheme="minorEastAsia" w:hAnsiTheme="minorEastAsia" w:eastAsiaTheme="minorEastAsia"/>
                <w:sz w:val="21"/>
                <w:lang w:eastAsia="zh-CN"/>
              </w:rPr>
            </w:pPr>
            <w:r>
              <w:rPr>
                <w:rFonts w:hint="eastAsia" w:asciiTheme="minorEastAsia" w:hAnsiTheme="minorEastAsia" w:eastAsiaTheme="minorEastAsia"/>
                <w:lang w:val="en-US" w:eastAsia="zh-CN"/>
              </w:rPr>
              <w:t>203.034598</w:t>
            </w:r>
          </w:p>
        </w:tc>
        <w:tc>
          <w:tcPr>
            <w:tcW w:w="930" w:type="dxa"/>
          </w:tcPr>
          <w:p>
            <w:pPr>
              <w:jc w:val="center"/>
              <w:rPr>
                <w:rFonts w:hint="eastAsia" w:asciiTheme="minorEastAsia" w:hAnsiTheme="minorEastAsia" w:eastAsiaTheme="minorEastAsia"/>
                <w:lang w:eastAsia="zh-CN"/>
              </w:rPr>
            </w:pPr>
          </w:p>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1</w:t>
            </w:r>
          </w:p>
        </w:tc>
        <w:tc>
          <w:tcPr>
            <w:tcW w:w="3215" w:type="dxa"/>
          </w:tcPr>
          <w:p>
            <w:pPr>
              <w:ind w:right="370" w:rightChars="168"/>
              <w:jc w:val="both"/>
              <w:rPr>
                <w:rFonts w:asciiTheme="minorEastAsia" w:hAnsiTheme="minorEastAsia" w:eastAsiaTheme="minorEastAsia"/>
                <w:lang w:eastAsia="zh-CN"/>
              </w:rPr>
            </w:pPr>
            <w:bookmarkStart w:id="3" w:name="OLE_LINK9"/>
            <w:r>
              <w:rPr>
                <w:rFonts w:hint="eastAsia" w:asciiTheme="minorEastAsia" w:hAnsiTheme="minorEastAsia" w:eastAsiaTheme="minorEastAsia"/>
                <w:lang w:eastAsia="zh-CN"/>
              </w:rPr>
              <w:t>实行社区管理退休人员服务经费，详见工程量清单显示全部内容</w:t>
            </w:r>
            <w:bookmarkEnd w:id="3"/>
          </w:p>
        </w:tc>
      </w:tr>
    </w:tbl>
    <w:p>
      <w:pPr>
        <w:pStyle w:val="12"/>
        <w:spacing w:before="11"/>
        <w:rPr>
          <w:rFonts w:asciiTheme="minorEastAsia" w:hAnsiTheme="minorEastAsia" w:eastAsiaTheme="minorEastAsia"/>
          <w:sz w:val="25"/>
          <w:lang w:eastAsia="zh-CN"/>
        </w:rPr>
      </w:pP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6.合同履行期限：</w:t>
      </w:r>
      <w:r>
        <w:rPr>
          <w:rFonts w:hint="eastAsia" w:asciiTheme="minorEastAsia" w:hAnsiTheme="minorEastAsia" w:eastAsiaTheme="minorEastAsia"/>
          <w:highlight w:val="none"/>
          <w:lang w:eastAsia="zh-CN"/>
        </w:rPr>
        <w:t xml:space="preserve"> 自合同签订之日起</w:t>
      </w:r>
      <w:r>
        <w:rPr>
          <w:rFonts w:hint="eastAsia" w:asciiTheme="minorEastAsia" w:hAnsiTheme="minorEastAsia" w:eastAsiaTheme="minorEastAsia"/>
          <w:highlight w:val="none"/>
          <w:lang w:val="en-US" w:eastAsia="zh-CN"/>
        </w:rPr>
        <w:t>60</w:t>
      </w:r>
      <w:r>
        <w:rPr>
          <w:rFonts w:hint="eastAsia" w:asciiTheme="minorEastAsia" w:hAnsiTheme="minorEastAsia" w:eastAsiaTheme="minorEastAsia"/>
          <w:highlight w:val="none"/>
          <w:lang w:eastAsia="zh-CN"/>
        </w:rPr>
        <w:t>日历天</w:t>
      </w:r>
    </w:p>
    <w:p>
      <w:pPr>
        <w:pStyle w:val="12"/>
        <w:spacing w:before="134" w:line="360" w:lineRule="auto"/>
        <w:ind w:left="701"/>
        <w:rPr>
          <w:rFonts w:asciiTheme="minorEastAsia" w:hAnsiTheme="minorEastAsia"/>
          <w:lang w:eastAsia="zh-CN"/>
        </w:rPr>
      </w:pPr>
      <w:r>
        <w:rPr>
          <w:rFonts w:asciiTheme="minorEastAsia" w:hAnsiTheme="minorEastAsia" w:eastAsiaTheme="minorEastAsia"/>
          <w:lang w:eastAsia="zh-CN"/>
        </w:rPr>
        <w:t>7.本项目是否接受联合体：</w:t>
      </w:r>
      <w:r>
        <w:rPr>
          <w:rFonts w:hint="eastAsia" w:asciiTheme="minorEastAsia" w:hAnsiTheme="minorEastAsia" w:eastAsiaTheme="minorEastAsia"/>
          <w:lang w:eastAsia="zh-CN"/>
        </w:rPr>
        <w:t>□</w:t>
      </w:r>
      <w:r>
        <w:rPr>
          <w:rFonts w:asciiTheme="minorEastAsia" w:hAnsiTheme="minorEastAsia" w:eastAsiaTheme="minorEastAsia"/>
          <w:lang w:eastAsia="zh-CN"/>
        </w:rPr>
        <w:t>是</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否。</w:t>
      </w:r>
    </w:p>
    <w:p>
      <w:pPr>
        <w:pStyle w:val="12"/>
        <w:tabs>
          <w:tab w:val="left" w:pos="3982"/>
        </w:tabs>
        <w:spacing w:before="45"/>
        <w:ind w:left="701"/>
        <w:rPr>
          <w:rFonts w:asciiTheme="minorEastAsia" w:hAnsiTheme="minorEastAsia" w:eastAsiaTheme="minorEastAsia"/>
          <w:w w:val="105"/>
          <w:lang w:eastAsia="zh-CN"/>
        </w:rPr>
      </w:pPr>
    </w:p>
    <w:p>
      <w:pPr>
        <w:pStyle w:val="5"/>
        <w:jc w:val="left"/>
        <w:rPr>
          <w:rFonts w:asciiTheme="minorEastAsia" w:hAnsiTheme="minorEastAsia" w:eastAsiaTheme="minorEastAsia"/>
          <w:b/>
          <w:lang w:eastAsia="zh-CN"/>
        </w:rPr>
      </w:pPr>
      <w:bookmarkStart w:id="4" w:name="_Toc164263442"/>
      <w:r>
        <w:rPr>
          <w:rFonts w:asciiTheme="minorEastAsia" w:hAnsiTheme="minorEastAsia" w:eastAsiaTheme="minorEastAsia"/>
          <w:b/>
          <w:lang w:eastAsia="zh-CN"/>
        </w:rPr>
        <w:t>二、申请人的资格要求（须同时满足）</w:t>
      </w:r>
      <w:bookmarkEnd w:id="4"/>
    </w:p>
    <w:p>
      <w:pPr>
        <w:pStyle w:val="12"/>
        <w:spacing w:before="154" w:line="360" w:lineRule="auto"/>
        <w:ind w:left="701"/>
        <w:rPr>
          <w:rFonts w:asciiTheme="minorEastAsia" w:hAnsiTheme="minorEastAsia" w:eastAsiaTheme="minorEastAsia"/>
          <w:lang w:eastAsia="zh-CN"/>
        </w:rPr>
      </w:pPr>
      <w:bookmarkStart w:id="5" w:name="OLE_LINK10"/>
      <w:r>
        <w:rPr>
          <w:rFonts w:asciiTheme="minorEastAsia" w:hAnsiTheme="minorEastAsia" w:eastAsiaTheme="minorEastAsia"/>
          <w:lang w:eastAsia="zh-CN"/>
        </w:rPr>
        <w:t>1.满足《中华人民共和国政府采购法》第二十二条规定；</w:t>
      </w: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2.落实政府采购政策需满足的资格要求：</w:t>
      </w:r>
    </w:p>
    <w:p>
      <w:pPr>
        <w:pStyle w:val="41"/>
        <w:numPr>
          <w:ilvl w:val="1"/>
          <w:numId w:val="2"/>
        </w:numPr>
        <w:tabs>
          <w:tab w:val="left" w:pos="1201"/>
        </w:tabs>
        <w:spacing w:before="137" w:line="360" w:lineRule="auto"/>
        <w:ind w:hanging="499"/>
        <w:rPr>
          <w:rFonts w:asciiTheme="minorEastAsia" w:hAnsiTheme="minorEastAsia" w:eastAsiaTheme="minorEastAsia"/>
          <w:sz w:val="24"/>
        </w:rPr>
      </w:pPr>
      <w:r>
        <w:rPr>
          <w:rFonts w:asciiTheme="minorEastAsia" w:hAnsiTheme="minorEastAsia" w:eastAsiaTheme="minorEastAsia"/>
          <w:sz w:val="24"/>
        </w:rPr>
        <w:t>中小企业政策</w:t>
      </w:r>
    </w:p>
    <w:p>
      <w:pPr>
        <w:pStyle w:val="12"/>
        <w:spacing w:before="134" w:line="360" w:lineRule="auto"/>
        <w:ind w:left="284" w:leftChars="129" w:firstLine="425" w:firstLineChars="169"/>
        <w:rPr>
          <w:rFonts w:asciiTheme="minorEastAsia" w:hAnsiTheme="minorEastAsia" w:eastAsiaTheme="minorEastAsia"/>
          <w:lang w:eastAsia="zh-CN"/>
        </w:rPr>
      </w:pPr>
      <w:r>
        <w:rPr>
          <w:rFonts w:hint="eastAsia" w:asciiTheme="minorEastAsia" w:hAnsiTheme="minorEastAsia" w:eastAsiaTheme="minorEastAsia"/>
          <w:w w:val="105"/>
          <w:lang w:eastAsia="zh-CN"/>
        </w:rPr>
        <w:t xml:space="preserve"> </w:t>
      </w:r>
      <w:r>
        <w:rPr>
          <w:rFonts w:hint="eastAsia" w:asciiTheme="minorEastAsia" w:hAnsiTheme="minorEastAsia" w:eastAsiaTheme="minorEastAsia"/>
          <w:lang w:eastAsia="zh-CN"/>
        </w:rPr>
        <w:t>□</w:t>
      </w:r>
      <w:r>
        <w:rPr>
          <w:rFonts w:asciiTheme="minorEastAsia" w:hAnsiTheme="minorEastAsia" w:eastAsiaTheme="minorEastAsia"/>
          <w:w w:val="105"/>
          <w:lang w:eastAsia="zh-CN"/>
        </w:rPr>
        <w:t>本项目不专门面向中小企业预留采购份额。</w:t>
      </w:r>
    </w:p>
    <w:p>
      <w:pPr>
        <w:pStyle w:val="12"/>
        <w:tabs>
          <w:tab w:val="left" w:pos="2763"/>
          <w:tab w:val="left" w:pos="4966"/>
        </w:tabs>
        <w:spacing w:before="143" w:line="360" w:lineRule="auto"/>
        <w:ind w:left="284" w:leftChars="129" w:firstLine="405" w:firstLineChars="169"/>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asciiTheme="minorEastAsia" w:hAnsiTheme="minorEastAsia" w:eastAsiaTheme="minorEastAsia"/>
          <w:lang w:eastAsia="zh-CN"/>
        </w:rPr>
        <w:t>本项</w:t>
      </w:r>
      <w:r>
        <w:rPr>
          <w:rFonts w:asciiTheme="minorEastAsia" w:hAnsiTheme="minorEastAsia" w:eastAsiaTheme="minorEastAsia"/>
          <w:spacing w:val="2"/>
          <w:lang w:eastAsia="zh-CN"/>
        </w:rPr>
        <w:t>目</w:t>
      </w:r>
      <w:r>
        <w:rPr>
          <w:rFonts w:asciiTheme="minorEastAsia" w:hAnsiTheme="minorEastAsia" w:eastAsiaTheme="minorEastAsia"/>
          <w:lang w:eastAsia="zh-CN"/>
        </w:rPr>
        <w:t>专门面向</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lang w:eastAsia="zh-CN"/>
        </w:rPr>
        <w:t>■</w:t>
      </w:r>
      <w:r>
        <w:rPr>
          <w:rFonts w:asciiTheme="minorEastAsia" w:hAnsiTheme="minorEastAsia" w:eastAsiaTheme="minorEastAsia"/>
          <w:lang w:eastAsia="zh-CN"/>
        </w:rPr>
        <w:t>中小</w:t>
      </w:r>
      <w:r>
        <w:rPr>
          <w:rFonts w:hint="eastAsia" w:asciiTheme="minorEastAsia" w:hAnsiTheme="minorEastAsia" w:eastAsiaTheme="minorEastAsia"/>
          <w:spacing w:val="2"/>
          <w:lang w:eastAsia="zh-CN"/>
        </w:rPr>
        <w:t xml:space="preserve"> </w:t>
      </w:r>
      <w:r>
        <w:rPr>
          <w:rFonts w:asciiTheme="minorEastAsia" w:hAnsiTheme="minorEastAsia" w:eastAsiaTheme="minorEastAsia"/>
          <w:w w:val="105"/>
          <w:lang w:eastAsia="zh-CN"/>
        </w:rPr>
        <w:t>□</w:t>
      </w:r>
      <w:r>
        <w:rPr>
          <w:rFonts w:asciiTheme="minorEastAsia" w:hAnsiTheme="minorEastAsia" w:eastAsiaTheme="minorEastAsia"/>
          <w:lang w:eastAsia="zh-CN"/>
        </w:rPr>
        <w:t>小微</w:t>
      </w:r>
      <w:r>
        <w:rPr>
          <w:rFonts w:asciiTheme="minorEastAsia" w:hAnsiTheme="minorEastAsia" w:eastAsiaTheme="minorEastAsia"/>
          <w:spacing w:val="2"/>
          <w:lang w:eastAsia="zh-CN"/>
        </w:rPr>
        <w:t>企</w:t>
      </w:r>
      <w:r>
        <w:rPr>
          <w:rFonts w:asciiTheme="minorEastAsia" w:hAnsiTheme="minorEastAsia" w:eastAsiaTheme="minorEastAsia"/>
          <w:lang w:eastAsia="zh-CN"/>
        </w:rPr>
        <w:t>业</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w:t>
      </w:r>
      <w:r>
        <w:rPr>
          <w:rFonts w:asciiTheme="minorEastAsia" w:hAnsiTheme="minorEastAsia" w:eastAsiaTheme="minorEastAsia"/>
          <w:spacing w:val="2"/>
          <w:lang w:eastAsia="zh-CN"/>
        </w:rPr>
        <w:t>。</w:t>
      </w:r>
      <w:r>
        <w:rPr>
          <w:rFonts w:hint="eastAsia" w:asciiTheme="minorEastAsia" w:hAnsiTheme="minorEastAsia" w:eastAsiaTheme="minorEastAsia"/>
          <w:lang w:eastAsia="zh-CN"/>
        </w:rPr>
        <w:t>即：提供的货物全部由符合政策要求的中小/小微企业制造、服务全部由符合政策要求的中小/小微企业承接。</w:t>
      </w:r>
    </w:p>
    <w:p>
      <w:pPr>
        <w:pStyle w:val="12"/>
        <w:tabs>
          <w:tab w:val="left" w:pos="2763"/>
          <w:tab w:val="left" w:pos="4966"/>
        </w:tabs>
        <w:spacing w:before="143" w:line="360" w:lineRule="auto"/>
        <w:ind w:left="284" w:leftChars="129" w:firstLine="405" w:firstLineChars="169"/>
        <w:rPr>
          <w:rFonts w:asciiTheme="minorEastAsia" w:hAnsiTheme="minorEastAsia" w:eastAsiaTheme="minorEastAsia"/>
          <w:w w:val="105"/>
          <w:highlight w:val="yellow"/>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w w:val="105"/>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w w:val="105"/>
          <w:highlight w:val="none"/>
          <w:lang w:eastAsia="zh-CN"/>
        </w:rPr>
        <w:t>：</w:t>
      </w:r>
      <w:r>
        <w:rPr>
          <w:rFonts w:hint="eastAsia" w:asciiTheme="minorEastAsia" w:hAnsiTheme="minorEastAsia" w:eastAsiaTheme="minorEastAsia"/>
          <w:b/>
          <w:bCs/>
          <w:w w:val="105"/>
          <w:highlight w:val="none"/>
          <w:u w:val="single"/>
          <w:lang w:val="en-US" w:eastAsia="zh-CN"/>
        </w:rPr>
        <w:t>/</w:t>
      </w:r>
      <w:r>
        <w:rPr>
          <w:rFonts w:hint="eastAsia" w:asciiTheme="minorEastAsia" w:hAnsiTheme="minorEastAsia" w:eastAsiaTheme="minorEastAsia"/>
          <w:b/>
          <w:bCs/>
          <w:w w:val="105"/>
          <w:highlight w:val="none"/>
          <w:u w:val="single"/>
          <w:lang w:eastAsia="zh-CN"/>
        </w:rPr>
        <w:t xml:space="preserve"> </w:t>
      </w:r>
    </w:p>
    <w:p>
      <w:pPr>
        <w:pStyle w:val="41"/>
        <w:numPr>
          <w:ilvl w:val="1"/>
          <w:numId w:val="2"/>
        </w:numPr>
        <w:tabs>
          <w:tab w:val="left" w:pos="1201"/>
          <w:tab w:val="left" w:pos="7200"/>
        </w:tabs>
        <w:spacing w:before="41" w:line="360" w:lineRule="auto"/>
        <w:ind w:hanging="499"/>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其它落实政府采购政策的资格要求（如有）</w:t>
      </w:r>
      <w:r>
        <w:rPr>
          <w:rFonts w:asciiTheme="minorEastAsia" w:hAnsiTheme="minorEastAsia" w:eastAsiaTheme="minorEastAsia"/>
          <w:lang w:eastAsia="zh-CN"/>
        </w:rPr>
        <w:t>：</w:t>
      </w:r>
      <w:r>
        <w:rPr>
          <w:rFonts w:hint="eastAsia" w:asciiTheme="minorEastAsia" w:hAnsiTheme="minorEastAsia" w:eastAsiaTheme="minorEastAsia"/>
          <w:w w:val="105"/>
          <w:u w:val="single"/>
          <w:lang w:eastAsia="zh-CN"/>
        </w:rPr>
        <w:t xml:space="preserve">      /     </w:t>
      </w:r>
      <w:r>
        <w:rPr>
          <w:rFonts w:asciiTheme="minorEastAsia" w:hAnsiTheme="minorEastAsia" w:eastAsiaTheme="minorEastAsia"/>
          <w:sz w:val="24"/>
          <w:lang w:eastAsia="zh-CN"/>
        </w:rPr>
        <w:t>。</w:t>
      </w: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3.本项目的特定资格要求：</w:t>
      </w:r>
    </w:p>
    <w:p>
      <w:pPr>
        <w:pStyle w:val="41"/>
        <w:numPr>
          <w:ilvl w:val="1"/>
          <w:numId w:val="3"/>
        </w:numPr>
        <w:tabs>
          <w:tab w:val="left" w:pos="1041"/>
        </w:tabs>
        <w:spacing w:before="43" w:line="360" w:lineRule="auto"/>
        <w:ind w:hanging="439"/>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本项目是否属于政府购买服务：</w:t>
      </w:r>
    </w:p>
    <w:p>
      <w:pPr>
        <w:pStyle w:val="12"/>
        <w:tabs>
          <w:tab w:val="left" w:pos="2763"/>
          <w:tab w:val="left" w:pos="4966"/>
        </w:tabs>
        <w:spacing w:before="143" w:line="360" w:lineRule="auto"/>
        <w:ind w:left="284" w:leftChars="129" w:firstLine="405" w:firstLineChars="169"/>
        <w:rPr>
          <w:rFonts w:asciiTheme="minorEastAsia" w:hAnsiTheme="minorEastAsia" w:eastAsiaTheme="minorEastAsia"/>
          <w:w w:val="105"/>
          <w:lang w:eastAsia="zh-CN"/>
        </w:rPr>
      </w:pPr>
      <w:r>
        <w:rPr>
          <w:rFonts w:hint="eastAsia" w:asciiTheme="minorEastAsia" w:hAnsiTheme="minorEastAsia" w:eastAsiaTheme="minorEastAsia"/>
          <w:lang w:eastAsia="zh-CN"/>
        </w:rPr>
        <w:t>■</w:t>
      </w:r>
      <w:r>
        <w:rPr>
          <w:rFonts w:asciiTheme="minorEastAsia" w:hAnsiTheme="minorEastAsia" w:eastAsiaTheme="minorEastAsia"/>
          <w:w w:val="105"/>
          <w:lang w:eastAsia="zh-CN"/>
        </w:rPr>
        <w:t>否</w:t>
      </w:r>
    </w:p>
    <w:p>
      <w:pPr>
        <w:pStyle w:val="12"/>
        <w:spacing w:before="141" w:line="360" w:lineRule="auto"/>
        <w:ind w:left="284" w:leftChars="129" w:right="168" w:firstLine="405" w:firstLineChars="169"/>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asciiTheme="minorEastAsia" w:hAnsiTheme="minorEastAsia" w:eastAsiaTheme="minorEastAsia"/>
          <w:w w:val="105"/>
          <w:lang w:eastAsia="zh-CN"/>
        </w:rPr>
        <w:t>是，公益一类事业单位、使用事业编制且由财政拨款保障的群团</w:t>
      </w:r>
      <w:r>
        <w:rPr>
          <w:rFonts w:asciiTheme="minorEastAsia" w:hAnsiTheme="minorEastAsia" w:eastAsiaTheme="minorEastAsia"/>
          <w:lang w:eastAsia="zh-CN"/>
        </w:rPr>
        <w:t>组</w:t>
      </w:r>
      <w:r>
        <w:rPr>
          <w:rFonts w:asciiTheme="minorEastAsia" w:hAnsiTheme="minorEastAsia" w:eastAsiaTheme="minorEastAsia"/>
          <w:spacing w:val="-3"/>
          <w:lang w:eastAsia="zh-CN"/>
        </w:rPr>
        <w:t>织</w:t>
      </w:r>
      <w:r>
        <w:rPr>
          <w:rFonts w:asciiTheme="minorEastAsia" w:hAnsiTheme="minorEastAsia" w:eastAsiaTheme="minorEastAsia"/>
          <w:spacing w:val="-12"/>
          <w:lang w:eastAsia="zh-CN"/>
        </w:rPr>
        <w:t>，</w:t>
      </w:r>
      <w:r>
        <w:rPr>
          <w:rFonts w:asciiTheme="minorEastAsia" w:hAnsiTheme="minorEastAsia" w:eastAsiaTheme="minorEastAsia"/>
          <w:lang w:eastAsia="zh-CN"/>
        </w:rPr>
        <w:t>不得作为承接主体；</w:t>
      </w:r>
    </w:p>
    <w:p>
      <w:pPr>
        <w:pStyle w:val="41"/>
        <w:numPr>
          <w:ilvl w:val="1"/>
          <w:numId w:val="3"/>
        </w:numPr>
        <w:tabs>
          <w:tab w:val="left" w:pos="1041"/>
        </w:tabs>
        <w:spacing w:before="43" w:line="360" w:lineRule="auto"/>
        <w:ind w:hanging="439"/>
        <w:rPr>
          <w:rFonts w:asciiTheme="minorEastAsia" w:hAnsiTheme="minorEastAsia" w:eastAsiaTheme="minorEastAsia"/>
          <w:sz w:val="24"/>
          <w:u w:val="single"/>
          <w:lang w:eastAsia="zh-CN"/>
        </w:rPr>
      </w:pPr>
      <w:r>
        <w:rPr>
          <w:rFonts w:asciiTheme="minorEastAsia" w:hAnsiTheme="minorEastAsia" w:eastAsiaTheme="minorEastAsia"/>
          <w:sz w:val="24"/>
          <w:lang w:eastAsia="zh-CN"/>
        </w:rPr>
        <w:t>其他特定资格要求：</w:t>
      </w:r>
      <w:r>
        <w:rPr>
          <w:rFonts w:hint="eastAsia" w:asciiTheme="minorEastAsia" w:hAnsiTheme="minorEastAsia" w:eastAsiaTheme="minorEastAsia"/>
          <w:w w:val="105"/>
          <w:u w:val="single"/>
          <w:lang w:eastAsia="zh-CN"/>
        </w:rPr>
        <w:t xml:space="preserve"> </w:t>
      </w:r>
      <w:bookmarkStart w:id="6" w:name="OLE_LINK15"/>
      <w:bookmarkStart w:id="7" w:name="OLE_LINK11"/>
      <w:r>
        <w:rPr>
          <w:rFonts w:hint="eastAsia" w:asciiTheme="minorEastAsia" w:hAnsiTheme="minorEastAsia" w:eastAsiaTheme="minorEastAsia"/>
          <w:sz w:val="24"/>
          <w:u w:val="single"/>
          <w:lang w:eastAsia="zh-CN"/>
        </w:rPr>
        <w:t>投标人须具备建筑装修装饰工程专业承包二级（含）及以上</w:t>
      </w:r>
      <w:r>
        <w:rPr>
          <w:rFonts w:hint="eastAsia" w:asciiTheme="minorEastAsia" w:hAnsiTheme="minorEastAsia" w:eastAsiaTheme="minorEastAsia"/>
          <w:sz w:val="24"/>
          <w:u w:val="single"/>
          <w:lang w:eastAsia="zh-CN"/>
        </w:rPr>
        <w:fldChar w:fldCharType="begin"/>
      </w:r>
      <w:r>
        <w:rPr>
          <w:rFonts w:hint="eastAsia" w:asciiTheme="minorEastAsia" w:hAnsiTheme="minorEastAsia" w:eastAsiaTheme="minorEastAsia"/>
          <w:sz w:val="24"/>
          <w:u w:val="single"/>
          <w:lang w:eastAsia="zh-CN"/>
        </w:rPr>
        <w:instrText xml:space="preserve"> AUTOTEXT  input23 \* MERGEFORMAT </w:instrText>
      </w:r>
      <w:r>
        <w:rPr>
          <w:rFonts w:hint="eastAsia" w:asciiTheme="minorEastAsia" w:hAnsiTheme="minorEastAsia" w:eastAsiaTheme="minorEastAsia"/>
          <w:sz w:val="24"/>
          <w:u w:val="single"/>
          <w:lang w:eastAsia="zh-CN"/>
        </w:rPr>
        <w:fldChar w:fldCharType="end"/>
      </w:r>
      <w:r>
        <w:rPr>
          <w:rFonts w:hint="eastAsia" w:asciiTheme="minorEastAsia" w:hAnsiTheme="minorEastAsia" w:eastAsiaTheme="minorEastAsia"/>
          <w:sz w:val="24"/>
          <w:u w:val="single"/>
          <w:lang w:eastAsia="zh-CN"/>
        </w:rPr>
        <w:t>资质，具有有效的安全生产许可证，并在人员、设备、资金等方面具有相应的施工能力，其中，投标人拟派项目经理须具备</w:t>
      </w:r>
      <w:r>
        <w:rPr>
          <w:rFonts w:hint="eastAsia" w:asciiTheme="minorEastAsia" w:hAnsiTheme="minorEastAsia" w:eastAsiaTheme="minorEastAsia"/>
          <w:sz w:val="24"/>
          <w:u w:val="single"/>
          <w:lang w:val="en-US" w:eastAsia="zh-CN"/>
        </w:rPr>
        <w:t>建筑</w:t>
      </w:r>
      <w:r>
        <w:rPr>
          <w:rFonts w:hint="eastAsia" w:asciiTheme="minorEastAsia" w:hAnsiTheme="minorEastAsia" w:eastAsiaTheme="minorEastAsia"/>
          <w:sz w:val="24"/>
          <w:u w:val="single"/>
          <w:lang w:eastAsia="zh-CN"/>
        </w:rPr>
        <w:t>工程注册建造师二级及以上执业资格，具备有效的安全生产考核合格证书（B本）</w:t>
      </w:r>
      <w:bookmarkEnd w:id="6"/>
      <w:r>
        <w:rPr>
          <w:rFonts w:hint="eastAsia" w:asciiTheme="minorEastAsia" w:hAnsiTheme="minorEastAsia" w:eastAsiaTheme="minorEastAsia"/>
          <w:sz w:val="24"/>
          <w:u w:val="single"/>
          <w:lang w:eastAsia="zh-CN"/>
        </w:rPr>
        <w:t>；</w:t>
      </w:r>
      <w:bookmarkEnd w:id="7"/>
    </w:p>
    <w:bookmarkEnd w:id="5"/>
    <w:p>
      <w:pPr>
        <w:tabs>
          <w:tab w:val="left" w:pos="1041"/>
        </w:tabs>
        <w:spacing w:before="43"/>
        <w:rPr>
          <w:rFonts w:asciiTheme="minorEastAsia" w:hAnsiTheme="minorEastAsia" w:eastAsiaTheme="minorEastAsia"/>
          <w:sz w:val="24"/>
          <w:lang w:eastAsia="zh-CN"/>
        </w:rPr>
      </w:pPr>
    </w:p>
    <w:p>
      <w:pPr>
        <w:pStyle w:val="5"/>
        <w:jc w:val="left"/>
        <w:rPr>
          <w:rFonts w:asciiTheme="minorEastAsia" w:hAnsiTheme="minorEastAsia" w:eastAsiaTheme="minorEastAsia"/>
          <w:b/>
          <w:lang w:eastAsia="zh-CN"/>
        </w:rPr>
      </w:pPr>
      <w:bookmarkStart w:id="8" w:name="_Toc164263443"/>
      <w:r>
        <w:rPr>
          <w:rFonts w:asciiTheme="minorEastAsia" w:hAnsiTheme="minorEastAsia" w:eastAsiaTheme="minorEastAsia"/>
          <w:b/>
          <w:lang w:eastAsia="zh-CN"/>
        </w:rPr>
        <w:t>三、获取采购文件</w:t>
      </w:r>
      <w:bookmarkEnd w:id="8"/>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1.时间：</w:t>
      </w:r>
      <w:r>
        <w:rPr>
          <w:rFonts w:hint="eastAsia" w:asciiTheme="minorEastAsia" w:hAnsiTheme="minorEastAsia" w:eastAsiaTheme="minorEastAsia"/>
          <w:spacing w:val="-3"/>
          <w:u w:val="single"/>
          <w:lang w:eastAsia="zh-CN"/>
        </w:rPr>
        <w:t>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 xml:space="preserve">  12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val="en-US" w:eastAsia="zh-CN"/>
        </w:rPr>
        <w:t xml:space="preserve">  02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日至</w:t>
      </w:r>
      <w:r>
        <w:rPr>
          <w:rFonts w:hint="eastAsia" w:asciiTheme="minorEastAsia" w:hAnsiTheme="minorEastAsia" w:eastAsiaTheme="minorEastAsia"/>
          <w:spacing w:val="-3"/>
          <w:u w:val="single"/>
          <w:lang w:eastAsia="zh-CN"/>
        </w:rPr>
        <w:t xml:space="preserve"> 2025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 12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 08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spacing w:val="-3"/>
          <w:lang w:eastAsia="zh-CN"/>
        </w:rPr>
        <w:t>日，每天上午</w:t>
      </w:r>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120"/>
          <w:lang w:eastAsia="zh-CN"/>
        </w:rPr>
      </w:pPr>
      <w:r>
        <w:rPr>
          <w:rFonts w:hint="eastAsia" w:asciiTheme="minorEastAsia" w:hAnsiTheme="minorEastAsia" w:eastAsiaTheme="minorEastAsia"/>
          <w:spacing w:val="-3"/>
          <w:u w:val="single"/>
          <w:lang w:eastAsia="zh-CN"/>
        </w:rPr>
        <w:t xml:space="preserve"> 0:00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spacing w:val="-5"/>
          <w:lang w:eastAsia="zh-CN"/>
        </w:rPr>
        <w:t>，下午</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24:00 </w:t>
      </w:r>
      <w:r>
        <w:rPr>
          <w:rFonts w:asciiTheme="minorEastAsia" w:hAnsiTheme="minorEastAsia" w:eastAsiaTheme="minorEastAsia"/>
          <w:lang w:eastAsia="zh-CN"/>
        </w:rPr>
        <w:t>（北京时间，法定节假日除外</w:t>
      </w:r>
      <w:r>
        <w:rPr>
          <w:rFonts w:asciiTheme="minorEastAsia" w:hAnsiTheme="minorEastAsia" w:eastAsiaTheme="minorEastAsia"/>
          <w:spacing w:val="-120"/>
          <w:lang w:eastAsia="zh-CN"/>
        </w:rPr>
        <w:t>）</w:t>
      </w:r>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2.地点：北京市政府采购电子交易平台</w:t>
      </w:r>
    </w:p>
    <w:p>
      <w:pPr>
        <w:pStyle w:val="12"/>
        <w:wordWrap w:val="0"/>
        <w:spacing w:before="132" w:line="360" w:lineRule="auto"/>
        <w:ind w:left="119" w:right="170" w:firstLine="482"/>
        <w:rPr>
          <w:rFonts w:asciiTheme="minorEastAsia" w:hAnsiTheme="minorEastAsia" w:eastAsiaTheme="minorEastAsia"/>
          <w:lang w:eastAsia="zh-CN"/>
        </w:rPr>
      </w:pPr>
      <w:r>
        <w:rPr>
          <w:rFonts w:asciiTheme="minorEastAsia" w:hAnsiTheme="minorEastAsia" w:eastAsiaTheme="minorEastAsia"/>
          <w:spacing w:val="-2"/>
          <w:w w:val="114"/>
          <w:lang w:eastAsia="zh-CN"/>
        </w:rPr>
        <w:t>3</w:t>
      </w:r>
      <w:r>
        <w:rPr>
          <w:rFonts w:asciiTheme="minorEastAsia" w:hAnsiTheme="minorEastAsia" w:eastAsiaTheme="minorEastAsia"/>
          <w:w w:val="114"/>
          <w:lang w:eastAsia="zh-CN"/>
        </w:rPr>
        <w:t>.</w:t>
      </w:r>
      <w:r>
        <w:rPr>
          <w:rFonts w:asciiTheme="minorEastAsia" w:hAnsiTheme="minorEastAsia" w:eastAsiaTheme="minorEastAsia"/>
          <w:lang w:eastAsia="zh-CN"/>
        </w:rPr>
        <w:t>方式</w:t>
      </w:r>
      <w:r>
        <w:rPr>
          <w:rFonts w:asciiTheme="minorEastAsia" w:hAnsiTheme="minorEastAsia" w:eastAsiaTheme="minorEastAsia"/>
          <w:spacing w:val="-10"/>
          <w:lang w:eastAsia="zh-CN"/>
        </w:rPr>
        <w:t>：</w:t>
      </w:r>
      <w:bookmarkStart w:id="9" w:name="OLE_LINK12"/>
      <w:r>
        <w:rPr>
          <w:rFonts w:hint="eastAsia" w:asciiTheme="minorEastAsia" w:hAnsiTheme="minorEastAsia" w:eastAsiaTheme="minorEastAsia"/>
          <w:lang w:eastAsia="zh-CN"/>
        </w:rPr>
        <w:t>供应商使用 CA 数字证书或电子营业执照登录北京市政府采购电子交易平台（http://zbcg-bjzc.zhongcy.com/bjczj-portal-site/index.html#/home）获取电子版竞争性磋商文件。</w:t>
      </w:r>
    </w:p>
    <w:bookmarkEnd w:id="9"/>
    <w:p>
      <w:pPr>
        <w:pStyle w:val="12"/>
        <w:spacing w:before="58" w:line="360" w:lineRule="auto"/>
        <w:ind w:left="601"/>
        <w:rPr>
          <w:rFonts w:asciiTheme="minorEastAsia" w:hAnsiTheme="minorEastAsia" w:eastAsiaTheme="minorEastAsia"/>
          <w:lang w:eastAsia="zh-CN"/>
        </w:rPr>
      </w:pPr>
      <w:r>
        <w:rPr>
          <w:rFonts w:asciiTheme="minorEastAsia" w:hAnsiTheme="minorEastAsia" w:eastAsiaTheme="minorEastAsia"/>
          <w:w w:val="105"/>
          <w:lang w:eastAsia="zh-CN"/>
        </w:rPr>
        <w:t>4.售价：0 元。</w:t>
      </w:r>
    </w:p>
    <w:p>
      <w:pPr>
        <w:pStyle w:val="12"/>
        <w:rPr>
          <w:rFonts w:asciiTheme="minorEastAsia" w:hAnsiTheme="minorEastAsia" w:eastAsiaTheme="minorEastAsia"/>
          <w:sz w:val="28"/>
          <w:lang w:eastAsia="zh-CN"/>
        </w:rPr>
      </w:pPr>
    </w:p>
    <w:p>
      <w:pPr>
        <w:pStyle w:val="5"/>
        <w:jc w:val="left"/>
        <w:rPr>
          <w:rFonts w:asciiTheme="minorEastAsia" w:hAnsiTheme="minorEastAsia" w:eastAsiaTheme="minorEastAsia"/>
          <w:b/>
          <w:lang w:eastAsia="zh-CN"/>
        </w:rPr>
      </w:pPr>
      <w:bookmarkStart w:id="10" w:name="_Toc164263444"/>
      <w:r>
        <w:rPr>
          <w:rFonts w:asciiTheme="minorEastAsia" w:hAnsiTheme="minorEastAsia" w:eastAsiaTheme="minorEastAsia"/>
          <w:b/>
          <w:lang w:eastAsia="zh-CN"/>
        </w:rPr>
        <w:t>四、响应文件提交</w:t>
      </w:r>
      <w:bookmarkEnd w:id="10"/>
    </w:p>
    <w:p>
      <w:pPr>
        <w:pStyle w:val="12"/>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截止时间：</w:t>
      </w:r>
      <w:r>
        <w:rPr>
          <w:rFonts w:hint="eastAsia" w:asciiTheme="minorEastAsia" w:hAnsiTheme="minorEastAsia" w:eastAsiaTheme="minorEastAsia"/>
          <w:spacing w:val="-3"/>
          <w:u w:val="single"/>
          <w:lang w:eastAsia="zh-CN"/>
        </w:rPr>
        <w:t xml:space="preserve"> 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 12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12</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spacing w:val="-3"/>
          <w:u w:val="single"/>
          <w:lang w:eastAsia="zh-CN"/>
        </w:rPr>
        <w:t xml:space="preserve"> 09 </w:t>
      </w:r>
      <w:r>
        <w:rPr>
          <w:rFonts w:asciiTheme="minorEastAsia" w:hAnsiTheme="minorEastAsia" w:eastAsiaTheme="minorEastAsia"/>
          <w:lang w:eastAsia="zh-CN"/>
        </w:rPr>
        <w:t>点</w:t>
      </w:r>
      <w:r>
        <w:rPr>
          <w:rFonts w:hint="eastAsia" w:asciiTheme="minorEastAsia" w:hAnsiTheme="minorEastAsia" w:eastAsiaTheme="minorEastAsia"/>
          <w:spacing w:val="-3"/>
          <w:u w:val="single"/>
          <w:lang w:eastAsia="zh-CN"/>
        </w:rPr>
        <w:t xml:space="preserve"> 30 </w:t>
      </w:r>
      <w:r>
        <w:rPr>
          <w:rFonts w:asciiTheme="minorEastAsia" w:hAnsiTheme="minorEastAsia" w:eastAsiaTheme="minorEastAsia"/>
          <w:lang w:eastAsia="zh-CN"/>
        </w:rPr>
        <w:t>分（北京时间</w:t>
      </w:r>
      <w:r>
        <w:rPr>
          <w:lang w:eastAsia="zh-CN"/>
        </w:rPr>
        <w:t>）。</w:t>
      </w:r>
    </w:p>
    <w:p>
      <w:pPr>
        <w:pStyle w:val="12"/>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r>
        <w:rPr>
          <w:rFonts w:hint="eastAsia" w:asciiTheme="minorEastAsia" w:hAnsiTheme="minorEastAsia" w:eastAsiaTheme="minorEastAsia"/>
          <w:spacing w:val="-3"/>
          <w:u w:val="single"/>
          <w:lang w:eastAsia="zh-CN"/>
        </w:rPr>
        <w:t>北京市政府采购电子交易平台</w:t>
      </w:r>
      <w:r>
        <w:rPr>
          <w:rFonts w:asciiTheme="minorEastAsia" w:hAnsiTheme="minorEastAsia" w:eastAsiaTheme="minorEastAsia"/>
          <w:lang w:eastAsia="zh-CN"/>
        </w:rPr>
        <w:t>。</w:t>
      </w:r>
    </w:p>
    <w:p>
      <w:pPr>
        <w:pStyle w:val="12"/>
        <w:spacing w:before="11"/>
        <w:rPr>
          <w:rFonts w:asciiTheme="minorEastAsia" w:hAnsiTheme="minorEastAsia" w:eastAsiaTheme="minorEastAsia"/>
          <w:sz w:val="34"/>
          <w:lang w:eastAsia="zh-CN"/>
        </w:rPr>
      </w:pPr>
    </w:p>
    <w:p>
      <w:pPr>
        <w:pStyle w:val="5"/>
        <w:jc w:val="left"/>
        <w:rPr>
          <w:rFonts w:asciiTheme="minorEastAsia" w:hAnsiTheme="minorEastAsia" w:eastAsiaTheme="minorEastAsia"/>
          <w:b/>
          <w:lang w:eastAsia="zh-CN"/>
        </w:rPr>
      </w:pPr>
      <w:bookmarkStart w:id="11" w:name="_Toc164263445"/>
      <w:r>
        <w:rPr>
          <w:rFonts w:asciiTheme="minorEastAsia" w:hAnsiTheme="minorEastAsia" w:eastAsiaTheme="minorEastAsia"/>
          <w:b/>
          <w:lang w:eastAsia="zh-CN"/>
        </w:rPr>
        <w:t>五、开启</w:t>
      </w:r>
      <w:bookmarkEnd w:id="11"/>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时间：</w:t>
      </w:r>
      <w:r>
        <w:rPr>
          <w:rFonts w:hint="eastAsia" w:asciiTheme="minorEastAsia" w:hAnsiTheme="minorEastAsia" w:eastAsiaTheme="minorEastAsia"/>
          <w:spacing w:val="-3"/>
          <w:u w:val="single"/>
          <w:lang w:eastAsia="zh-CN"/>
        </w:rPr>
        <w:t xml:space="preserve"> 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12</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12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 xml:space="preserve">09 </w:t>
      </w:r>
      <w:r>
        <w:rPr>
          <w:rFonts w:asciiTheme="minorEastAsia" w:hAnsiTheme="minorEastAsia" w:eastAsiaTheme="minorEastAsia"/>
          <w:lang w:eastAsia="zh-CN"/>
        </w:rPr>
        <w:t>点</w:t>
      </w:r>
      <w:r>
        <w:rPr>
          <w:rFonts w:hint="eastAsia" w:asciiTheme="minorEastAsia" w:hAnsiTheme="minorEastAsia" w:eastAsiaTheme="minorEastAsia"/>
          <w:u w:val="single"/>
          <w:lang w:eastAsia="zh-CN"/>
        </w:rPr>
        <w:t xml:space="preserve"> 30 </w:t>
      </w:r>
      <w:r>
        <w:rPr>
          <w:rFonts w:asciiTheme="minorEastAsia" w:hAnsiTheme="minorEastAsia" w:eastAsiaTheme="minorEastAsia"/>
          <w:lang w:eastAsia="zh-CN"/>
        </w:rPr>
        <w:t>分（北京时间</w:t>
      </w:r>
      <w:r>
        <w:rPr>
          <w:lang w:eastAsia="zh-CN"/>
        </w:rPr>
        <w:t>）。</w:t>
      </w:r>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bookmarkStart w:id="12" w:name="OLE_LINK13"/>
      <w:r>
        <w:rPr>
          <w:rFonts w:hint="eastAsia" w:asciiTheme="minorEastAsia" w:hAnsiTheme="minorEastAsia" w:eastAsiaTheme="minorEastAsia"/>
          <w:spacing w:val="-3"/>
          <w:u w:val="single"/>
          <w:lang w:eastAsia="zh-CN"/>
        </w:rPr>
        <w:t>北京市顺义区复兴东街</w:t>
      </w:r>
      <w:r>
        <w:rPr>
          <w:rFonts w:asciiTheme="minorEastAsia" w:hAnsiTheme="minorEastAsia" w:eastAsiaTheme="minorEastAsia"/>
          <w:spacing w:val="-3"/>
          <w:u w:val="single"/>
          <w:lang w:eastAsia="zh-CN"/>
        </w:rPr>
        <w:t>3号院顺义区政务服务中心6号电梯厅二层</w:t>
      </w:r>
      <w:bookmarkEnd w:id="12"/>
      <w:r>
        <w:rPr>
          <w:rFonts w:asciiTheme="minorEastAsia" w:hAnsiTheme="minorEastAsia" w:eastAsiaTheme="minorEastAsia"/>
          <w:lang w:eastAsia="zh-CN"/>
        </w:rPr>
        <w:t>。</w:t>
      </w:r>
    </w:p>
    <w:p>
      <w:pPr>
        <w:pStyle w:val="12"/>
        <w:spacing w:before="11"/>
        <w:rPr>
          <w:rFonts w:asciiTheme="minorEastAsia" w:hAnsiTheme="minorEastAsia" w:eastAsiaTheme="minorEastAsia"/>
          <w:sz w:val="34"/>
          <w:lang w:eastAsia="zh-CN"/>
        </w:rPr>
      </w:pPr>
    </w:p>
    <w:p>
      <w:pPr>
        <w:pStyle w:val="5"/>
        <w:jc w:val="left"/>
        <w:rPr>
          <w:rFonts w:asciiTheme="minorEastAsia" w:hAnsiTheme="minorEastAsia" w:eastAsiaTheme="minorEastAsia"/>
          <w:b/>
          <w:lang w:eastAsia="zh-CN"/>
        </w:rPr>
      </w:pPr>
      <w:bookmarkStart w:id="13" w:name="_Toc164263446"/>
      <w:r>
        <w:rPr>
          <w:rFonts w:asciiTheme="minorEastAsia" w:hAnsiTheme="minorEastAsia" w:eastAsiaTheme="minorEastAsia"/>
          <w:b/>
          <w:lang w:eastAsia="zh-CN"/>
        </w:rPr>
        <w:t>六、公告期限</w:t>
      </w:r>
      <w:bookmarkEnd w:id="13"/>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自本公告发布之日起 3 个工作日。</w:t>
      </w:r>
    </w:p>
    <w:p>
      <w:pPr>
        <w:pStyle w:val="12"/>
        <w:rPr>
          <w:rFonts w:asciiTheme="minorEastAsia" w:hAnsiTheme="minorEastAsia" w:eastAsiaTheme="minorEastAsia"/>
          <w:sz w:val="28"/>
          <w:lang w:eastAsia="zh-CN"/>
        </w:rPr>
      </w:pPr>
    </w:p>
    <w:p>
      <w:pPr>
        <w:pStyle w:val="5"/>
        <w:jc w:val="left"/>
        <w:rPr>
          <w:rFonts w:asciiTheme="minorEastAsia" w:hAnsiTheme="minorEastAsia" w:eastAsiaTheme="minorEastAsia"/>
          <w:b/>
          <w:lang w:eastAsia="zh-CN"/>
        </w:rPr>
      </w:pPr>
      <w:bookmarkStart w:id="14" w:name="_Toc164263447"/>
      <w:r>
        <w:rPr>
          <w:rFonts w:asciiTheme="minorEastAsia" w:hAnsiTheme="minorEastAsia" w:eastAsiaTheme="minorEastAsia"/>
          <w:b/>
          <w:lang w:eastAsia="zh-CN"/>
        </w:rPr>
        <w:t>七、其他补充事宜</w:t>
      </w:r>
      <w:bookmarkEnd w:id="14"/>
    </w:p>
    <w:p>
      <w:pPr>
        <w:pStyle w:val="12"/>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asciiTheme="minorEastAsia" w:hAnsiTheme="minorEastAsia" w:eastAsiaTheme="minorEastAsia"/>
          <w:lang w:eastAsia="zh-CN"/>
        </w:rPr>
      </w:pPr>
      <w:bookmarkStart w:id="15" w:name="OLE_LINK14"/>
      <w:r>
        <w:rPr>
          <w:rFonts w:asciiTheme="minorEastAsia" w:hAnsiTheme="minorEastAsia" w:eastAsiaTheme="minorEastAsia"/>
          <w:lang w:eastAsia="zh-CN"/>
        </w:rPr>
        <w:t>1.本项目需要落实的政府采购政策：</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1)执行《财政部生态环境部关于印发环境标志产品政府采购品目清单的通知（财库[2019]18号）；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2)执行《财政部发展改革委关于印发节能产品政府采购品目清单的通知》（财库[2019]19号）；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3)执行《财政部工业和信息化部关于印发政府采购促进中小企业发展管理办法的通知》（财库〔2020〕46号）；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4)执行《财政部关于开展政府采购信用担保试点工作方案》（财库[2011]124号）；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5)执行《财政部、司法部关于政府采购支持监狱企业发展有关问题的通知》（财库[2014]68号）；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6)执行《关于促进残疾人就业政府采购政策的通知》（财库[2017]141号）；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7)执行《财政部关于在政府采购活动中查询及使用信用记录有关问题的通知》（财库[2016]125号）等财政部和北京市相关文件的规定；</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12"/>
        <w:tabs>
          <w:tab w:val="left" w:pos="8394"/>
        </w:tabs>
        <w:spacing w:before="58"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CA 数字证书服务热线 010-58511086</w:t>
      </w:r>
    </w:p>
    <w:p>
      <w:pPr>
        <w:pStyle w:val="12"/>
        <w:tabs>
          <w:tab w:val="left" w:pos="8394"/>
        </w:tabs>
        <w:spacing w:before="131"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电子营业执照服务热线 400-699-7000</w:t>
      </w:r>
    </w:p>
    <w:p>
      <w:pPr>
        <w:pStyle w:val="12"/>
        <w:tabs>
          <w:tab w:val="left" w:pos="3001"/>
          <w:tab w:val="left" w:pos="8394"/>
        </w:tabs>
        <w:spacing w:before="133"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技术支持服务热线010-86483801</w:t>
      </w:r>
    </w:p>
    <w:p>
      <w:pPr>
        <w:tabs>
          <w:tab w:val="left" w:pos="1041"/>
        </w:tabs>
        <w:spacing w:before="131"/>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2.1</w:t>
      </w:r>
      <w:r>
        <w:rPr>
          <w:rFonts w:asciiTheme="minorEastAsia" w:hAnsiTheme="minorEastAsia" w:eastAsiaTheme="minorEastAsia"/>
          <w:sz w:val="24"/>
          <w:lang w:eastAsia="zh-CN"/>
        </w:rPr>
        <w:t>办理</w:t>
      </w:r>
      <w:r>
        <w:rPr>
          <w:rFonts w:asciiTheme="minorEastAsia" w:hAnsiTheme="minorEastAsia" w:eastAsiaTheme="minorEastAsia"/>
          <w:spacing w:val="-68"/>
          <w:sz w:val="24"/>
          <w:lang w:eastAsia="zh-CN"/>
        </w:rPr>
        <w:t xml:space="preserve"> </w:t>
      </w:r>
      <w:r>
        <w:rPr>
          <w:rFonts w:asciiTheme="minorEastAsia" w:hAnsiTheme="minorEastAsia" w:eastAsiaTheme="minorEastAsia"/>
          <w:sz w:val="24"/>
          <w:lang w:eastAsia="zh-CN"/>
        </w:rPr>
        <w:t>CA 数字证书或电子营业执照</w:t>
      </w:r>
    </w:p>
    <w:p>
      <w:pPr>
        <w:pStyle w:val="12"/>
        <w:tabs>
          <w:tab w:val="left" w:pos="1041"/>
        </w:tabs>
        <w:spacing w:before="133" w:line="333" w:lineRule="auto"/>
        <w:ind w:left="142" w:right="92" w:rightChars="42" w:firstLine="567" w:firstLineChars="225"/>
        <w:rPr>
          <w:rFonts w:asciiTheme="minorEastAsia" w:hAnsiTheme="minorEastAsia" w:eastAsiaTheme="minorEastAsia"/>
          <w:lang w:eastAsia="zh-CN"/>
        </w:rPr>
      </w:pPr>
      <w:r>
        <w:rPr>
          <w:rFonts w:asciiTheme="minorEastAsia" w:hAnsiTheme="minorEastAsia" w:eastAsiaTheme="minorEastAsia"/>
          <w:w w:val="105"/>
          <w:lang w:eastAsia="zh-CN"/>
        </w:rPr>
        <w:t>供应商登录北京市政府采购电子交易平台查阅</w:t>
      </w:r>
      <w:r>
        <w:rPr>
          <w:rFonts w:hint="eastAsia" w:asciiTheme="minorEastAsia" w:hAnsiTheme="minorEastAsia" w:eastAsiaTheme="minorEastAsia"/>
          <w:w w:val="105"/>
          <w:lang w:eastAsia="zh-CN"/>
        </w:rPr>
        <w:t xml:space="preserve"> </w:t>
      </w:r>
      <w:r>
        <w:rPr>
          <w:rFonts w:asciiTheme="minorEastAsia" w:hAnsiTheme="minorEastAsia" w:eastAsiaTheme="minorEastAsia"/>
          <w:w w:val="105"/>
          <w:lang w:eastAsia="zh-CN"/>
        </w:rPr>
        <w:t>“用户指南”—“操作指南”—“市场主体CA办理操作流程指引”/“电子营业执照使用指南”，按照程序要求办理。</w:t>
      </w:r>
    </w:p>
    <w:p>
      <w:pPr>
        <w:tabs>
          <w:tab w:val="left" w:pos="104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2.2 </w:t>
      </w:r>
      <w:r>
        <w:rPr>
          <w:rFonts w:asciiTheme="minorEastAsia" w:hAnsiTheme="minorEastAsia" w:eastAsiaTheme="minorEastAsia"/>
          <w:sz w:val="24"/>
          <w:lang w:eastAsia="zh-CN"/>
        </w:rPr>
        <w:t>注册</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供应商登录北京市政府采购电子交易平台“用户指南”—“操作指南”—“市场主体注册入库操作流程指引”进行自助注册绑定。</w:t>
      </w:r>
    </w:p>
    <w:p>
      <w:pPr>
        <w:tabs>
          <w:tab w:val="left" w:pos="1041"/>
        </w:tabs>
        <w:spacing w:before="22"/>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w:t>
      </w:r>
      <w:r>
        <w:rPr>
          <w:rFonts w:asciiTheme="minorEastAsia" w:hAnsiTheme="minorEastAsia" w:eastAsiaTheme="minorEastAsia"/>
          <w:sz w:val="24"/>
          <w:lang w:eastAsia="zh-CN"/>
        </w:rPr>
        <w:t>驱动、客户端下载</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供应商登录北京市政府采购电子交易平台“用户指南”—“工具下载”—“招标采购系统文件驱动安装包”下载相关驱动。</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供应商登录北京市政府采购电子交易平台“用户指南”—“工具下载”—“投标文件编制工具”下载相关客户端。</w:t>
      </w:r>
    </w:p>
    <w:p>
      <w:pPr>
        <w:tabs>
          <w:tab w:val="left" w:pos="1041"/>
          <w:tab w:val="left" w:pos="110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w:t>
      </w:r>
      <w:r>
        <w:rPr>
          <w:rFonts w:asciiTheme="minorEastAsia" w:hAnsiTheme="minorEastAsia" w:eastAsiaTheme="minorEastAsia"/>
          <w:sz w:val="24"/>
          <w:lang w:eastAsia="zh-CN"/>
        </w:rPr>
        <w:t>获取电子竞争性磋商文件</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hint="eastAsia" w:asciiTheme="minorEastAsia" w:hAnsiTheme="minorEastAsia" w:eastAsiaTheme="minorEastAsia"/>
          <w:w w:val="105"/>
          <w:lang w:eastAsia="zh-CN"/>
        </w:rPr>
        <w:t>供应商使用 CA 数字证书或电子营业执照登录北京市政府采购电子交易平台获取电子竞争性磋商文件。</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hint="eastAsia" w:asciiTheme="minorEastAsia" w:hAnsiTheme="minorEastAsia" w:eastAsiaTheme="minorEastAsia"/>
          <w:w w:val="105"/>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w:t>
      </w:r>
      <w:r>
        <w:rPr>
          <w:rFonts w:asciiTheme="minorEastAsia" w:hAnsiTheme="minorEastAsia" w:eastAsiaTheme="minorEastAsia"/>
          <w:w w:val="105"/>
          <w:lang w:eastAsia="zh-CN"/>
        </w:rPr>
        <w:t>法提交相应包的电子响应文件。</w:t>
      </w:r>
    </w:p>
    <w:p>
      <w:pPr>
        <w:tabs>
          <w:tab w:val="left" w:pos="1041"/>
        </w:tabs>
        <w:spacing w:before="4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2.5</w:t>
      </w:r>
      <w:r>
        <w:rPr>
          <w:rFonts w:asciiTheme="minorEastAsia" w:hAnsiTheme="minorEastAsia" w:eastAsiaTheme="minorEastAsia"/>
          <w:sz w:val="24"/>
          <w:lang w:eastAsia="zh-CN"/>
        </w:rPr>
        <w:t>编制电子响应文件</w:t>
      </w:r>
    </w:p>
    <w:p>
      <w:pPr>
        <w:pStyle w:val="12"/>
        <w:spacing w:before="131" w:line="357" w:lineRule="auto"/>
        <w:ind w:left="121" w:right="112" w:firstLine="480"/>
        <w:rPr>
          <w:rFonts w:asciiTheme="minorEastAsia" w:hAnsiTheme="minorEastAsia" w:eastAsiaTheme="minorEastAsia"/>
          <w:sz w:val="16"/>
          <w:lang w:eastAsia="zh-CN"/>
        </w:rPr>
      </w:pPr>
      <w:r>
        <w:rPr>
          <w:rFonts w:asciiTheme="minorEastAsia" w:hAnsiTheme="minorEastAsia" w:eastAsiaTheme="minorEastAsia"/>
          <w:w w:val="105"/>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Theme="minorEastAsia" w:hAnsiTheme="minorEastAsia" w:eastAsiaTheme="minorEastAsia"/>
          <w:lang w:eastAsia="zh-CN"/>
        </w:rPr>
        <w:t>。</w:t>
      </w:r>
    </w:p>
    <w:p>
      <w:pPr>
        <w:tabs>
          <w:tab w:val="left" w:pos="1041"/>
        </w:tabs>
        <w:spacing w:before="43"/>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2.6</w:t>
      </w:r>
      <w:r>
        <w:rPr>
          <w:rFonts w:asciiTheme="minorEastAsia" w:hAnsiTheme="minorEastAsia" w:eastAsiaTheme="minorEastAsia"/>
          <w:sz w:val="24"/>
          <w:lang w:eastAsia="zh-CN"/>
        </w:rPr>
        <w:t>提交电子响应文件</w:t>
      </w:r>
    </w:p>
    <w:p>
      <w:pPr>
        <w:pStyle w:val="12"/>
        <w:spacing w:before="134" w:line="357" w:lineRule="auto"/>
        <w:ind w:left="121" w:right="230" w:firstLine="480"/>
        <w:rPr>
          <w:rFonts w:asciiTheme="minorEastAsia" w:hAnsiTheme="minorEastAsia" w:eastAsiaTheme="minorEastAsia"/>
          <w:lang w:eastAsia="zh-CN"/>
        </w:rPr>
      </w:pPr>
      <w:r>
        <w:rPr>
          <w:rFonts w:asciiTheme="minorEastAsia" w:hAnsiTheme="minorEastAsia" w:eastAsiaTheme="minorEastAsia"/>
          <w:lang w:eastAsia="zh-CN"/>
        </w:rPr>
        <w:t>供应商应于响应文件提交截止时间前在平台提交电子响应文件</w:t>
      </w:r>
      <w:r>
        <w:rPr>
          <w:rFonts w:asciiTheme="minorEastAsia" w:hAnsiTheme="minorEastAsia" w:eastAsiaTheme="minorEastAsia"/>
          <w:spacing w:val="-48"/>
          <w:lang w:eastAsia="zh-CN"/>
        </w:rPr>
        <w:t>，</w:t>
      </w:r>
      <w:r>
        <w:rPr>
          <w:rFonts w:asciiTheme="minorEastAsia" w:hAnsiTheme="minorEastAsia" w:eastAsiaTheme="minorEastAsia"/>
          <w:lang w:eastAsia="zh-CN"/>
        </w:rPr>
        <w:t>上传电子响应文件过程中请保持与互联网的连接畅通。</w:t>
      </w:r>
    </w:p>
    <w:p>
      <w:pPr>
        <w:tabs>
          <w:tab w:val="left" w:pos="1101"/>
        </w:tabs>
        <w:spacing w:before="3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2.7</w:t>
      </w:r>
      <w:r>
        <w:rPr>
          <w:rFonts w:asciiTheme="minorEastAsia" w:hAnsiTheme="minorEastAsia" w:eastAsiaTheme="minorEastAsia"/>
          <w:sz w:val="24"/>
          <w:lang w:eastAsia="zh-CN"/>
        </w:rPr>
        <w:t>开启响应文件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供应商于磋商文件规定的开启时间、在开启地点使用 CA 数字证书或电子营业执照登录北京市政府采购电子交易平台解密并开启响应文件。如因供应商问题，解密不成功，则响应无效。</w:t>
      </w:r>
    </w:p>
    <w:p>
      <w:pPr>
        <w:spacing w:line="360" w:lineRule="auto"/>
        <w:rPr>
          <w:sz w:val="24"/>
          <w:lang w:eastAsia="zh-CN"/>
        </w:rPr>
      </w:pPr>
      <w:r>
        <w:rPr>
          <w:rFonts w:hint="eastAsia"/>
          <w:sz w:val="24"/>
          <w:lang w:eastAsia="zh-CN"/>
        </w:rPr>
        <w:t>3、供应商须委派一名授权代表人，参加竞争性磋商的代表人须出示本人身份证（非法定代表人时还须提供与《响应文件》中一致的《法定代表人授权书》）</w:t>
      </w:r>
    </w:p>
    <w:p>
      <w:pPr>
        <w:spacing w:line="360" w:lineRule="auto"/>
        <w:rPr>
          <w:sz w:val="24"/>
          <w:lang w:eastAsia="zh-CN"/>
        </w:rPr>
      </w:pPr>
      <w:r>
        <w:rPr>
          <w:rFonts w:hint="eastAsia"/>
          <w:sz w:val="24"/>
          <w:lang w:eastAsia="zh-CN"/>
        </w:rPr>
        <w:t>4、公告媒体：本公告同时在中国政府采购网、北京市政府采购网发布。</w:t>
      </w:r>
      <w:bookmarkEnd w:id="15"/>
    </w:p>
    <w:p>
      <w:pPr>
        <w:pStyle w:val="5"/>
        <w:jc w:val="left"/>
        <w:rPr>
          <w:rFonts w:asciiTheme="minorEastAsia" w:hAnsiTheme="minorEastAsia" w:eastAsiaTheme="minorEastAsia"/>
          <w:b/>
          <w:lang w:eastAsia="zh-CN"/>
        </w:rPr>
      </w:pPr>
      <w:bookmarkStart w:id="16" w:name="_Toc164263448"/>
      <w:r>
        <w:rPr>
          <w:rFonts w:asciiTheme="minorEastAsia" w:hAnsiTheme="minorEastAsia" w:eastAsiaTheme="minorEastAsia"/>
          <w:b/>
          <w:lang w:eastAsia="zh-CN"/>
        </w:rPr>
        <w:t>八、对本次采购提出询问，请按以下方式联系。</w:t>
      </w:r>
      <w:bookmarkEnd w:id="16"/>
    </w:p>
    <w:p>
      <w:pPr>
        <w:spacing w:before="154"/>
        <w:ind w:left="841"/>
        <w:jc w:val="both"/>
        <w:rPr>
          <w:rFonts w:asciiTheme="minorEastAsia" w:hAnsiTheme="minorEastAsia" w:eastAsiaTheme="minorEastAsia"/>
          <w:sz w:val="24"/>
          <w:highlight w:val="none"/>
          <w:lang w:eastAsia="zh-CN"/>
        </w:rPr>
      </w:pPr>
      <w:r>
        <w:rPr>
          <w:rFonts w:asciiTheme="minorEastAsia" w:hAnsiTheme="minorEastAsia" w:eastAsiaTheme="minorEastAsia"/>
          <w:b/>
          <w:w w:val="105"/>
          <w:sz w:val="24"/>
          <w:lang w:eastAsia="zh-CN"/>
        </w:rPr>
        <w:t>1</w:t>
      </w:r>
      <w:r>
        <w:rPr>
          <w:rFonts w:asciiTheme="minorEastAsia" w:hAnsiTheme="minorEastAsia" w:eastAsiaTheme="minorEastAsia"/>
          <w:b/>
          <w:w w:val="105"/>
          <w:sz w:val="24"/>
          <w:highlight w:val="none"/>
          <w:lang w:eastAsia="zh-CN"/>
        </w:rPr>
        <w:t>.</w:t>
      </w:r>
      <w:r>
        <w:rPr>
          <w:rFonts w:asciiTheme="minorEastAsia" w:hAnsiTheme="minorEastAsia" w:eastAsiaTheme="minorEastAsia"/>
          <w:w w:val="105"/>
          <w:sz w:val="24"/>
          <w:highlight w:val="none"/>
          <w:lang w:eastAsia="zh-CN"/>
        </w:rPr>
        <w:t>采购人信息</w:t>
      </w:r>
    </w:p>
    <w:p>
      <w:pPr>
        <w:pStyle w:val="12"/>
        <w:tabs>
          <w:tab w:val="left" w:pos="3471"/>
        </w:tabs>
        <w:spacing w:before="132" w:line="357" w:lineRule="auto"/>
        <w:ind w:left="899" w:right="94"/>
        <w:jc w:val="both"/>
        <w:rPr>
          <w:rFonts w:asciiTheme="minorEastAsia" w:hAnsiTheme="minorEastAsia" w:eastAsiaTheme="minorEastAsia"/>
          <w:spacing w:val="-3"/>
          <w:highlight w:val="none"/>
          <w:u w:val="single"/>
          <w:lang w:eastAsia="zh-CN"/>
        </w:rPr>
      </w:pPr>
      <w:r>
        <w:rPr>
          <w:rFonts w:asciiTheme="minorEastAsia" w:hAnsiTheme="minorEastAsia" w:eastAsiaTheme="minorEastAsia"/>
          <w:highlight w:val="none"/>
          <w:lang w:eastAsia="zh-CN"/>
        </w:rPr>
        <w:t xml:space="preserve">名 </w:t>
      </w:r>
      <w:r>
        <w:rPr>
          <w:rFonts w:hint="eastAsia" w:asciiTheme="minorEastAsia" w:hAnsiTheme="minorEastAsia" w:eastAsiaTheme="minorEastAsia"/>
          <w:spacing w:val="118"/>
          <w:highlight w:val="none"/>
          <w:lang w:eastAsia="zh-CN"/>
        </w:rPr>
        <w:t xml:space="preserve"> </w:t>
      </w:r>
      <w:r>
        <w:rPr>
          <w:rFonts w:asciiTheme="minorEastAsia" w:hAnsiTheme="minorEastAsia" w:eastAsiaTheme="minorEastAsia"/>
          <w:highlight w:val="none"/>
          <w:lang w:eastAsia="zh-CN"/>
        </w:rPr>
        <w:t>称：</w:t>
      </w:r>
      <w:r>
        <w:rPr>
          <w:rFonts w:hint="eastAsia" w:asciiTheme="minorEastAsia" w:hAnsiTheme="minorEastAsia" w:eastAsiaTheme="minorEastAsia"/>
          <w:spacing w:val="-3"/>
          <w:highlight w:val="none"/>
          <w:u w:val="single"/>
          <w:lang w:eastAsia="zh-CN"/>
        </w:rPr>
        <w:t xml:space="preserve"> 北京市顺义区劳动服务管理中心   </w:t>
      </w:r>
    </w:p>
    <w:p>
      <w:pPr>
        <w:pStyle w:val="12"/>
        <w:tabs>
          <w:tab w:val="left" w:pos="3471"/>
        </w:tabs>
        <w:spacing w:before="132" w:line="357" w:lineRule="auto"/>
        <w:ind w:left="899" w:right="378"/>
        <w:jc w:val="both"/>
        <w:rPr>
          <w:rFonts w:asciiTheme="minorEastAsia" w:hAnsiTheme="minorEastAsia" w:eastAsiaTheme="minorEastAsia"/>
          <w:highlight w:val="none"/>
          <w:u w:val="single"/>
          <w:lang w:eastAsia="zh-CN"/>
        </w:rPr>
      </w:pPr>
      <w:r>
        <w:rPr>
          <w:rFonts w:asciiTheme="minorEastAsia" w:hAnsiTheme="minorEastAsia" w:eastAsiaTheme="minorEastAsia"/>
          <w:highlight w:val="none"/>
          <w:lang w:eastAsia="zh-CN"/>
        </w:rPr>
        <w:t xml:space="preserve">地 </w:t>
      </w:r>
      <w:r>
        <w:rPr>
          <w:rFonts w:hint="eastAsia" w:asciiTheme="minorEastAsia" w:hAnsiTheme="minorEastAsia" w:eastAsiaTheme="minorEastAsia"/>
          <w:highlight w:val="none"/>
          <w:lang w:eastAsia="zh-CN"/>
        </w:rPr>
        <w:t xml:space="preserve">  </w:t>
      </w:r>
      <w:r>
        <w:rPr>
          <w:rFonts w:asciiTheme="minorEastAsia" w:hAnsiTheme="minorEastAsia" w:eastAsiaTheme="minorEastAsia"/>
          <w:highlight w:val="none"/>
          <w:lang w:eastAsia="zh-CN"/>
        </w:rPr>
        <w:t xml:space="preserve"> 址：</w:t>
      </w:r>
      <w:r>
        <w:rPr>
          <w:rFonts w:asciiTheme="minorEastAsia" w:hAnsiTheme="minorEastAsia" w:eastAsiaTheme="minorEastAsia"/>
          <w:highlight w:val="none"/>
          <w:u w:val="single"/>
          <w:lang w:eastAsia="zh-CN"/>
        </w:rPr>
        <w:t xml:space="preserve"> </w:t>
      </w:r>
      <w:r>
        <w:rPr>
          <w:rFonts w:hint="eastAsia" w:asciiTheme="minorEastAsia" w:hAnsiTheme="minorEastAsia" w:eastAsiaTheme="minorEastAsia"/>
          <w:highlight w:val="none"/>
          <w:u w:val="single"/>
          <w:lang w:eastAsia="zh-CN"/>
        </w:rPr>
        <w:t>北京市顺义区</w:t>
      </w:r>
      <w:r>
        <w:rPr>
          <w:rFonts w:asciiTheme="minorEastAsia" w:hAnsiTheme="minorEastAsia" w:eastAsiaTheme="minorEastAsia"/>
          <w:highlight w:val="none"/>
          <w:u w:val="single"/>
          <w:lang w:eastAsia="zh-CN"/>
        </w:rPr>
        <w:t xml:space="preserve"> </w:t>
      </w:r>
    </w:p>
    <w:p>
      <w:pPr>
        <w:pStyle w:val="12"/>
        <w:tabs>
          <w:tab w:val="left" w:pos="3471"/>
        </w:tabs>
        <w:spacing w:before="132" w:line="357" w:lineRule="auto"/>
        <w:ind w:left="899" w:right="236"/>
        <w:jc w:val="both"/>
        <w:rPr>
          <w:rFonts w:hint="default" w:asciiTheme="minorEastAsia" w:hAnsiTheme="minorEastAsia" w:eastAsiaTheme="minorEastAsia"/>
          <w:highlight w:val="none"/>
          <w:lang w:val="en-US" w:eastAsia="zh-CN"/>
        </w:rPr>
      </w:pPr>
      <w:r>
        <w:rPr>
          <w:rFonts w:asciiTheme="minorEastAsia" w:hAnsiTheme="minorEastAsia" w:eastAsiaTheme="minorEastAsia"/>
          <w:highlight w:val="none"/>
          <w:lang w:eastAsia="zh-CN"/>
        </w:rPr>
        <w:t>联系方式：</w:t>
      </w:r>
      <w:r>
        <w:rPr>
          <w:rFonts w:hint="eastAsia" w:asciiTheme="minorEastAsia" w:hAnsiTheme="minorEastAsia" w:eastAsiaTheme="minorEastAsia"/>
          <w:highlight w:val="none"/>
          <w:u w:val="single"/>
          <w:lang w:val="en-US" w:eastAsia="zh-CN"/>
        </w:rPr>
        <w:t xml:space="preserve">  丁宇 /010-69443311</w:t>
      </w:r>
    </w:p>
    <w:p>
      <w:pPr>
        <w:pStyle w:val="12"/>
        <w:spacing w:before="36"/>
        <w:ind w:left="899"/>
        <w:jc w:val="both"/>
        <w:rPr>
          <w:rFonts w:asciiTheme="minorEastAsia" w:hAnsiTheme="minorEastAsia" w:eastAsiaTheme="minorEastAsia"/>
          <w:lang w:eastAsia="zh-CN"/>
        </w:rPr>
      </w:pPr>
      <w:r>
        <w:rPr>
          <w:rFonts w:asciiTheme="minorEastAsia" w:hAnsiTheme="minorEastAsia" w:eastAsiaTheme="minorEastAsia"/>
          <w:b/>
          <w:lang w:eastAsia="zh-CN"/>
        </w:rPr>
        <w:t>2.</w:t>
      </w:r>
      <w:r>
        <w:rPr>
          <w:rFonts w:asciiTheme="minorEastAsia" w:hAnsiTheme="minorEastAsia" w:eastAsiaTheme="minorEastAsia"/>
          <w:lang w:eastAsia="zh-CN"/>
        </w:rPr>
        <w:t>采购代理机构信息</w:t>
      </w:r>
    </w:p>
    <w:p>
      <w:pPr>
        <w:pStyle w:val="12"/>
        <w:tabs>
          <w:tab w:val="left" w:pos="3471"/>
        </w:tabs>
        <w:spacing w:before="132" w:line="357" w:lineRule="auto"/>
        <w:ind w:left="899" w:right="94"/>
        <w:jc w:val="both"/>
        <w:rPr>
          <w:rFonts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hint="eastAsia" w:asciiTheme="minorEastAsia" w:hAnsiTheme="minorEastAsia" w:eastAsiaTheme="minorEastAsia"/>
          <w:spacing w:val="-3"/>
          <w:u w:val="single"/>
          <w:lang w:eastAsia="zh-CN"/>
        </w:rPr>
        <w:t>北京招竣建设工程咨询有限公司</w:t>
      </w:r>
    </w:p>
    <w:p>
      <w:pPr>
        <w:pStyle w:val="12"/>
        <w:tabs>
          <w:tab w:val="left" w:pos="3471"/>
        </w:tabs>
        <w:spacing w:before="132" w:line="357" w:lineRule="auto"/>
        <w:ind w:left="899" w:right="378"/>
        <w:jc w:val="both"/>
        <w:rPr>
          <w:rFonts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bookmarkStart w:id="17" w:name="OLE_LINK7"/>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bookmarkEnd w:id="17"/>
    </w:p>
    <w:p>
      <w:pPr>
        <w:pStyle w:val="12"/>
        <w:tabs>
          <w:tab w:val="left" w:pos="3471"/>
        </w:tabs>
        <w:spacing w:before="132" w:line="357" w:lineRule="auto"/>
        <w:ind w:left="899" w:right="236"/>
        <w:jc w:val="both"/>
        <w:rPr>
          <w:rFonts w:asciiTheme="minorEastAsia" w:hAnsiTheme="minorEastAsia" w:eastAsiaTheme="minorEastAsia"/>
          <w:lang w:eastAsia="zh-CN"/>
        </w:rPr>
      </w:pPr>
      <w:r>
        <w:rPr>
          <w:rFonts w:asciiTheme="minorEastAsia" w:hAnsiTheme="minorEastAsia" w:eastAsiaTheme="minorEastAsia"/>
          <w:lang w:eastAsia="zh-CN"/>
        </w:rPr>
        <w:t>联系方式：</w:t>
      </w:r>
      <w:r>
        <w:rPr>
          <w:rFonts w:hint="eastAsia" w:asciiTheme="minorEastAsia" w:hAnsiTheme="minorEastAsia" w:eastAsiaTheme="minorEastAsia"/>
          <w:spacing w:val="-3"/>
          <w:u w:val="single"/>
          <w:lang w:eastAsia="zh-CN"/>
        </w:rPr>
        <w:t xml:space="preserve"> 西冠嘉 </w:t>
      </w:r>
      <w:r>
        <w:rPr>
          <w:rFonts w:asciiTheme="minorEastAsia" w:hAnsiTheme="minorEastAsia" w:eastAsiaTheme="minorEastAsia"/>
          <w:spacing w:val="-3"/>
          <w:u w:val="single"/>
          <w:lang w:eastAsia="zh-CN"/>
        </w:rPr>
        <w:t>/</w:t>
      </w:r>
      <w:r>
        <w:rPr>
          <w:rFonts w:hint="eastAsia" w:asciiTheme="minorEastAsia" w:hAnsiTheme="minorEastAsia" w:eastAsiaTheme="minorEastAsia"/>
          <w:spacing w:val="-3"/>
          <w:u w:val="single"/>
          <w:lang w:eastAsia="zh-CN"/>
        </w:rPr>
        <w:t xml:space="preserve">010-69409202 </w:t>
      </w:r>
    </w:p>
    <w:p>
      <w:pPr>
        <w:spacing w:before="34"/>
        <w:ind w:left="899"/>
        <w:jc w:val="both"/>
        <w:rPr>
          <w:rFonts w:asciiTheme="minorEastAsia" w:hAnsiTheme="minorEastAsia" w:eastAsiaTheme="minorEastAsia"/>
          <w:sz w:val="24"/>
          <w:lang w:eastAsia="zh-CN"/>
        </w:rPr>
      </w:pPr>
      <w:r>
        <w:rPr>
          <w:rFonts w:asciiTheme="minorEastAsia" w:hAnsiTheme="minorEastAsia" w:eastAsiaTheme="minorEastAsia"/>
          <w:b/>
          <w:w w:val="105"/>
          <w:sz w:val="24"/>
          <w:lang w:eastAsia="zh-CN"/>
        </w:rPr>
        <w:t>3.</w:t>
      </w:r>
      <w:r>
        <w:rPr>
          <w:rFonts w:asciiTheme="minorEastAsia" w:hAnsiTheme="minorEastAsia" w:eastAsiaTheme="minorEastAsia"/>
          <w:w w:val="105"/>
          <w:sz w:val="24"/>
          <w:lang w:eastAsia="zh-CN"/>
        </w:rPr>
        <w:t>项目联系方式</w:t>
      </w:r>
    </w:p>
    <w:p>
      <w:pPr>
        <w:pStyle w:val="12"/>
        <w:tabs>
          <w:tab w:val="left" w:pos="1859"/>
          <w:tab w:val="left" w:pos="3711"/>
        </w:tabs>
        <w:spacing w:before="132" w:line="357" w:lineRule="auto"/>
        <w:ind w:left="899" w:right="-48"/>
        <w:rPr>
          <w:rFonts w:asciiTheme="minorEastAsia" w:hAnsiTheme="minorEastAsia" w:eastAsiaTheme="minorEastAsia"/>
          <w:u w:val="single"/>
          <w:lang w:eastAsia="zh-CN"/>
        </w:rPr>
      </w:pPr>
      <w:r>
        <w:rPr>
          <w:rFonts w:asciiTheme="minorEastAsia" w:hAnsiTheme="minorEastAsia" w:eastAsiaTheme="minorEastAsia"/>
          <w:lang w:eastAsia="zh-CN"/>
        </w:rPr>
        <w:t>项目联系人：</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西冠嘉</w:t>
      </w:r>
      <w:r>
        <w:rPr>
          <w:rFonts w:hint="eastAsia" w:asciiTheme="minorEastAsia" w:hAnsiTheme="minorEastAsia" w:eastAsiaTheme="minorEastAsia"/>
          <w:u w:val="single"/>
          <w:lang w:eastAsia="zh-CN"/>
        </w:rPr>
        <w:t xml:space="preserve"> </w:t>
      </w:r>
    </w:p>
    <w:p>
      <w:pPr>
        <w:pStyle w:val="12"/>
        <w:tabs>
          <w:tab w:val="left" w:pos="1859"/>
          <w:tab w:val="left" w:pos="3711"/>
        </w:tabs>
        <w:spacing w:before="132" w:line="357" w:lineRule="auto"/>
        <w:ind w:left="899" w:right="519"/>
        <w:rPr>
          <w:rFonts w:asciiTheme="minorEastAsia" w:hAnsiTheme="minorEastAsia" w:eastAsiaTheme="minorEastAsia"/>
          <w:lang w:eastAsia="zh-CN"/>
        </w:rPr>
      </w:pPr>
      <w:r>
        <w:rPr>
          <w:rFonts w:asciiTheme="minorEastAsia" w:hAnsiTheme="minorEastAsia" w:eastAsiaTheme="minorEastAsia"/>
          <w:lang w:eastAsia="zh-CN"/>
        </w:rPr>
        <w:t>电话：</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010-69409202</w:t>
      </w:r>
      <w:r>
        <w:rPr>
          <w:rFonts w:hint="eastAsia" w:asciiTheme="minorEastAsia" w:hAnsiTheme="minorEastAsia" w:eastAsiaTheme="minorEastAsia"/>
          <w:u w:val="single"/>
          <w:lang w:eastAsia="zh-CN"/>
        </w:rPr>
        <w:t xml:space="preserve">  </w:t>
      </w:r>
    </w:p>
    <w:bookmarkEnd w:id="1"/>
    <w:p>
      <w:pPr>
        <w:spacing w:line="357" w:lineRule="auto"/>
        <w:rPr>
          <w:rFonts w:asciiTheme="minorEastAsia" w:hAnsiTheme="minorEastAsia" w:eastAsiaTheme="minorEastAsia"/>
          <w:lang w:eastAsia="zh-CN"/>
        </w:rPr>
      </w:pPr>
    </w:p>
    <w:p>
      <w:pPr>
        <w:spacing w:line="357" w:lineRule="auto"/>
        <w:rPr>
          <w:rFonts w:asciiTheme="minorEastAsia" w:hAnsiTheme="minorEastAsia" w:eastAsiaTheme="minorEastAsia"/>
          <w:lang w:eastAsia="zh-CN"/>
        </w:rPr>
        <w:sectPr>
          <w:footerReference r:id="rId4" w:type="default"/>
          <w:pgSz w:w="11910" w:h="16840"/>
          <w:pgMar w:top="1440" w:right="1093" w:bottom="1440" w:left="1797" w:header="879" w:footer="879" w:gutter="0"/>
          <w:pgNumType w:start="1"/>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18" w:name="_TOC_250004"/>
      <w:bookmarkEnd w:id="18"/>
      <w:bookmarkStart w:id="19" w:name="_Toc164263449"/>
      <w:r>
        <w:rPr>
          <w:rFonts w:asciiTheme="minorEastAsia" w:hAnsiTheme="minorEastAsia" w:eastAsiaTheme="minorEastAsia"/>
          <w:b/>
          <w:lang w:eastAsia="zh-CN"/>
        </w:rPr>
        <w:t>第二章供应商须知</w:t>
      </w:r>
      <w:bookmarkEnd w:id="19"/>
    </w:p>
    <w:p>
      <w:pPr>
        <w:pStyle w:val="5"/>
        <w:rPr>
          <w:rFonts w:asciiTheme="minorEastAsia" w:hAnsiTheme="minorEastAsia" w:eastAsiaTheme="minorEastAsia"/>
          <w:b/>
          <w:lang w:eastAsia="zh-CN"/>
        </w:rPr>
      </w:pPr>
      <w:bookmarkStart w:id="20" w:name="_Toc164263450"/>
      <w:r>
        <w:rPr>
          <w:rFonts w:asciiTheme="minorEastAsia" w:hAnsiTheme="minorEastAsia" w:eastAsiaTheme="minorEastAsia"/>
          <w:b/>
          <w:lang w:eastAsia="zh-CN"/>
        </w:rPr>
        <w:t>供应商须知资料表</w:t>
      </w:r>
      <w:bookmarkEnd w:id="20"/>
    </w:p>
    <w:p>
      <w:pPr>
        <w:pStyle w:val="12"/>
        <w:spacing w:after="20" w:line="360" w:lineRule="auto"/>
        <w:ind w:firstLine="480"/>
        <w:rPr>
          <w:rFonts w:asciiTheme="minorEastAsia" w:hAnsiTheme="minorEastAsia" w:eastAsiaTheme="minorEastAsia"/>
          <w:lang w:eastAsia="zh-CN"/>
        </w:rPr>
      </w:pPr>
      <w:r>
        <w:rPr>
          <w:rFonts w:asciiTheme="minorEastAsia" w:hAnsiTheme="minorEastAsia" w:eastAsiaTheme="minorEastAsia"/>
          <w:lang w:eastAsia="zh-CN"/>
        </w:rPr>
        <w:t>本表是对供应商须知的具体补</w:t>
      </w:r>
      <w:r>
        <w:rPr>
          <w:rFonts w:asciiTheme="minorEastAsia" w:hAnsiTheme="minorEastAsia" w:eastAsiaTheme="minorEastAsia"/>
          <w:spacing w:val="2"/>
          <w:lang w:eastAsia="zh-CN"/>
        </w:rPr>
        <w:t>充</w:t>
      </w:r>
      <w:r>
        <w:rPr>
          <w:rFonts w:asciiTheme="minorEastAsia" w:hAnsiTheme="minorEastAsia" w:eastAsiaTheme="minorEastAsia"/>
          <w:lang w:eastAsia="zh-CN"/>
        </w:rPr>
        <w:t>和修</w:t>
      </w:r>
      <w:r>
        <w:rPr>
          <w:rFonts w:asciiTheme="minorEastAsia" w:hAnsiTheme="minorEastAsia" w:eastAsiaTheme="minorEastAsia"/>
          <w:spacing w:val="-3"/>
          <w:lang w:eastAsia="zh-CN"/>
        </w:rPr>
        <w:t>改</w:t>
      </w:r>
      <w:r>
        <w:rPr>
          <w:rFonts w:asciiTheme="minorEastAsia" w:hAnsiTheme="minorEastAsia" w:eastAsiaTheme="minorEastAsia"/>
          <w:spacing w:val="-15"/>
          <w:lang w:eastAsia="zh-CN"/>
        </w:rPr>
        <w:t>，</w:t>
      </w:r>
      <w:r>
        <w:rPr>
          <w:rFonts w:asciiTheme="minorEastAsia" w:hAnsiTheme="minorEastAsia" w:eastAsiaTheme="minorEastAsia"/>
          <w:lang w:eastAsia="zh-CN"/>
        </w:rPr>
        <w:t>如有矛盾</w:t>
      </w:r>
      <w:r>
        <w:rPr>
          <w:rFonts w:asciiTheme="minorEastAsia" w:hAnsiTheme="minorEastAsia" w:eastAsiaTheme="minorEastAsia"/>
          <w:spacing w:val="-15"/>
          <w:lang w:eastAsia="zh-CN"/>
        </w:rPr>
        <w:t>，</w:t>
      </w:r>
      <w:r>
        <w:rPr>
          <w:rFonts w:asciiTheme="minorEastAsia" w:hAnsiTheme="minorEastAsia" w:eastAsiaTheme="minorEastAsia"/>
          <w:lang w:eastAsia="zh-CN"/>
        </w:rPr>
        <w:t>均以本资料表为准</w:t>
      </w:r>
      <w:r>
        <w:rPr>
          <w:rFonts w:asciiTheme="minorEastAsia" w:hAnsiTheme="minorEastAsia" w:eastAsiaTheme="minorEastAsia"/>
          <w:spacing w:val="-12"/>
          <w:lang w:eastAsia="zh-CN"/>
        </w:rPr>
        <w:t>。</w:t>
      </w:r>
      <w:r>
        <w:rPr>
          <w:rFonts w:asciiTheme="minorEastAsia" w:hAnsiTheme="minorEastAsia" w:eastAsiaTheme="minorEastAsia"/>
          <w:lang w:eastAsia="zh-CN"/>
        </w:rPr>
        <w:t>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hint="eastAsia" w:asciiTheme="minorEastAsia" w:hAnsiTheme="minorEastAsia" w:eastAsiaTheme="minorEastAsia"/>
          <w:w w:val="105"/>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的选项意为适用于本项目，标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asciiTheme="minorEastAsia" w:hAnsiTheme="minorEastAsia" w:eastAsiaTheme="minorEastAsia"/>
          <w:spacing w:val="1"/>
          <w:w w:val="101"/>
          <w:sz w:val="21"/>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的选项意为不适用于本项目。</w:t>
      </w:r>
    </w:p>
    <w:tbl>
      <w:tblPr>
        <w:tblStyle w:val="40"/>
        <w:tblW w:w="90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412"/>
        <w:gridCol w:w="6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4" w:hRule="exact"/>
        </w:trPr>
        <w:tc>
          <w:tcPr>
            <w:tcW w:w="1139" w:type="dxa"/>
            <w:vAlign w:val="center"/>
          </w:tcPr>
          <w:p>
            <w:pPr>
              <w:jc w:val="center"/>
              <w:rPr>
                <w:b/>
                <w:sz w:val="24"/>
                <w:szCs w:val="24"/>
              </w:rPr>
            </w:pPr>
            <w:r>
              <w:rPr>
                <w:b/>
                <w:sz w:val="24"/>
                <w:szCs w:val="24"/>
              </w:rPr>
              <w:t>条款号</w:t>
            </w:r>
          </w:p>
        </w:tc>
        <w:tc>
          <w:tcPr>
            <w:tcW w:w="1412" w:type="dxa"/>
            <w:vAlign w:val="center"/>
          </w:tcPr>
          <w:p>
            <w:pPr>
              <w:jc w:val="center"/>
              <w:rPr>
                <w:b/>
                <w:sz w:val="24"/>
                <w:szCs w:val="24"/>
              </w:rPr>
            </w:pPr>
            <w:r>
              <w:rPr>
                <w:b/>
                <w:sz w:val="24"/>
                <w:szCs w:val="24"/>
              </w:rPr>
              <w:t>条目</w:t>
            </w:r>
          </w:p>
        </w:tc>
        <w:tc>
          <w:tcPr>
            <w:tcW w:w="6462" w:type="dxa"/>
            <w:vAlign w:val="center"/>
          </w:tcPr>
          <w:p>
            <w:pPr>
              <w:jc w:val="center"/>
              <w:rPr>
                <w:b/>
                <w:sz w:val="24"/>
                <w:szCs w:val="24"/>
              </w:rPr>
            </w:pPr>
            <w:r>
              <w:rPr>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2.2</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6462" w:type="dxa"/>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项目属性：</w:t>
            </w:r>
          </w:p>
          <w:p>
            <w:pPr>
              <w:pStyle w:val="39"/>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服务</w:t>
            </w:r>
          </w:p>
          <w:p>
            <w:pPr>
              <w:pStyle w:val="39"/>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货物</w:t>
            </w:r>
          </w:p>
          <w:p>
            <w:pPr>
              <w:pStyle w:val="39"/>
              <w:ind w:left="102"/>
              <w:jc w:val="both"/>
              <w:rPr>
                <w:rFonts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szCs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6462" w:type="dxa"/>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是否属于科研仪器设备采购项目：</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w:t>
            </w:r>
          </w:p>
          <w:p>
            <w:pPr>
              <w:pStyle w:val="39"/>
              <w:ind w:left="102"/>
              <w:jc w:val="both"/>
              <w:rPr>
                <w:rFonts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Merge w:val="restart"/>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3.1</w:t>
            </w:r>
          </w:p>
        </w:tc>
        <w:tc>
          <w:tcPr>
            <w:tcW w:w="1412" w:type="dxa"/>
            <w:vAlign w:val="center"/>
          </w:tcPr>
          <w:p>
            <w:pPr>
              <w:pStyle w:val="39"/>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6462" w:type="dxa"/>
            <w:tcBorders>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不组织</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□组织，考察时间：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9"/>
              <w:ind w:left="102"/>
              <w:jc w:val="both"/>
              <w:rPr>
                <w:rFonts w:asciiTheme="minorEastAsia" w:hAnsiTheme="minorEastAsia" w:eastAsiaTheme="minorEastAsia"/>
                <w:sz w:val="24"/>
              </w:rPr>
            </w:pPr>
            <w:r>
              <w:rPr>
                <w:rFonts w:asciiTheme="minorEastAsia" w:hAnsiTheme="minorEastAsia" w:eastAsiaTheme="minorEastAsia"/>
                <w:sz w:val="24"/>
                <w:lang w:eastAsia="zh-CN"/>
              </w:rPr>
              <w:t>考察地点：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Merge w:val="continue"/>
            <w:vAlign w:val="center"/>
          </w:tcPr>
          <w:p>
            <w:pPr>
              <w:pStyle w:val="39"/>
              <w:spacing w:before="126"/>
              <w:ind w:left="86" w:right="86"/>
              <w:jc w:val="center"/>
              <w:rPr>
                <w:rFonts w:asciiTheme="minorEastAsia" w:hAnsiTheme="minorEastAsia" w:eastAsiaTheme="minorEastAsia"/>
                <w:sz w:val="24"/>
              </w:rPr>
            </w:pP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磋商前答疑会</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不召开</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□召开，召开时间：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9"/>
              <w:ind w:left="102"/>
              <w:jc w:val="both"/>
              <w:rPr>
                <w:rFonts w:asciiTheme="minorEastAsia" w:hAnsiTheme="minorEastAsia" w:eastAsiaTheme="minorEastAsia"/>
                <w:sz w:val="24"/>
              </w:rPr>
            </w:pPr>
            <w:r>
              <w:rPr>
                <w:rFonts w:asciiTheme="minorEastAsia" w:hAnsiTheme="minorEastAsia" w:eastAsiaTheme="minorEastAsia"/>
                <w:sz w:val="24"/>
                <w:lang w:eastAsia="zh-CN"/>
              </w:rPr>
              <w:t>召开地点：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4.1.2</w:t>
            </w:r>
          </w:p>
        </w:tc>
        <w:tc>
          <w:tcPr>
            <w:tcW w:w="1412" w:type="dxa"/>
            <w:vAlign w:val="center"/>
          </w:tcPr>
          <w:p>
            <w:pPr>
              <w:pStyle w:val="39"/>
              <w:ind w:left="105" w:right="105"/>
              <w:jc w:val="center"/>
              <w:rPr>
                <w:rFonts w:asciiTheme="minorEastAsia" w:hAnsiTheme="minorEastAsia" w:eastAsiaTheme="minorEastAsia"/>
                <w:sz w:val="24"/>
                <w:lang w:eastAsia="zh-CN"/>
              </w:rPr>
            </w:pPr>
            <w:r>
              <w:rPr>
                <w:sz w:val="24"/>
                <w:lang w:eastAsia="zh-CN"/>
              </w:rPr>
              <w:t>本项目是否接受进口产品</w:t>
            </w:r>
          </w:p>
        </w:tc>
        <w:tc>
          <w:tcPr>
            <w:tcW w:w="6462" w:type="dxa"/>
            <w:tcBorders>
              <w:top w:val="single" w:color="000000" w:sz="6" w:space="0"/>
              <w:bottom w:val="single" w:color="000000" w:sz="6" w:space="0"/>
            </w:tcBorders>
            <w:vAlign w:val="center"/>
          </w:tcPr>
          <w:p>
            <w:pPr>
              <w:rPr>
                <w:sz w:val="24"/>
              </w:rPr>
            </w:pPr>
            <w:r>
              <w:rPr>
                <w:sz w:val="24"/>
              </w:rPr>
              <w:t>□</w:t>
            </w:r>
            <w:r>
              <w:rPr>
                <w:rFonts w:hint="eastAsia"/>
                <w:sz w:val="24"/>
              </w:rPr>
              <w:t xml:space="preserve"> 是</w:t>
            </w:r>
          </w:p>
          <w:p>
            <w:pPr>
              <w:rPr>
                <w:rFonts w:asciiTheme="minorEastAsia" w:hAnsiTheme="minorEastAsia" w:eastAsiaTheme="minorEastAsia"/>
                <w:w w:val="105"/>
                <w:lang w:eastAsia="zh-CN"/>
              </w:rPr>
            </w:pPr>
            <w:r>
              <w:rPr>
                <w:rFonts w:hint="eastAsia"/>
                <w:sz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0"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4.2.5</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6462" w:type="dxa"/>
            <w:tcBorders>
              <w:top w:val="single" w:color="000000" w:sz="6" w:space="0"/>
            </w:tcBorders>
            <w:vAlign w:val="center"/>
          </w:tcPr>
          <w:tbl>
            <w:tblPr>
              <w:tblStyle w:val="26"/>
              <w:tblpPr w:leftFromText="180" w:rightFromText="180" w:vertAnchor="page" w:horzAnchor="page" w:tblpX="50" w:tblpY="424"/>
              <w:tblOverlap w:val="never"/>
              <w:tblW w:w="6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89"/>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包号</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sz w:val="24"/>
                      <w:lang w:eastAsia="zh-CN"/>
                    </w:rPr>
                    <w:t>标的名称</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sz w:val="24"/>
                      <w:lang w:eastAsia="zh-CN"/>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1</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实行社区管理退休人员服务经费</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建筑业</w:t>
                  </w:r>
                </w:p>
              </w:tc>
            </w:tr>
          </w:tbl>
          <w:p>
            <w:pPr>
              <w:rPr>
                <w:rFonts w:asciiTheme="minorEastAsia" w:hAnsiTheme="minorEastAsia" w:eastAsiaTheme="minorEastAsia"/>
                <w:sz w:val="24"/>
                <w:lang w:eastAsia="zh-CN"/>
              </w:rPr>
            </w:pPr>
            <w:r>
              <w:rPr>
                <w:sz w:val="24"/>
                <w:lang w:eastAsia="zh-CN"/>
              </w:rPr>
              <w:t>本项目采购标的对应的中小企业划分标准所属行业：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10.2</w:t>
            </w:r>
          </w:p>
        </w:tc>
        <w:tc>
          <w:tcPr>
            <w:tcW w:w="1412" w:type="dxa"/>
            <w:vAlign w:val="center"/>
          </w:tcPr>
          <w:p>
            <w:pPr>
              <w:pStyle w:val="39"/>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报价</w:t>
            </w:r>
          </w:p>
        </w:tc>
        <w:tc>
          <w:tcPr>
            <w:tcW w:w="6462" w:type="dxa"/>
            <w:tcBorders>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报价的特殊规定：</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无</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4"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11.1</w:t>
            </w:r>
          </w:p>
        </w:tc>
        <w:tc>
          <w:tcPr>
            <w:tcW w:w="1412" w:type="dxa"/>
            <w:vMerge w:val="restart"/>
            <w:vAlign w:val="center"/>
          </w:tcPr>
          <w:p>
            <w:pPr>
              <w:pStyle w:val="39"/>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39"/>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（本项目不适用）</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磋商保证金金额：</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01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磋商保证金收受人信息：</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11.7.5</w:t>
            </w:r>
          </w:p>
        </w:tc>
        <w:tc>
          <w:tcPr>
            <w:tcW w:w="1412" w:type="dxa"/>
            <w:vMerge w:val="continue"/>
            <w:vAlign w:val="center"/>
          </w:tcPr>
          <w:p>
            <w:pPr>
              <w:jc w:val="center"/>
              <w:rPr>
                <w:rFonts w:asciiTheme="minorEastAsia" w:hAnsiTheme="minorEastAsia" w:eastAsiaTheme="minorEastAsia"/>
              </w:rPr>
            </w:pP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磋商保证金不予退还的其他情形：</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□无</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12.1</w:t>
            </w:r>
          </w:p>
        </w:tc>
        <w:tc>
          <w:tcPr>
            <w:tcW w:w="1412" w:type="dxa"/>
            <w:vAlign w:val="center"/>
          </w:tcPr>
          <w:p>
            <w:pPr>
              <w:pStyle w:val="39"/>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响应有</w:t>
            </w:r>
          </w:p>
          <w:p>
            <w:pPr>
              <w:pStyle w:val="39"/>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效期</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自响应文件提交截止之日起算</w:t>
            </w:r>
            <w:r>
              <w:rPr>
                <w:rFonts w:hint="eastAsia" w:asciiTheme="minorEastAsia" w:hAnsiTheme="minorEastAsia" w:eastAsiaTheme="minorEastAsia"/>
                <w:b/>
                <w:sz w:val="24"/>
                <w:u w:val="single"/>
                <w:lang w:eastAsia="zh-CN"/>
              </w:rPr>
              <w:t>90</w:t>
            </w:r>
            <w:r>
              <w:rPr>
                <w:rFonts w:asciiTheme="minorEastAsia" w:hAnsiTheme="minorEastAsia" w:eastAsiaTheme="minorEastAsia"/>
                <w:sz w:val="24"/>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3"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14.1</w:t>
            </w:r>
          </w:p>
        </w:tc>
        <w:tc>
          <w:tcPr>
            <w:tcW w:w="1412" w:type="dxa"/>
            <w:vAlign w:val="center"/>
          </w:tcPr>
          <w:p>
            <w:pPr>
              <w:pStyle w:val="39"/>
              <w:spacing w:before="1"/>
              <w:ind w:left="105" w:right="105"/>
              <w:jc w:val="center"/>
              <w:rPr>
                <w:rFonts w:asciiTheme="minorEastAsia" w:hAnsiTheme="minorEastAsia" w:eastAsiaTheme="minorEastAsia"/>
                <w:sz w:val="24"/>
              </w:rPr>
            </w:pPr>
            <w:r>
              <w:rPr>
                <w:rFonts w:hint="eastAsia" w:asciiTheme="minorEastAsia" w:hAnsiTheme="minorEastAsia" w:eastAsiaTheme="minorEastAsia"/>
                <w:sz w:val="24"/>
                <w:lang w:eastAsia="zh-CN"/>
              </w:rPr>
              <w:t>响应文件的提交</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如果多个采购包项目，投标人应针对每个采购包单独制作</w:t>
            </w:r>
            <w:r>
              <w:rPr>
                <w:rFonts w:asciiTheme="minorEastAsia" w:hAnsiTheme="minorEastAsia" w:eastAsiaTheme="minorEastAsia"/>
                <w:sz w:val="24"/>
                <w:lang w:eastAsia="zh-CN"/>
              </w:rPr>
              <w:t>响应文件。</w:t>
            </w:r>
          </w:p>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2、电子版</w:t>
            </w:r>
            <w:r>
              <w:rPr>
                <w:rFonts w:hint="eastAsia" w:asciiTheme="minorEastAsia" w:hAnsiTheme="minorEastAsia" w:eastAsiaTheme="minorEastAsia"/>
                <w:sz w:val="24"/>
                <w:lang w:eastAsia="zh-CN"/>
              </w:rPr>
              <w:t>响应文件上传至北京市政府采购电子交易平台。</w:t>
            </w:r>
          </w:p>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每个采购包的</w:t>
            </w:r>
            <w:r>
              <w:rPr>
                <w:rFonts w:asciiTheme="minorEastAsia" w:hAnsiTheme="minorEastAsia" w:eastAsiaTheme="minorEastAsia"/>
                <w:sz w:val="24"/>
                <w:lang w:eastAsia="zh-CN"/>
              </w:rPr>
              <w:t>纸质版响应文件</w:t>
            </w:r>
            <w:r>
              <w:rPr>
                <w:rFonts w:hint="eastAsia" w:asciiTheme="minorEastAsia" w:hAnsiTheme="minorEastAsia" w:eastAsiaTheme="minorEastAsia"/>
                <w:sz w:val="24"/>
                <w:lang w:eastAsia="zh-CN"/>
              </w:rPr>
              <w:t>正本</w:t>
            </w:r>
            <w:r>
              <w:rPr>
                <w:rFonts w:hint="eastAsia" w:asciiTheme="minorEastAsia" w:hAnsiTheme="minorEastAsia" w:eastAsiaTheme="minorEastAsia"/>
                <w:b/>
                <w:sz w:val="24"/>
                <w:u w:val="single"/>
                <w:lang w:eastAsia="zh-CN"/>
              </w:rPr>
              <w:t>1份</w:t>
            </w:r>
            <w:r>
              <w:rPr>
                <w:rFonts w:asciiTheme="minorEastAsia" w:hAnsiTheme="minorEastAsia" w:eastAsiaTheme="minorEastAsia"/>
                <w:sz w:val="24"/>
                <w:lang w:eastAsia="zh-CN"/>
              </w:rPr>
              <w:t>递交至</w:t>
            </w:r>
            <w:r>
              <w:rPr>
                <w:rFonts w:hint="eastAsia" w:asciiTheme="minorEastAsia" w:hAnsiTheme="minorEastAsia" w:eastAsiaTheme="minorEastAsia"/>
                <w:sz w:val="24"/>
                <w:lang w:eastAsia="zh-CN"/>
              </w:rPr>
              <w:t>磋商</w:t>
            </w:r>
            <w:r>
              <w:rPr>
                <w:rFonts w:asciiTheme="minorEastAsia" w:hAnsiTheme="minorEastAsia" w:eastAsiaTheme="minorEastAsia"/>
                <w:sz w:val="24"/>
                <w:lang w:eastAsia="zh-CN"/>
              </w:rPr>
              <w:t>现场。</w:t>
            </w:r>
          </w:p>
          <w:p>
            <w:pPr>
              <w:pStyle w:val="39"/>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asciiTheme="minorEastAsia" w:hAnsiTheme="minorEastAsia" w:eastAsiaTheme="minorEastAsia"/>
                <w:sz w:val="24"/>
                <w:lang w:eastAsia="zh-CN"/>
              </w:rPr>
              <w:t>、</w:t>
            </w:r>
            <w:r>
              <w:rPr>
                <w:rFonts w:hint="eastAsia"/>
                <w:sz w:val="24"/>
                <w:lang w:eastAsia="zh-CN"/>
              </w:rPr>
              <w:t>评审时以上传至</w:t>
            </w:r>
            <w:r>
              <w:rPr>
                <w:rFonts w:hint="eastAsia" w:asciiTheme="minorEastAsia" w:hAnsiTheme="minorEastAsia" w:eastAsiaTheme="minorEastAsia"/>
                <w:sz w:val="24"/>
                <w:lang w:eastAsia="zh-CN"/>
              </w:rPr>
              <w:t>系统</w:t>
            </w:r>
            <w:r>
              <w:rPr>
                <w:rFonts w:hint="eastAsia"/>
                <w:sz w:val="24"/>
                <w:lang w:eastAsia="zh-CN"/>
              </w:rPr>
              <w:t>的电子版响应文件为依据。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2"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17.2</w:t>
            </w:r>
          </w:p>
        </w:tc>
        <w:tc>
          <w:tcPr>
            <w:tcW w:w="1412" w:type="dxa"/>
            <w:vAlign w:val="center"/>
          </w:tcPr>
          <w:p>
            <w:pPr>
              <w:pStyle w:val="39"/>
              <w:spacing w:before="1"/>
              <w:ind w:left="105" w:right="105"/>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w:t>
            </w:r>
            <w:r>
              <w:rPr>
                <w:rFonts w:hint="eastAsia"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lang w:eastAsia="zh-CN"/>
              </w:rPr>
              <w:t xml:space="preserve">0 </w:t>
            </w:r>
            <w:r>
              <w:rPr>
                <w:rFonts w:hint="eastAsia" w:asciiTheme="minorEastAsia" w:hAnsiTheme="minorEastAsia" w:eastAsiaTheme="minorEastAsia"/>
                <w:sz w:val="24"/>
                <w:lang w:eastAsia="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9"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20.1</w:t>
            </w:r>
          </w:p>
        </w:tc>
        <w:tc>
          <w:tcPr>
            <w:tcW w:w="1412" w:type="dxa"/>
            <w:vAlign w:val="center"/>
          </w:tcPr>
          <w:p>
            <w:pPr>
              <w:pStyle w:val="39"/>
              <w:spacing w:before="1"/>
              <w:ind w:left="105" w:right="105"/>
              <w:jc w:val="center"/>
            </w:pPr>
            <w:r>
              <w:rPr>
                <w:rFonts w:asciiTheme="minorEastAsia" w:hAnsiTheme="minorEastAsia" w:eastAsiaTheme="minorEastAsia"/>
                <w:sz w:val="24"/>
              </w:rPr>
              <w:t>确定成交供应商</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采购人是否授权磋商小组直接确定成交供应商：</w:t>
            </w:r>
          </w:p>
          <w:p>
            <w:pPr>
              <w:pStyle w:val="39"/>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否</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是</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成交候选人并列的，按照以下方式确定成交供应商：</w:t>
            </w:r>
            <w:r>
              <w:rPr>
                <w:rFonts w:hint="eastAsia" w:asciiTheme="minorEastAsia" w:hAnsiTheme="minorEastAsia" w:eastAsiaTheme="minorEastAsia"/>
                <w:sz w:val="24"/>
                <w:lang w:eastAsia="zh-CN"/>
              </w:rPr>
              <w:t>按照第三章6.1条款确定。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23.5</w:t>
            </w:r>
          </w:p>
        </w:tc>
        <w:tc>
          <w:tcPr>
            <w:tcW w:w="1412" w:type="dxa"/>
            <w:vAlign w:val="center"/>
          </w:tcPr>
          <w:p>
            <w:pPr>
              <w:pStyle w:val="39"/>
              <w:spacing w:line="276" w:lineRule="exact"/>
              <w:ind w:left="105" w:right="105"/>
              <w:jc w:val="center"/>
              <w:rPr>
                <w:rFonts w:asciiTheme="minorEastAsia" w:hAnsiTheme="minorEastAsia" w:eastAsiaTheme="minorEastAsia"/>
                <w:sz w:val="24"/>
              </w:rPr>
            </w:pPr>
            <w:r>
              <w:rPr>
                <w:rFonts w:asciiTheme="minorEastAsia" w:hAnsiTheme="minorEastAsia" w:eastAsiaTheme="minorEastAsia"/>
                <w:sz w:val="24"/>
              </w:rPr>
              <w:t>分包</w:t>
            </w:r>
          </w:p>
        </w:tc>
        <w:tc>
          <w:tcPr>
            <w:tcW w:w="6462" w:type="dxa"/>
            <w:tcBorders>
              <w:top w:val="single" w:color="000000" w:sz="6" w:space="0"/>
            </w:tcBorders>
            <w:vAlign w:val="center"/>
          </w:tcPr>
          <w:p>
            <w:pPr>
              <w:rPr>
                <w:sz w:val="24"/>
                <w:szCs w:val="24"/>
                <w:lang w:eastAsia="zh-CN"/>
              </w:rPr>
            </w:pPr>
            <w:r>
              <w:rPr>
                <w:sz w:val="24"/>
                <w:szCs w:val="24"/>
                <w:lang w:eastAsia="zh-CN"/>
              </w:rPr>
              <w:t xml:space="preserve">本项目是否允许分包： </w:t>
            </w:r>
          </w:p>
          <w:p>
            <w:pPr>
              <w:rPr>
                <w:sz w:val="24"/>
                <w:szCs w:val="24"/>
                <w:lang w:eastAsia="zh-CN"/>
              </w:rPr>
            </w:pPr>
            <w:r>
              <w:rPr>
                <w:rFonts w:hint="eastAsia"/>
                <w:sz w:val="24"/>
                <w:szCs w:val="24"/>
                <w:lang w:eastAsia="zh-CN"/>
              </w:rPr>
              <w:t>■</w:t>
            </w:r>
            <w:r>
              <w:rPr>
                <w:sz w:val="24"/>
                <w:szCs w:val="24"/>
                <w:lang w:eastAsia="zh-CN"/>
              </w:rPr>
              <w:t>不允许</w:t>
            </w:r>
          </w:p>
          <w:p>
            <w:pPr>
              <w:rPr>
                <w:sz w:val="24"/>
                <w:szCs w:val="24"/>
                <w:lang w:eastAsia="zh-CN"/>
              </w:rPr>
            </w:pPr>
            <w:r>
              <w:rPr>
                <w:rFonts w:hint="eastAsia" w:asciiTheme="minorEastAsia" w:hAnsiTheme="minorEastAsia" w:eastAsiaTheme="minorEastAsia"/>
                <w:sz w:val="24"/>
                <w:lang w:eastAsia="zh-CN"/>
              </w:rPr>
              <w:t>□</w:t>
            </w:r>
            <w:r>
              <w:rPr>
                <w:sz w:val="24"/>
                <w:szCs w:val="24"/>
                <w:highlight w:val="none"/>
                <w:lang w:eastAsia="zh-CN"/>
              </w:rPr>
              <w:t>允许，具体要求</w:t>
            </w:r>
            <w:r>
              <w:rPr>
                <w:sz w:val="24"/>
                <w:szCs w:val="24"/>
                <w:lang w:eastAsia="zh-CN"/>
              </w:rPr>
              <w:t>：_______。</w:t>
            </w:r>
          </w:p>
          <w:p>
            <w:pPr>
              <w:rPr>
                <w:sz w:val="24"/>
                <w:szCs w:val="24"/>
                <w:lang w:eastAsia="zh-CN"/>
              </w:rPr>
            </w:pPr>
            <w:r>
              <w:rPr>
                <w:sz w:val="24"/>
                <w:szCs w:val="24"/>
                <w:lang w:eastAsia="zh-CN"/>
              </w:rPr>
              <w:t>（1）可以分包履行的具体内容：</w:t>
            </w:r>
            <w:r>
              <w:rPr>
                <w:rFonts w:hint="eastAsia"/>
                <w:sz w:val="24"/>
                <w:u w:val="single"/>
                <w:lang w:eastAsia="zh-CN"/>
              </w:rPr>
              <w:t>以实际发生为准</w:t>
            </w:r>
            <w:r>
              <w:rPr>
                <w:sz w:val="24"/>
                <w:szCs w:val="24"/>
                <w:lang w:eastAsia="zh-CN"/>
              </w:rPr>
              <w:t>；</w:t>
            </w:r>
          </w:p>
          <w:p>
            <w:pPr>
              <w:rPr>
                <w:sz w:val="24"/>
                <w:szCs w:val="24"/>
                <w:u w:val="single"/>
                <w:lang w:eastAsia="zh-CN"/>
              </w:rPr>
            </w:pPr>
            <w:r>
              <w:rPr>
                <w:sz w:val="24"/>
                <w:szCs w:val="24"/>
                <w:lang w:eastAsia="zh-CN"/>
              </w:rPr>
              <w:t>（2）允许分包的金额或者比例：</w:t>
            </w:r>
            <w:r>
              <w:rPr>
                <w:rFonts w:hint="eastAsia"/>
                <w:sz w:val="24"/>
                <w:szCs w:val="24"/>
                <w:u w:val="single"/>
                <w:lang w:val="en-US" w:eastAsia="zh-CN"/>
              </w:rPr>
              <w:t>/</w:t>
            </w:r>
          </w:p>
          <w:p>
            <w:pPr>
              <w:pStyle w:val="39"/>
              <w:tabs>
                <w:tab w:val="left" w:pos="2774"/>
              </w:tabs>
              <w:spacing w:line="366" w:lineRule="exact"/>
              <w:rPr>
                <w:rFonts w:asciiTheme="minorEastAsia" w:hAnsiTheme="minorEastAsia" w:eastAsiaTheme="minorEastAsia"/>
                <w:sz w:val="24"/>
                <w:lang w:eastAsia="zh-CN"/>
              </w:rPr>
            </w:pPr>
            <w:r>
              <w:rPr>
                <w:sz w:val="24"/>
                <w:szCs w:val="24"/>
                <w:lang w:eastAsia="zh-CN"/>
              </w:rPr>
              <w:t>（3）其他要求：</w:t>
            </w:r>
            <w:r>
              <w:rPr>
                <w:rFonts w:hint="eastAsia"/>
                <w:sz w:val="24"/>
                <w:u w:val="single"/>
                <w:lang w:eastAsia="zh-CN"/>
              </w:rPr>
              <w:t>拟分包的金额不得低于上述金额</w:t>
            </w:r>
            <w:r>
              <w:rPr>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6" w:hRule="exact"/>
        </w:trPr>
        <w:tc>
          <w:tcPr>
            <w:tcW w:w="1139" w:type="dxa"/>
            <w:vAlign w:val="center"/>
          </w:tcPr>
          <w:p>
            <w:pPr>
              <w:pStyle w:val="39"/>
              <w:spacing w:line="352" w:lineRule="exact"/>
              <w:ind w:left="88"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23.6</w:t>
            </w:r>
          </w:p>
        </w:tc>
        <w:tc>
          <w:tcPr>
            <w:tcW w:w="1412" w:type="dxa"/>
            <w:vAlign w:val="center"/>
          </w:tcPr>
          <w:p>
            <w:pPr>
              <w:pStyle w:val="39"/>
              <w:spacing w:line="278" w:lineRule="exact"/>
              <w:ind w:left="105" w:right="105"/>
              <w:jc w:val="center"/>
              <w:rPr>
                <w:rFonts w:asciiTheme="minorEastAsia" w:hAnsiTheme="minorEastAsia" w:eastAsiaTheme="minorEastAsia"/>
                <w:sz w:val="24"/>
              </w:rPr>
            </w:pPr>
            <w:r>
              <w:rPr>
                <w:rFonts w:hint="eastAsia" w:asciiTheme="minorEastAsia" w:hAnsiTheme="minorEastAsia" w:eastAsiaTheme="minorEastAsia"/>
                <w:sz w:val="24"/>
              </w:rPr>
              <w:t>政采贷</w:t>
            </w:r>
          </w:p>
        </w:tc>
        <w:tc>
          <w:tcPr>
            <w:tcW w:w="6462" w:type="dxa"/>
            <w:tcBorders>
              <w:top w:val="single" w:color="000000" w:sz="6" w:space="0"/>
              <w:bottom w:val="single" w:color="000000" w:sz="6" w:space="0"/>
            </w:tcBorders>
            <w:vAlign w:val="center"/>
          </w:tcPr>
          <w:p>
            <w:pPr>
              <w:pStyle w:val="39"/>
              <w:tabs>
                <w:tab w:val="left" w:pos="2623"/>
              </w:tabs>
              <w:spacing w:line="275" w:lineRule="exact"/>
              <w:ind w:left="103"/>
              <w:jc w:val="both"/>
              <w:rPr>
                <w:sz w:val="24"/>
                <w:lang w:eastAsia="zh-CN"/>
              </w:rPr>
            </w:pPr>
            <w:r>
              <w:rPr>
                <w:rFonts w:hint="eastAsia"/>
                <w:sz w:val="24"/>
                <w:lang w:eastAsia="zh-CN"/>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1139" w:type="dxa"/>
            <w:vAlign w:val="center"/>
          </w:tcPr>
          <w:p>
            <w:pPr>
              <w:pStyle w:val="39"/>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24.1.1</w:t>
            </w:r>
          </w:p>
        </w:tc>
        <w:tc>
          <w:tcPr>
            <w:tcW w:w="1412" w:type="dxa"/>
            <w:vAlign w:val="center"/>
          </w:tcPr>
          <w:p>
            <w:pPr>
              <w:pStyle w:val="39"/>
              <w:spacing w:line="278" w:lineRule="exact"/>
              <w:ind w:left="105" w:right="105"/>
              <w:jc w:val="center"/>
              <w:rPr>
                <w:rFonts w:asciiTheme="minorEastAsia" w:hAnsiTheme="minorEastAsia" w:eastAsiaTheme="minorEastAsia"/>
                <w:sz w:val="24"/>
              </w:rPr>
            </w:pPr>
            <w:r>
              <w:rPr>
                <w:rFonts w:asciiTheme="minorEastAsia" w:hAnsiTheme="minorEastAsia" w:eastAsiaTheme="minorEastAsia"/>
                <w:sz w:val="24"/>
              </w:rPr>
              <w:t>询问</w:t>
            </w:r>
          </w:p>
        </w:tc>
        <w:tc>
          <w:tcPr>
            <w:tcW w:w="6462" w:type="dxa"/>
            <w:tcBorders>
              <w:top w:val="single" w:color="000000" w:sz="6" w:space="0"/>
              <w:bottom w:val="single" w:color="000000" w:sz="6" w:space="0"/>
            </w:tcBorders>
            <w:vAlign w:val="center"/>
          </w:tcPr>
          <w:p>
            <w:pPr>
              <w:pStyle w:val="39"/>
              <w:tabs>
                <w:tab w:val="left" w:pos="2623"/>
              </w:tabs>
              <w:spacing w:line="275" w:lineRule="exact"/>
              <w:ind w:left="103"/>
              <w:jc w:val="both"/>
              <w:rPr>
                <w:rFonts w:asciiTheme="minorEastAsia" w:hAnsiTheme="minorEastAsia" w:eastAsiaTheme="minorEastAsia"/>
                <w:sz w:val="24"/>
                <w:lang w:eastAsia="zh-CN"/>
              </w:rPr>
            </w:pPr>
            <w:r>
              <w:rPr>
                <w:sz w:val="24"/>
              </w:rPr>
              <w:t>询问送达形式：</w:t>
            </w:r>
            <w:r>
              <w:rPr>
                <w:rFonts w:hint="eastAsia"/>
                <w:sz w:val="24"/>
              </w:rPr>
              <w:t>以电子邮件的形式，本项目询问需提交电子pdf版本的文件稿加盖供应商电子公章发送至</w:t>
            </w:r>
            <w:r>
              <w:rPr>
                <w:rFonts w:hint="eastAsia"/>
                <w:sz w:val="24"/>
                <w:lang w:eastAsia="zh-CN"/>
              </w:rPr>
              <w:t>xiguanjia</w:t>
            </w:r>
            <w:r>
              <w:rPr>
                <w:rFonts w:hint="eastAsia"/>
                <w:sz w:val="24"/>
              </w:rPr>
              <w:t>@qq.com，并致电</w:t>
            </w:r>
            <w:r>
              <w:rPr>
                <w:rFonts w:hint="eastAsia"/>
                <w:sz w:val="24"/>
                <w:lang w:eastAsia="zh-CN"/>
              </w:rPr>
              <w:t>010-69409202</w:t>
            </w:r>
            <w:r>
              <w:rPr>
                <w:rFonts w:hint="eastAsia"/>
                <w:sz w:val="24"/>
              </w:rPr>
              <w:t>予以告知</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exact"/>
        </w:trPr>
        <w:tc>
          <w:tcPr>
            <w:tcW w:w="1139" w:type="dxa"/>
            <w:tcBorders>
              <w:bottom w:val="single" w:color="auto" w:sz="4" w:space="0"/>
            </w:tcBorders>
            <w:vAlign w:val="center"/>
          </w:tcPr>
          <w:p>
            <w:pPr>
              <w:pStyle w:val="39"/>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24.3</w:t>
            </w:r>
          </w:p>
        </w:tc>
        <w:tc>
          <w:tcPr>
            <w:tcW w:w="1412" w:type="dxa"/>
            <w:tcBorders>
              <w:bottom w:val="single" w:color="auto" w:sz="4" w:space="0"/>
            </w:tcBorders>
            <w:vAlign w:val="center"/>
          </w:tcPr>
          <w:p>
            <w:pPr>
              <w:pStyle w:val="39"/>
              <w:spacing w:line="352" w:lineRule="exact"/>
              <w:ind w:left="88" w:right="105"/>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6462" w:type="dxa"/>
            <w:tcBorders>
              <w:top w:val="single" w:color="000000" w:sz="6" w:space="0"/>
              <w:bottom w:val="single" w:color="auto" w:sz="4" w:space="0"/>
            </w:tcBorders>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接收询问和质疑的联系方式</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联系部门：</w:t>
            </w:r>
            <w:r>
              <w:rPr>
                <w:rFonts w:hint="eastAsia" w:asciiTheme="minorEastAsia" w:hAnsiTheme="minorEastAsia" w:eastAsiaTheme="minorEastAsia"/>
                <w:u w:val="single"/>
                <w:lang w:eastAsia="zh-CN"/>
              </w:rPr>
              <w:t>北京招竣建设工程咨询有限公司</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联系电话：</w:t>
            </w:r>
            <w:r>
              <w:rPr>
                <w:rFonts w:hint="eastAsia" w:asciiTheme="minorEastAsia" w:hAnsiTheme="minorEastAsia" w:eastAsiaTheme="minorEastAsia"/>
                <w:u w:val="single"/>
                <w:lang w:eastAsia="zh-CN"/>
              </w:rPr>
              <w:t xml:space="preserve"> 010-69409202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通讯地址：</w:t>
            </w:r>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10"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heme="minorEastAsia" w:hAnsiTheme="minorEastAsia" w:eastAsiaTheme="minorEastAsia"/>
                <w:sz w:val="24"/>
              </w:rPr>
            </w:pPr>
            <w:r>
              <w:rPr>
                <w:rFonts w:asciiTheme="minorEastAsia" w:hAnsiTheme="minorEastAsia" w:eastAsiaTheme="minorEastAsia"/>
                <w:sz w:val="24"/>
              </w:rPr>
              <w:t>25</w:t>
            </w:r>
          </w:p>
        </w:tc>
        <w:tc>
          <w:tcPr>
            <w:tcW w:w="1412" w:type="dxa"/>
            <w:tcBorders>
              <w:top w:val="single" w:color="auto" w:sz="4" w:space="0"/>
              <w:left w:val="single" w:color="auto" w:sz="4" w:space="0"/>
              <w:bottom w:val="single" w:color="auto" w:sz="4" w:space="0"/>
              <w:right w:val="single" w:color="auto" w:sz="4" w:space="0"/>
            </w:tcBorders>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代理费</w:t>
            </w:r>
          </w:p>
        </w:tc>
        <w:tc>
          <w:tcPr>
            <w:tcW w:w="6462" w:type="dxa"/>
            <w:tcBorders>
              <w:top w:val="single" w:color="auto" w:sz="4" w:space="0"/>
              <w:left w:val="single" w:color="auto" w:sz="4" w:space="0"/>
              <w:bottom w:val="single" w:color="auto" w:sz="4" w:space="0"/>
              <w:right w:val="single" w:color="auto" w:sz="4" w:space="0"/>
            </w:tcBorders>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收费对象：</w:t>
            </w:r>
          </w:p>
          <w:p>
            <w:pPr>
              <w:pStyle w:val="39"/>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采购人</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成交供应商</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收费标准：</w:t>
            </w:r>
            <w:r>
              <w:rPr>
                <w:rFonts w:hint="eastAsia" w:asciiTheme="minorEastAsia" w:hAnsiTheme="minorEastAsia" w:eastAsiaTheme="minorEastAsia"/>
                <w:sz w:val="24"/>
                <w:lang w:eastAsia="zh-CN"/>
              </w:rPr>
              <w:t>按“国家发展改革委关于降低部分建设项目收费标准规范收费行为等有关问题的通知</w:t>
            </w:r>
            <w:r>
              <w:rPr>
                <w:rFonts w:asciiTheme="minorEastAsia" w:hAnsiTheme="minorEastAsia" w:eastAsiaTheme="minorEastAsia"/>
                <w:sz w:val="24"/>
                <w:lang w:eastAsia="zh-CN"/>
              </w:rPr>
              <w:t>,发改价格【2011】534号”,有关规定计取招标代理服务费；</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缴纳时间：</w:t>
            </w:r>
            <w:r>
              <w:rPr>
                <w:rFonts w:hint="eastAsia" w:asciiTheme="minorEastAsia" w:hAnsiTheme="minorEastAsia" w:eastAsiaTheme="minorEastAsia"/>
                <w:sz w:val="24"/>
                <w:lang w:eastAsia="zh-CN"/>
              </w:rPr>
              <w:t>供应商在领取成交通知书时，向代理机构缴纳招标代理费</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4"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heme="minorEastAsia" w:hAnsiTheme="minorEastAsia" w:eastAsiaTheme="minorEastAsia"/>
                <w:sz w:val="24"/>
              </w:rPr>
            </w:pPr>
            <w:r>
              <w:rPr>
                <w:rFonts w:ascii="Times New Roman" w:hAnsi="Times New Roman"/>
                <w:b/>
                <w:sz w:val="24"/>
                <w:szCs w:val="24"/>
              </w:rPr>
              <w:t>补充内容</w:t>
            </w:r>
          </w:p>
        </w:tc>
        <w:tc>
          <w:tcPr>
            <w:tcW w:w="1412" w:type="dxa"/>
            <w:tcBorders>
              <w:top w:val="single" w:color="auto" w:sz="4" w:space="0"/>
              <w:left w:val="single" w:color="auto" w:sz="4" w:space="0"/>
              <w:bottom w:val="single" w:color="auto" w:sz="4" w:space="0"/>
              <w:right w:val="single" w:color="auto" w:sz="4" w:space="0"/>
            </w:tcBorders>
            <w:vAlign w:val="center"/>
          </w:tcPr>
          <w:p>
            <w:pPr>
              <w:pStyle w:val="39"/>
              <w:ind w:left="105" w:right="105"/>
              <w:jc w:val="center"/>
              <w:rPr>
                <w:rFonts w:asciiTheme="minorEastAsia" w:hAnsiTheme="minorEastAsia" w:eastAsiaTheme="minorEastAsia"/>
                <w:sz w:val="24"/>
              </w:rPr>
            </w:pPr>
            <w:r>
              <w:rPr>
                <w:rFonts w:hint="eastAsia"/>
                <w:b/>
                <w:sz w:val="24"/>
                <w:highlight w:val="none"/>
              </w:rPr>
              <w:t>招标控制价</w:t>
            </w:r>
          </w:p>
        </w:tc>
        <w:tc>
          <w:tcPr>
            <w:tcW w:w="6462" w:type="dxa"/>
            <w:tcBorders>
              <w:top w:val="single" w:color="auto" w:sz="4" w:space="0"/>
              <w:left w:val="single" w:color="auto" w:sz="4" w:space="0"/>
              <w:bottom w:val="single" w:color="auto" w:sz="4" w:space="0"/>
              <w:right w:val="single" w:color="auto" w:sz="4" w:space="0"/>
            </w:tcBorders>
          </w:tcPr>
          <w:p>
            <w:pPr>
              <w:rPr>
                <w:sz w:val="24"/>
                <w:lang w:eastAsia="zh-CN"/>
              </w:rPr>
            </w:pPr>
            <w:bookmarkStart w:id="21" w:name="OLE_LINK3"/>
            <w:r>
              <w:rPr>
                <w:rFonts w:hint="eastAsia"/>
                <w:sz w:val="24"/>
                <w:lang w:eastAsia="zh-CN"/>
              </w:rPr>
              <w:t>设置最高投标限价</w:t>
            </w:r>
          </w:p>
          <w:p>
            <w:pPr>
              <w:rPr>
                <w:sz w:val="24"/>
                <w:lang w:eastAsia="zh-CN"/>
              </w:rPr>
            </w:pPr>
            <w:r>
              <w:rPr>
                <w:rFonts w:hint="eastAsia"/>
                <w:sz w:val="24"/>
                <w:lang w:eastAsia="zh-CN"/>
              </w:rPr>
              <w:t>采用招标控制价</w:t>
            </w:r>
          </w:p>
          <w:p>
            <w:pPr>
              <w:rPr>
                <w:b/>
                <w:bCs/>
                <w:sz w:val="24"/>
                <w:lang w:eastAsia="zh-CN"/>
              </w:rPr>
            </w:pPr>
            <w:r>
              <w:rPr>
                <w:rFonts w:hint="eastAsia"/>
                <w:b/>
                <w:bCs/>
                <w:sz w:val="24"/>
                <w:lang w:eastAsia="zh-CN"/>
              </w:rPr>
              <w:t>本项目招标控制价为</w:t>
            </w:r>
            <w:r>
              <w:rPr>
                <w:rFonts w:hint="eastAsia"/>
                <w:b/>
                <w:bCs/>
                <w:sz w:val="24"/>
                <w:lang w:val="en-US" w:eastAsia="zh-CN"/>
              </w:rPr>
              <w:t>203.034598</w:t>
            </w:r>
            <w:r>
              <w:rPr>
                <w:rFonts w:hint="eastAsia"/>
                <w:b/>
                <w:bCs/>
                <w:sz w:val="24"/>
                <w:lang w:eastAsia="zh-CN"/>
              </w:rPr>
              <w:t>万元</w:t>
            </w:r>
          </w:p>
          <w:p>
            <w:pPr>
              <w:pStyle w:val="39"/>
              <w:ind w:left="102"/>
              <w:jc w:val="both"/>
              <w:rPr>
                <w:rFonts w:asciiTheme="minorEastAsia" w:hAnsiTheme="minorEastAsia" w:eastAsiaTheme="minorEastAsia"/>
                <w:sz w:val="24"/>
                <w:lang w:eastAsia="zh-CN"/>
              </w:rPr>
            </w:pPr>
            <w:r>
              <w:rPr>
                <w:rFonts w:hint="eastAsia"/>
                <w:b/>
                <w:bCs/>
                <w:sz w:val="24"/>
                <w:lang w:eastAsia="zh-CN"/>
              </w:rPr>
              <w:t>注：投标人的投标报价总价超过招标控制价的，按废标处理。</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8"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imes New Roman" w:hAnsi="Times New Roman"/>
                <w:b/>
                <w:sz w:val="24"/>
                <w:szCs w:val="24"/>
                <w:lang w:eastAsia="zh-CN"/>
              </w:rPr>
            </w:pP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b/>
                <w:sz w:val="24"/>
                <w:lang w:eastAsia="zh-CN"/>
              </w:rPr>
            </w:pPr>
            <w:r>
              <w:rPr>
                <w:rFonts w:hint="eastAsia"/>
                <w:b/>
                <w:sz w:val="24"/>
                <w:lang w:eastAsia="zh-CN"/>
              </w:rPr>
              <w:t>构成磋商文件的其他资料</w:t>
            </w:r>
          </w:p>
        </w:tc>
        <w:tc>
          <w:tcPr>
            <w:tcW w:w="6462" w:type="dxa"/>
            <w:tcBorders>
              <w:top w:val="single" w:color="auto" w:sz="4" w:space="0"/>
              <w:left w:val="single" w:color="auto" w:sz="4" w:space="0"/>
              <w:bottom w:val="single" w:color="auto" w:sz="4" w:space="0"/>
              <w:right w:val="single" w:color="auto" w:sz="4" w:space="0"/>
            </w:tcBorders>
            <w:vAlign w:val="center"/>
          </w:tcPr>
          <w:p>
            <w:pPr>
              <w:rPr>
                <w:b/>
                <w:bCs/>
                <w:sz w:val="24"/>
                <w:lang w:eastAsia="zh-CN"/>
              </w:rPr>
            </w:pPr>
            <w:r>
              <w:rPr>
                <w:rFonts w:hint="eastAsia"/>
                <w:sz w:val="24"/>
              </w:rPr>
              <w:t>工程量清单</w:t>
            </w:r>
            <w:r>
              <w:rPr>
                <w:rFonts w:hint="eastAsia"/>
                <w:sz w:val="24"/>
                <w:lang w:eastAsia="zh-CN"/>
              </w:rPr>
              <w:t>领取方式：供应商应将关注截图</w:t>
            </w:r>
            <w:r>
              <w:rPr>
                <w:rFonts w:hint="eastAsia"/>
                <w:sz w:val="24"/>
              </w:rPr>
              <w:t>发送至</w:t>
            </w:r>
            <w:r>
              <w:rPr>
                <w:rFonts w:hint="eastAsia"/>
                <w:sz w:val="24"/>
                <w:lang w:eastAsia="zh-CN"/>
              </w:rPr>
              <w:t>xiguanjia</w:t>
            </w:r>
            <w:r>
              <w:rPr>
                <w:rFonts w:hint="eastAsia"/>
                <w:sz w:val="24"/>
              </w:rPr>
              <w:t>@qq.com</w:t>
            </w:r>
            <w:r>
              <w:rPr>
                <w:rFonts w:hint="eastAsia"/>
                <w:sz w:val="24"/>
                <w:lang w:eastAsia="zh-CN"/>
              </w:rPr>
              <w:t>邮箱内，未发送者招标代理不予提供工程量清单。</w:t>
            </w:r>
          </w:p>
        </w:tc>
      </w:tr>
    </w:tbl>
    <w:p>
      <w:pPr>
        <w:spacing w:line="313" w:lineRule="exact"/>
        <w:rPr>
          <w:rFonts w:asciiTheme="minorEastAsia" w:hAnsiTheme="minorEastAsia" w:eastAsiaTheme="minorEastAsia"/>
          <w:sz w:val="24"/>
          <w:lang w:eastAsia="zh-CN"/>
        </w:rPr>
        <w:sectPr>
          <w:pgSz w:w="11910" w:h="16840"/>
          <w:pgMar w:top="1440" w:right="1797" w:bottom="1440" w:left="1797" w:header="879" w:footer="879" w:gutter="0"/>
          <w:cols w:space="720" w:num="1"/>
        </w:sectPr>
      </w:pPr>
    </w:p>
    <w:p>
      <w:pPr>
        <w:pStyle w:val="5"/>
        <w:rPr>
          <w:rFonts w:asciiTheme="minorEastAsia" w:hAnsiTheme="minorEastAsia" w:eastAsiaTheme="minorEastAsia"/>
          <w:b/>
          <w:lang w:eastAsia="zh-CN"/>
        </w:rPr>
      </w:pPr>
      <w:bookmarkStart w:id="22" w:name="_Toc164263451"/>
      <w:r>
        <w:rPr>
          <w:rFonts w:asciiTheme="minorEastAsia" w:hAnsiTheme="minorEastAsia" w:eastAsiaTheme="minorEastAsia"/>
          <w:b/>
          <w:lang w:eastAsia="zh-CN"/>
        </w:rPr>
        <w:t>供应商须知</w:t>
      </w:r>
      <w:bookmarkEnd w:id="22"/>
    </w:p>
    <w:p/>
    <w:p>
      <w:pPr>
        <w:pStyle w:val="5"/>
        <w:rPr>
          <w:rFonts w:asciiTheme="minorEastAsia" w:hAnsiTheme="minorEastAsia" w:eastAsiaTheme="minorEastAsia"/>
          <w:b/>
          <w:lang w:eastAsia="zh-CN"/>
        </w:rPr>
      </w:pPr>
      <w:bookmarkStart w:id="23" w:name="_Toc164263452"/>
      <w:r>
        <w:rPr>
          <w:rFonts w:asciiTheme="minorEastAsia" w:hAnsiTheme="minorEastAsia" w:eastAsiaTheme="minorEastAsia"/>
          <w:b/>
          <w:lang w:eastAsia="zh-CN"/>
        </w:rPr>
        <w:t>一</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说明</w:t>
      </w:r>
      <w:bookmarkEnd w:id="23"/>
    </w:p>
    <w:p>
      <w:pPr>
        <w:pStyle w:val="41"/>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采购人、采购代理机构、供应商、联合体</w:t>
      </w:r>
    </w:p>
    <w:p>
      <w:pPr>
        <w:pStyle w:val="41"/>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采购人、采购代理机构：指依法进行政府采购的国家机关、事业单位、</w:t>
      </w:r>
      <w:r>
        <w:rPr>
          <w:rFonts w:asciiTheme="minorEastAsia" w:hAnsiTheme="minorEastAsia" w:eastAsiaTheme="minorEastAsia"/>
          <w:spacing w:val="2"/>
          <w:sz w:val="24"/>
          <w:lang w:eastAsia="zh-CN"/>
        </w:rPr>
        <w:t>团</w:t>
      </w:r>
      <w:r>
        <w:rPr>
          <w:rFonts w:asciiTheme="minorEastAsia" w:hAnsiTheme="minorEastAsia" w:eastAsiaTheme="minorEastAsia"/>
          <w:sz w:val="24"/>
          <w:lang w:eastAsia="zh-CN"/>
        </w:rPr>
        <w:t>体组织</w:t>
      </w:r>
      <w:r>
        <w:rPr>
          <w:rFonts w:asciiTheme="minorEastAsia" w:hAnsiTheme="minorEastAsia" w:eastAsiaTheme="minorEastAsia"/>
          <w:spacing w:val="-44"/>
          <w:sz w:val="24"/>
          <w:lang w:eastAsia="zh-CN"/>
        </w:rPr>
        <w:t>，</w:t>
      </w:r>
      <w:r>
        <w:rPr>
          <w:rFonts w:asciiTheme="minorEastAsia" w:hAnsiTheme="minorEastAsia" w:eastAsiaTheme="minorEastAsia"/>
          <w:sz w:val="24"/>
          <w:lang w:eastAsia="zh-CN"/>
        </w:rPr>
        <w:t>及其委托的采购代理机构</w:t>
      </w:r>
      <w:r>
        <w:rPr>
          <w:rFonts w:asciiTheme="minorEastAsia" w:hAnsiTheme="minorEastAsia" w:eastAsiaTheme="minorEastAsia"/>
          <w:spacing w:val="-41"/>
          <w:sz w:val="24"/>
          <w:lang w:eastAsia="zh-CN"/>
        </w:rPr>
        <w:t>。</w:t>
      </w:r>
      <w:r>
        <w:rPr>
          <w:rFonts w:asciiTheme="minorEastAsia" w:hAnsiTheme="minorEastAsia" w:eastAsiaTheme="minorEastAsia"/>
          <w:sz w:val="24"/>
          <w:lang w:eastAsia="zh-CN"/>
        </w:rPr>
        <w:t>本项目采购人</w:t>
      </w:r>
      <w:r>
        <w:rPr>
          <w:rFonts w:asciiTheme="minorEastAsia" w:hAnsiTheme="minorEastAsia" w:eastAsiaTheme="minorEastAsia"/>
          <w:spacing w:val="-43"/>
          <w:sz w:val="24"/>
          <w:lang w:eastAsia="zh-CN"/>
        </w:rPr>
        <w:t>、</w:t>
      </w:r>
      <w:r>
        <w:rPr>
          <w:rFonts w:asciiTheme="minorEastAsia" w:hAnsiTheme="minorEastAsia" w:eastAsiaTheme="minorEastAsia"/>
          <w:sz w:val="24"/>
          <w:lang w:eastAsia="zh-CN"/>
        </w:rPr>
        <w:t>采购代理机构见第一</w:t>
      </w:r>
      <w:r>
        <w:rPr>
          <w:rFonts w:asciiTheme="minorEastAsia" w:hAnsiTheme="minorEastAsia" w:eastAsiaTheme="minorEastAsia"/>
          <w:spacing w:val="-41"/>
          <w:sz w:val="24"/>
          <w:lang w:eastAsia="zh-CN"/>
        </w:rPr>
        <w:t>章</w:t>
      </w:r>
      <w:r>
        <w:rPr>
          <w:rFonts w:asciiTheme="minorEastAsia" w:hAnsiTheme="minorEastAsia" w:eastAsiaTheme="minorEastAsia"/>
          <w:sz w:val="24"/>
          <w:lang w:eastAsia="zh-CN"/>
        </w:rPr>
        <w:t>《采购邀请</w:t>
      </w:r>
      <w:r>
        <w:rPr>
          <w:rFonts w:hint="eastAsia" w:asciiTheme="minorEastAsia" w:hAnsiTheme="minorEastAsia" w:eastAsiaTheme="minorEastAsia"/>
          <w:sz w:val="24"/>
          <w:lang w:eastAsia="zh-CN"/>
        </w:rPr>
        <w:t>》</w:t>
      </w:r>
      <w:r>
        <w:rPr>
          <w:rFonts w:hint="eastAsia"/>
          <w:lang w:eastAsia="zh-CN"/>
        </w:rPr>
        <w:t>。</w:t>
      </w:r>
    </w:p>
    <w:p>
      <w:pPr>
        <w:pStyle w:val="41"/>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w:t>
      </w:r>
      <w:r>
        <w:rPr>
          <w:rFonts w:asciiTheme="minorEastAsia" w:hAnsiTheme="minorEastAsia" w:eastAsiaTheme="minorEastAsia"/>
          <w:spacing w:val="-15"/>
          <w:sz w:val="24"/>
          <w:szCs w:val="24"/>
          <w:lang w:eastAsia="zh-CN"/>
        </w:rPr>
        <w:t>商</w:t>
      </w:r>
      <w:r>
        <w:rPr>
          <w:sz w:val="24"/>
          <w:szCs w:val="24"/>
          <w:lang w:eastAsia="zh-CN"/>
        </w:rPr>
        <w:t>（也称“申请人”）：</w:t>
      </w:r>
      <w:r>
        <w:rPr>
          <w:rFonts w:asciiTheme="minorEastAsia" w:hAnsiTheme="minorEastAsia" w:eastAsiaTheme="minorEastAsia"/>
          <w:sz w:val="24"/>
          <w:szCs w:val="24"/>
          <w:lang w:eastAsia="zh-CN"/>
        </w:rPr>
        <w:t>指向采购</w:t>
      </w:r>
      <w:r>
        <w:rPr>
          <w:rFonts w:asciiTheme="minorEastAsia" w:hAnsiTheme="minorEastAsia" w:eastAsiaTheme="minorEastAsia"/>
          <w:sz w:val="24"/>
          <w:lang w:eastAsia="zh-CN"/>
        </w:rPr>
        <w:t>人提供货物</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工程或者服务的法</w:t>
      </w:r>
      <w:r>
        <w:rPr>
          <w:rFonts w:asciiTheme="minorEastAsia" w:hAnsiTheme="minorEastAsia" w:eastAsiaTheme="minorEastAsia"/>
          <w:spacing w:val="2"/>
          <w:sz w:val="24"/>
          <w:lang w:eastAsia="zh-CN"/>
        </w:rPr>
        <w:t>人</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其他组织或者自然人。</w:t>
      </w:r>
    </w:p>
    <w:p>
      <w:pPr>
        <w:pStyle w:val="41"/>
        <w:numPr>
          <w:ilvl w:val="1"/>
          <w:numId w:val="4"/>
        </w:numPr>
        <w:tabs>
          <w:tab w:val="left" w:pos="1202"/>
        </w:tabs>
        <w:spacing w:before="58"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联合体：指两个以上的自然人、法人或者其他组织组成一个联合体，以一</w:t>
      </w:r>
      <w:r>
        <w:rPr>
          <w:rFonts w:asciiTheme="minorEastAsia" w:hAnsiTheme="minorEastAsia" w:eastAsiaTheme="minorEastAsia"/>
          <w:sz w:val="24"/>
          <w:lang w:eastAsia="zh-CN"/>
        </w:rPr>
        <w:t>个供应商的身份共同参加政府采购。</w:t>
      </w:r>
    </w:p>
    <w:p>
      <w:pPr>
        <w:pStyle w:val="41"/>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资金来源、项目属性、科研仪器设备采购</w:t>
      </w:r>
    </w:p>
    <w:p>
      <w:pPr>
        <w:pStyle w:val="41"/>
        <w:numPr>
          <w:ilvl w:val="1"/>
          <w:numId w:val="4"/>
        </w:numPr>
        <w:tabs>
          <w:tab w:val="left" w:pos="1202"/>
        </w:tabs>
        <w:spacing w:before="133" w:line="336" w:lineRule="auto"/>
        <w:ind w:left="1201" w:right="113"/>
        <w:jc w:val="both"/>
        <w:rPr>
          <w:rFonts w:asciiTheme="minorEastAsia" w:hAnsiTheme="minorEastAsia" w:eastAsiaTheme="minorEastAsia"/>
          <w:sz w:val="24"/>
          <w:lang w:eastAsia="zh-CN"/>
        </w:rPr>
      </w:pPr>
      <w:r>
        <w:rPr>
          <w:rFonts w:asciiTheme="minorEastAsia" w:hAnsiTheme="minorEastAsia" w:eastAsiaTheme="minorEastAsia"/>
          <w:spacing w:val="7"/>
          <w:sz w:val="24"/>
          <w:lang w:eastAsia="zh-CN"/>
        </w:rPr>
        <w:t>资金来源为财政性资金和</w:t>
      </w:r>
      <w:r>
        <w:rPr>
          <w:rFonts w:asciiTheme="minorEastAsia" w:hAnsiTheme="minorEastAsia" w:eastAsiaTheme="minorEastAsia"/>
          <w:spacing w:val="5"/>
          <w:w w:val="120"/>
          <w:sz w:val="24"/>
          <w:lang w:eastAsia="zh-CN"/>
        </w:rPr>
        <w:t>/</w:t>
      </w:r>
      <w:r>
        <w:rPr>
          <w:rFonts w:asciiTheme="minorEastAsia" w:hAnsiTheme="minorEastAsia" w:eastAsiaTheme="minorEastAsia"/>
          <w:spacing w:val="7"/>
          <w:sz w:val="24"/>
          <w:lang w:eastAsia="zh-CN"/>
        </w:rPr>
        <w:t>或本项目采购中无法与财政性资金分割的非财</w:t>
      </w:r>
      <w:r>
        <w:rPr>
          <w:rFonts w:asciiTheme="minorEastAsia" w:hAnsiTheme="minorEastAsia" w:eastAsiaTheme="minorEastAsia"/>
          <w:sz w:val="24"/>
          <w:lang w:eastAsia="zh-CN"/>
        </w:rPr>
        <w:t>政性资金。</w:t>
      </w:r>
    </w:p>
    <w:p>
      <w:pPr>
        <w:pStyle w:val="41"/>
        <w:numPr>
          <w:ilvl w:val="1"/>
          <w:numId w:val="4"/>
        </w:numPr>
        <w:tabs>
          <w:tab w:val="left" w:pos="1201"/>
          <w:tab w:val="left" w:pos="1202"/>
        </w:tabs>
        <w:spacing w:before="55"/>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项目属性见《供应商须知资料表</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1"/>
          <w:numId w:val="4"/>
        </w:numPr>
        <w:tabs>
          <w:tab w:val="left" w:pos="1201"/>
          <w:tab w:val="left" w:pos="1202"/>
        </w:tabs>
        <w:spacing w:before="133"/>
        <w:ind w:left="1201"/>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是否属于科研仪器设备采购见《供应商须知资料表》。</w:t>
      </w:r>
    </w:p>
    <w:p>
      <w:pPr>
        <w:pStyle w:val="41"/>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现场考察、磋商前答疑会</w:t>
      </w:r>
    </w:p>
    <w:p>
      <w:pPr>
        <w:pStyle w:val="41"/>
        <w:numPr>
          <w:ilvl w:val="1"/>
          <w:numId w:val="4"/>
        </w:numPr>
        <w:tabs>
          <w:tab w:val="left" w:pos="1202"/>
        </w:tabs>
        <w:spacing w:before="133"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若《供应商须知</w:t>
      </w:r>
      <w:r>
        <w:rPr>
          <w:rFonts w:asciiTheme="minorEastAsia" w:hAnsiTheme="minorEastAsia" w:eastAsiaTheme="minorEastAsia"/>
          <w:sz w:val="24"/>
          <w:lang w:eastAsia="zh-CN"/>
        </w:rPr>
        <w:t>资</w:t>
      </w:r>
      <w:r>
        <w:rPr>
          <w:rFonts w:asciiTheme="minorEastAsia" w:hAnsiTheme="minorEastAsia" w:eastAsiaTheme="minorEastAsia"/>
          <w:spacing w:val="2"/>
          <w:sz w:val="24"/>
          <w:lang w:eastAsia="zh-CN"/>
        </w:rPr>
        <w:t>料表》中规定了组织现场考察、召</w:t>
      </w:r>
      <w:r>
        <w:rPr>
          <w:rFonts w:asciiTheme="minorEastAsia" w:hAnsiTheme="minorEastAsia" w:eastAsiaTheme="minorEastAsia"/>
          <w:sz w:val="24"/>
          <w:lang w:eastAsia="zh-CN"/>
        </w:rPr>
        <w:t>开</w:t>
      </w:r>
      <w:r>
        <w:rPr>
          <w:rFonts w:asciiTheme="minorEastAsia" w:hAnsiTheme="minorEastAsia" w:eastAsiaTheme="minorEastAsia"/>
          <w:spacing w:val="2"/>
          <w:sz w:val="24"/>
          <w:lang w:eastAsia="zh-CN"/>
        </w:rPr>
        <w:t>磋商前答疑会，则</w:t>
      </w:r>
      <w:r>
        <w:rPr>
          <w:rFonts w:asciiTheme="minorEastAsia" w:hAnsiTheme="minorEastAsia" w:eastAsiaTheme="minorEastAsia"/>
          <w:sz w:val="24"/>
          <w:lang w:eastAsia="zh-CN"/>
        </w:rPr>
        <w:t>供应商应按要求在规定的时间和地点参加。</w:t>
      </w:r>
    </w:p>
    <w:p>
      <w:pPr>
        <w:pStyle w:val="41"/>
        <w:numPr>
          <w:ilvl w:val="1"/>
          <w:numId w:val="4"/>
        </w:numPr>
        <w:tabs>
          <w:tab w:val="left" w:pos="1202"/>
        </w:tabs>
        <w:spacing w:before="60" w:line="345"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由于未参加现场</w:t>
      </w:r>
      <w:r>
        <w:rPr>
          <w:rFonts w:asciiTheme="minorEastAsia" w:hAnsiTheme="minorEastAsia" w:eastAsiaTheme="minorEastAsia"/>
          <w:sz w:val="24"/>
          <w:lang w:eastAsia="zh-CN"/>
        </w:rPr>
        <w:t>考</w:t>
      </w:r>
      <w:r>
        <w:rPr>
          <w:rFonts w:asciiTheme="minorEastAsia" w:hAnsiTheme="minorEastAsia" w:eastAsiaTheme="minorEastAsia"/>
          <w:spacing w:val="2"/>
          <w:sz w:val="24"/>
          <w:lang w:eastAsia="zh-CN"/>
        </w:rPr>
        <w:t>察或磋商前答疑会而导致对项目实</w:t>
      </w:r>
      <w:r>
        <w:rPr>
          <w:rFonts w:asciiTheme="minorEastAsia" w:hAnsiTheme="minorEastAsia" w:eastAsiaTheme="minorEastAsia"/>
          <w:sz w:val="24"/>
          <w:lang w:eastAsia="zh-CN"/>
        </w:rPr>
        <w:t>际</w:t>
      </w:r>
      <w:r>
        <w:rPr>
          <w:rFonts w:asciiTheme="minorEastAsia" w:hAnsiTheme="minorEastAsia" w:eastAsiaTheme="minorEastAsia"/>
          <w:spacing w:val="2"/>
          <w:sz w:val="24"/>
          <w:lang w:eastAsia="zh-CN"/>
        </w:rPr>
        <w:t>情况不了解，影响</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应文件编制、报</w:t>
      </w:r>
      <w:r>
        <w:rPr>
          <w:rFonts w:asciiTheme="minorEastAsia" w:hAnsiTheme="minorEastAsia" w:eastAsiaTheme="minorEastAsia"/>
          <w:sz w:val="24"/>
          <w:lang w:eastAsia="zh-CN"/>
        </w:rPr>
        <w:t>价</w:t>
      </w:r>
      <w:r>
        <w:rPr>
          <w:rFonts w:asciiTheme="minorEastAsia" w:hAnsiTheme="minorEastAsia" w:eastAsiaTheme="minorEastAsia"/>
          <w:spacing w:val="2"/>
          <w:sz w:val="24"/>
          <w:lang w:eastAsia="zh-CN"/>
        </w:rPr>
        <w:t>准确性、综合因素响应不全面等问</w:t>
      </w:r>
      <w:r>
        <w:rPr>
          <w:rFonts w:asciiTheme="minorEastAsia" w:hAnsiTheme="minorEastAsia" w:eastAsiaTheme="minorEastAsia"/>
          <w:sz w:val="24"/>
          <w:lang w:eastAsia="zh-CN"/>
        </w:rPr>
        <w:t>题</w:t>
      </w:r>
      <w:r>
        <w:rPr>
          <w:rFonts w:asciiTheme="minorEastAsia" w:hAnsiTheme="minorEastAsia" w:eastAsiaTheme="minorEastAsia"/>
          <w:spacing w:val="2"/>
          <w:sz w:val="24"/>
          <w:lang w:eastAsia="zh-CN"/>
        </w:rPr>
        <w:t>的，由供应商自行</w:t>
      </w:r>
      <w:r>
        <w:rPr>
          <w:rFonts w:asciiTheme="minorEastAsia" w:hAnsiTheme="minorEastAsia" w:eastAsiaTheme="minorEastAsia"/>
          <w:sz w:val="24"/>
          <w:lang w:eastAsia="zh-CN"/>
        </w:rPr>
        <w:t>承担不利评审后果。</w:t>
      </w:r>
    </w:p>
    <w:p>
      <w:pPr>
        <w:pStyle w:val="41"/>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政府采购政策（包括但不限于下列具体政策要求）</w:t>
      </w:r>
    </w:p>
    <w:p>
      <w:pPr>
        <w:pStyle w:val="41"/>
        <w:numPr>
          <w:ilvl w:val="1"/>
          <w:numId w:val="4"/>
        </w:numPr>
        <w:tabs>
          <w:tab w:val="left" w:pos="1201"/>
          <w:tab w:val="left" w:pos="1202"/>
        </w:tabs>
        <w:spacing w:before="133"/>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采购本国货物、工程和服务</w:t>
      </w:r>
    </w:p>
    <w:p>
      <w:pPr>
        <w:pStyle w:val="41"/>
        <w:numPr>
          <w:ilvl w:val="2"/>
          <w:numId w:val="4"/>
        </w:numPr>
        <w:tabs>
          <w:tab w:val="left" w:pos="1320"/>
          <w:tab w:val="left" w:pos="2102"/>
        </w:tabs>
        <w:spacing w:before="133" w:line="333" w:lineRule="auto"/>
        <w:ind w:right="104" w:hanging="900"/>
        <w:rPr>
          <w:rFonts w:asciiTheme="minorEastAsia" w:hAnsiTheme="minorEastAsia" w:eastAsiaTheme="minorEastAsia"/>
          <w:sz w:val="24"/>
          <w:lang w:eastAsia="zh-CN"/>
        </w:rPr>
      </w:pPr>
      <w:r>
        <w:rPr>
          <w:rFonts w:asciiTheme="minorEastAsia" w:hAnsiTheme="minorEastAsia" w:eastAsiaTheme="minorEastAsia"/>
          <w:sz w:val="24"/>
          <w:lang w:eastAsia="zh-CN"/>
        </w:rPr>
        <w:t>政府采</w:t>
      </w:r>
      <w:r>
        <w:rPr>
          <w:rFonts w:asciiTheme="minorEastAsia" w:hAnsiTheme="minorEastAsia" w:eastAsiaTheme="minorEastAsia"/>
          <w:spacing w:val="2"/>
          <w:sz w:val="24"/>
          <w:lang w:eastAsia="zh-CN"/>
        </w:rPr>
        <w:t>购</w:t>
      </w:r>
      <w:r>
        <w:rPr>
          <w:rFonts w:asciiTheme="minorEastAsia" w:hAnsiTheme="minorEastAsia" w:eastAsiaTheme="minorEastAsia"/>
          <w:sz w:val="24"/>
          <w:lang w:eastAsia="zh-CN"/>
        </w:rPr>
        <w:t>应当采购本国货物</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工程和</w:t>
      </w:r>
      <w:r>
        <w:rPr>
          <w:rFonts w:asciiTheme="minorEastAsia" w:hAnsiTheme="minorEastAsia" w:eastAsiaTheme="minorEastAsia"/>
          <w:spacing w:val="2"/>
          <w:sz w:val="24"/>
          <w:lang w:eastAsia="zh-CN"/>
        </w:rPr>
        <w:t>服</w:t>
      </w:r>
      <w:r>
        <w:rPr>
          <w:rFonts w:asciiTheme="minorEastAsia" w:hAnsiTheme="minorEastAsia" w:eastAsiaTheme="minorEastAsia"/>
          <w:sz w:val="24"/>
          <w:lang w:eastAsia="zh-CN"/>
        </w:rPr>
        <w:t>务</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但</w:t>
      </w:r>
      <w:r>
        <w:rPr>
          <w:rFonts w:asciiTheme="minorEastAsia" w:hAnsiTheme="minorEastAsia" w:eastAsiaTheme="minorEastAsia"/>
          <w:spacing w:val="-39"/>
          <w:sz w:val="24"/>
          <w:lang w:eastAsia="zh-CN"/>
        </w:rPr>
        <w:t>有</w:t>
      </w:r>
      <w:r>
        <w:rPr>
          <w:rFonts w:asciiTheme="minorEastAsia" w:hAnsiTheme="minorEastAsia" w:eastAsiaTheme="minorEastAsia"/>
          <w:b/>
          <w:spacing w:val="-1"/>
          <w:sz w:val="24"/>
          <w:lang w:eastAsia="zh-CN"/>
        </w:rPr>
        <w:t>《</w:t>
      </w:r>
      <w:r>
        <w:rPr>
          <w:rFonts w:asciiTheme="minorEastAsia" w:hAnsiTheme="minorEastAsia" w:eastAsiaTheme="minorEastAsia"/>
          <w:b/>
          <w:spacing w:val="2"/>
          <w:sz w:val="24"/>
          <w:lang w:eastAsia="zh-CN"/>
        </w:rPr>
        <w:t>中</w:t>
      </w:r>
      <w:r>
        <w:rPr>
          <w:rFonts w:asciiTheme="minorEastAsia" w:hAnsiTheme="minorEastAsia" w:eastAsiaTheme="minorEastAsia"/>
          <w:b/>
          <w:sz w:val="24"/>
          <w:lang w:eastAsia="zh-CN"/>
        </w:rPr>
        <w:t>华</w:t>
      </w:r>
      <w:r>
        <w:rPr>
          <w:rFonts w:asciiTheme="minorEastAsia" w:hAnsiTheme="minorEastAsia" w:eastAsiaTheme="minorEastAsia"/>
          <w:b/>
          <w:spacing w:val="2"/>
          <w:sz w:val="24"/>
          <w:lang w:eastAsia="zh-CN"/>
        </w:rPr>
        <w:t>人</w:t>
      </w:r>
      <w:r>
        <w:rPr>
          <w:rFonts w:asciiTheme="minorEastAsia" w:hAnsiTheme="minorEastAsia" w:eastAsiaTheme="minorEastAsia"/>
          <w:b/>
          <w:sz w:val="24"/>
          <w:lang w:eastAsia="zh-CN"/>
        </w:rPr>
        <w:t>民</w:t>
      </w:r>
      <w:r>
        <w:rPr>
          <w:rFonts w:asciiTheme="minorEastAsia" w:hAnsiTheme="minorEastAsia" w:eastAsiaTheme="minorEastAsia"/>
          <w:b/>
          <w:spacing w:val="2"/>
          <w:sz w:val="24"/>
          <w:lang w:eastAsia="zh-CN"/>
        </w:rPr>
        <w:t>共</w:t>
      </w:r>
      <w:r>
        <w:rPr>
          <w:rFonts w:asciiTheme="minorEastAsia" w:hAnsiTheme="minorEastAsia" w:eastAsiaTheme="minorEastAsia"/>
          <w:b/>
          <w:sz w:val="24"/>
          <w:lang w:eastAsia="zh-CN"/>
        </w:rPr>
        <w:t>和</w:t>
      </w:r>
      <w:r>
        <w:rPr>
          <w:rFonts w:asciiTheme="minorEastAsia" w:hAnsiTheme="minorEastAsia" w:eastAsiaTheme="minorEastAsia"/>
          <w:b/>
          <w:spacing w:val="2"/>
          <w:sz w:val="24"/>
          <w:lang w:eastAsia="zh-CN"/>
        </w:rPr>
        <w:t>国</w:t>
      </w:r>
      <w:r>
        <w:rPr>
          <w:rFonts w:asciiTheme="minorEastAsia" w:hAnsiTheme="minorEastAsia" w:eastAsiaTheme="minorEastAsia"/>
          <w:b/>
          <w:sz w:val="24"/>
          <w:lang w:eastAsia="zh-CN"/>
        </w:rPr>
        <w:t>政府</w:t>
      </w:r>
      <w:r>
        <w:rPr>
          <w:rFonts w:asciiTheme="minorEastAsia" w:hAnsiTheme="minorEastAsia" w:eastAsiaTheme="minorEastAsia"/>
          <w:b/>
          <w:spacing w:val="2"/>
          <w:sz w:val="24"/>
          <w:lang w:eastAsia="zh-CN"/>
        </w:rPr>
        <w:t>采</w:t>
      </w:r>
      <w:r>
        <w:rPr>
          <w:rFonts w:asciiTheme="minorEastAsia" w:hAnsiTheme="minorEastAsia" w:eastAsiaTheme="minorEastAsia"/>
          <w:b/>
          <w:sz w:val="24"/>
          <w:lang w:eastAsia="zh-CN"/>
        </w:rPr>
        <w:t>购</w:t>
      </w:r>
      <w:r>
        <w:rPr>
          <w:rFonts w:asciiTheme="minorEastAsia" w:hAnsiTheme="minorEastAsia" w:eastAsiaTheme="minorEastAsia"/>
          <w:b/>
          <w:spacing w:val="-1"/>
          <w:sz w:val="24"/>
          <w:lang w:eastAsia="zh-CN"/>
        </w:rPr>
        <w:t>法</w:t>
      </w:r>
      <w:r>
        <w:rPr>
          <w:rFonts w:asciiTheme="minorEastAsia" w:hAnsiTheme="minorEastAsia" w:eastAsiaTheme="minorEastAsia"/>
          <w:b/>
          <w:sz w:val="24"/>
          <w:lang w:eastAsia="zh-CN"/>
        </w:rPr>
        <w:t>》</w:t>
      </w:r>
      <w:r>
        <w:rPr>
          <w:rFonts w:asciiTheme="minorEastAsia" w:hAnsiTheme="minorEastAsia" w:eastAsiaTheme="minorEastAsia"/>
          <w:sz w:val="24"/>
          <w:lang w:eastAsia="zh-CN"/>
        </w:rPr>
        <w:t>第十条规定情形的除外。</w:t>
      </w:r>
    </w:p>
    <w:p>
      <w:pPr>
        <w:pStyle w:val="41"/>
        <w:numPr>
          <w:ilvl w:val="2"/>
          <w:numId w:val="4"/>
        </w:numPr>
        <w:tabs>
          <w:tab w:val="left" w:pos="1320"/>
          <w:tab w:val="left" w:pos="2102"/>
        </w:tabs>
        <w:spacing w:before="58" w:line="336" w:lineRule="auto"/>
        <w:ind w:right="110"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本项目如接受非本国货物</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工程</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服务参与投标</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则具体要求见</w:t>
      </w:r>
      <w:r>
        <w:rPr>
          <w:rFonts w:hint="eastAsia" w:asciiTheme="minorEastAsia" w:hAnsiTheme="minorEastAsia" w:eastAsiaTheme="minorEastAsia"/>
          <w:sz w:val="24"/>
          <w:lang w:eastAsia="zh-CN"/>
        </w:rPr>
        <w:t>供应商须知资料表及</w:t>
      </w:r>
      <w:r>
        <w:rPr>
          <w:rFonts w:asciiTheme="minorEastAsia" w:hAnsiTheme="minorEastAsia" w:eastAsiaTheme="minorEastAsia"/>
          <w:sz w:val="24"/>
          <w:lang w:eastAsia="zh-CN"/>
        </w:rPr>
        <w:t>第四章《采购需求</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2"/>
          <w:numId w:val="4"/>
        </w:numPr>
        <w:tabs>
          <w:tab w:val="left" w:pos="1320"/>
          <w:tab w:val="left" w:pos="2102"/>
        </w:tabs>
        <w:spacing w:before="58" w:line="336" w:lineRule="auto"/>
        <w:ind w:right="94" w:hanging="900"/>
        <w:rPr>
          <w:rFonts w:asciiTheme="minorEastAsia" w:hAnsiTheme="minorEastAsia" w:eastAsiaTheme="minorEastAsia"/>
          <w:sz w:val="24"/>
          <w:lang w:eastAsia="zh-CN"/>
        </w:rPr>
      </w:pPr>
      <w:r>
        <w:rPr>
          <w:rFonts w:asciiTheme="minorEastAsia" w:hAnsiTheme="minorEastAsia" w:eastAsiaTheme="minorEastAsia"/>
          <w:sz w:val="24"/>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41"/>
        <w:numPr>
          <w:ilvl w:val="1"/>
          <w:numId w:val="4"/>
        </w:numPr>
        <w:tabs>
          <w:tab w:val="left" w:pos="1202"/>
          <w:tab w:val="left" w:pos="1320"/>
          <w:tab w:val="left" w:pos="2101"/>
          <w:tab w:val="left" w:pos="2102"/>
        </w:tabs>
        <w:spacing w:before="58" w:line="360" w:lineRule="auto"/>
        <w:ind w:right="94"/>
        <w:rPr>
          <w:sz w:val="24"/>
          <w:szCs w:val="24"/>
          <w:lang w:eastAsia="zh-CN"/>
        </w:rPr>
      </w:pPr>
      <w:r>
        <w:rPr>
          <w:rFonts w:asciiTheme="minorEastAsia" w:hAnsiTheme="minorEastAsia" w:eastAsiaTheme="minorEastAsia"/>
          <w:sz w:val="24"/>
          <w:lang w:eastAsia="zh-CN"/>
        </w:rPr>
        <w:t>中小企业、监狱企业及残疾人福利性单位</w:t>
      </w:r>
    </w:p>
    <w:p>
      <w:pPr>
        <w:pStyle w:val="41"/>
        <w:numPr>
          <w:ilvl w:val="2"/>
          <w:numId w:val="4"/>
        </w:numPr>
        <w:tabs>
          <w:tab w:val="left" w:pos="1201"/>
          <w:tab w:val="left" w:pos="1202"/>
          <w:tab w:val="left" w:pos="2101"/>
          <w:tab w:val="left" w:pos="2102"/>
        </w:tabs>
        <w:spacing w:before="58" w:line="360" w:lineRule="auto"/>
        <w:ind w:left="500" w:right="94" w:firstLine="0"/>
        <w:rPr>
          <w:sz w:val="24"/>
          <w:szCs w:val="24"/>
        </w:rPr>
      </w:pPr>
      <w:r>
        <w:rPr>
          <w:rFonts w:asciiTheme="minorEastAsia" w:hAnsiTheme="minorEastAsia" w:eastAsiaTheme="minorEastAsia"/>
          <w:sz w:val="24"/>
          <w:lang w:eastAsia="zh-CN"/>
        </w:rPr>
        <w:t>中小企业定义：</w:t>
      </w:r>
    </w:p>
    <w:p>
      <w:pPr>
        <w:pStyle w:val="41"/>
        <w:numPr>
          <w:ilvl w:val="3"/>
          <w:numId w:val="4"/>
        </w:numPr>
        <w:tabs>
          <w:tab w:val="left" w:pos="2101"/>
          <w:tab w:val="left" w:pos="2102"/>
        </w:tabs>
        <w:spacing w:before="58" w:line="360" w:lineRule="auto"/>
        <w:ind w:left="1985" w:right="96" w:hanging="851"/>
        <w:rPr>
          <w:lang w:eastAsia="zh-CN"/>
        </w:rPr>
      </w:pPr>
      <w:r>
        <w:rPr>
          <w:rFonts w:asciiTheme="minorEastAsia" w:hAnsiTheme="minorEastAsia" w:eastAsiaTheme="minorEastAsia"/>
          <w:sz w:val="24"/>
          <w:lang w:eastAsia="zh-CN"/>
        </w:rPr>
        <w:t>中小企业是指在中华人民共和国境内依法设立，依据国务院批</w:t>
      </w:r>
      <w:r>
        <w:rPr>
          <w:sz w:val="24"/>
          <w:szCs w:val="24"/>
          <w:lang w:eastAsia="zh-CN"/>
        </w:rPr>
        <w:t>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sz w:val="24"/>
          <w:szCs w:val="24"/>
          <w:lang w:eastAsia="zh-CN"/>
        </w:rPr>
        <w:t>、《金融业企业划型标准规定》（〔2015〕309 号）等国务院批准的中小企业划分标准执行。</w:t>
      </w:r>
    </w:p>
    <w:p>
      <w:pPr>
        <w:pStyle w:val="41"/>
        <w:numPr>
          <w:ilvl w:val="3"/>
          <w:numId w:val="4"/>
        </w:numPr>
        <w:tabs>
          <w:tab w:val="left" w:pos="2127"/>
        </w:tabs>
        <w:spacing w:before="58" w:line="360" w:lineRule="auto"/>
        <w:ind w:left="2127" w:right="96"/>
        <w:rPr>
          <w:sz w:val="24"/>
          <w:lang w:eastAsia="zh-CN"/>
        </w:rPr>
      </w:pPr>
      <w:r>
        <w:rPr>
          <w:sz w:val="24"/>
          <w:lang w:eastAsia="zh-CN"/>
        </w:rPr>
        <w:t>供应商提供的货物、工程或者服务符合下列情形的，享受中小企业扶持政策：</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（1）在货物采购项目中，货物由中小企业制造，即货物由中小企业生产且使用该中小企业商号或者注册商标；</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（2）在工程采购项目中，工程由中小企业承建，即工程施工单位为中小企业；</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pPr>
        <w:pStyle w:val="41"/>
        <w:numPr>
          <w:ilvl w:val="3"/>
          <w:numId w:val="4"/>
        </w:numPr>
        <w:tabs>
          <w:tab w:val="left" w:pos="2127"/>
        </w:tabs>
        <w:spacing w:before="58" w:line="360" w:lineRule="auto"/>
        <w:ind w:left="2127" w:right="96"/>
        <w:rPr>
          <w:sz w:val="24"/>
          <w:lang w:eastAsia="zh-CN"/>
        </w:rPr>
      </w:pPr>
      <w:r>
        <w:rPr>
          <w:sz w:val="24"/>
          <w:lang w:eastAsia="zh-CN"/>
        </w:rPr>
        <w:t>在货物采购项目中，供应商提供的货物既有中小企业制造货物，也有大型企业制造货物的，不享受中小企业扶持政策。</w:t>
      </w:r>
    </w:p>
    <w:p>
      <w:pPr>
        <w:pStyle w:val="41"/>
        <w:numPr>
          <w:ilvl w:val="3"/>
          <w:numId w:val="4"/>
        </w:numPr>
        <w:tabs>
          <w:tab w:val="left" w:pos="2127"/>
        </w:tabs>
        <w:spacing w:before="58" w:line="360" w:lineRule="auto"/>
        <w:ind w:left="1985" w:right="96" w:hanging="567"/>
        <w:rPr>
          <w:sz w:val="24"/>
          <w:lang w:eastAsia="zh-CN"/>
        </w:rPr>
      </w:pPr>
      <w:r>
        <w:rPr>
          <w:sz w:val="24"/>
          <w:lang w:eastAsia="zh-CN"/>
        </w:rPr>
        <w:t>以联合体形式参加政府采购活动，联合体各方均为中小企业的，联合体视同中小企业。其中，联合体各方均为小微企业的，联合体视同小微企业。</w:t>
      </w:r>
    </w:p>
    <w:p>
      <w:pPr>
        <w:pStyle w:val="41"/>
        <w:numPr>
          <w:ilvl w:val="2"/>
          <w:numId w:val="4"/>
        </w:numPr>
        <w:tabs>
          <w:tab w:val="left" w:pos="426"/>
          <w:tab w:val="left" w:pos="1201"/>
          <w:tab w:val="left" w:pos="1202"/>
        </w:tabs>
        <w:spacing w:before="26" w:line="358" w:lineRule="auto"/>
        <w:ind w:left="425" w:right="94" w:firstLine="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在政府采购活动中，监狱企业视同小型、微型企业，享受预留份额、评审中价格扣除等政府采购促进中小企业发展的政府采购政策</w:t>
      </w:r>
      <w:r>
        <w:rPr>
          <w:rFonts w:asciiTheme="minorEastAsia" w:hAnsiTheme="minorEastAsia" w:eastAsiaTheme="minorEastAsia"/>
          <w:spacing w:val="-108"/>
          <w:sz w:val="24"/>
          <w:szCs w:val="24"/>
          <w:lang w:eastAsia="zh-CN"/>
        </w:rPr>
        <w:t>。</w:t>
      </w:r>
      <w:r>
        <w:rPr>
          <w:rFonts w:asciiTheme="minorEastAsia" w:hAnsiTheme="minorEastAsia" w:eastAsiaTheme="minorEastAsia"/>
          <w:sz w:val="24"/>
          <w:szCs w:val="24"/>
          <w:lang w:eastAsia="zh-CN"/>
        </w:rPr>
        <w:t>监狱企业定义</w:t>
      </w:r>
      <w:r>
        <w:rPr>
          <w:rFonts w:asciiTheme="minorEastAsia" w:hAnsiTheme="minorEastAsia" w:eastAsiaTheme="minorEastAsia"/>
          <w:spacing w:val="-56"/>
          <w:sz w:val="24"/>
          <w:szCs w:val="24"/>
          <w:lang w:eastAsia="zh-CN"/>
        </w:rPr>
        <w:t>：</w:t>
      </w:r>
      <w:r>
        <w:rPr>
          <w:rFonts w:asciiTheme="minorEastAsia" w:hAnsiTheme="minorEastAsia" w:eastAsiaTheme="minorEastAsia"/>
          <w:sz w:val="24"/>
          <w:szCs w:val="24"/>
          <w:lang w:eastAsia="zh-CN"/>
        </w:rPr>
        <w:t>是指由司法部认定的为罪犯</w:t>
      </w:r>
      <w:r>
        <w:rPr>
          <w:rFonts w:asciiTheme="minorEastAsia" w:hAnsiTheme="minorEastAsia" w:eastAsiaTheme="minorEastAsia"/>
          <w:spacing w:val="-53"/>
          <w:sz w:val="24"/>
          <w:szCs w:val="24"/>
          <w:lang w:eastAsia="zh-CN"/>
        </w:rPr>
        <w:t>、</w:t>
      </w:r>
      <w:r>
        <w:rPr>
          <w:rFonts w:asciiTheme="minorEastAsia" w:hAnsiTheme="minorEastAsia" w:eastAsiaTheme="minorEastAsia"/>
          <w:sz w:val="24"/>
          <w:szCs w:val="24"/>
          <w:lang w:eastAsia="zh-CN"/>
        </w:rPr>
        <w:t>戒毒人员提供生产项目和劳动对象</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且全部产权属于司法部监狱管理局</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戒毒管理局</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直属煤矿管理局</w:t>
      </w:r>
      <w:r>
        <w:rPr>
          <w:rFonts w:asciiTheme="minorEastAsia" w:hAnsiTheme="minorEastAsia" w:eastAsiaTheme="minorEastAsia"/>
          <w:spacing w:val="-19"/>
          <w:sz w:val="24"/>
          <w:szCs w:val="24"/>
          <w:lang w:eastAsia="zh-CN"/>
        </w:rPr>
        <w:t>，</w:t>
      </w:r>
      <w:r>
        <w:rPr>
          <w:rFonts w:asciiTheme="minorEastAsia" w:hAnsiTheme="minorEastAsia" w:eastAsiaTheme="minorEastAsia"/>
          <w:sz w:val="24"/>
          <w:szCs w:val="24"/>
          <w:lang w:eastAsia="zh-CN"/>
        </w:rPr>
        <w:t>各省</w:t>
      </w:r>
      <w:r>
        <w:rPr>
          <w:rFonts w:asciiTheme="minorEastAsia" w:hAnsiTheme="minorEastAsia" w:eastAsiaTheme="minorEastAsia"/>
          <w:spacing w:val="-17"/>
          <w:sz w:val="24"/>
          <w:szCs w:val="24"/>
          <w:lang w:eastAsia="zh-CN"/>
        </w:rPr>
        <w:t>、</w:t>
      </w:r>
      <w:r>
        <w:rPr>
          <w:rFonts w:asciiTheme="minorEastAsia" w:hAnsiTheme="minorEastAsia" w:eastAsiaTheme="minorEastAsia"/>
          <w:sz w:val="24"/>
          <w:szCs w:val="24"/>
          <w:lang w:eastAsia="zh-CN"/>
        </w:rPr>
        <w:t>自治区</w:t>
      </w:r>
      <w:r>
        <w:rPr>
          <w:rFonts w:asciiTheme="minorEastAsia" w:hAnsiTheme="minorEastAsia" w:eastAsiaTheme="minorEastAsia"/>
          <w:spacing w:val="-20"/>
          <w:sz w:val="24"/>
          <w:szCs w:val="24"/>
          <w:lang w:eastAsia="zh-CN"/>
        </w:rPr>
        <w:t>、</w:t>
      </w:r>
      <w:r>
        <w:rPr>
          <w:rFonts w:asciiTheme="minorEastAsia" w:hAnsiTheme="minorEastAsia" w:eastAsiaTheme="minorEastAsia"/>
          <w:sz w:val="24"/>
          <w:szCs w:val="24"/>
          <w:lang w:eastAsia="zh-CN"/>
        </w:rPr>
        <w:t>直辖市监狱管理局</w:t>
      </w:r>
      <w:r>
        <w:rPr>
          <w:rFonts w:asciiTheme="minorEastAsia" w:hAnsiTheme="minorEastAsia" w:eastAsiaTheme="minorEastAsia"/>
          <w:spacing w:val="-17"/>
          <w:sz w:val="24"/>
          <w:szCs w:val="24"/>
          <w:lang w:eastAsia="zh-CN"/>
        </w:rPr>
        <w:t>、</w:t>
      </w:r>
      <w:r>
        <w:rPr>
          <w:rFonts w:asciiTheme="minorEastAsia" w:hAnsiTheme="minorEastAsia" w:eastAsiaTheme="minorEastAsia"/>
          <w:sz w:val="24"/>
          <w:szCs w:val="24"/>
          <w:lang w:eastAsia="zh-CN"/>
        </w:rPr>
        <w:t>戒毒管理局</w:t>
      </w:r>
      <w:r>
        <w:rPr>
          <w:rFonts w:asciiTheme="minorEastAsia" w:hAnsiTheme="minorEastAsia" w:eastAsiaTheme="minorEastAsia"/>
          <w:spacing w:val="-19"/>
          <w:sz w:val="24"/>
          <w:szCs w:val="24"/>
          <w:lang w:eastAsia="zh-CN"/>
        </w:rPr>
        <w:t>，</w:t>
      </w:r>
      <w:r>
        <w:rPr>
          <w:rFonts w:asciiTheme="minorEastAsia" w:hAnsiTheme="minorEastAsia" w:eastAsiaTheme="minorEastAsia"/>
          <w:sz w:val="24"/>
          <w:szCs w:val="24"/>
          <w:lang w:eastAsia="zh-CN"/>
        </w:rPr>
        <w:t>各</w:t>
      </w:r>
      <w:r>
        <w:rPr>
          <w:rFonts w:asciiTheme="minorEastAsia" w:hAnsiTheme="minorEastAsia" w:eastAsiaTheme="minorEastAsia"/>
          <w:spacing w:val="-17"/>
          <w:sz w:val="24"/>
          <w:szCs w:val="24"/>
          <w:lang w:eastAsia="zh-CN"/>
        </w:rPr>
        <w:t>地</w:t>
      </w:r>
      <w:r>
        <w:rPr>
          <w:rFonts w:asciiTheme="minorEastAsia" w:hAnsiTheme="minorEastAsia" w:eastAsiaTheme="minorEastAsia"/>
          <w:sz w:val="24"/>
          <w:szCs w:val="24"/>
          <w:lang w:eastAsia="zh-CN"/>
        </w:rPr>
        <w:t>（设区的市</w:t>
      </w:r>
      <w:r>
        <w:rPr>
          <w:rFonts w:asciiTheme="minorEastAsia" w:hAnsiTheme="minorEastAsia" w:eastAsiaTheme="minorEastAsia"/>
          <w:spacing w:val="-29"/>
          <w:sz w:val="24"/>
          <w:szCs w:val="24"/>
          <w:lang w:eastAsia="zh-CN"/>
        </w:rPr>
        <w:t>）</w:t>
      </w:r>
      <w:r>
        <w:rPr>
          <w:rFonts w:asciiTheme="minorEastAsia" w:hAnsiTheme="minorEastAsia" w:eastAsiaTheme="minorEastAsia"/>
          <w:sz w:val="24"/>
          <w:szCs w:val="24"/>
          <w:lang w:eastAsia="zh-CN"/>
        </w:rPr>
        <w:t>监狱</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强制隔离戒毒所</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戒毒康复所</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以及新疆生产建设兵团监狱管理局、戒毒管理局的企业。</w:t>
      </w:r>
    </w:p>
    <w:p>
      <w:pPr>
        <w:pStyle w:val="41"/>
        <w:numPr>
          <w:ilvl w:val="2"/>
          <w:numId w:val="4"/>
        </w:numPr>
        <w:tabs>
          <w:tab w:val="left" w:pos="426"/>
          <w:tab w:val="left" w:pos="1201"/>
          <w:tab w:val="left" w:pos="1202"/>
        </w:tabs>
        <w:spacing w:before="26" w:line="358" w:lineRule="auto"/>
        <w:ind w:left="425" w:right="94" w:firstLine="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41"/>
        <w:numPr>
          <w:ilvl w:val="3"/>
          <w:numId w:val="4"/>
        </w:numPr>
        <w:tabs>
          <w:tab w:val="left" w:pos="2127"/>
        </w:tabs>
        <w:spacing w:before="58" w:line="360" w:lineRule="auto"/>
        <w:ind w:left="1985" w:right="-45" w:hanging="567"/>
        <w:rPr>
          <w:sz w:val="24"/>
          <w:lang w:eastAsia="zh-CN"/>
        </w:rPr>
      </w:pPr>
      <w:bookmarkStart w:id="24" w:name="OLE_LINK2"/>
      <w:r>
        <w:rPr>
          <w:sz w:val="24"/>
          <w:lang w:eastAsia="zh-CN"/>
        </w:rPr>
        <w:t>安置的残疾人占本单位在职职</w:t>
      </w:r>
      <w:bookmarkEnd w:id="24"/>
      <w:r>
        <w:rPr>
          <w:sz w:val="24"/>
          <w:lang w:eastAsia="zh-CN"/>
        </w:rPr>
        <w:t>工人数的比例不低于 25%（含 25%），并且安置的残疾人人数不少于 10 人（含 10人）；</w:t>
      </w:r>
    </w:p>
    <w:p>
      <w:pPr>
        <w:pStyle w:val="41"/>
        <w:numPr>
          <w:ilvl w:val="3"/>
          <w:numId w:val="4"/>
        </w:numPr>
        <w:tabs>
          <w:tab w:val="left" w:pos="2127"/>
        </w:tabs>
        <w:spacing w:before="58" w:line="360" w:lineRule="auto"/>
        <w:ind w:left="1985" w:right="-45" w:hanging="567"/>
        <w:rPr>
          <w:sz w:val="24"/>
          <w:lang w:eastAsia="zh-CN"/>
        </w:rPr>
      </w:pPr>
      <w:r>
        <w:rPr>
          <w:sz w:val="24"/>
          <w:lang w:eastAsia="zh-CN"/>
        </w:rPr>
        <w:t>依法与安置的每位残疾人签订了一年以上（含一年）的劳动合同或服务协议；</w:t>
      </w:r>
    </w:p>
    <w:p>
      <w:pPr>
        <w:pStyle w:val="41"/>
        <w:numPr>
          <w:ilvl w:val="3"/>
          <w:numId w:val="4"/>
        </w:numPr>
        <w:tabs>
          <w:tab w:val="left" w:pos="2127"/>
        </w:tabs>
        <w:spacing w:before="58" w:line="360" w:lineRule="auto"/>
        <w:ind w:left="1985" w:right="-45" w:hanging="567"/>
        <w:rPr>
          <w:sz w:val="24"/>
          <w:lang w:eastAsia="zh-CN"/>
        </w:rPr>
      </w:pPr>
      <w:r>
        <w:rPr>
          <w:sz w:val="24"/>
          <w:lang w:eastAsia="zh-CN"/>
        </w:rPr>
        <w:t>为安置的每位残疾人按月足额缴纳了基本养老保险、基本医疗保险、失业保险、工伤保险和生育保险等社会保险费；</w:t>
      </w:r>
    </w:p>
    <w:p>
      <w:pPr>
        <w:pStyle w:val="41"/>
        <w:numPr>
          <w:ilvl w:val="3"/>
          <w:numId w:val="4"/>
        </w:numPr>
        <w:tabs>
          <w:tab w:val="left" w:pos="2127"/>
        </w:tabs>
        <w:spacing w:before="58" w:line="360" w:lineRule="auto"/>
        <w:ind w:left="1985" w:right="-45" w:hanging="567"/>
        <w:rPr>
          <w:sz w:val="24"/>
          <w:lang w:eastAsia="zh-CN"/>
        </w:rPr>
      </w:pPr>
      <w:r>
        <w:rPr>
          <w:sz w:val="24"/>
          <w:lang w:eastAsia="zh-CN"/>
        </w:rPr>
        <w:t>通过银行等金融机构向安置的每位残疾人，按月支付了不低于单位所在区县适用的经省级人民政府批准的月最低工资标准的工资；</w:t>
      </w:r>
    </w:p>
    <w:p>
      <w:pPr>
        <w:pStyle w:val="41"/>
        <w:numPr>
          <w:ilvl w:val="3"/>
          <w:numId w:val="4"/>
        </w:numPr>
        <w:tabs>
          <w:tab w:val="left" w:pos="2127"/>
        </w:tabs>
        <w:spacing w:before="4" w:line="360" w:lineRule="auto"/>
        <w:ind w:left="1985" w:right="-45" w:hanging="567"/>
        <w:rPr>
          <w:rFonts w:asciiTheme="minorEastAsia" w:hAnsiTheme="minorEastAsia" w:eastAsiaTheme="minorEastAsia"/>
          <w:sz w:val="18"/>
          <w:lang w:eastAsia="zh-CN"/>
        </w:rPr>
      </w:pPr>
      <w:r>
        <w:rPr>
          <w:sz w:val="24"/>
          <w:lang w:eastAsia="zh-CN"/>
        </w:rPr>
        <w:t>提供本单位制造的货物、承担的工程或者服务（以下简称产品），或者提供其他残疾人福利性单位制造的货物（不包括使用非残疾人福利性单位注册商标的货物）；</w:t>
      </w:r>
    </w:p>
    <w:p>
      <w:pPr>
        <w:pStyle w:val="41"/>
        <w:numPr>
          <w:ilvl w:val="3"/>
          <w:numId w:val="4"/>
        </w:numPr>
        <w:tabs>
          <w:tab w:val="left" w:pos="2127"/>
        </w:tabs>
        <w:spacing w:before="58" w:line="360" w:lineRule="auto"/>
        <w:ind w:left="1985" w:right="-45" w:hanging="567"/>
        <w:rPr>
          <w:sz w:val="24"/>
          <w:lang w:eastAsia="zh-CN"/>
        </w:rPr>
      </w:pPr>
      <w:r>
        <w:rPr>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41"/>
        <w:numPr>
          <w:ilvl w:val="2"/>
          <w:numId w:val="4"/>
        </w:numPr>
        <w:tabs>
          <w:tab w:val="left" w:pos="1320"/>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本项目是否专门面向中小企业预留采购份额见第一章《采购邀请</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2"/>
          <w:numId w:val="4"/>
        </w:numPr>
        <w:tabs>
          <w:tab w:val="left" w:pos="1320"/>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采购标的对应的中小企业划分标准所属行业见《供应商须知资料表》。</w:t>
      </w:r>
    </w:p>
    <w:p>
      <w:pPr>
        <w:pStyle w:val="41"/>
        <w:numPr>
          <w:ilvl w:val="2"/>
          <w:numId w:val="4"/>
        </w:numPr>
        <w:spacing w:before="43"/>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小微企业价格评审优惠的政策调整：见第三章《评审方法和评审标准》。</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w:t>
      </w:r>
    </w:p>
    <w:p>
      <w:pPr>
        <w:pStyle w:val="41"/>
        <w:numPr>
          <w:ilvl w:val="2"/>
          <w:numId w:val="4"/>
        </w:numPr>
        <w:tabs>
          <w:tab w:val="left" w:pos="1320"/>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政府采购节能产品、环境标志产品实施品目清单管理。财政部、发展改革委</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生态环境部等部门根据产品节能环保性能</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技术水平和市场成熟程度等因素</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确定实施政府优先采购和强制采购的产品类别及所依据的相关标准规范</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以品目清单的形式发布并适时调整</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依据品目清单和认证证书实施政府优先采购和强制采购。</w:t>
      </w:r>
    </w:p>
    <w:p>
      <w:pPr>
        <w:pStyle w:val="41"/>
        <w:numPr>
          <w:ilvl w:val="2"/>
          <w:numId w:val="4"/>
        </w:numPr>
        <w:tabs>
          <w:tab w:val="left" w:pos="1320"/>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如本项目采购产品属于实施政府强制采购品目清单范围的节能产品，则供应商所报产品必须获得国家确定的认证机构出具的、处于有效期之内的节能产品认证证书，否则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非政府强制采购的节能产品或环境标志产品，依据品目清单和认证证书实施政府优先采购。优先采购的具体规定见第三章《评审方法和评审标准》（如涉及）。</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正版软件</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网络安全专用产品</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cstheme="minorEastAsia"/>
          <w:sz w:val="24"/>
          <w:szCs w:val="24"/>
          <w:lang w:eastAsia="zh-CN"/>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stheme="minorEastAsia"/>
          <w:sz w:val="24"/>
          <w:szCs w:val="24"/>
          <w:lang w:eastAsia="zh-CN"/>
        </w:rPr>
        <w:tab/>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推广使用低挥发性有机化合物（VOCs）</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含量限制标准（具体标准见第四章《采购需求》），否则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；属于推荐性标准的，优先采购，具体见第三章《评审方法和评审标准》。</w:t>
      </w:r>
    </w:p>
    <w:p>
      <w:pPr>
        <w:pStyle w:val="41"/>
        <w:numPr>
          <w:ilvl w:val="1"/>
          <w:numId w:val="4"/>
        </w:numPr>
        <w:tabs>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采购需求标准</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商品包装、快递包装政府采购需求标准（试行）</w:t>
      </w:r>
    </w:p>
    <w:p>
      <w:pPr>
        <w:pStyle w:val="12"/>
        <w:spacing w:before="134" w:line="350" w:lineRule="auto"/>
        <w:ind w:left="2106" w:right="228"/>
        <w:jc w:val="both"/>
        <w:rPr>
          <w:rFonts w:asciiTheme="minorEastAsia" w:hAnsiTheme="minorEastAsia" w:eastAsiaTheme="minorEastAsia"/>
          <w:szCs w:val="22"/>
          <w:lang w:eastAsia="zh-CN"/>
        </w:rPr>
      </w:pPr>
      <w:r>
        <w:rPr>
          <w:rFonts w:asciiTheme="minorEastAsia" w:hAnsiTheme="minorEastAsia" w:eastAsiaTheme="minorEastAsia"/>
          <w:szCs w:val="22"/>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其他政府采购需求标准</w:t>
      </w:r>
    </w:p>
    <w:p>
      <w:pPr>
        <w:pStyle w:val="12"/>
        <w:spacing w:before="134" w:line="350" w:lineRule="auto"/>
        <w:ind w:left="2106" w:right="228"/>
        <w:jc w:val="both"/>
        <w:rPr>
          <w:rFonts w:asciiTheme="minorEastAsia" w:hAnsiTheme="minorEastAsia" w:eastAsiaTheme="minorEastAsia"/>
          <w:szCs w:val="22"/>
          <w:lang w:eastAsia="zh-CN"/>
        </w:rPr>
      </w:pPr>
      <w:r>
        <w:rPr>
          <w:rFonts w:hint="eastAsia" w:asciiTheme="minorEastAsia" w:hAnsiTheme="minorEastAsia" w:eastAsiaTheme="minorEastAsia"/>
          <w:szCs w:val="22"/>
          <w:lang w:eastAsia="zh-CN"/>
        </w:rPr>
        <w:t>为贯彻落实《深化政府采购制度改革方案》有关要求，推动政府采购需求标准建设，财政部门会同有关部门制定发布的其他政府采购需求标准，本项目如涉及，则具体要求见第四章《采购需求》。</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lang w:eastAsia="zh-CN"/>
        </w:rPr>
      </w:pPr>
      <w:r>
        <w:rPr>
          <w:rFonts w:asciiTheme="minorEastAsia" w:hAnsiTheme="minorEastAsia" w:eastAsiaTheme="minorEastAsia"/>
          <w:sz w:val="24"/>
          <w:lang w:eastAsia="zh-CN"/>
        </w:rPr>
        <w:t>响应费用</w:t>
      </w:r>
    </w:p>
    <w:p>
      <w:pPr>
        <w:pStyle w:val="41"/>
        <w:numPr>
          <w:ilvl w:val="1"/>
          <w:numId w:val="4"/>
        </w:numPr>
        <w:tabs>
          <w:tab w:val="left" w:pos="880"/>
          <w:tab w:val="left" w:pos="2102"/>
        </w:tabs>
        <w:spacing w:before="1" w:line="360" w:lineRule="auto"/>
        <w:ind w:right="94"/>
        <w:rPr>
          <w:rFonts w:asciiTheme="minorEastAsia" w:hAnsiTheme="minorEastAsia" w:eastAsiaTheme="minorEastAsia"/>
          <w:sz w:val="20"/>
          <w:lang w:eastAsia="zh-CN"/>
        </w:rPr>
      </w:pPr>
      <w:r>
        <w:rPr>
          <w:rFonts w:asciiTheme="minorEastAsia" w:hAnsiTheme="minorEastAsia" w:eastAsiaTheme="minorEastAsia"/>
          <w:sz w:val="24"/>
          <w:lang w:eastAsia="zh-CN"/>
        </w:rPr>
        <w:t>供应商应自行承担所有与准备和参加磋商有关的费用，无论磋商的结果如何，采购人或采购代理机构在任何情况下均无承担这些费用的义务和责任。</w:t>
      </w:r>
    </w:p>
    <w:p>
      <w:pPr>
        <w:pStyle w:val="5"/>
        <w:rPr>
          <w:rFonts w:asciiTheme="minorEastAsia" w:hAnsiTheme="minorEastAsia" w:eastAsiaTheme="minorEastAsia"/>
          <w:b/>
          <w:lang w:eastAsia="zh-CN"/>
        </w:rPr>
      </w:pPr>
      <w:bookmarkStart w:id="25" w:name="_Toc164263453"/>
      <w:r>
        <w:rPr>
          <w:rFonts w:asciiTheme="minorEastAsia" w:hAnsiTheme="minorEastAsia" w:eastAsiaTheme="minorEastAsia"/>
          <w:b/>
          <w:lang w:eastAsia="zh-CN"/>
        </w:rPr>
        <w:t>二</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竞争性磋商文件</w:t>
      </w:r>
      <w:bookmarkEnd w:id="25"/>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竞争性磋商文件构成</w:t>
      </w:r>
    </w:p>
    <w:p>
      <w:pPr>
        <w:pStyle w:val="41"/>
        <w:numPr>
          <w:ilvl w:val="1"/>
          <w:numId w:val="4"/>
        </w:numPr>
        <w:tabs>
          <w:tab w:val="left" w:pos="1201"/>
          <w:tab w:val="left" w:pos="1202"/>
          <w:tab w:val="left" w:pos="2641"/>
        </w:tabs>
        <w:spacing w:before="137" w:line="338" w:lineRule="auto"/>
        <w:ind w:left="1566" w:right="2079" w:hanging="1085"/>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竞争性磋商文件包括以下部分：</w:t>
      </w:r>
    </w:p>
    <w:p>
      <w:pPr>
        <w:pStyle w:val="41"/>
        <w:tabs>
          <w:tab w:val="left" w:pos="1201"/>
          <w:tab w:val="left" w:pos="1202"/>
          <w:tab w:val="left" w:pos="2641"/>
        </w:tabs>
        <w:spacing w:before="137" w:line="360" w:lineRule="auto"/>
        <w:ind w:left="1565" w:right="2079" w:firstLine="0"/>
        <w:rPr>
          <w:rFonts w:asciiTheme="minorEastAsia" w:hAnsiTheme="minorEastAsia" w:eastAsiaTheme="minorEastAsia"/>
          <w:sz w:val="24"/>
          <w:lang w:eastAsia="zh-CN"/>
        </w:rPr>
      </w:pPr>
      <w:r>
        <w:rPr>
          <w:rFonts w:asciiTheme="minorEastAsia" w:hAnsiTheme="minorEastAsia" w:eastAsiaTheme="minorEastAsia"/>
          <w:sz w:val="24"/>
          <w:lang w:eastAsia="zh-CN"/>
        </w:rPr>
        <w:t>第一章</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采购邀请</w:t>
      </w:r>
    </w:p>
    <w:p>
      <w:pPr>
        <w:pStyle w:val="12"/>
        <w:tabs>
          <w:tab w:val="left" w:pos="2641"/>
        </w:tabs>
        <w:spacing w:before="55" w:line="360" w:lineRule="auto"/>
        <w:ind w:left="1565"/>
        <w:rPr>
          <w:rFonts w:asciiTheme="minorEastAsia" w:hAnsiTheme="minorEastAsia" w:eastAsiaTheme="minorEastAsia"/>
          <w:lang w:eastAsia="zh-CN"/>
        </w:rPr>
      </w:pPr>
      <w:r>
        <w:rPr>
          <w:rFonts w:asciiTheme="minorEastAsia" w:hAnsiTheme="minorEastAsia" w:eastAsiaTheme="minorEastAsia"/>
          <w:lang w:eastAsia="zh-CN"/>
        </w:rPr>
        <w:t>第二章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供应商须知</w:t>
      </w:r>
    </w:p>
    <w:p>
      <w:pPr>
        <w:pStyle w:val="12"/>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第三章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评审方法和评审标准</w:t>
      </w:r>
    </w:p>
    <w:p>
      <w:pPr>
        <w:pStyle w:val="12"/>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第四章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采购需求</w:t>
      </w:r>
    </w:p>
    <w:p>
      <w:pPr>
        <w:pStyle w:val="12"/>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第五章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合同草案条款</w:t>
      </w:r>
    </w:p>
    <w:p>
      <w:pPr>
        <w:pStyle w:val="12"/>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响应文件格式</w:t>
      </w:r>
    </w:p>
    <w:p>
      <w:pPr>
        <w:pStyle w:val="41"/>
        <w:numPr>
          <w:ilvl w:val="1"/>
          <w:numId w:val="4"/>
        </w:numPr>
        <w:tabs>
          <w:tab w:val="left" w:pos="1202"/>
        </w:tabs>
        <w:spacing w:before="36" w:line="348" w:lineRule="auto"/>
        <w:ind w:left="1201" w:right="23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供应商应认真阅</w:t>
      </w:r>
      <w:r>
        <w:rPr>
          <w:rFonts w:asciiTheme="minorEastAsia" w:hAnsiTheme="minorEastAsia" w:eastAsiaTheme="minorEastAsia"/>
          <w:sz w:val="24"/>
          <w:lang w:eastAsia="zh-CN"/>
        </w:rPr>
        <w:t>读</w:t>
      </w:r>
      <w:r>
        <w:rPr>
          <w:rFonts w:asciiTheme="minorEastAsia" w:hAnsiTheme="minorEastAsia" w:eastAsiaTheme="minorEastAsia"/>
          <w:spacing w:val="2"/>
          <w:sz w:val="24"/>
          <w:lang w:eastAsia="zh-CN"/>
        </w:rPr>
        <w:t>竞争性磋商文件的全部内容。供应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应按照竞争性磋商</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件要求提交响应</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件并保证所提供的全部资料的真实</w:t>
      </w:r>
      <w:r>
        <w:rPr>
          <w:rFonts w:asciiTheme="minorEastAsia" w:hAnsiTheme="minorEastAsia" w:eastAsiaTheme="minorEastAsia"/>
          <w:sz w:val="24"/>
          <w:lang w:eastAsia="zh-CN"/>
        </w:rPr>
        <w:t>性</w:t>
      </w:r>
      <w:r>
        <w:rPr>
          <w:rFonts w:asciiTheme="minorEastAsia" w:hAnsiTheme="minorEastAsia" w:eastAsiaTheme="minorEastAsia"/>
          <w:spacing w:val="2"/>
          <w:sz w:val="24"/>
          <w:lang w:eastAsia="zh-CN"/>
        </w:rPr>
        <w:t>，并对竞争性磋商</w:t>
      </w:r>
      <w:r>
        <w:rPr>
          <w:rFonts w:asciiTheme="minorEastAsia" w:hAnsiTheme="minorEastAsia" w:eastAsiaTheme="minorEastAsia"/>
          <w:sz w:val="24"/>
          <w:lang w:eastAsia="zh-CN"/>
        </w:rPr>
        <w:t>文件做出实质性响应，否</w:t>
      </w:r>
      <w:r>
        <w:rPr>
          <w:rFonts w:asciiTheme="minorEastAsia" w:hAnsiTheme="minorEastAsia" w:eastAsiaTheme="minorEastAsia"/>
          <w:spacing w:val="-1"/>
          <w:sz w:val="24"/>
          <w:lang w:eastAsia="zh-CN"/>
        </w:rPr>
        <w:t>则</w:t>
      </w:r>
      <w:r>
        <w:rPr>
          <w:rFonts w:asciiTheme="minorEastAsia" w:hAnsiTheme="minorEastAsia" w:eastAsiaTheme="minorEastAsia"/>
          <w:b/>
          <w:sz w:val="24"/>
          <w:lang w:eastAsia="zh-CN"/>
        </w:rPr>
        <w:t>响</w:t>
      </w:r>
      <w:r>
        <w:rPr>
          <w:rFonts w:asciiTheme="minorEastAsia" w:hAnsiTheme="minorEastAsia" w:eastAsiaTheme="minorEastAsia"/>
          <w:b/>
          <w:spacing w:val="2"/>
          <w:sz w:val="24"/>
          <w:lang w:eastAsia="zh-CN"/>
        </w:rPr>
        <w:t>应</w:t>
      </w:r>
      <w:r>
        <w:rPr>
          <w:rFonts w:asciiTheme="minorEastAsia" w:hAnsiTheme="minorEastAsia" w:eastAsiaTheme="minorEastAsia"/>
          <w:b/>
          <w:sz w:val="24"/>
          <w:lang w:eastAsia="zh-CN"/>
        </w:rPr>
        <w:t>无</w:t>
      </w:r>
      <w:r>
        <w:rPr>
          <w:rFonts w:asciiTheme="minorEastAsia" w:hAnsiTheme="minorEastAsia" w:eastAsiaTheme="minorEastAsia"/>
          <w:b/>
          <w:spacing w:val="-1"/>
          <w:sz w:val="24"/>
          <w:lang w:eastAsia="zh-CN"/>
        </w:rPr>
        <w:t>效</w:t>
      </w:r>
      <w:r>
        <w:rPr>
          <w:rFonts w:asciiTheme="minorEastAsia" w:hAnsiTheme="minorEastAsia" w:eastAsiaTheme="minorEastAsia"/>
          <w:sz w:val="24"/>
          <w:lang w:eastAsia="zh-CN"/>
        </w:rPr>
        <w:t>。</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对竞争性磋商文件的澄清或修改</w:t>
      </w:r>
    </w:p>
    <w:p>
      <w:pPr>
        <w:pStyle w:val="41"/>
        <w:numPr>
          <w:ilvl w:val="1"/>
          <w:numId w:val="4"/>
        </w:numPr>
        <w:tabs>
          <w:tab w:val="left" w:pos="1202"/>
        </w:tabs>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上述书面通知，按照获取竞争性磋商文件的潜在供应商提供的联系方式发出，因提供的信息有误导致通知延迟或无法通知的，采购人或采购代理机构不承担责任。</w:t>
      </w:r>
    </w:p>
    <w:p>
      <w:pPr>
        <w:pStyle w:val="41"/>
        <w:numPr>
          <w:ilvl w:val="1"/>
          <w:numId w:val="4"/>
        </w:numPr>
        <w:spacing w:before="36" w:line="348" w:lineRule="auto"/>
        <w:ind w:left="1201" w:right="231"/>
        <w:jc w:val="both"/>
        <w:rPr>
          <w:rFonts w:asciiTheme="minorEastAsia" w:hAnsiTheme="minorEastAsia" w:eastAsiaTheme="minorEastAsia"/>
          <w:lang w:eastAsia="zh-CN"/>
        </w:rPr>
      </w:pPr>
      <w:r>
        <w:rPr>
          <w:rFonts w:hint="eastAsia" w:asciiTheme="minorEastAsia" w:hAnsiTheme="minorEastAsia" w:eastAsiaTheme="minorEastAsia"/>
          <w:spacing w:val="2"/>
          <w:sz w:val="24"/>
          <w:lang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个工作日前，以书面形式通知所有获取磋商文件的供应商；不足上述时间的，将顺延提交首次响应文件截止时</w:t>
      </w:r>
      <w:r>
        <w:rPr>
          <w:rFonts w:asciiTheme="minorEastAsia" w:hAnsiTheme="minorEastAsia" w:eastAsiaTheme="minorEastAsia"/>
          <w:spacing w:val="2"/>
          <w:sz w:val="24"/>
          <w:lang w:eastAsia="zh-CN"/>
        </w:rPr>
        <w:t>间。</w:t>
      </w:r>
    </w:p>
    <w:p>
      <w:pPr>
        <w:pStyle w:val="5"/>
        <w:rPr>
          <w:rFonts w:asciiTheme="minorEastAsia" w:hAnsiTheme="minorEastAsia" w:eastAsiaTheme="minorEastAsia"/>
          <w:b/>
          <w:lang w:eastAsia="zh-CN"/>
        </w:rPr>
      </w:pPr>
      <w:bookmarkStart w:id="26" w:name="_Toc164263454"/>
      <w:r>
        <w:rPr>
          <w:rFonts w:asciiTheme="minorEastAsia" w:hAnsiTheme="minorEastAsia" w:eastAsiaTheme="minorEastAsia"/>
          <w:b/>
          <w:lang w:eastAsia="zh-CN"/>
        </w:rPr>
        <w:t>三</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响应文件的编制</w:t>
      </w:r>
      <w:bookmarkEnd w:id="26"/>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响应范围、竞争性磋商文件中计量单位的使用及磋商语言</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除竞争性磋商文件有特殊要求外，本项目磋商所使用的计量单位，应采用中华人民共和国法定计量单位。</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响应文件构成</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供应商应当按照竞争性磋商文件的要求编制响应文件，并对其提交的响应文件的真实性、合法性承担法律责任。响应文件的部分格式要求，见第六章《响应文件格式》。</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如供应商须知资料表要求递交纸质版响应文件，则响应文件为上传至平台系统电子版的打印件，左侧胶装装订。纸质版响应文件按照环保节约原则，具备条件的文档建议可双面打印。副本（如要求）可以是正本的复印件（如复印件时副本封皮需加盖公章）。</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响应文件正本、副本（如要求）应装袋密封，封口处加盖投标人公章。封皮上写明：①响应文件正本</w:t>
      </w:r>
      <w:r>
        <w:rPr>
          <w:rFonts w:asciiTheme="minorEastAsia" w:hAnsiTheme="minorEastAsia" w:eastAsiaTheme="minorEastAsia"/>
          <w:spacing w:val="2"/>
          <w:sz w:val="24"/>
          <w:lang w:eastAsia="zh-CN"/>
        </w:rPr>
        <w:t>/副本</w:t>
      </w:r>
      <w:r>
        <w:rPr>
          <w:rFonts w:hint="eastAsia" w:asciiTheme="minorEastAsia" w:hAnsiTheme="minorEastAsia" w:eastAsiaTheme="minorEastAsia"/>
          <w:spacing w:val="2"/>
          <w:sz w:val="24"/>
          <w:lang w:eastAsia="zh-CN"/>
        </w:rPr>
        <w:t>（如要求）</w:t>
      </w:r>
      <w:r>
        <w:rPr>
          <w:rFonts w:asciiTheme="minorEastAsia" w:hAnsiTheme="minorEastAsia" w:eastAsiaTheme="minorEastAsia"/>
          <w:spacing w:val="2"/>
          <w:sz w:val="24"/>
          <w:lang w:eastAsia="zh-CN"/>
        </w:rPr>
        <w:t>、②采购编号、③项目名称、④包号（如有分包的项目填写）、⑤投标人名称、⑥开标时启封。</w:t>
      </w:r>
      <w:r>
        <w:rPr>
          <w:rFonts w:hint="eastAsia" w:asciiTheme="minorEastAsia" w:hAnsiTheme="minorEastAsia" w:eastAsiaTheme="minorEastAsia"/>
          <w:spacing w:val="2"/>
          <w:sz w:val="24"/>
          <w:lang w:eastAsia="zh-CN"/>
        </w:rPr>
        <w:tab/>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。未标记“实质性格式”的文件和竞争性磋商文件未提供格式的内容，可由供应商自行编写。</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第三章《评审方法和评审标准》中涉及的证明文件。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供应商认为应附的其他材料。</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报价</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所有响应均以人民币报价。</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pPr>
        <w:pStyle w:val="41"/>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响应货物及标准附件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备品备件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专用工具等的出厂</w:t>
      </w:r>
      <w:r>
        <w:rPr>
          <w:rFonts w:asciiTheme="minorEastAsia" w:hAnsiTheme="minorEastAsia" w:eastAsiaTheme="minorEastAsia"/>
          <w:spacing w:val="-36"/>
          <w:sz w:val="24"/>
          <w:szCs w:val="24"/>
          <w:lang w:eastAsia="zh-CN"/>
        </w:rPr>
        <w:t>价</w:t>
      </w:r>
      <w:r>
        <w:rPr>
          <w:rFonts w:asciiTheme="minorEastAsia" w:hAnsiTheme="minorEastAsia" w:eastAsiaTheme="minorEastAsia"/>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pPr>
        <w:pStyle w:val="41"/>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按照竞争性磋商文件要求完成本项目的全部相关费用。</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采购人不得向供应商索要或者接受其给予的赠品、回扣或者与采购无关的其他商品、服务。</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供应商不能提供任何有选择性或可调整的最后报价（竞争性磋商文件另有规定的除外），否则其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供应商应按《供应商须知资料表》中规定的金额及要求交纳磋商保证金。</w:t>
      </w:r>
      <w:r>
        <w:rPr>
          <w:rFonts w:hint="eastAsia" w:asciiTheme="minorEastAsia" w:hAnsiTheme="minorEastAsia" w:eastAsiaTheme="minorEastAsia"/>
          <w:spacing w:val="2"/>
          <w:sz w:val="24"/>
          <w:lang w:eastAsia="zh-CN"/>
        </w:rPr>
        <w:t>供应商自愿超额缴纳磋商保证金的，响应文件不做无效处理。</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交纳磋商保证金可采用的形式：政府采购法律法规接受的支票、汇票、本票、网上银行支付或者金融机构、担保机构出具的保函等非现金形式。</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磋商保证金到账（保函提交）截止时间同首次响应文件提交截止时间。以支票、汇票、本票、网上银行支付等形式提交磋商保证金的，</w:t>
      </w:r>
      <w:r>
        <w:rPr>
          <w:rFonts w:hint="eastAsia" w:asciiTheme="minorEastAsia" w:hAnsiTheme="minorEastAsia" w:eastAsiaTheme="minorEastAsia"/>
          <w:spacing w:val="2"/>
          <w:sz w:val="24"/>
          <w:lang w:eastAsia="zh-CN"/>
        </w:rPr>
        <w:t>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r>
        <w:rPr>
          <w:rFonts w:asciiTheme="minorEastAsia" w:hAnsiTheme="minorEastAsia" w:eastAsiaTheme="minorEastAsia"/>
          <w:spacing w:val="2"/>
          <w:sz w:val="24"/>
          <w:lang w:eastAsia="zh-CN"/>
        </w:rPr>
        <w:t>。</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供应商除需在响应文件中提供“磋商保证金凭证/交款单据电子件”，还需在首次响应文件提交截止时间前，通过电子交易平台上传“磋商保证金凭证/交款单据电子件”</w:t>
      </w:r>
      <w:r>
        <w:rPr>
          <w:rFonts w:asciiTheme="minorEastAsia" w:hAnsiTheme="minorEastAsia" w:eastAsiaTheme="minorEastAsia"/>
          <w:spacing w:val="2"/>
          <w:sz w:val="24"/>
          <w:lang w:eastAsia="zh-CN"/>
        </w:rPr>
        <w:t>。</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磋商保证金有效期同响应有效期。</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供应商为联合体的，可以由联合体中的一方或者多方共同交纳磋商保证金，其交纳的保证金对联合体各方均具有约束力。</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lang w:eastAsia="zh-CN"/>
        </w:rPr>
      </w:pPr>
      <w:r>
        <w:rPr>
          <w:rFonts w:asciiTheme="minorEastAsia" w:hAnsiTheme="minorEastAsia" w:eastAsiaTheme="minorEastAsia"/>
          <w:spacing w:val="-4"/>
          <w:sz w:val="24"/>
          <w:lang w:eastAsia="zh-CN"/>
        </w:rPr>
        <w:t>已提交响应文件的供应商，在提交最后报价之前，可以根据磋商情况</w:t>
      </w:r>
      <w:r>
        <w:rPr>
          <w:rFonts w:asciiTheme="minorEastAsia" w:hAnsiTheme="minorEastAsia" w:eastAsiaTheme="minorEastAsia"/>
          <w:lang w:eastAsia="zh-CN"/>
        </w:rPr>
        <w:t>退出磋商</w:t>
      </w:r>
      <w:r>
        <w:rPr>
          <w:rFonts w:asciiTheme="minorEastAsia" w:hAnsiTheme="minorEastAsia" w:eastAsiaTheme="minorEastAsia"/>
          <w:spacing w:val="-56"/>
          <w:lang w:eastAsia="zh-CN"/>
        </w:rPr>
        <w:t>。</w:t>
      </w:r>
      <w:r>
        <w:rPr>
          <w:rFonts w:asciiTheme="minorEastAsia" w:hAnsiTheme="minorEastAsia" w:eastAsiaTheme="minorEastAsia"/>
          <w:lang w:eastAsia="zh-CN"/>
        </w:rPr>
        <w:t>采购人</w:t>
      </w:r>
      <w:r>
        <w:rPr>
          <w:rFonts w:asciiTheme="minorEastAsia" w:hAnsiTheme="minorEastAsia" w:eastAsiaTheme="minorEastAsia"/>
          <w:spacing w:val="-53"/>
          <w:lang w:eastAsia="zh-CN"/>
        </w:rPr>
        <w:t>、</w:t>
      </w:r>
      <w:r>
        <w:rPr>
          <w:rFonts w:asciiTheme="minorEastAsia" w:hAnsiTheme="minorEastAsia" w:eastAsiaTheme="minorEastAsia"/>
          <w:lang w:eastAsia="zh-CN"/>
        </w:rPr>
        <w:t>采购代理机构将退还退出磋商的供应商的磋商保证金；</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成交供应商的磋商保证金，在采购合同签订后 5 个工作日内退还成交供应商；</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未成交供应商的磋商保证金，在成交通知书发出后 5 个工作日内退还。</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有下列情形之一的，采购人或采购代理机构不予退还磋商保证金：</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供应商在提交响应文件截止时间后撤回响应文件的；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供应商在响应文件中提供虚假材料的；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除因不可抗力或磋商文件认可的情形以外，成交供应商不与采购人签订合同的；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供应商与采购人、其他供应商或者采购代理机构恶意串通的；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《供应商须知资料表》规定的其他情形。</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响应有效期</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响应文件的签署、盖章</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Style w:val="41"/>
        <w:numPr>
          <w:ilvl w:val="1"/>
          <w:numId w:val="4"/>
        </w:numPr>
        <w:spacing w:before="10" w:line="348" w:lineRule="auto"/>
        <w:ind w:left="1201" w:right="231"/>
        <w:jc w:val="both"/>
        <w:rPr>
          <w:rFonts w:asciiTheme="minorEastAsia" w:hAnsiTheme="minorEastAsia" w:eastAsiaTheme="minorEastAsia"/>
          <w:sz w:val="16"/>
          <w:lang w:eastAsia="zh-CN"/>
        </w:rPr>
      </w:pPr>
      <w:r>
        <w:rPr>
          <w:rFonts w:asciiTheme="minorEastAsia" w:hAnsiTheme="minorEastAsia" w:eastAsiaTheme="minorEastAsia"/>
          <w:spacing w:val="2"/>
          <w:sz w:val="24"/>
          <w:lang w:eastAsia="zh-CN"/>
        </w:rPr>
        <w:t>竞争性磋商文件要求盖章的内容，一般通过投标文件编制工具加盖电子签章。</w:t>
      </w:r>
    </w:p>
    <w:p>
      <w:pPr>
        <w:pStyle w:val="5"/>
        <w:rPr>
          <w:rFonts w:asciiTheme="minorEastAsia" w:hAnsiTheme="minorEastAsia" w:eastAsiaTheme="minorEastAsia"/>
          <w:b/>
          <w:lang w:eastAsia="zh-CN"/>
        </w:rPr>
      </w:pPr>
      <w:bookmarkStart w:id="27" w:name="_Toc164263455"/>
      <w:r>
        <w:rPr>
          <w:rFonts w:asciiTheme="minorEastAsia" w:hAnsiTheme="minorEastAsia" w:eastAsiaTheme="minorEastAsia"/>
          <w:b/>
          <w:lang w:eastAsia="zh-CN"/>
        </w:rPr>
        <w:t>四</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响应文件的提交</w:t>
      </w:r>
      <w:bookmarkEnd w:id="27"/>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响应文件的提交</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本项目使用北京市政府采购电子交易平台。供应商根据竞争性磋商文件及电子交易平台供应商操作手册要求编制、生成并提交电子响应文件。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采购人及采购代理机构拒绝接受通过电子交易平台以外任何形式提交的首次</w:t>
      </w:r>
      <w:r>
        <w:rPr>
          <w:rFonts w:hint="eastAsia"/>
          <w:color w:val="000000"/>
          <w:sz w:val="24"/>
          <w:lang w:eastAsia="zh-CN"/>
        </w:rPr>
        <w:t>响应文件，磋商保证金除外。</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响应文件提交截止时间</w:t>
      </w:r>
    </w:p>
    <w:p>
      <w:pPr>
        <w:pStyle w:val="41"/>
        <w:numPr>
          <w:ilvl w:val="1"/>
          <w:numId w:val="4"/>
        </w:numPr>
        <w:tabs>
          <w:tab w:val="left" w:pos="1197"/>
        </w:tabs>
        <w:spacing w:before="43" w:line="338" w:lineRule="auto"/>
        <w:ind w:right="113"/>
        <w:jc w:val="both"/>
        <w:rPr>
          <w:rFonts w:asciiTheme="minorEastAsia" w:hAnsiTheme="minorEastAsia" w:eastAsiaTheme="minorEastAsia"/>
          <w:sz w:val="24"/>
          <w:lang w:eastAsia="zh-CN"/>
        </w:rPr>
      </w:pPr>
      <w:r>
        <w:rPr>
          <w:rFonts w:hint="eastAsia" w:asciiTheme="minorEastAsia" w:hAnsiTheme="minorEastAsia" w:eastAsiaTheme="minorEastAsia"/>
          <w:spacing w:val="2"/>
          <w:sz w:val="24"/>
          <w:lang w:eastAsia="zh-CN"/>
        </w:rPr>
        <w:t>供应商应在竞争性磋商文件要求响应文件提交截止时间前，将电子响应文件提交至电子交易平台。</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响应文件的修改与撤回</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spacing w:val="2"/>
          <w:sz w:val="24"/>
          <w:lang w:eastAsia="zh-CN"/>
        </w:rPr>
        <w:t>。</w:t>
      </w:r>
    </w:p>
    <w:p>
      <w:pPr>
        <w:pStyle w:val="41"/>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供应商对响应文件的补充、修改的内容应当按照竞争性磋商文件要求签署、盖章，作为响应文件的组成部分。补充、修改的内容与响应文件不一致的，以补充、修改的内容为准。</w:t>
      </w:r>
    </w:p>
    <w:p>
      <w:pPr>
        <w:pStyle w:val="12"/>
        <w:spacing w:before="11"/>
        <w:rPr>
          <w:rFonts w:asciiTheme="minorEastAsia" w:hAnsiTheme="minorEastAsia" w:eastAsiaTheme="minorEastAsia"/>
          <w:sz w:val="13"/>
          <w:lang w:eastAsia="zh-CN"/>
        </w:rPr>
      </w:pPr>
    </w:p>
    <w:p>
      <w:pPr>
        <w:pStyle w:val="5"/>
        <w:rPr>
          <w:rFonts w:asciiTheme="minorEastAsia" w:hAnsiTheme="minorEastAsia" w:eastAsiaTheme="minorEastAsia"/>
          <w:b/>
          <w:lang w:eastAsia="zh-CN"/>
        </w:rPr>
      </w:pPr>
      <w:bookmarkStart w:id="28" w:name="_Toc164263456"/>
      <w:r>
        <w:rPr>
          <w:rFonts w:asciiTheme="minorEastAsia" w:hAnsiTheme="minorEastAsia" w:eastAsiaTheme="minorEastAsia"/>
          <w:b/>
          <w:lang w:eastAsia="zh-CN"/>
        </w:rPr>
        <w:t>五</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评审</w:t>
      </w:r>
      <w:bookmarkEnd w:id="28"/>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响应文件的解密与开启</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采购人或采购代理机构将按竞争性磋商文件的规定，在响应文件提交截止时间的同一时间和竞争性磋商文件预先确定的地点开启响应文件。</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本项目解密使用北京市政府采购电子交易平台。供应商应在《供应商须知资料表》规定的时间内对响应文件进行解密，因非系统原因导致的解密失败，</w:t>
      </w:r>
      <w:r>
        <w:rPr>
          <w:rFonts w:asciiTheme="minorEastAsia" w:hAnsiTheme="minorEastAsia" w:eastAsiaTheme="minorEastAsia"/>
          <w:spacing w:val="2"/>
          <w:sz w:val="24"/>
          <w:lang w:eastAsia="zh-CN"/>
        </w:rPr>
        <w:t>视为</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供应商不足 3 家的，不予解密。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本项目不公开报价。</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磋商小组</w:t>
      </w:r>
    </w:p>
    <w:p>
      <w:pPr>
        <w:pStyle w:val="41"/>
        <w:numPr>
          <w:ilvl w:val="1"/>
          <w:numId w:val="4"/>
        </w:numPr>
        <w:tabs>
          <w:tab w:val="left" w:pos="1197"/>
        </w:tabs>
        <w:spacing w:before="43" w:line="338" w:lineRule="auto"/>
        <w:ind w:right="113"/>
        <w:jc w:val="both"/>
        <w:rPr>
          <w:rFonts w:asciiTheme="minorEastAsia" w:hAnsiTheme="minorEastAsia" w:eastAsiaTheme="minorEastAsia"/>
          <w:b/>
          <w:spacing w:val="2"/>
          <w:sz w:val="24"/>
          <w:lang w:eastAsia="zh-CN"/>
        </w:rPr>
      </w:pPr>
      <w:r>
        <w:rPr>
          <w:rFonts w:asciiTheme="minorEastAsia" w:hAnsiTheme="minorEastAsia" w:eastAsiaTheme="minorEastAsia"/>
          <w:spacing w:val="2"/>
          <w:sz w:val="24"/>
          <w:lang w:eastAsia="zh-CN"/>
        </w:rPr>
        <w:t>磋商小组根据政府采购有关规定和本次采购项目的特点进行组建，并负责具体评审与磋商事务，独立履行职责。</w:t>
      </w:r>
      <w:r>
        <w:rPr>
          <w:rFonts w:hint="eastAsia" w:asciiTheme="minorEastAsia" w:hAnsiTheme="minorEastAsia" w:eastAsiaTheme="minorEastAsia"/>
          <w:b/>
          <w:spacing w:val="2"/>
          <w:sz w:val="24"/>
          <w:lang w:eastAsia="zh-CN"/>
        </w:rPr>
        <w:t>评标委员会由采购人代表和评审专家共</w:t>
      </w:r>
      <w:r>
        <w:rPr>
          <w:rFonts w:asciiTheme="minorEastAsia" w:hAnsiTheme="minorEastAsia" w:eastAsiaTheme="minorEastAsia"/>
          <w:b/>
          <w:spacing w:val="2"/>
          <w:sz w:val="24"/>
          <w:lang w:eastAsia="zh-CN"/>
        </w:rPr>
        <w:t>3人组成，甲方代表1人，北京市专家库系统随机抽取专家2人。</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pStyle w:val="41"/>
        <w:numPr>
          <w:ilvl w:val="0"/>
          <w:numId w:val="4"/>
        </w:numPr>
        <w:tabs>
          <w:tab w:val="left" w:pos="482"/>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41"/>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见第三章《评审方法和评审标准》。</w:t>
      </w:r>
    </w:p>
    <w:p>
      <w:pPr>
        <w:pStyle w:val="5"/>
        <w:rPr>
          <w:rFonts w:asciiTheme="minorEastAsia" w:hAnsiTheme="minorEastAsia" w:eastAsiaTheme="minorEastAsia"/>
          <w:b/>
          <w:lang w:eastAsia="zh-CN"/>
        </w:rPr>
      </w:pPr>
      <w:bookmarkStart w:id="29" w:name="_Toc164263457"/>
      <w:r>
        <w:rPr>
          <w:rFonts w:asciiTheme="minorEastAsia" w:hAnsiTheme="minorEastAsia" w:eastAsiaTheme="minorEastAsia"/>
          <w:b/>
          <w:lang w:eastAsia="zh-CN"/>
        </w:rPr>
        <w:t>六</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确定成交</w:t>
      </w:r>
      <w:bookmarkEnd w:id="29"/>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确定成交供应商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Style w:val="41"/>
        <w:numPr>
          <w:ilvl w:val="0"/>
          <w:numId w:val="4"/>
        </w:numPr>
        <w:tabs>
          <w:tab w:val="left" w:pos="477"/>
        </w:tabs>
        <w:spacing w:line="482" w:lineRule="exact"/>
        <w:ind w:right="6306" w:hanging="355"/>
        <w:rPr>
          <w:rFonts w:asciiTheme="minorEastAsia" w:hAnsiTheme="minorEastAsia" w:eastAsiaTheme="minorEastAsia"/>
          <w:sz w:val="24"/>
        </w:rPr>
      </w:pPr>
      <w:r>
        <w:rPr>
          <w:rFonts w:hint="eastAsia" w:asciiTheme="minorEastAsia" w:hAnsiTheme="minorEastAsia" w:eastAsiaTheme="minorEastAsia"/>
          <w:sz w:val="24"/>
          <w:lang w:eastAsia="zh-CN"/>
        </w:rPr>
        <w:t>成交公告与成交通知书</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采购人或采购代理机构将在成交供应商确定后 2 个工作日内，在北京市政府采购网公告成交结果，同时向成交供应商发出成交通知书，成交公告期限为</w:t>
      </w:r>
      <w:r>
        <w:rPr>
          <w:rFonts w:asciiTheme="minorEastAsia" w:hAnsiTheme="minorEastAsia" w:eastAsiaTheme="minorEastAsia"/>
          <w:spacing w:val="2"/>
          <w:sz w:val="24"/>
          <w:lang w:eastAsia="zh-CN"/>
        </w:rPr>
        <w:t>1个工作日。</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成交通知书对采购人和成交供应商均具有法律效力。成交通知书发出后，采购人改变成交结果的，或者成交供应商放弃成交项目的，应当依法承担法律责任。</w:t>
      </w:r>
    </w:p>
    <w:p>
      <w:pPr>
        <w:pStyle w:val="12"/>
        <w:spacing w:before="6"/>
        <w:rPr>
          <w:rFonts w:asciiTheme="minorEastAsia" w:hAnsiTheme="minorEastAsia" w:eastAsiaTheme="minorEastAsia"/>
          <w:sz w:val="8"/>
          <w:lang w:eastAsia="zh-CN"/>
        </w:rPr>
      </w:pP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终止</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出现下列情形之一的，采购人或采购代理机构将终止竞争性磋商采购活动，发布项目终止公告并说明原因，重新开展采购活动：</w:t>
      </w:r>
    </w:p>
    <w:p>
      <w:pPr>
        <w:pStyle w:val="41"/>
        <w:numPr>
          <w:ilvl w:val="2"/>
          <w:numId w:val="4"/>
        </w:numPr>
        <w:tabs>
          <w:tab w:val="left" w:pos="119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因情况变化，不再符合规定的竞争性磋商采购方式适用</w:t>
      </w:r>
      <w:r>
        <w:rPr>
          <w:rFonts w:asciiTheme="minorEastAsia" w:hAnsiTheme="minorEastAsia" w:eastAsiaTheme="minorEastAsia"/>
          <w:sz w:val="24"/>
          <w:lang w:eastAsia="zh-CN"/>
        </w:rPr>
        <w:t>情形的；</w:t>
      </w:r>
    </w:p>
    <w:p>
      <w:pPr>
        <w:pStyle w:val="41"/>
        <w:numPr>
          <w:ilvl w:val="2"/>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出现影响采购公正的违法、违规行为的；</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除了“市场竞争不充分的科研项目，以及需要扶持的科技成果转化项目，提交最后报价的供应商可以为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签订合同</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采购人与成交供应商应当在成交通知书发出之日起 30 日内，按照磋商文件确定的合同文本以及采购标的、规格型号、采购金额、采购数量、技术和服务要求等事项签订政府采购合同。</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联合体成交的，联合体各方应当共同与采购人签订合同，就采购合同约定的事项向采购人承担连带责任。</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政府采购合同不能转包。</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。成交供应商就采购项目和分包项目向采购人负责，分包供应商就分包项目承担责任。</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询问与质疑</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询问</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供应商对政府采购活动事项有疑问的，可依法向采购人或采购代理机构提出询问，提出形式见《供应商须知资料表》。</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采购人或采购代理机构对供应商依法提出的询问，在 3 个工作日内作出答复，但答复的内容不得涉及商业秘密。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质疑</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质疑函须使用财政部制定的范本文件。供应商为自然人的，质疑函应当由本人签字；供应商为法人或者其他组织的，质疑函应当由法定代表人、主要负责人，或者其授权代表签字或者盖章，并加盖公章。</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w:t>
      </w:r>
      <w:r>
        <w:rPr>
          <w:rFonts w:asciiTheme="minorEastAsia" w:hAnsiTheme="minorEastAsia" w:eastAsiaTheme="minorEastAsia"/>
          <w:spacing w:val="2"/>
          <w:sz w:val="24"/>
          <w:lang w:eastAsia="zh-CN"/>
        </w:rPr>
        <w:t>或者盖章，并加盖公章。</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供应商应在法定质疑期内一次性提出针对同一采购程序环节的质疑，法定质疑期内针对同一采购程序环节再次提出的质疑，采购人、采购代理机构有权不予答复。</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接收询问和质疑的联系部门、联系电话和通讯地址见《供应商须知资料表》。</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代理费</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收费对象、收费标准及缴纳时间见《供应商须知资料表》。由成交供应商支付的，成交供应商须一次性向采购代理机构缴纳代理费，报价应包含代理费用。</w:t>
      </w:r>
    </w:p>
    <w:p>
      <w:pPr>
        <w:pStyle w:val="41"/>
        <w:tabs>
          <w:tab w:val="left" w:pos="1197"/>
        </w:tabs>
        <w:spacing w:before="43" w:line="338" w:lineRule="auto"/>
        <w:ind w:left="992" w:right="113" w:firstLine="0"/>
        <w:jc w:val="both"/>
        <w:rPr>
          <w:rFonts w:asciiTheme="minorEastAsia" w:hAnsiTheme="minorEastAsia" w:eastAsiaTheme="minorEastAsia"/>
          <w:spacing w:val="2"/>
          <w:sz w:val="24"/>
          <w:lang w:eastAsia="zh-CN"/>
        </w:rPr>
      </w:pPr>
    </w:p>
    <w:p>
      <w:pPr>
        <w:spacing w:line="185" w:lineRule="exact"/>
        <w:rPr>
          <w:rFonts w:asciiTheme="minorEastAsia" w:hAnsiTheme="minorEastAsia" w:eastAsiaTheme="minorEastAsia"/>
          <w:lang w:eastAsia="zh-CN"/>
        </w:rPr>
        <w:sectPr>
          <w:footerReference r:id="rId5" w:type="default"/>
          <w:pgSz w:w="11910" w:h="16840"/>
          <w:pgMar w:top="1440" w:right="1797" w:bottom="1440" w:left="1797" w:header="879" w:footer="892" w:gutter="0"/>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30" w:name="_TOC_250003"/>
      <w:bookmarkEnd w:id="30"/>
      <w:bookmarkStart w:id="31" w:name="_Toc164263458"/>
      <w:r>
        <w:rPr>
          <w:rFonts w:asciiTheme="minorEastAsia" w:hAnsiTheme="minorEastAsia" w:eastAsiaTheme="minorEastAsia"/>
          <w:b/>
          <w:lang w:eastAsia="zh-CN"/>
        </w:rPr>
        <w:t>第三章评审方法和评审标准</w:t>
      </w:r>
      <w:bookmarkEnd w:id="31"/>
    </w:p>
    <w:p>
      <w:pPr>
        <w:pStyle w:val="5"/>
        <w:rPr>
          <w:rFonts w:asciiTheme="minorEastAsia" w:hAnsiTheme="minorEastAsia" w:eastAsiaTheme="minorEastAsia"/>
          <w:sz w:val="33"/>
          <w:lang w:eastAsia="zh-CN"/>
        </w:rPr>
      </w:pPr>
      <w:bookmarkStart w:id="32" w:name="_Toc164263459"/>
      <w:r>
        <w:rPr>
          <w:rFonts w:asciiTheme="minorEastAsia" w:hAnsiTheme="minorEastAsia" w:eastAsiaTheme="minorEastAsia"/>
          <w:b/>
          <w:lang w:eastAsia="zh-CN"/>
        </w:rPr>
        <w:t>一、资格审查程序</w:t>
      </w:r>
      <w:bookmarkEnd w:id="32"/>
    </w:p>
    <w:p>
      <w:pPr>
        <w:pStyle w:val="41"/>
        <w:numPr>
          <w:ilvl w:val="0"/>
          <w:numId w:val="5"/>
        </w:numPr>
        <w:tabs>
          <w:tab w:val="left" w:pos="477"/>
        </w:tabs>
        <w:spacing w:line="492" w:lineRule="exact"/>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响应文件的资格审查和符合性审查</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处理，磋商小组应当告知提交响应文件的供应商。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《资格审查要求》中对格式有要求的，除竞争性磋商文件另有规定外，均为“实质性格式”文件。</w:t>
      </w:r>
    </w:p>
    <w:p>
      <w:pPr>
        <w:pStyle w:val="41"/>
        <w:numPr>
          <w:ilvl w:val="1"/>
          <w:numId w:val="6"/>
        </w:numPr>
        <w:tabs>
          <w:tab w:val="left" w:pos="47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《资格审查要求》见下表：</w:t>
      </w:r>
    </w:p>
    <w:p>
      <w:pPr>
        <w:pStyle w:val="5"/>
        <w:rPr>
          <w:rFonts w:asciiTheme="minorEastAsia" w:hAnsiTheme="minorEastAsia" w:eastAsiaTheme="minorEastAsia"/>
          <w:b/>
          <w:lang w:eastAsia="zh-CN"/>
        </w:rPr>
      </w:pPr>
      <w:bookmarkStart w:id="33" w:name="_Toc164263460"/>
      <w:r>
        <w:rPr>
          <w:rFonts w:asciiTheme="minorEastAsia" w:hAnsiTheme="minorEastAsia" w:eastAsiaTheme="minorEastAsia"/>
          <w:b/>
          <w:lang w:eastAsia="zh-CN"/>
        </w:rPr>
        <w:t>资格审查要求</w:t>
      </w:r>
      <w:bookmarkEnd w:id="33"/>
    </w:p>
    <w:p>
      <w:pPr>
        <w:pStyle w:val="12"/>
        <w:spacing w:before="5" w:after="1"/>
        <w:rPr>
          <w:rFonts w:asciiTheme="minorEastAsia" w:hAnsiTheme="minorEastAsia" w:eastAsiaTheme="minorEastAsia"/>
          <w:sz w:val="14"/>
        </w:rPr>
      </w:pPr>
    </w:p>
    <w:tbl>
      <w:tblPr>
        <w:tblStyle w:val="40"/>
        <w:tblW w:w="85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562"/>
        <w:gridCol w:w="4295"/>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757"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1562" w:type="dxa"/>
            <w:vAlign w:val="center"/>
          </w:tcPr>
          <w:p>
            <w:pPr>
              <w:jc w:val="center"/>
              <w:rPr>
                <w:rFonts w:asciiTheme="minorEastAsia" w:hAnsiTheme="minorEastAsia" w:eastAsiaTheme="minorEastAsia"/>
                <w:b/>
              </w:rPr>
            </w:pPr>
            <w:r>
              <w:rPr>
                <w:rFonts w:asciiTheme="minorEastAsia" w:hAnsiTheme="minorEastAsia" w:eastAsiaTheme="minorEastAsia"/>
                <w:b/>
              </w:rPr>
              <w:t>检查因素</w:t>
            </w:r>
          </w:p>
        </w:tc>
        <w:tc>
          <w:tcPr>
            <w:tcW w:w="4295" w:type="dxa"/>
            <w:vAlign w:val="center"/>
          </w:tcPr>
          <w:p>
            <w:pPr>
              <w:jc w:val="center"/>
              <w:rPr>
                <w:rFonts w:asciiTheme="minorEastAsia" w:hAnsiTheme="minorEastAsia" w:eastAsiaTheme="minorEastAsia"/>
                <w:b/>
              </w:rPr>
            </w:pPr>
            <w:r>
              <w:rPr>
                <w:rFonts w:asciiTheme="minorEastAsia" w:hAnsiTheme="minorEastAsia" w:eastAsiaTheme="minorEastAsia"/>
                <w:b/>
              </w:rPr>
              <w:t>检查内容</w:t>
            </w:r>
          </w:p>
        </w:tc>
        <w:tc>
          <w:tcPr>
            <w:tcW w:w="1927" w:type="dxa"/>
            <w:vAlign w:val="center"/>
          </w:tcPr>
          <w:p>
            <w:pPr>
              <w:jc w:val="center"/>
              <w:rPr>
                <w:rFonts w:asciiTheme="minorEastAsia" w:hAnsiTheme="minorEastAsia" w:eastAsiaTheme="minorEastAsia"/>
                <w:b/>
              </w:rPr>
            </w:pPr>
            <w:r>
              <w:rPr>
                <w:rFonts w:asciiTheme="minorEastAsia" w:hAnsiTheme="minorEastAsia" w:eastAsiaTheme="minorEastAsia"/>
                <w:b/>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757" w:type="dxa"/>
            <w:vAlign w:val="center"/>
          </w:tcPr>
          <w:p>
            <w:pPr>
              <w:pStyle w:val="39"/>
              <w:jc w:val="center"/>
              <w:rPr>
                <w:rFonts w:asciiTheme="minorEastAsia" w:hAnsiTheme="minorEastAsia" w:eastAsiaTheme="minorEastAsia"/>
              </w:rPr>
            </w:pPr>
            <w:r>
              <w:rPr>
                <w:rFonts w:asciiTheme="minorEastAsia" w:hAnsiTheme="minorEastAsia" w:eastAsiaTheme="minorEastAsia"/>
                <w:w w:val="114"/>
              </w:rPr>
              <w:t>1</w:t>
            </w:r>
          </w:p>
        </w:tc>
        <w:tc>
          <w:tcPr>
            <w:tcW w:w="1562" w:type="dxa"/>
            <w:vAlign w:val="center"/>
          </w:tcPr>
          <w:p>
            <w:pPr>
              <w:pStyle w:val="39"/>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满足《中华人民共和国政府采购法》第二十二条规定</w:t>
            </w:r>
          </w:p>
        </w:tc>
        <w:tc>
          <w:tcPr>
            <w:tcW w:w="4295"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具体规定见第一章《采购邀请》</w:t>
            </w:r>
          </w:p>
        </w:tc>
        <w:tc>
          <w:tcPr>
            <w:tcW w:w="1927"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2" w:hRule="exact"/>
        </w:trPr>
        <w:tc>
          <w:tcPr>
            <w:tcW w:w="757" w:type="dxa"/>
            <w:vAlign w:val="center"/>
          </w:tcPr>
          <w:p>
            <w:pPr>
              <w:pStyle w:val="39"/>
              <w:jc w:val="center"/>
              <w:rPr>
                <w:rFonts w:asciiTheme="minorEastAsia" w:hAnsiTheme="minorEastAsia" w:eastAsiaTheme="minorEastAsia"/>
                <w:w w:val="114"/>
              </w:rPr>
            </w:pPr>
            <w:r>
              <w:rPr>
                <w:rFonts w:asciiTheme="minorEastAsia" w:hAnsiTheme="minorEastAsia" w:eastAsiaTheme="minorEastAsia"/>
                <w:w w:val="114"/>
              </w:rPr>
              <w:t>1-1</w:t>
            </w:r>
          </w:p>
        </w:tc>
        <w:tc>
          <w:tcPr>
            <w:tcW w:w="1562" w:type="dxa"/>
            <w:vAlign w:val="center"/>
          </w:tcPr>
          <w:p>
            <w:pPr>
              <w:pStyle w:val="39"/>
              <w:spacing w:line="312" w:lineRule="exact"/>
              <w:jc w:val="center"/>
              <w:rPr>
                <w:rFonts w:asciiTheme="minorEastAsia" w:hAnsiTheme="minorEastAsia" w:eastAsiaTheme="minorEastAsia"/>
                <w:w w:val="114"/>
              </w:rPr>
            </w:pPr>
            <w:r>
              <w:rPr>
                <w:rFonts w:asciiTheme="minorEastAsia" w:hAnsiTheme="minorEastAsia" w:eastAsiaTheme="minorEastAsia"/>
                <w:lang w:eastAsia="zh-CN"/>
              </w:rPr>
              <w:t>营业执照等证明文件</w:t>
            </w:r>
          </w:p>
        </w:tc>
        <w:tc>
          <w:tcPr>
            <w:tcW w:w="4295"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供应商为企业（包括合伙企业）的，应提供有效的“营业执照”；</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供应商为事业单位的，应提供有效的“事业单位法人证书”；</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供应商是非企业机构的，应提供有效的“执业许可证”、“登记证书”等证明文件；</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供应商是个体工商户的，应提供有效的“个体工商户营业执照”；</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供应商是自然人的，应提供有效的自然人身份证明。</w:t>
            </w:r>
          </w:p>
          <w:p>
            <w:pPr>
              <w:pStyle w:val="39"/>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分支机构参加响</w:t>
            </w:r>
            <w:r>
              <w:rPr>
                <w:rFonts w:asciiTheme="minorEastAsia" w:hAnsiTheme="minorEastAsia" w:eastAsiaTheme="minorEastAsia"/>
                <w:u w:val="single"/>
                <w:lang w:eastAsia="zh-CN"/>
              </w:rPr>
              <w:t>应的，应提供该分支机构或其所属法人/其他组织的相应证明文件；同时还应提供其所属法人/其他组</w:t>
            </w:r>
            <w:r>
              <w:rPr>
                <w:rFonts w:asciiTheme="minorEastAsia" w:hAnsiTheme="minorEastAsia" w:eastAsiaTheme="minorEastAsia"/>
                <w:lang w:eastAsia="zh-CN"/>
              </w:rPr>
              <w:t>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927" w:type="dxa"/>
            <w:vAlign w:val="center"/>
          </w:tcPr>
          <w:p>
            <w:pPr>
              <w:pStyle w:val="39"/>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提供证明文件的电子件或电子证照</w:t>
            </w:r>
          </w:p>
        </w:tc>
      </w:tr>
    </w:tbl>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tbl>
      <w:tblPr>
        <w:tblStyle w:val="40"/>
        <w:tblpPr w:leftFromText="180" w:rightFromText="180" w:horzAnchor="margin" w:tblpXSpec="center" w:tblpY="620"/>
        <w:tblW w:w="10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654"/>
        <w:gridCol w:w="86"/>
        <w:gridCol w:w="5094"/>
        <w:gridCol w:w="2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tcPr>
          <w:p>
            <w:pPr>
              <w:pStyle w:val="39"/>
              <w:spacing w:before="169"/>
              <w:ind w:left="158" w:right="157"/>
              <w:jc w:val="center"/>
              <w:rPr>
                <w:rFonts w:asciiTheme="minorEastAsia" w:hAnsiTheme="minorEastAsia" w:eastAsiaTheme="minorEastAsia"/>
              </w:rPr>
            </w:pPr>
            <w:r>
              <w:rPr>
                <w:rFonts w:asciiTheme="minorEastAsia" w:hAnsiTheme="minorEastAsia" w:eastAsiaTheme="minorEastAsia"/>
                <w:w w:val="115"/>
              </w:rPr>
              <w:t>1-2</w:t>
            </w:r>
          </w:p>
        </w:tc>
        <w:tc>
          <w:tcPr>
            <w:tcW w:w="1740" w:type="dxa"/>
            <w:gridSpan w:val="2"/>
          </w:tcPr>
          <w:p>
            <w:pPr>
              <w:pStyle w:val="39"/>
              <w:spacing w:line="276" w:lineRule="exact"/>
              <w:ind w:left="102"/>
              <w:rPr>
                <w:rFonts w:asciiTheme="minorEastAsia" w:hAnsiTheme="minorEastAsia" w:eastAsiaTheme="minorEastAsia"/>
              </w:rPr>
            </w:pPr>
            <w:r>
              <w:rPr>
                <w:rFonts w:asciiTheme="minorEastAsia" w:hAnsiTheme="minorEastAsia" w:eastAsiaTheme="minorEastAsia"/>
              </w:rPr>
              <w:t>供应商资格声明书</w:t>
            </w:r>
          </w:p>
        </w:tc>
        <w:tc>
          <w:tcPr>
            <w:tcW w:w="5094" w:type="dxa"/>
          </w:tcPr>
          <w:p>
            <w:pPr>
              <w:rPr>
                <w:lang w:eastAsia="zh-CN"/>
              </w:rPr>
            </w:pPr>
            <w:r>
              <w:rPr>
                <w:lang w:eastAsia="zh-CN"/>
              </w:rPr>
              <w:t>提供了符合竞争性磋商文件要求的《供应商</w:t>
            </w:r>
          </w:p>
          <w:p>
            <w:r>
              <w:t>资格声明书》。</w:t>
            </w:r>
          </w:p>
        </w:tc>
        <w:tc>
          <w:tcPr>
            <w:tcW w:w="2463" w:type="dxa"/>
          </w:tcPr>
          <w:p>
            <w:pPr>
              <w:pStyle w:val="39"/>
              <w:spacing w:line="276" w:lineRule="exact"/>
              <w:ind w:left="102"/>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4" w:hRule="atLeast"/>
        </w:trPr>
        <w:tc>
          <w:tcPr>
            <w:tcW w:w="848" w:type="dxa"/>
            <w:vAlign w:val="center"/>
          </w:tcPr>
          <w:p>
            <w:pPr>
              <w:pStyle w:val="39"/>
              <w:ind w:left="158" w:right="157"/>
              <w:jc w:val="both"/>
              <w:rPr>
                <w:rFonts w:asciiTheme="minorEastAsia" w:hAnsiTheme="minorEastAsia" w:eastAsiaTheme="minorEastAsia"/>
                <w:lang w:eastAsia="zh-CN"/>
              </w:rPr>
            </w:pPr>
            <w:r>
              <w:rPr>
                <w:rFonts w:asciiTheme="minorEastAsia" w:hAnsiTheme="minorEastAsia" w:eastAsiaTheme="minorEastAsia"/>
                <w:w w:val="115"/>
              </w:rPr>
              <w:t>1-3</w:t>
            </w:r>
          </w:p>
        </w:tc>
        <w:tc>
          <w:tcPr>
            <w:tcW w:w="1740" w:type="dxa"/>
            <w:gridSpan w:val="2"/>
            <w:vAlign w:val="center"/>
          </w:tcPr>
          <w:p>
            <w:pPr>
              <w:pStyle w:val="39"/>
              <w:spacing w:before="181" w:line="312" w:lineRule="exact"/>
              <w:ind w:left="102" w:right="101"/>
              <w:jc w:val="both"/>
              <w:rPr>
                <w:rFonts w:asciiTheme="minorEastAsia" w:hAnsiTheme="minorEastAsia" w:eastAsiaTheme="minorEastAsia"/>
                <w:lang w:eastAsia="zh-CN"/>
              </w:rPr>
            </w:pPr>
            <w:r>
              <w:rPr>
                <w:rFonts w:asciiTheme="minorEastAsia" w:hAnsiTheme="minorEastAsia" w:eastAsiaTheme="minorEastAsia"/>
                <w:spacing w:val="16"/>
              </w:rPr>
              <w:t>供应</w:t>
            </w:r>
            <w:r>
              <w:rPr>
                <w:rFonts w:asciiTheme="minorEastAsia" w:hAnsiTheme="minorEastAsia" w:eastAsiaTheme="minorEastAsia"/>
                <w:spacing w:val="19"/>
              </w:rPr>
              <w:t>商</w:t>
            </w:r>
            <w:r>
              <w:rPr>
                <w:rFonts w:asciiTheme="minorEastAsia" w:hAnsiTheme="minorEastAsia" w:eastAsiaTheme="minorEastAsia"/>
                <w:spacing w:val="16"/>
              </w:rPr>
              <w:t>信用</w:t>
            </w:r>
            <w:r>
              <w:rPr>
                <w:rFonts w:asciiTheme="minorEastAsia" w:hAnsiTheme="minorEastAsia" w:eastAsiaTheme="minorEastAsia"/>
              </w:rPr>
              <w:t>记录</w:t>
            </w:r>
          </w:p>
        </w:tc>
        <w:tc>
          <w:tcPr>
            <w:tcW w:w="5094" w:type="dxa"/>
          </w:tcPr>
          <w:p>
            <w:pPr>
              <w:rPr>
                <w:lang w:eastAsia="zh-CN"/>
              </w:rPr>
            </w:pPr>
            <w:r>
              <w:rPr>
                <w:lang w:eastAsia="zh-CN"/>
              </w:rPr>
              <w:t>查询渠道：信用中国网站和中国政府采购网</w:t>
            </w:r>
          </w:p>
          <w:p>
            <w:r>
              <w:t>（</w:t>
            </w:r>
            <w:r>
              <w:fldChar w:fldCharType="begin"/>
            </w:r>
            <w:r>
              <w:instrText xml:space="preserve"> HYPERLINK "http://www.creditchina.gov.cn/" \h </w:instrText>
            </w:r>
            <w:r>
              <w:fldChar w:fldCharType="separate"/>
            </w:r>
            <w:r>
              <w:t>www.creditchina.gov.cn</w:t>
            </w:r>
            <w:r>
              <w:fldChar w:fldCharType="end"/>
            </w:r>
            <w:r>
              <w:t>、</w:t>
            </w:r>
            <w:r>
              <w:fldChar w:fldCharType="begin"/>
            </w:r>
            <w:r>
              <w:instrText xml:space="preserve"> HYPERLINK "http://www.ccgp.gov.cn/" \h </w:instrText>
            </w:r>
            <w:r>
              <w:fldChar w:fldCharType="separate"/>
            </w:r>
            <w:r>
              <w:t>www.ccgp.gov.cn</w:t>
            </w:r>
            <w:r>
              <w:fldChar w:fldCharType="end"/>
            </w:r>
            <w:r>
              <w:t>）；</w:t>
            </w:r>
          </w:p>
          <w:p>
            <w:pPr>
              <w:rPr>
                <w:lang w:eastAsia="zh-CN"/>
              </w:rPr>
            </w:pPr>
            <w:r>
              <w:rPr>
                <w:lang w:eastAsia="zh-CN"/>
              </w:rPr>
              <w:t>截止时点：首次响应文件提交截止时间以后、资格审查阶段采购人或采购代理机构的实际查询时间；</w:t>
            </w:r>
          </w:p>
          <w:p>
            <w:pPr>
              <w:rPr>
                <w:lang w:eastAsia="zh-CN"/>
              </w:rPr>
            </w:pPr>
            <w:r>
              <w:rPr>
                <w:lang w:eastAsia="zh-CN"/>
              </w:rPr>
              <w:t>信用信息查询记录和证据留存具体方式：查询结果网页打印页作为查询记录和证据，与其他竞争性磋商文件一并保存；</w:t>
            </w:r>
          </w:p>
          <w:p>
            <w:pPr>
              <w:rPr>
                <w:lang w:eastAsia="zh-CN"/>
              </w:rPr>
            </w:pPr>
            <w:r>
              <w:rPr>
                <w:lang w:eastAsia="zh-CN"/>
              </w:rPr>
              <w:t>信用信息的使用原则：经认定的被列入失信</w:t>
            </w:r>
          </w:p>
          <w:p>
            <w:pPr>
              <w:rPr>
                <w:rFonts w:asciiTheme="minorEastAsia" w:hAnsiTheme="minorEastAsia" w:eastAsiaTheme="minorEastAsia"/>
                <w:lang w:eastAsia="zh-CN"/>
              </w:rPr>
            </w:pPr>
            <w:r>
              <w:rPr>
                <w:lang w:eastAsia="zh-CN"/>
              </w:rPr>
              <w:t>被执行人、重大税收违法案件当事人名单、政府采购严重违法失信行为记录名单的供应商，其</w:t>
            </w:r>
            <w:r>
              <w:rPr>
                <w:b/>
                <w:lang w:eastAsia="zh-CN"/>
              </w:rPr>
              <w:t>响应无效</w:t>
            </w:r>
            <w:r>
              <w:rPr>
                <w:lang w:eastAsia="zh-CN"/>
              </w:rPr>
              <w:t>。联合体形式磋商的，联合体成员存在不良信用记录，视同联合体存在不良信用记录。</w:t>
            </w:r>
          </w:p>
        </w:tc>
        <w:tc>
          <w:tcPr>
            <w:tcW w:w="2463" w:type="dxa"/>
            <w:vAlign w:val="center"/>
          </w:tcPr>
          <w:p>
            <w:pPr>
              <w:jc w:val="both"/>
              <w:rPr>
                <w:rFonts w:asciiTheme="minorEastAsia" w:hAnsiTheme="minorEastAsia" w:eastAsiaTheme="minorEastAsia"/>
                <w:lang w:eastAsia="zh-CN"/>
              </w:rPr>
            </w:pPr>
            <w:r>
              <w:rPr>
                <w:lang w:eastAsia="zh-CN"/>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48" w:type="dxa"/>
            <w:vAlign w:val="center"/>
          </w:tcPr>
          <w:p>
            <w:pPr>
              <w:pStyle w:val="39"/>
              <w:ind w:left="158" w:right="157"/>
              <w:jc w:val="center"/>
              <w:rPr>
                <w:rFonts w:asciiTheme="minorEastAsia" w:hAnsiTheme="minorEastAsia" w:eastAsiaTheme="minorEastAsia"/>
              </w:rPr>
            </w:pPr>
            <w:r>
              <w:rPr>
                <w:rFonts w:asciiTheme="minorEastAsia" w:hAnsiTheme="minorEastAsia" w:eastAsiaTheme="minorEastAsia"/>
                <w:w w:val="115"/>
              </w:rPr>
              <w:t>1-4</w:t>
            </w:r>
          </w:p>
        </w:tc>
        <w:tc>
          <w:tcPr>
            <w:tcW w:w="1740" w:type="dxa"/>
            <w:gridSpan w:val="2"/>
            <w:vAlign w:val="center"/>
          </w:tcPr>
          <w:p>
            <w:pPr>
              <w:pStyle w:val="39"/>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法律、行政法</w:t>
            </w:r>
            <w:r>
              <w:rPr>
                <w:rFonts w:asciiTheme="minorEastAsia" w:hAnsiTheme="minorEastAsia" w:eastAsiaTheme="minorEastAsia"/>
                <w:spacing w:val="16"/>
                <w:lang w:eastAsia="zh-CN"/>
              </w:rPr>
              <w:t>规规</w:t>
            </w:r>
            <w:r>
              <w:rPr>
                <w:rFonts w:asciiTheme="minorEastAsia" w:hAnsiTheme="minorEastAsia" w:eastAsiaTheme="minorEastAsia"/>
                <w:spacing w:val="19"/>
                <w:lang w:eastAsia="zh-CN"/>
              </w:rPr>
              <w:t>定</w:t>
            </w:r>
            <w:r>
              <w:rPr>
                <w:rFonts w:asciiTheme="minorEastAsia" w:hAnsiTheme="minorEastAsia" w:eastAsiaTheme="minorEastAsia"/>
                <w:spacing w:val="16"/>
                <w:lang w:eastAsia="zh-CN"/>
              </w:rPr>
              <w:t>的其</w:t>
            </w:r>
            <w:r>
              <w:rPr>
                <w:rFonts w:asciiTheme="minorEastAsia" w:hAnsiTheme="minorEastAsia" w:eastAsiaTheme="minorEastAsia"/>
                <w:lang w:eastAsia="zh-CN"/>
              </w:rPr>
              <w:t>他条件</w:t>
            </w:r>
          </w:p>
        </w:tc>
        <w:tc>
          <w:tcPr>
            <w:tcW w:w="5094"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法律、行政法规规定的其他条件</w:t>
            </w:r>
          </w:p>
        </w:tc>
        <w:tc>
          <w:tcPr>
            <w:tcW w:w="2463" w:type="dxa"/>
            <w:vAlign w:val="center"/>
          </w:tcPr>
          <w:p>
            <w:pPr>
              <w:pStyle w:val="39"/>
              <w:ind w:right="1"/>
              <w:jc w:val="center"/>
              <w:rPr>
                <w:rFonts w:asciiTheme="minorEastAsia" w:hAnsiTheme="minorEastAsia" w:eastAsiaTheme="minorEastAsia"/>
              </w:rPr>
            </w:pPr>
            <w:r>
              <w:rPr>
                <w:rFonts w:asciiTheme="minorEastAsia" w:hAnsiTheme="minorEastAsia" w:eastAsiaTheme="minorEastAsia"/>
                <w:w w:val="1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48" w:type="dxa"/>
            <w:vAlign w:val="center"/>
          </w:tcPr>
          <w:p>
            <w:pPr>
              <w:pStyle w:val="39"/>
              <w:jc w:val="center"/>
              <w:rPr>
                <w:rFonts w:asciiTheme="minorEastAsia" w:hAnsiTheme="minorEastAsia" w:eastAsiaTheme="minorEastAsia"/>
              </w:rPr>
            </w:pPr>
            <w:r>
              <w:rPr>
                <w:rFonts w:asciiTheme="minorEastAsia" w:hAnsiTheme="minorEastAsia" w:eastAsiaTheme="minorEastAsia"/>
                <w:w w:val="114"/>
              </w:rPr>
              <w:t>2</w:t>
            </w:r>
          </w:p>
        </w:tc>
        <w:tc>
          <w:tcPr>
            <w:tcW w:w="1740" w:type="dxa"/>
            <w:gridSpan w:val="2"/>
            <w:vAlign w:val="center"/>
          </w:tcPr>
          <w:p>
            <w:pPr>
              <w:pStyle w:val="39"/>
              <w:spacing w:line="275"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落实政府采购政策需满足的资格要求</w:t>
            </w:r>
          </w:p>
        </w:tc>
        <w:tc>
          <w:tcPr>
            <w:tcW w:w="5094"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2463"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848" w:type="dxa"/>
            <w:vAlign w:val="center"/>
          </w:tcPr>
          <w:p>
            <w:pPr>
              <w:pStyle w:val="39"/>
              <w:spacing w:before="94"/>
              <w:ind w:left="158" w:right="157"/>
              <w:jc w:val="center"/>
              <w:rPr>
                <w:rFonts w:asciiTheme="minorEastAsia" w:hAnsiTheme="minorEastAsia" w:eastAsiaTheme="minorEastAsia"/>
              </w:rPr>
            </w:pPr>
            <w:r>
              <w:rPr>
                <w:rFonts w:asciiTheme="minorEastAsia" w:hAnsiTheme="minorEastAsia" w:eastAsiaTheme="minorEastAsia"/>
                <w:w w:val="115"/>
              </w:rPr>
              <w:t>2-1</w:t>
            </w:r>
          </w:p>
        </w:tc>
        <w:tc>
          <w:tcPr>
            <w:tcW w:w="1740" w:type="dxa"/>
            <w:gridSpan w:val="2"/>
            <w:vAlign w:val="center"/>
          </w:tcPr>
          <w:p>
            <w:pPr>
              <w:pStyle w:val="39"/>
              <w:spacing w:before="39"/>
              <w:ind w:left="102"/>
              <w:jc w:val="center"/>
              <w:rPr>
                <w:rFonts w:asciiTheme="minorEastAsia" w:hAnsiTheme="minorEastAsia" w:eastAsiaTheme="minorEastAsia"/>
              </w:rPr>
            </w:pPr>
            <w:r>
              <w:rPr>
                <w:rFonts w:asciiTheme="minorEastAsia" w:hAnsiTheme="minorEastAsia" w:eastAsiaTheme="minorEastAsia"/>
              </w:rPr>
              <w:t>中小企业政策</w:t>
            </w:r>
          </w:p>
        </w:tc>
        <w:tc>
          <w:tcPr>
            <w:tcW w:w="5094" w:type="dxa"/>
            <w:vAlign w:val="center"/>
          </w:tcPr>
          <w:p>
            <w:pPr>
              <w:pStyle w:val="39"/>
              <w:spacing w:before="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2463"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8" w:hRule="atLeast"/>
        </w:trPr>
        <w:tc>
          <w:tcPr>
            <w:tcW w:w="848" w:type="dxa"/>
            <w:vAlign w:val="center"/>
          </w:tcPr>
          <w:p>
            <w:pPr>
              <w:pStyle w:val="39"/>
              <w:spacing w:before="38"/>
              <w:ind w:left="158" w:right="156"/>
              <w:jc w:val="center"/>
              <w:rPr>
                <w:rFonts w:asciiTheme="minorEastAsia" w:hAnsiTheme="minorEastAsia" w:eastAsiaTheme="minorEastAsia"/>
                <w:lang w:eastAsia="zh-CN"/>
              </w:rPr>
            </w:pPr>
            <w:r>
              <w:rPr>
                <w:rFonts w:asciiTheme="minorEastAsia" w:hAnsiTheme="minorEastAsia" w:eastAsiaTheme="minorEastAsia"/>
                <w:w w:val="110"/>
              </w:rPr>
              <w:t>2-1-</w:t>
            </w:r>
            <w:r>
              <w:rPr>
                <w:rFonts w:asciiTheme="minorEastAsia" w:hAnsiTheme="minorEastAsia" w:eastAsiaTheme="minorEastAsia"/>
                <w:w w:val="114"/>
              </w:rPr>
              <w:t>1</w:t>
            </w:r>
          </w:p>
        </w:tc>
        <w:tc>
          <w:tcPr>
            <w:tcW w:w="1740" w:type="dxa"/>
            <w:gridSpan w:val="2"/>
            <w:vAlign w:val="center"/>
          </w:tcPr>
          <w:p>
            <w:pPr>
              <w:pStyle w:val="39"/>
              <w:spacing w:line="283" w:lineRule="exact"/>
              <w:ind w:left="102"/>
              <w:jc w:val="center"/>
              <w:rPr>
                <w:rFonts w:asciiTheme="minorEastAsia" w:hAnsiTheme="minorEastAsia" w:eastAsiaTheme="minorEastAsia"/>
                <w:lang w:eastAsia="zh-CN"/>
              </w:rPr>
            </w:pPr>
            <w:r>
              <w:rPr>
                <w:rFonts w:asciiTheme="minorEastAsia" w:hAnsiTheme="minorEastAsia" w:eastAsiaTheme="minorEastAsia"/>
              </w:rPr>
              <w:t>中小企业证明文件</w:t>
            </w:r>
          </w:p>
        </w:tc>
        <w:tc>
          <w:tcPr>
            <w:tcW w:w="5094" w:type="dxa"/>
            <w:vAlign w:val="center"/>
          </w:tcPr>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当本项目（包）涉及预留份额专门面向中小</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企业采购，提供如下资料：</w:t>
            </w:r>
          </w:p>
          <w:p>
            <w:pPr>
              <w:pStyle w:val="39"/>
              <w:spacing w:line="30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1、供应商单独响应的，应提供《中小企业</w:t>
            </w:r>
          </w:p>
          <w:p>
            <w:pPr>
              <w:pStyle w:val="39"/>
              <w:spacing w:line="26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声明函》或《残疾人福利性单位声明函》或</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由省级以上监狱管理局、戒毒管理局（含新</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疆生产建设兵团）出具的属于监狱企业的证</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明文件。</w:t>
            </w:r>
          </w:p>
          <w:p>
            <w:pPr>
              <w:pStyle w:val="39"/>
              <w:spacing w:line="303"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2、如磋商文件要求以联合体形式参加或者要求合同分包的，且供应商为联合体或拟进</w:t>
            </w:r>
          </w:p>
          <w:p>
            <w:pPr>
              <w:pStyle w:val="39"/>
              <w:spacing w:line="274"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行合同分包的，则联合体中的中小企业、签</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订分包意向协议的中小企业具体情况须在《中小企业声明函》或《残疾人福利性单位</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声明函》或由省级以上监狱管理局、戒毒管</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理局（含新疆生产建设兵团）出具的属于监</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狱企业的证明文件中如实填报，且满足采购</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文件关于预留份额的要求。</w:t>
            </w:r>
          </w:p>
        </w:tc>
        <w:tc>
          <w:tcPr>
            <w:tcW w:w="2463" w:type="dxa"/>
            <w:vAlign w:val="center"/>
          </w:tcPr>
          <w:p>
            <w:pPr>
              <w:pStyle w:val="39"/>
              <w:spacing w:line="283"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848" w:type="dxa"/>
            <w:vAlign w:val="center"/>
          </w:tcPr>
          <w:p>
            <w:pPr>
              <w:pStyle w:val="39"/>
              <w:spacing w:before="31"/>
              <w:ind w:left="158" w:right="156"/>
              <w:jc w:val="center"/>
              <w:rPr>
                <w:rFonts w:asciiTheme="minorEastAsia" w:hAnsiTheme="minorEastAsia" w:eastAsiaTheme="minorEastAsia"/>
              </w:rPr>
            </w:pPr>
            <w:r>
              <w:rPr>
                <w:rFonts w:asciiTheme="minorEastAsia" w:hAnsiTheme="minorEastAsia" w:eastAsiaTheme="minorEastAsia"/>
                <w:w w:val="110"/>
              </w:rPr>
              <w:t>2-1-</w:t>
            </w:r>
            <w:r>
              <w:rPr>
                <w:rFonts w:asciiTheme="minorEastAsia" w:hAnsiTheme="minorEastAsia" w:eastAsiaTheme="minorEastAsia"/>
                <w:w w:val="114"/>
              </w:rPr>
              <w:t>2</w:t>
            </w:r>
          </w:p>
        </w:tc>
        <w:tc>
          <w:tcPr>
            <w:tcW w:w="1740" w:type="dxa"/>
            <w:gridSpan w:val="2"/>
            <w:vAlign w:val="center"/>
          </w:tcPr>
          <w:p>
            <w:pPr>
              <w:pStyle w:val="39"/>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拟分包情况说明及分包意向</w:t>
            </w:r>
          </w:p>
        </w:tc>
        <w:tc>
          <w:tcPr>
            <w:tcW w:w="5094" w:type="dxa"/>
            <w:vAlign w:val="center"/>
          </w:tcPr>
          <w:p>
            <w:pPr>
              <w:pStyle w:val="39"/>
              <w:spacing w:line="276" w:lineRule="exact"/>
              <w:ind w:left="103"/>
              <w:jc w:val="center"/>
              <w:rPr>
                <w:rFonts w:asciiTheme="minorEastAsia" w:hAnsiTheme="minorEastAsia" w:eastAsiaTheme="minorEastAsia"/>
                <w:lang w:eastAsia="zh-CN"/>
              </w:rPr>
            </w:pPr>
            <w:r>
              <w:rPr>
                <w:rFonts w:asciiTheme="minorEastAsia" w:hAnsiTheme="minorEastAsia" w:eastAsiaTheme="minorEastAsia"/>
                <w:lang w:eastAsia="zh-CN"/>
              </w:rPr>
              <w:t>如本项目（包）要求通过分包措施预留部分采购份额面向中小企业采购、且供应商因落</w:t>
            </w:r>
          </w:p>
        </w:tc>
        <w:tc>
          <w:tcPr>
            <w:tcW w:w="2463" w:type="dxa"/>
            <w:vAlign w:val="center"/>
          </w:tcPr>
          <w:p>
            <w:pPr>
              <w:pStyle w:val="39"/>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w:t>
            </w:r>
          </w:p>
          <w:p>
            <w:pPr>
              <w:pStyle w:val="39"/>
              <w:spacing w:line="278"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8" w:hRule="exact"/>
        </w:trPr>
        <w:tc>
          <w:tcPr>
            <w:tcW w:w="848" w:type="dxa"/>
            <w:vAlign w:val="center"/>
          </w:tcPr>
          <w:p>
            <w:pPr>
              <w:jc w:val="center"/>
              <w:rPr>
                <w:rFonts w:asciiTheme="minorEastAsia" w:hAnsiTheme="minorEastAsia" w:eastAsiaTheme="minorEastAsia"/>
                <w:lang w:eastAsia="zh-CN"/>
              </w:rPr>
            </w:pPr>
          </w:p>
        </w:tc>
        <w:tc>
          <w:tcPr>
            <w:tcW w:w="1740" w:type="dxa"/>
            <w:gridSpan w:val="2"/>
            <w:vAlign w:val="center"/>
          </w:tcPr>
          <w:p>
            <w:pPr>
              <w:pStyle w:val="39"/>
              <w:spacing w:line="278" w:lineRule="exact"/>
              <w:ind w:left="102"/>
              <w:jc w:val="center"/>
              <w:rPr>
                <w:rFonts w:asciiTheme="minorEastAsia" w:hAnsiTheme="minorEastAsia" w:eastAsiaTheme="minorEastAsia"/>
                <w:sz w:val="24"/>
              </w:rPr>
            </w:pPr>
            <w:r>
              <w:rPr>
                <w:rFonts w:asciiTheme="minorEastAsia" w:hAnsiTheme="minorEastAsia" w:eastAsiaTheme="minorEastAsia"/>
                <w:sz w:val="24"/>
              </w:rPr>
              <w:t>协议</w:t>
            </w:r>
          </w:p>
        </w:tc>
        <w:tc>
          <w:tcPr>
            <w:tcW w:w="5094" w:type="dxa"/>
            <w:vAlign w:val="center"/>
          </w:tcPr>
          <w:p>
            <w:pPr>
              <w:jc w:val="both"/>
              <w:rPr>
                <w:lang w:eastAsia="zh-CN"/>
              </w:rPr>
            </w:pPr>
            <w:r>
              <w:rPr>
                <w:lang w:eastAsia="zh-CN"/>
              </w:rPr>
              <w:t>实政府采购政策拟进行分包的，必须提供；否则无须提供。</w:t>
            </w:r>
          </w:p>
          <w:p>
            <w:pPr>
              <w:jc w:val="both"/>
              <w:rPr>
                <w:lang w:eastAsia="zh-CN"/>
              </w:rPr>
            </w:pPr>
            <w:r>
              <w:rPr>
                <w:lang w:eastAsia="zh-CN"/>
              </w:rPr>
              <w:t>对于预留份额专门面向中小企业采购的项目（包），组成联合体或者接受分包合同的中小企业与联合体内其他企业、分包企业之间不得存在直接控股、管理关系。</w:t>
            </w:r>
          </w:p>
        </w:tc>
        <w:tc>
          <w:tcPr>
            <w:tcW w:w="2463"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8" w:hRule="exact"/>
        </w:trPr>
        <w:tc>
          <w:tcPr>
            <w:tcW w:w="848" w:type="dxa"/>
            <w:vAlign w:val="center"/>
          </w:tcPr>
          <w:p>
            <w:pPr>
              <w:pStyle w:val="39"/>
              <w:ind w:left="158" w:right="157"/>
              <w:jc w:val="center"/>
              <w:rPr>
                <w:rFonts w:asciiTheme="minorEastAsia" w:hAnsiTheme="minorEastAsia" w:eastAsiaTheme="minorEastAsia"/>
                <w:sz w:val="24"/>
              </w:rPr>
            </w:pPr>
            <w:r>
              <w:rPr>
                <w:rFonts w:asciiTheme="minorEastAsia" w:hAnsiTheme="minorEastAsia" w:eastAsiaTheme="minorEastAsia"/>
                <w:w w:val="105"/>
                <w:sz w:val="24"/>
              </w:rPr>
              <w:t>2-2</w:t>
            </w:r>
          </w:p>
        </w:tc>
        <w:tc>
          <w:tcPr>
            <w:tcW w:w="1654" w:type="dxa"/>
            <w:vAlign w:val="center"/>
          </w:tcPr>
          <w:p>
            <w:pPr>
              <w:pStyle w:val="39"/>
              <w:spacing w:line="275" w:lineRule="exact"/>
              <w:ind w:left="10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其它落实政府采购政策的资格要求</w:t>
            </w:r>
          </w:p>
        </w:tc>
        <w:tc>
          <w:tcPr>
            <w:tcW w:w="5180" w:type="dxa"/>
            <w:gridSpan w:val="2"/>
            <w:vAlign w:val="center"/>
          </w:tcPr>
          <w:p>
            <w:pPr>
              <w:pStyle w:val="3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2463" w:type="dxa"/>
            <w:vAlign w:val="center"/>
          </w:tcPr>
          <w:p>
            <w:pPr>
              <w:pStyle w:val="39"/>
              <w:spacing w:line="275" w:lineRule="exact"/>
              <w:ind w:left="102"/>
              <w:jc w:val="center"/>
              <w:rPr>
                <w:rFonts w:asciiTheme="minorEastAsia" w:hAnsiTheme="minorEastAsia" w:eastAsiaTheme="minorEastAsia"/>
                <w:sz w:val="24"/>
                <w:lang w:eastAsia="zh-CN"/>
              </w:rPr>
            </w:pPr>
            <w:r>
              <w:rPr>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vAlign w:val="center"/>
          </w:tcPr>
          <w:p>
            <w:pPr>
              <w:pStyle w:val="39"/>
              <w:spacing w:before="162"/>
              <w:jc w:val="center"/>
              <w:rPr>
                <w:rFonts w:asciiTheme="minorEastAsia" w:hAnsiTheme="minorEastAsia" w:eastAsiaTheme="minorEastAsia"/>
                <w:sz w:val="24"/>
              </w:rPr>
            </w:pPr>
            <w:r>
              <w:rPr>
                <w:rFonts w:asciiTheme="minorEastAsia" w:hAnsiTheme="minorEastAsia" w:eastAsiaTheme="minorEastAsia"/>
                <w:sz w:val="24"/>
              </w:rPr>
              <w:t>3</w:t>
            </w:r>
          </w:p>
        </w:tc>
        <w:tc>
          <w:tcPr>
            <w:tcW w:w="1654" w:type="dxa"/>
            <w:vAlign w:val="center"/>
          </w:tcPr>
          <w:p>
            <w:pPr>
              <w:pStyle w:val="39"/>
              <w:spacing w:line="276"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本项目的特定资格要求</w:t>
            </w:r>
          </w:p>
        </w:tc>
        <w:tc>
          <w:tcPr>
            <w:tcW w:w="5180" w:type="dxa"/>
            <w:gridSpan w:val="2"/>
            <w:vAlign w:val="center"/>
          </w:tcPr>
          <w:p>
            <w:pPr>
              <w:pStyle w:val="39"/>
              <w:spacing w:before="11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2463" w:type="dxa"/>
            <w:vAlign w:val="center"/>
          </w:tcPr>
          <w:p>
            <w:pPr>
              <w:jc w:val="both"/>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1" w:hRule="exact"/>
        </w:trPr>
        <w:tc>
          <w:tcPr>
            <w:tcW w:w="848" w:type="dxa"/>
            <w:vAlign w:val="center"/>
          </w:tcPr>
          <w:p>
            <w:pPr>
              <w:jc w:val="center"/>
            </w:pPr>
            <w:r>
              <w:t>3-1</w:t>
            </w:r>
          </w:p>
        </w:tc>
        <w:tc>
          <w:tcPr>
            <w:tcW w:w="1654" w:type="dxa"/>
            <w:vAlign w:val="center"/>
          </w:tcPr>
          <w:p>
            <w:pPr>
              <w:jc w:val="center"/>
              <w:rPr>
                <w:lang w:eastAsia="zh-CN"/>
              </w:rPr>
            </w:pPr>
            <w:r>
              <w:rPr>
                <w:lang w:eastAsia="zh-CN"/>
              </w:rPr>
              <w:t>本项目对于联合体的要求</w:t>
            </w:r>
          </w:p>
        </w:tc>
        <w:tc>
          <w:tcPr>
            <w:tcW w:w="5180" w:type="dxa"/>
            <w:gridSpan w:val="2"/>
            <w:vAlign w:val="center"/>
          </w:tcPr>
          <w:p>
            <w:pPr>
              <w:jc w:val="both"/>
              <w:rPr>
                <w:lang w:eastAsia="zh-CN"/>
              </w:rPr>
            </w:pPr>
            <w:r>
              <w:rPr>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jc w:val="both"/>
              <w:rPr>
                <w:lang w:eastAsia="zh-CN"/>
              </w:rPr>
            </w:pPr>
            <w:r>
              <w:rPr>
                <w:lang w:eastAsia="zh-CN"/>
              </w:rPr>
              <w:t>2、联合体各成员单位均须提供本表中序号1-1、1-2 的证明文件。联合体各成员单位均应满足本表3-2 项规定。</w:t>
            </w:r>
          </w:p>
          <w:p>
            <w:pPr>
              <w:jc w:val="both"/>
              <w:rPr>
                <w:lang w:eastAsia="zh-CN"/>
              </w:rPr>
            </w:pPr>
            <w:r>
              <w:rPr>
                <w:lang w:eastAsia="zh-CN"/>
              </w:rPr>
              <w:t>3、</w:t>
            </w:r>
            <w:r>
              <w:rPr>
                <w:rFonts w:hint="eastAsia"/>
                <w:lang w:eastAsia="zh-CN"/>
              </w:rPr>
              <w:t>本表序号 3-3 项规定的其他特定资格要求中的每一小项要求，联合体各方中至少应当有一方符合本表中其他资格要求并提供证</w:t>
            </w:r>
            <w:r>
              <w:rPr>
                <w:lang w:eastAsia="zh-CN"/>
              </w:rPr>
              <w:t>明文件。</w:t>
            </w:r>
          </w:p>
          <w:p>
            <w:pPr>
              <w:jc w:val="both"/>
              <w:rPr>
                <w:lang w:eastAsia="zh-CN"/>
              </w:rPr>
            </w:pPr>
            <w:r>
              <w:rPr>
                <w:lang w:eastAsia="zh-CN"/>
              </w:rPr>
              <w:t>4、联合体中有同类资质的供应商按照联合体分工承担相同工作的，应当按照资质等级较低的供应商确定资质等级。</w:t>
            </w:r>
          </w:p>
          <w:p>
            <w:pPr>
              <w:jc w:val="both"/>
              <w:rPr>
                <w:lang w:eastAsia="zh-CN"/>
              </w:rPr>
            </w:pPr>
            <w:r>
              <w:rPr>
                <w:lang w:eastAsia="zh-CN"/>
              </w:rPr>
              <w:t>5、以联合体形式参加政府采购活动的，联合体各方不得再单独参加或者与其他供应商另外组成联合体参加同一合同项下的政府采购活动。</w:t>
            </w:r>
          </w:p>
          <w:p>
            <w:pPr>
              <w:jc w:val="both"/>
              <w:rPr>
                <w:lang w:eastAsia="zh-CN"/>
              </w:rPr>
            </w:pPr>
            <w:r>
              <w:rPr>
                <w:lang w:eastAsia="zh-CN"/>
              </w:rPr>
              <w:t>6、若联合体中任一成员单位中途退出，则该联合体的</w:t>
            </w:r>
            <w:r>
              <w:rPr>
                <w:b/>
                <w:lang w:eastAsia="zh-CN"/>
              </w:rPr>
              <w:t>响应无效</w:t>
            </w:r>
            <w:r>
              <w:rPr>
                <w:lang w:eastAsia="zh-CN"/>
              </w:rPr>
              <w:t>。</w:t>
            </w:r>
          </w:p>
          <w:p>
            <w:pPr>
              <w:jc w:val="both"/>
              <w:rPr>
                <w:lang w:eastAsia="zh-CN"/>
              </w:rPr>
            </w:pPr>
            <w:r>
              <w:rPr>
                <w:lang w:eastAsia="zh-CN"/>
              </w:rPr>
              <w:t>7、本项目不接受联合体响应时，供应商不得为联合体。</w:t>
            </w:r>
          </w:p>
        </w:tc>
        <w:tc>
          <w:tcPr>
            <w:tcW w:w="2463" w:type="dxa"/>
            <w:vAlign w:val="center"/>
          </w:tcPr>
          <w:p>
            <w:pPr>
              <w:jc w:val="center"/>
              <w:rPr>
                <w:rFonts w:asciiTheme="minorEastAsia" w:hAnsiTheme="minorEastAsia" w:eastAsiaTheme="minorEastAsia"/>
                <w:sz w:val="24"/>
                <w:lang w:eastAsia="zh-CN"/>
              </w:rPr>
            </w:pPr>
            <w:r>
              <w:rPr>
                <w:lang w:eastAsia="zh-CN"/>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48" w:type="dxa"/>
            <w:vAlign w:val="center"/>
          </w:tcPr>
          <w:p>
            <w:pPr>
              <w:pStyle w:val="39"/>
              <w:ind w:left="158" w:right="157"/>
              <w:jc w:val="center"/>
              <w:rPr>
                <w:rFonts w:asciiTheme="minorEastAsia" w:hAnsiTheme="minorEastAsia" w:eastAsiaTheme="minorEastAsia"/>
                <w:sz w:val="24"/>
              </w:rPr>
            </w:pPr>
            <w:r>
              <w:rPr>
                <w:rFonts w:asciiTheme="minorEastAsia" w:hAnsiTheme="minorEastAsia" w:eastAsiaTheme="minorEastAsia"/>
                <w:w w:val="105"/>
                <w:sz w:val="24"/>
              </w:rPr>
              <w:t>3-2</w:t>
            </w:r>
          </w:p>
        </w:tc>
        <w:tc>
          <w:tcPr>
            <w:tcW w:w="1654" w:type="dxa"/>
            <w:vAlign w:val="center"/>
          </w:tcPr>
          <w:p>
            <w:pPr>
              <w:pStyle w:val="39"/>
              <w:spacing w:line="276" w:lineRule="exact"/>
              <w:ind w:left="102"/>
              <w:jc w:val="center"/>
              <w:rPr>
                <w:rFonts w:asciiTheme="minorEastAsia" w:hAnsiTheme="minorEastAsia" w:eastAsiaTheme="minorEastAsia"/>
                <w:sz w:val="24"/>
                <w:lang w:eastAsia="zh-CN"/>
              </w:rPr>
            </w:pPr>
            <w:r>
              <w:rPr>
                <w:lang w:eastAsia="zh-CN"/>
              </w:rPr>
              <w:t>政府购买服务承接主体的要求</w:t>
            </w:r>
          </w:p>
        </w:tc>
        <w:tc>
          <w:tcPr>
            <w:tcW w:w="5180" w:type="dxa"/>
            <w:gridSpan w:val="2"/>
            <w:vAlign w:val="center"/>
          </w:tcPr>
          <w:p>
            <w:pPr>
              <w:pStyle w:val="39"/>
              <w:spacing w:line="276" w:lineRule="exact"/>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如本项目属于政府购买服务，供应商不属于公</w:t>
            </w:r>
            <w:r>
              <w:rPr>
                <w:rFonts w:asciiTheme="minorEastAsia" w:hAnsiTheme="minorEastAsia" w:eastAsiaTheme="minorEastAsia"/>
                <w:spacing w:val="2"/>
                <w:sz w:val="24"/>
                <w:lang w:eastAsia="zh-CN"/>
              </w:rPr>
              <w:t>益</w:t>
            </w:r>
            <w:r>
              <w:rPr>
                <w:rFonts w:asciiTheme="minorEastAsia" w:hAnsiTheme="minorEastAsia" w:eastAsiaTheme="minorEastAsia"/>
                <w:sz w:val="24"/>
                <w:lang w:eastAsia="zh-CN"/>
              </w:rPr>
              <w:t>一类</w:t>
            </w:r>
            <w:r>
              <w:rPr>
                <w:rFonts w:asciiTheme="minorEastAsia" w:hAnsiTheme="minorEastAsia" w:eastAsiaTheme="minorEastAsia"/>
                <w:spacing w:val="2"/>
                <w:sz w:val="24"/>
                <w:lang w:eastAsia="zh-CN"/>
              </w:rPr>
              <w:t>事</w:t>
            </w:r>
            <w:r>
              <w:rPr>
                <w:rFonts w:asciiTheme="minorEastAsia" w:hAnsiTheme="minorEastAsia" w:eastAsiaTheme="minorEastAsia"/>
                <w:sz w:val="24"/>
                <w:lang w:eastAsia="zh-CN"/>
              </w:rPr>
              <w:t>业单</w:t>
            </w:r>
            <w:r>
              <w:rPr>
                <w:rFonts w:asciiTheme="minorEastAsia" w:hAnsiTheme="minorEastAsia" w:eastAsiaTheme="minorEastAsia"/>
                <w:spacing w:val="2"/>
                <w:sz w:val="24"/>
                <w:lang w:eastAsia="zh-CN"/>
              </w:rPr>
              <w:t>位</w:t>
            </w:r>
            <w:r>
              <w:rPr>
                <w:rFonts w:asciiTheme="minorEastAsia" w:hAnsiTheme="minorEastAsia" w:eastAsiaTheme="minorEastAsia"/>
                <w:sz w:val="24"/>
                <w:lang w:eastAsia="zh-CN"/>
              </w:rPr>
              <w:t>、使</w:t>
            </w:r>
            <w:r>
              <w:rPr>
                <w:rFonts w:asciiTheme="minorEastAsia" w:hAnsiTheme="minorEastAsia" w:eastAsiaTheme="minorEastAsia"/>
                <w:spacing w:val="2"/>
                <w:sz w:val="24"/>
                <w:lang w:eastAsia="zh-CN"/>
              </w:rPr>
              <w:t>用</w:t>
            </w:r>
            <w:r>
              <w:rPr>
                <w:rFonts w:asciiTheme="minorEastAsia" w:hAnsiTheme="minorEastAsia" w:eastAsiaTheme="minorEastAsia"/>
                <w:sz w:val="24"/>
                <w:lang w:eastAsia="zh-CN"/>
              </w:rPr>
              <w:t>事</w:t>
            </w:r>
            <w:r>
              <w:rPr>
                <w:rFonts w:asciiTheme="minorEastAsia" w:hAnsiTheme="minorEastAsia" w:eastAsiaTheme="minorEastAsia"/>
                <w:spacing w:val="2"/>
                <w:sz w:val="24"/>
                <w:lang w:eastAsia="zh-CN"/>
              </w:rPr>
              <w:t>业</w:t>
            </w:r>
            <w:r>
              <w:rPr>
                <w:rFonts w:asciiTheme="minorEastAsia" w:hAnsiTheme="minorEastAsia" w:eastAsiaTheme="minorEastAsia"/>
                <w:sz w:val="24"/>
                <w:lang w:eastAsia="zh-CN"/>
              </w:rPr>
              <w:t>编制</w:t>
            </w:r>
            <w:r>
              <w:rPr>
                <w:rFonts w:asciiTheme="minorEastAsia" w:hAnsiTheme="minorEastAsia" w:eastAsiaTheme="minorEastAsia"/>
                <w:spacing w:val="2"/>
                <w:sz w:val="24"/>
                <w:lang w:eastAsia="zh-CN"/>
              </w:rPr>
              <w:t>且</w:t>
            </w:r>
            <w:r>
              <w:rPr>
                <w:rFonts w:asciiTheme="minorEastAsia" w:hAnsiTheme="minorEastAsia" w:eastAsiaTheme="minorEastAsia"/>
                <w:sz w:val="24"/>
                <w:lang w:eastAsia="zh-CN"/>
              </w:rPr>
              <w:t>由财政拨款保障的群团组织。</w:t>
            </w:r>
          </w:p>
        </w:tc>
        <w:tc>
          <w:tcPr>
            <w:tcW w:w="2463" w:type="dxa"/>
            <w:vAlign w:val="center"/>
          </w:tcPr>
          <w:p>
            <w:pPr>
              <w:pStyle w:val="39"/>
              <w:spacing w:before="151" w:line="310" w:lineRule="exact"/>
              <w:ind w:left="102" w:right="102"/>
              <w:jc w:val="center"/>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格式见《响</w:t>
            </w:r>
            <w:r>
              <w:rPr>
                <w:rFonts w:asciiTheme="minorEastAsia" w:hAnsiTheme="minorEastAsia" w:eastAsiaTheme="minorEastAsia"/>
                <w:sz w:val="24"/>
                <w:lang w:eastAsia="zh-CN"/>
              </w:rPr>
              <w:t>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0" w:hRule="exact"/>
        </w:trPr>
        <w:tc>
          <w:tcPr>
            <w:tcW w:w="848" w:type="dxa"/>
            <w:vAlign w:val="center"/>
          </w:tcPr>
          <w:p>
            <w:pPr>
              <w:pStyle w:val="39"/>
              <w:spacing w:before="1"/>
              <w:ind w:left="158" w:right="157"/>
              <w:jc w:val="center"/>
              <w:rPr>
                <w:rFonts w:asciiTheme="minorEastAsia" w:hAnsiTheme="minorEastAsia" w:eastAsiaTheme="minorEastAsia"/>
                <w:sz w:val="24"/>
              </w:rPr>
            </w:pPr>
            <w:r>
              <w:rPr>
                <w:rFonts w:asciiTheme="minorEastAsia" w:hAnsiTheme="minorEastAsia" w:eastAsiaTheme="minorEastAsia"/>
                <w:w w:val="105"/>
                <w:sz w:val="24"/>
              </w:rPr>
              <w:t>3-3</w:t>
            </w:r>
          </w:p>
        </w:tc>
        <w:tc>
          <w:tcPr>
            <w:tcW w:w="1654" w:type="dxa"/>
            <w:vAlign w:val="center"/>
          </w:tcPr>
          <w:p>
            <w:pPr>
              <w:pStyle w:val="39"/>
              <w:spacing w:line="276" w:lineRule="exact"/>
              <w:ind w:left="10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其他特定资格要求</w:t>
            </w:r>
          </w:p>
        </w:tc>
        <w:tc>
          <w:tcPr>
            <w:tcW w:w="5180" w:type="dxa"/>
            <w:gridSpan w:val="2"/>
            <w:vAlign w:val="center"/>
          </w:tcPr>
          <w:p>
            <w:pPr>
              <w:pStyle w:val="39"/>
              <w:spacing w:line="276" w:lineRule="exact"/>
              <w:ind w:left="10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如有，见第一章《采购邀请》</w:t>
            </w:r>
            <w:r>
              <w:rPr>
                <w:rFonts w:hint="eastAsia" w:asciiTheme="minorEastAsia" w:hAnsiTheme="minorEastAsia" w:eastAsiaTheme="minorEastAsia"/>
                <w:spacing w:val="2"/>
                <w:sz w:val="24"/>
                <w:lang w:eastAsia="zh-CN"/>
              </w:rPr>
              <w:t>注：如联合体中有同类资质的供应商按照联合体分工承担相同工作的，均应当提供资质证书电子件或电子证照。</w:t>
            </w:r>
          </w:p>
        </w:tc>
        <w:tc>
          <w:tcPr>
            <w:tcW w:w="2463" w:type="dxa"/>
            <w:vAlign w:val="center"/>
          </w:tcPr>
          <w:p>
            <w:pPr>
              <w:pStyle w:val="39"/>
              <w:spacing w:line="276" w:lineRule="exact"/>
              <w:ind w:left="10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vAlign w:val="center"/>
          </w:tcPr>
          <w:p>
            <w:pPr>
              <w:jc w:val="center"/>
            </w:pPr>
            <w:r>
              <w:t>4</w:t>
            </w:r>
          </w:p>
        </w:tc>
        <w:tc>
          <w:tcPr>
            <w:tcW w:w="1654" w:type="dxa"/>
            <w:vAlign w:val="center"/>
          </w:tcPr>
          <w:p>
            <w:pPr>
              <w:jc w:val="center"/>
            </w:pPr>
            <w:r>
              <w:t>磋商保证金</w:t>
            </w:r>
          </w:p>
        </w:tc>
        <w:tc>
          <w:tcPr>
            <w:tcW w:w="5180" w:type="dxa"/>
            <w:gridSpan w:val="2"/>
            <w:vAlign w:val="center"/>
          </w:tcPr>
          <w:p>
            <w:pPr>
              <w:jc w:val="center"/>
              <w:rPr>
                <w:lang w:eastAsia="zh-CN"/>
              </w:rPr>
            </w:pPr>
            <w:r>
              <w:rPr>
                <w:lang w:eastAsia="zh-CN"/>
              </w:rPr>
              <w:t>按照竞争性磋商文件的要求提交磋商保证金。</w:t>
            </w:r>
          </w:p>
        </w:tc>
        <w:tc>
          <w:tcPr>
            <w:tcW w:w="2463"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1" w:hRule="exact"/>
        </w:trPr>
        <w:tc>
          <w:tcPr>
            <w:tcW w:w="848" w:type="dxa"/>
            <w:vAlign w:val="center"/>
          </w:tcPr>
          <w:p>
            <w:pPr>
              <w:jc w:val="center"/>
              <w:rPr>
                <w:lang w:eastAsia="zh-CN"/>
              </w:rPr>
            </w:pPr>
            <w:r>
              <w:rPr>
                <w:rFonts w:hint="eastAsia"/>
                <w:lang w:eastAsia="zh-CN"/>
              </w:rPr>
              <w:t>5</w:t>
            </w:r>
          </w:p>
        </w:tc>
        <w:tc>
          <w:tcPr>
            <w:tcW w:w="1654" w:type="dxa"/>
            <w:vAlign w:val="center"/>
          </w:tcPr>
          <w:p>
            <w:pPr>
              <w:jc w:val="center"/>
            </w:pPr>
            <w:r>
              <w:rPr>
                <w:rFonts w:hint="eastAsia"/>
              </w:rPr>
              <w:t>获取磋商文件</w:t>
            </w:r>
          </w:p>
        </w:tc>
        <w:tc>
          <w:tcPr>
            <w:tcW w:w="5180" w:type="dxa"/>
            <w:gridSpan w:val="2"/>
            <w:vAlign w:val="center"/>
          </w:tcPr>
          <w:p>
            <w:pPr>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在规定期限内通过北京市政府采购电子交易平台获取所参与包的磋商文件。</w:t>
            </w:r>
          </w:p>
          <w:p>
            <w:pPr>
              <w:jc w:val="both"/>
              <w:rPr>
                <w:lang w:eastAsia="zh-CN"/>
              </w:rPr>
            </w:pPr>
            <w:r>
              <w:rPr>
                <w:rFonts w:hint="eastAsia" w:asciiTheme="minorEastAsia" w:hAnsiTheme="minorEastAsia" w:eastAsiaTheme="minorEastAsia"/>
                <w:sz w:val="24"/>
                <w:lang w:eastAsia="zh-CN"/>
              </w:rPr>
              <w:t>注：如本项目接受联合体，且供应商为联合体时，联合体中任一成员获取文件即视为满足要求。</w:t>
            </w:r>
          </w:p>
        </w:tc>
        <w:tc>
          <w:tcPr>
            <w:tcW w:w="2463" w:type="dxa"/>
            <w:vAlign w:val="center"/>
          </w:tcPr>
          <w:p>
            <w:pPr>
              <w:jc w:val="center"/>
              <w:rPr>
                <w:lang w:eastAsia="zh-CN"/>
              </w:rPr>
            </w:pPr>
          </w:p>
        </w:tc>
      </w:tr>
    </w:tbl>
    <w:p>
      <w:pPr>
        <w:pStyle w:val="41"/>
        <w:tabs>
          <w:tab w:val="left" w:pos="477"/>
        </w:tabs>
        <w:spacing w:before="43" w:line="338" w:lineRule="auto"/>
        <w:ind w:left="0" w:right="113" w:firstLine="0"/>
        <w:jc w:val="both"/>
        <w:rPr>
          <w:rFonts w:asciiTheme="minorEastAsia" w:hAnsiTheme="minorEastAsia" w:eastAsiaTheme="minorEastAsia"/>
          <w:spacing w:val="2"/>
          <w:sz w:val="24"/>
          <w:lang w:eastAsia="zh-CN"/>
        </w:rPr>
      </w:pP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《符合性《符合性审查要求》见下表：</w:t>
      </w:r>
    </w:p>
    <w:p>
      <w:pPr>
        <w:pStyle w:val="5"/>
        <w:rPr>
          <w:rFonts w:asciiTheme="minorEastAsia" w:hAnsiTheme="minorEastAsia" w:eastAsiaTheme="minorEastAsia"/>
          <w:b/>
          <w:lang w:eastAsia="zh-CN"/>
        </w:rPr>
      </w:pPr>
      <w:bookmarkStart w:id="34" w:name="_Toc164263461"/>
      <w:r>
        <w:rPr>
          <w:rFonts w:asciiTheme="minorEastAsia" w:hAnsiTheme="minorEastAsia" w:eastAsiaTheme="minorEastAsia"/>
          <w:b/>
          <w:lang w:eastAsia="zh-CN"/>
        </w:rPr>
        <w:t>符合性审查要求</w:t>
      </w:r>
      <w:bookmarkEnd w:id="34"/>
    </w:p>
    <w:p>
      <w:pPr>
        <w:pStyle w:val="12"/>
        <w:spacing w:before="7"/>
        <w:rPr>
          <w:rFonts w:asciiTheme="minorEastAsia" w:hAnsiTheme="minorEastAsia" w:eastAsiaTheme="minorEastAsia"/>
          <w:sz w:val="14"/>
        </w:rPr>
      </w:pPr>
    </w:p>
    <w:tbl>
      <w:tblPr>
        <w:tblStyle w:val="40"/>
        <w:tblW w:w="97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795"/>
        <w:gridCol w:w="3975"/>
        <w:gridCol w:w="2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jc w:val="center"/>
              <w:rPr>
                <w:b/>
              </w:rPr>
            </w:pPr>
            <w:r>
              <w:rPr>
                <w:b/>
              </w:rPr>
              <w:t>序号</w:t>
            </w:r>
          </w:p>
        </w:tc>
        <w:tc>
          <w:tcPr>
            <w:tcW w:w="1795" w:type="dxa"/>
            <w:vAlign w:val="center"/>
          </w:tcPr>
          <w:p>
            <w:pPr>
              <w:jc w:val="center"/>
              <w:rPr>
                <w:b/>
              </w:rPr>
            </w:pPr>
            <w:r>
              <w:rPr>
                <w:b/>
              </w:rPr>
              <w:t>检查因素</w:t>
            </w:r>
          </w:p>
        </w:tc>
        <w:tc>
          <w:tcPr>
            <w:tcW w:w="3975" w:type="dxa"/>
            <w:vAlign w:val="center"/>
          </w:tcPr>
          <w:p>
            <w:pPr>
              <w:jc w:val="center"/>
              <w:rPr>
                <w:b/>
              </w:rPr>
            </w:pPr>
            <w:r>
              <w:rPr>
                <w:b/>
              </w:rPr>
              <w:t>检查内容</w:t>
            </w:r>
          </w:p>
        </w:tc>
        <w:tc>
          <w:tcPr>
            <w:tcW w:w="2912" w:type="dxa"/>
            <w:vAlign w:val="center"/>
          </w:tcPr>
          <w:p>
            <w:pPr>
              <w:jc w:val="center"/>
              <w:rPr>
                <w:b/>
                <w:lang w:eastAsia="zh-CN"/>
              </w:rPr>
            </w:pPr>
            <w:r>
              <w:rPr>
                <w:b/>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widowControl/>
              <w:jc w:val="center"/>
              <w:rPr>
                <w:color w:val="000000"/>
                <w:sz w:val="24"/>
              </w:rPr>
            </w:pPr>
            <w:r>
              <w:rPr>
                <w:color w:val="000000"/>
                <w:sz w:val="24"/>
              </w:rPr>
              <w:t>1</w:t>
            </w:r>
          </w:p>
        </w:tc>
        <w:tc>
          <w:tcPr>
            <w:tcW w:w="1795" w:type="dxa"/>
            <w:vAlign w:val="center"/>
          </w:tcPr>
          <w:p>
            <w:pPr>
              <w:widowControl/>
              <w:rPr>
                <w:color w:val="000000"/>
                <w:sz w:val="24"/>
              </w:rPr>
            </w:pPr>
            <w:r>
              <w:rPr>
                <w:color w:val="000000"/>
                <w:sz w:val="24"/>
              </w:rPr>
              <w:t>授权委托书</w:t>
            </w:r>
          </w:p>
        </w:tc>
        <w:tc>
          <w:tcPr>
            <w:tcW w:w="3975" w:type="dxa"/>
            <w:vAlign w:val="center"/>
          </w:tcPr>
          <w:p>
            <w:pPr>
              <w:widowControl/>
              <w:rPr>
                <w:color w:val="000000"/>
                <w:sz w:val="24"/>
                <w:lang w:eastAsia="zh-CN"/>
              </w:rPr>
            </w:pPr>
            <w:r>
              <w:rPr>
                <w:color w:val="000000"/>
                <w:sz w:val="24"/>
                <w:lang w:eastAsia="zh-CN"/>
              </w:rPr>
              <w:t>按磋商文件要求提供授权委托书；</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widowControl/>
              <w:jc w:val="center"/>
              <w:rPr>
                <w:color w:val="000000"/>
                <w:sz w:val="24"/>
              </w:rPr>
            </w:pPr>
            <w:r>
              <w:rPr>
                <w:color w:val="000000"/>
                <w:sz w:val="24"/>
              </w:rPr>
              <w:t>2</w:t>
            </w:r>
          </w:p>
        </w:tc>
        <w:tc>
          <w:tcPr>
            <w:tcW w:w="1795" w:type="dxa"/>
            <w:vAlign w:val="center"/>
          </w:tcPr>
          <w:p>
            <w:pPr>
              <w:widowControl/>
              <w:rPr>
                <w:color w:val="000000"/>
                <w:sz w:val="24"/>
              </w:rPr>
            </w:pPr>
            <w:r>
              <w:rPr>
                <w:color w:val="000000"/>
                <w:sz w:val="24"/>
              </w:rPr>
              <w:t>投标完整性</w:t>
            </w:r>
          </w:p>
        </w:tc>
        <w:tc>
          <w:tcPr>
            <w:tcW w:w="3975" w:type="dxa"/>
            <w:vAlign w:val="center"/>
          </w:tcPr>
          <w:p>
            <w:pPr>
              <w:widowControl/>
              <w:rPr>
                <w:color w:val="000000"/>
                <w:sz w:val="24"/>
                <w:lang w:eastAsia="zh-CN"/>
              </w:rPr>
            </w:pPr>
            <w:r>
              <w:rPr>
                <w:rFonts w:hint="eastAsia"/>
                <w:sz w:val="24"/>
                <w:lang w:eastAsia="zh-CN"/>
              </w:rPr>
              <w:t>未</w:t>
            </w:r>
            <w:r>
              <w:rPr>
                <w:sz w:val="24"/>
                <w:lang w:eastAsia="zh-CN"/>
              </w:rPr>
              <w:t>将一个采购包中的内容拆开投标；</w:t>
            </w:r>
          </w:p>
        </w:tc>
        <w:tc>
          <w:tcPr>
            <w:tcW w:w="291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exact"/>
        </w:trPr>
        <w:tc>
          <w:tcPr>
            <w:tcW w:w="1061" w:type="dxa"/>
            <w:vAlign w:val="center"/>
          </w:tcPr>
          <w:p>
            <w:pPr>
              <w:widowControl/>
              <w:jc w:val="center"/>
              <w:rPr>
                <w:color w:val="000000"/>
                <w:sz w:val="24"/>
              </w:rPr>
            </w:pPr>
            <w:r>
              <w:rPr>
                <w:color w:val="000000"/>
                <w:sz w:val="24"/>
              </w:rPr>
              <w:t>3</w:t>
            </w:r>
          </w:p>
        </w:tc>
        <w:tc>
          <w:tcPr>
            <w:tcW w:w="1795" w:type="dxa"/>
            <w:vAlign w:val="center"/>
          </w:tcPr>
          <w:p>
            <w:pPr>
              <w:widowControl/>
              <w:rPr>
                <w:color w:val="000000"/>
                <w:sz w:val="24"/>
              </w:rPr>
            </w:pPr>
            <w:r>
              <w:rPr>
                <w:color w:val="000000"/>
                <w:sz w:val="24"/>
              </w:rPr>
              <w:t>报价</w:t>
            </w:r>
          </w:p>
        </w:tc>
        <w:tc>
          <w:tcPr>
            <w:tcW w:w="3975" w:type="dxa"/>
            <w:vAlign w:val="center"/>
          </w:tcPr>
          <w:p>
            <w:pPr>
              <w:widowControl/>
              <w:rPr>
                <w:color w:val="000000"/>
                <w:sz w:val="24"/>
                <w:lang w:eastAsia="zh-CN"/>
              </w:rPr>
            </w:pPr>
            <w:r>
              <w:rPr>
                <w:color w:val="000000"/>
                <w:sz w:val="24"/>
                <w:lang w:eastAsia="zh-CN"/>
              </w:rPr>
              <w:t>报价</w:t>
            </w:r>
            <w:r>
              <w:rPr>
                <w:rFonts w:hint="eastAsia"/>
                <w:color w:val="000000"/>
                <w:sz w:val="24"/>
                <w:lang w:eastAsia="zh-CN"/>
              </w:rPr>
              <w:t>未</w:t>
            </w:r>
            <w:r>
              <w:rPr>
                <w:color w:val="000000"/>
                <w:sz w:val="24"/>
                <w:lang w:eastAsia="zh-CN"/>
              </w:rPr>
              <w:t>超过磋商文件中规定的项目/采购包预算金额或者项目/采购包最高限价；</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color w:val="000000"/>
                <w:sz w:val="24"/>
              </w:rPr>
              <w:t>4</w:t>
            </w:r>
          </w:p>
        </w:tc>
        <w:tc>
          <w:tcPr>
            <w:tcW w:w="1795" w:type="dxa"/>
            <w:vAlign w:val="center"/>
          </w:tcPr>
          <w:p>
            <w:pPr>
              <w:widowControl/>
              <w:rPr>
                <w:color w:val="000000"/>
                <w:sz w:val="24"/>
              </w:rPr>
            </w:pPr>
            <w:r>
              <w:rPr>
                <w:color w:val="000000"/>
                <w:sz w:val="24"/>
              </w:rPr>
              <w:t>报价唯一性</w:t>
            </w:r>
          </w:p>
        </w:tc>
        <w:tc>
          <w:tcPr>
            <w:tcW w:w="3975"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color w:val="000000"/>
                <w:sz w:val="24"/>
              </w:rPr>
              <w:t>5</w:t>
            </w:r>
          </w:p>
        </w:tc>
        <w:tc>
          <w:tcPr>
            <w:tcW w:w="1795" w:type="dxa"/>
            <w:vAlign w:val="center"/>
          </w:tcPr>
          <w:p>
            <w:pPr>
              <w:widowControl/>
              <w:rPr>
                <w:color w:val="000000"/>
                <w:sz w:val="24"/>
              </w:rPr>
            </w:pPr>
            <w:r>
              <w:rPr>
                <w:rFonts w:hint="eastAsia"/>
                <w:color w:val="000000"/>
                <w:sz w:val="24"/>
                <w:lang w:eastAsia="zh-CN"/>
              </w:rPr>
              <w:t>响应</w:t>
            </w:r>
            <w:r>
              <w:rPr>
                <w:color w:val="000000"/>
                <w:sz w:val="24"/>
              </w:rPr>
              <w:t>有效期</w:t>
            </w:r>
          </w:p>
        </w:tc>
        <w:tc>
          <w:tcPr>
            <w:tcW w:w="3975" w:type="dxa"/>
            <w:vAlign w:val="center"/>
          </w:tcPr>
          <w:p>
            <w:pPr>
              <w:widowControl/>
              <w:rPr>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0" w:hRule="exact"/>
        </w:trPr>
        <w:tc>
          <w:tcPr>
            <w:tcW w:w="1061" w:type="dxa"/>
            <w:vAlign w:val="center"/>
          </w:tcPr>
          <w:p>
            <w:pPr>
              <w:widowControl/>
              <w:jc w:val="center"/>
              <w:rPr>
                <w:color w:val="000000"/>
                <w:sz w:val="24"/>
              </w:rPr>
            </w:pPr>
            <w:r>
              <w:rPr>
                <w:color w:val="000000"/>
                <w:sz w:val="24"/>
              </w:rPr>
              <w:t>6</w:t>
            </w:r>
          </w:p>
        </w:tc>
        <w:tc>
          <w:tcPr>
            <w:tcW w:w="1795" w:type="dxa"/>
            <w:vAlign w:val="center"/>
          </w:tcPr>
          <w:p>
            <w:pPr>
              <w:widowControl/>
              <w:rPr>
                <w:color w:val="000000"/>
                <w:sz w:val="24"/>
              </w:rPr>
            </w:pPr>
            <w:r>
              <w:rPr>
                <w:color w:val="000000"/>
                <w:sz w:val="24"/>
              </w:rPr>
              <w:t>签署、盖章</w:t>
            </w:r>
          </w:p>
        </w:tc>
        <w:tc>
          <w:tcPr>
            <w:tcW w:w="3975" w:type="dxa"/>
            <w:vAlign w:val="center"/>
          </w:tcPr>
          <w:p>
            <w:pPr>
              <w:widowControl/>
              <w:rPr>
                <w:color w:val="000000"/>
                <w:sz w:val="24"/>
                <w:lang w:eastAsia="zh-CN"/>
              </w:rPr>
            </w:pPr>
            <w:r>
              <w:rPr>
                <w:color w:val="000000"/>
                <w:sz w:val="24"/>
                <w:lang w:eastAsia="zh-CN"/>
              </w:rPr>
              <w:t>按照磋商文件要求签署、盖章的；</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rFonts w:hint="eastAsia"/>
                <w:color w:val="000000"/>
                <w:sz w:val="24"/>
              </w:rPr>
              <w:t>7</w:t>
            </w:r>
          </w:p>
        </w:tc>
        <w:tc>
          <w:tcPr>
            <w:tcW w:w="1795" w:type="dxa"/>
            <w:vAlign w:val="center"/>
          </w:tcPr>
          <w:p>
            <w:pPr>
              <w:widowControl/>
              <w:rPr>
                <w:color w:val="000000"/>
                <w:sz w:val="24"/>
              </w:rPr>
            </w:pPr>
            <w:r>
              <w:rPr>
                <w:rFonts w:hint="eastAsia"/>
                <w:color w:val="000000"/>
                <w:sz w:val="24"/>
              </w:rPr>
              <w:t>实质性格式</w:t>
            </w:r>
          </w:p>
        </w:tc>
        <w:tc>
          <w:tcPr>
            <w:tcW w:w="3975" w:type="dxa"/>
            <w:vAlign w:val="center"/>
          </w:tcPr>
          <w:p>
            <w:pPr>
              <w:widowControl/>
              <w:rPr>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291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1061" w:type="dxa"/>
            <w:vAlign w:val="center"/>
          </w:tcPr>
          <w:p>
            <w:pPr>
              <w:widowControl/>
              <w:jc w:val="center"/>
              <w:rPr>
                <w:color w:val="000000"/>
                <w:sz w:val="24"/>
              </w:rPr>
            </w:pPr>
            <w:r>
              <w:rPr>
                <w:color w:val="000000"/>
                <w:sz w:val="24"/>
              </w:rPr>
              <w:t>8</w:t>
            </w:r>
          </w:p>
        </w:tc>
        <w:tc>
          <w:tcPr>
            <w:tcW w:w="1795" w:type="dxa"/>
            <w:vAlign w:val="center"/>
          </w:tcPr>
          <w:p>
            <w:pPr>
              <w:widowControl/>
              <w:rPr>
                <w:color w:val="000000"/>
                <w:sz w:val="24"/>
              </w:rPr>
            </w:pPr>
            <w:r>
              <w:rPr>
                <w:rFonts w:ascii="Segoe UI Symbol" w:hAnsi="Segoe UI Symbol" w:cs="Segoe UI Symbol"/>
                <w:color w:val="000000"/>
                <w:sz w:val="24"/>
              </w:rPr>
              <w:t>★</w:t>
            </w:r>
            <w:r>
              <w:rPr>
                <w:color w:val="000000"/>
                <w:sz w:val="24"/>
              </w:rPr>
              <w:t>号条款响应</w:t>
            </w:r>
          </w:p>
        </w:tc>
        <w:tc>
          <w:tcPr>
            <w:tcW w:w="3975" w:type="dxa"/>
            <w:vAlign w:val="center"/>
          </w:tcPr>
          <w:p>
            <w:pPr>
              <w:widowControl/>
              <w:rPr>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7" w:hRule="exact"/>
        </w:trPr>
        <w:tc>
          <w:tcPr>
            <w:tcW w:w="1061" w:type="dxa"/>
            <w:vAlign w:val="center"/>
          </w:tcPr>
          <w:p>
            <w:pPr>
              <w:widowControl/>
              <w:jc w:val="center"/>
              <w:rPr>
                <w:color w:val="000000"/>
                <w:sz w:val="24"/>
              </w:rPr>
            </w:pPr>
            <w:r>
              <w:rPr>
                <w:color w:val="000000"/>
                <w:sz w:val="24"/>
              </w:rPr>
              <w:t>9</w:t>
            </w:r>
          </w:p>
        </w:tc>
        <w:tc>
          <w:tcPr>
            <w:tcW w:w="1795" w:type="dxa"/>
            <w:vAlign w:val="center"/>
          </w:tcPr>
          <w:p>
            <w:pPr>
              <w:widowControl/>
              <w:rPr>
                <w:color w:val="000000"/>
                <w:sz w:val="24"/>
                <w:lang w:eastAsia="zh-CN"/>
              </w:rPr>
            </w:pPr>
            <w:r>
              <w:rPr>
                <w:color w:val="000000"/>
                <w:sz w:val="24"/>
                <w:lang w:eastAsia="zh-CN"/>
              </w:rPr>
              <w:t>分包承担主体资质（如有）</w:t>
            </w:r>
          </w:p>
        </w:tc>
        <w:tc>
          <w:tcPr>
            <w:tcW w:w="3975" w:type="dxa"/>
            <w:vAlign w:val="center"/>
          </w:tcPr>
          <w:p>
            <w:pPr>
              <w:widowControl/>
              <w:rPr>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291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1061" w:type="dxa"/>
            <w:vAlign w:val="center"/>
          </w:tcPr>
          <w:p>
            <w:pPr>
              <w:widowControl/>
              <w:jc w:val="center"/>
              <w:rPr>
                <w:color w:val="000000"/>
                <w:sz w:val="24"/>
              </w:rPr>
            </w:pPr>
            <w:r>
              <w:rPr>
                <w:color w:val="000000"/>
                <w:sz w:val="24"/>
              </w:rPr>
              <w:t>10</w:t>
            </w:r>
          </w:p>
        </w:tc>
        <w:tc>
          <w:tcPr>
            <w:tcW w:w="1795" w:type="dxa"/>
            <w:vAlign w:val="center"/>
          </w:tcPr>
          <w:p>
            <w:pPr>
              <w:widowControl/>
              <w:rPr>
                <w:color w:val="000000"/>
                <w:sz w:val="24"/>
                <w:lang w:eastAsia="zh-CN"/>
              </w:rPr>
            </w:pPr>
            <w:r>
              <w:rPr>
                <w:color w:val="000000"/>
                <w:sz w:val="24"/>
                <w:lang w:eastAsia="zh-CN"/>
              </w:rPr>
              <w:t>分包意向协议</w:t>
            </w:r>
          </w:p>
          <w:p>
            <w:pPr>
              <w:widowControl/>
              <w:rPr>
                <w:color w:val="000000"/>
                <w:sz w:val="24"/>
                <w:lang w:eastAsia="zh-CN"/>
              </w:rPr>
            </w:pPr>
            <w:r>
              <w:rPr>
                <w:color w:val="000000"/>
                <w:sz w:val="24"/>
                <w:lang w:eastAsia="zh-CN"/>
              </w:rPr>
              <w:t>（如有）</w:t>
            </w:r>
          </w:p>
        </w:tc>
        <w:tc>
          <w:tcPr>
            <w:tcW w:w="3975" w:type="dxa"/>
            <w:vAlign w:val="center"/>
          </w:tcPr>
          <w:p>
            <w:pPr>
              <w:widowControl/>
              <w:rPr>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1" w:hRule="exact"/>
        </w:trPr>
        <w:tc>
          <w:tcPr>
            <w:tcW w:w="1061" w:type="dxa"/>
            <w:vAlign w:val="center"/>
          </w:tcPr>
          <w:p>
            <w:pPr>
              <w:widowControl/>
              <w:jc w:val="center"/>
              <w:rPr>
                <w:color w:val="000000"/>
                <w:sz w:val="24"/>
              </w:rPr>
            </w:pPr>
            <w:r>
              <w:rPr>
                <w:rFonts w:hint="eastAsia"/>
                <w:color w:val="000000"/>
                <w:sz w:val="24"/>
              </w:rPr>
              <w:t>11</w:t>
            </w:r>
          </w:p>
        </w:tc>
        <w:tc>
          <w:tcPr>
            <w:tcW w:w="1795" w:type="dxa"/>
            <w:vAlign w:val="center"/>
          </w:tcPr>
          <w:p>
            <w:pPr>
              <w:widowControl/>
              <w:rPr>
                <w:color w:val="000000"/>
                <w:sz w:val="24"/>
              </w:rPr>
            </w:pPr>
            <w:r>
              <w:rPr>
                <w:color w:val="000000"/>
                <w:sz w:val="24"/>
              </w:rPr>
              <w:t>报价合理性</w:t>
            </w:r>
          </w:p>
        </w:tc>
        <w:tc>
          <w:tcPr>
            <w:tcW w:w="3975" w:type="dxa"/>
            <w:vAlign w:val="center"/>
          </w:tcPr>
          <w:p>
            <w:pPr>
              <w:widowControl/>
              <w:rPr>
                <w:color w:val="000000"/>
                <w:sz w:val="24"/>
                <w:lang w:eastAsia="zh-CN"/>
              </w:rPr>
            </w:pPr>
            <w:r>
              <w:rPr>
                <w:color w:val="000000"/>
                <w:sz w:val="24"/>
                <w:lang w:eastAsia="zh-CN"/>
              </w:rPr>
              <w:t>报价合理，或</w:t>
            </w:r>
            <w:r>
              <w:rPr>
                <w:rFonts w:hint="eastAsia"/>
                <w:sz w:val="24"/>
                <w:lang w:eastAsia="zh-CN"/>
              </w:rPr>
              <w:t>投标人的报价明显低于其他通过符合性审查投标人的报价，</w:t>
            </w:r>
            <w:r>
              <w:rPr>
                <w:sz w:val="24"/>
                <w:lang w:eastAsia="zh-CN"/>
              </w:rPr>
              <w:t>有可能影响产品质量或者不能诚信履约的</w:t>
            </w:r>
            <w:r>
              <w:rPr>
                <w:rFonts w:hint="eastAsia"/>
                <w:sz w:val="24"/>
                <w:lang w:eastAsia="zh-CN"/>
              </w:rPr>
              <w:t>，能够应评标委员会要求在规定时间内证明其报价合理性的</w:t>
            </w:r>
            <w:r>
              <w:rPr>
                <w:color w:val="000000"/>
                <w:sz w:val="24"/>
                <w:lang w:eastAsia="zh-CN"/>
              </w:rPr>
              <w:t>；</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46" w:hRule="exact"/>
        </w:trPr>
        <w:tc>
          <w:tcPr>
            <w:tcW w:w="1061" w:type="dxa"/>
            <w:vAlign w:val="center"/>
          </w:tcPr>
          <w:p>
            <w:pPr>
              <w:widowControl/>
              <w:jc w:val="center"/>
              <w:rPr>
                <w:color w:val="000000"/>
                <w:sz w:val="24"/>
              </w:rPr>
            </w:pPr>
            <w:r>
              <w:rPr>
                <w:rFonts w:hint="eastAsia"/>
                <w:color w:val="000000"/>
                <w:sz w:val="24"/>
              </w:rPr>
              <w:t>12</w:t>
            </w:r>
          </w:p>
        </w:tc>
        <w:tc>
          <w:tcPr>
            <w:tcW w:w="1795" w:type="dxa"/>
            <w:vAlign w:val="center"/>
          </w:tcPr>
          <w:p>
            <w:pPr>
              <w:widowControl/>
              <w:rPr>
                <w:color w:val="000000"/>
                <w:sz w:val="24"/>
              </w:rPr>
            </w:pPr>
            <w:r>
              <w:rPr>
                <w:color w:val="000000"/>
                <w:sz w:val="24"/>
              </w:rPr>
              <w:t>进口产品</w:t>
            </w:r>
          </w:p>
          <w:p>
            <w:pPr>
              <w:widowControl/>
              <w:rPr>
                <w:color w:val="000000"/>
                <w:sz w:val="24"/>
              </w:rPr>
            </w:pPr>
            <w:r>
              <w:rPr>
                <w:color w:val="000000"/>
                <w:sz w:val="24"/>
              </w:rPr>
              <w:t>（如有）</w:t>
            </w:r>
          </w:p>
        </w:tc>
        <w:tc>
          <w:tcPr>
            <w:tcW w:w="3975" w:type="dxa"/>
            <w:vAlign w:val="center"/>
          </w:tcPr>
          <w:p>
            <w:pPr>
              <w:widowControl/>
              <w:rPr>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投标人所投产品非进口产品的；</w:t>
            </w:r>
          </w:p>
        </w:tc>
        <w:tc>
          <w:tcPr>
            <w:tcW w:w="291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7" w:hRule="exact"/>
        </w:trPr>
        <w:tc>
          <w:tcPr>
            <w:tcW w:w="1061" w:type="dxa"/>
            <w:vAlign w:val="center"/>
          </w:tcPr>
          <w:p>
            <w:pPr>
              <w:widowControl/>
              <w:jc w:val="center"/>
              <w:rPr>
                <w:color w:val="000000"/>
                <w:sz w:val="24"/>
              </w:rPr>
            </w:pPr>
            <w:r>
              <w:rPr>
                <w:rFonts w:hint="eastAsia"/>
                <w:color w:val="000000"/>
                <w:sz w:val="24"/>
              </w:rPr>
              <w:t>13</w:t>
            </w:r>
          </w:p>
        </w:tc>
        <w:tc>
          <w:tcPr>
            <w:tcW w:w="1795" w:type="dxa"/>
            <w:vAlign w:val="center"/>
          </w:tcPr>
          <w:p>
            <w:pPr>
              <w:widowControl/>
              <w:rPr>
                <w:color w:val="000000"/>
                <w:sz w:val="24"/>
                <w:lang w:eastAsia="zh-CN"/>
              </w:rPr>
            </w:pPr>
            <w:r>
              <w:rPr>
                <w:color w:val="000000"/>
                <w:sz w:val="24"/>
                <w:lang w:eastAsia="zh-CN"/>
              </w:rPr>
              <w:t>国家有关部门对投标人的投标产品有强制性规定或要求的</w:t>
            </w:r>
          </w:p>
        </w:tc>
        <w:tc>
          <w:tcPr>
            <w:tcW w:w="3975" w:type="dxa"/>
            <w:vAlign w:val="center"/>
          </w:tcPr>
          <w:p>
            <w:pPr>
              <w:widowControl/>
              <w:rPr>
                <w:color w:val="000000"/>
                <w:lang w:eastAsia="zh-CN"/>
              </w:rPr>
            </w:pPr>
            <w:r>
              <w:rPr>
                <w:rFonts w:hint="eastAsia"/>
                <w:color w:val="000000"/>
                <w:lang w:eastAsia="zh-CN"/>
              </w:rPr>
              <w:t>国家有关部门对投标人的投标产品有强制性规定或要求的（如相应技术、安全、节能和环保等），投标人的投标产品应符合相应规定或要求，并提供证明文件电子件：</w:t>
            </w:r>
          </w:p>
          <w:p>
            <w:pPr>
              <w:widowControl/>
              <w:rPr>
                <w:color w:val="000000"/>
                <w:lang w:eastAsia="zh-CN"/>
              </w:rPr>
            </w:pPr>
            <w:r>
              <w:rPr>
                <w:color w:val="000000"/>
                <w:lang w:eastAsia="zh-CN"/>
              </w:rPr>
              <w:t>1）采购的产品若属于《节能产品政府采购品目清单》范围中政府强制采购产品，则投标人所报产品必须获得国家确定的认证机构出具的、处于有效期之内的节能产品认证证书；</w:t>
            </w:r>
          </w:p>
          <w:p>
            <w:pPr>
              <w:widowControl/>
              <w:rPr>
                <w:color w:val="000000"/>
                <w:lang w:eastAsia="zh-CN"/>
              </w:rPr>
            </w:pPr>
            <w:r>
              <w:rPr>
                <w:color w:val="000000"/>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rPr>
                <w:color w:val="000000"/>
                <w:lang w:eastAsia="zh-CN"/>
              </w:rPr>
            </w:pPr>
            <w:r>
              <w:rPr>
                <w:color w:val="000000"/>
                <w:lang w:eastAsia="zh-CN"/>
              </w:rPr>
              <w:t>3）项目中涉及涂料、胶黏剂、油墨、清洗剂等挥发性有机物产品，且属于强制性标准的，供应商应执行符合本市和国家的VOCs 含量限制标准。</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7" w:hRule="exact"/>
        </w:trPr>
        <w:tc>
          <w:tcPr>
            <w:tcW w:w="1061" w:type="dxa"/>
            <w:vAlign w:val="center"/>
          </w:tcPr>
          <w:p>
            <w:pPr>
              <w:widowControl/>
              <w:jc w:val="center"/>
              <w:rPr>
                <w:color w:val="000000"/>
                <w:sz w:val="24"/>
              </w:rPr>
            </w:pPr>
            <w:r>
              <w:rPr>
                <w:rFonts w:hint="eastAsia"/>
                <w:color w:val="000000"/>
                <w:sz w:val="24"/>
              </w:rPr>
              <w:t>14</w:t>
            </w:r>
          </w:p>
        </w:tc>
        <w:tc>
          <w:tcPr>
            <w:tcW w:w="1795" w:type="dxa"/>
            <w:vAlign w:val="center"/>
          </w:tcPr>
          <w:p>
            <w:pPr>
              <w:widowControl/>
              <w:rPr>
                <w:color w:val="000000"/>
                <w:sz w:val="24"/>
              </w:rPr>
            </w:pPr>
            <w:r>
              <w:rPr>
                <w:color w:val="000000"/>
                <w:sz w:val="24"/>
              </w:rPr>
              <w:t>公平竞争</w:t>
            </w:r>
          </w:p>
        </w:tc>
        <w:tc>
          <w:tcPr>
            <w:tcW w:w="3975" w:type="dxa"/>
            <w:vAlign w:val="center"/>
          </w:tcPr>
          <w:p>
            <w:pPr>
              <w:widowControl/>
              <w:rPr>
                <w:color w:val="000000"/>
                <w:lang w:eastAsia="zh-CN"/>
              </w:rPr>
            </w:pPr>
            <w:r>
              <w:rPr>
                <w:color w:val="000000"/>
                <w:lang w:eastAsia="zh-CN"/>
              </w:rPr>
              <w:t>投标人遵循公平竞争的原则，不存在恶意串通，妨碍其他投标人的竞争行为，不存在损害采购人或者其他投标人的合法权益情形的；</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3" w:hRule="exact"/>
        </w:trPr>
        <w:tc>
          <w:tcPr>
            <w:tcW w:w="1061" w:type="dxa"/>
            <w:vAlign w:val="center"/>
          </w:tcPr>
          <w:p>
            <w:pPr>
              <w:widowControl/>
              <w:jc w:val="center"/>
              <w:rPr>
                <w:color w:val="000000"/>
                <w:sz w:val="24"/>
              </w:rPr>
            </w:pPr>
            <w:r>
              <w:rPr>
                <w:rFonts w:hint="eastAsia"/>
                <w:color w:val="000000"/>
                <w:sz w:val="24"/>
              </w:rPr>
              <w:t>15</w:t>
            </w:r>
          </w:p>
        </w:tc>
        <w:tc>
          <w:tcPr>
            <w:tcW w:w="1795" w:type="dxa"/>
            <w:vAlign w:val="center"/>
          </w:tcPr>
          <w:p>
            <w:pPr>
              <w:widowControl/>
              <w:rPr>
                <w:color w:val="000000"/>
                <w:sz w:val="24"/>
              </w:rPr>
            </w:pPr>
            <w:r>
              <w:rPr>
                <w:color w:val="000000"/>
                <w:sz w:val="24"/>
              </w:rPr>
              <w:t>串通投标</w:t>
            </w:r>
          </w:p>
        </w:tc>
        <w:tc>
          <w:tcPr>
            <w:tcW w:w="3975" w:type="dxa"/>
            <w:vAlign w:val="center"/>
          </w:tcPr>
          <w:p>
            <w:pPr>
              <w:widowControl/>
              <w:rPr>
                <w:color w:val="000000"/>
                <w:sz w:val="24"/>
                <w:lang w:eastAsia="zh-CN"/>
              </w:rPr>
            </w:pPr>
            <w:r>
              <w:rPr>
                <w:rFonts w:hint="eastAsia"/>
                <w:color w:val="000000"/>
                <w:sz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color w:val="000000"/>
                <w:sz w:val="24"/>
                <w:lang w:eastAsia="zh-CN"/>
              </w:rPr>
              <w:t>；</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1061" w:type="dxa"/>
            <w:vAlign w:val="center"/>
          </w:tcPr>
          <w:p>
            <w:pPr>
              <w:widowControl/>
              <w:jc w:val="center"/>
              <w:rPr>
                <w:color w:val="000000"/>
                <w:sz w:val="24"/>
              </w:rPr>
            </w:pPr>
            <w:r>
              <w:rPr>
                <w:rFonts w:hint="eastAsia"/>
                <w:color w:val="000000"/>
                <w:sz w:val="24"/>
              </w:rPr>
              <w:t>16</w:t>
            </w:r>
          </w:p>
        </w:tc>
        <w:tc>
          <w:tcPr>
            <w:tcW w:w="1795" w:type="dxa"/>
            <w:vAlign w:val="center"/>
          </w:tcPr>
          <w:p>
            <w:pPr>
              <w:widowControl/>
              <w:rPr>
                <w:color w:val="000000"/>
                <w:sz w:val="24"/>
              </w:rPr>
            </w:pPr>
            <w:r>
              <w:rPr>
                <w:color w:val="000000"/>
                <w:sz w:val="24"/>
              </w:rPr>
              <w:t>附加条件</w:t>
            </w:r>
          </w:p>
        </w:tc>
        <w:tc>
          <w:tcPr>
            <w:tcW w:w="3975"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291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4" w:hRule="exact"/>
        </w:trPr>
        <w:tc>
          <w:tcPr>
            <w:tcW w:w="1061" w:type="dxa"/>
            <w:vAlign w:val="center"/>
          </w:tcPr>
          <w:p>
            <w:pPr>
              <w:widowControl/>
              <w:jc w:val="center"/>
              <w:rPr>
                <w:color w:val="000000"/>
                <w:sz w:val="24"/>
              </w:rPr>
            </w:pPr>
            <w:r>
              <w:rPr>
                <w:rFonts w:hint="eastAsia"/>
                <w:color w:val="000000"/>
                <w:sz w:val="24"/>
              </w:rPr>
              <w:t>17</w:t>
            </w:r>
          </w:p>
        </w:tc>
        <w:tc>
          <w:tcPr>
            <w:tcW w:w="1795" w:type="dxa"/>
            <w:vAlign w:val="center"/>
          </w:tcPr>
          <w:p>
            <w:r>
              <w:t>报价的修正（如有）</w:t>
            </w:r>
          </w:p>
        </w:tc>
        <w:tc>
          <w:tcPr>
            <w:tcW w:w="3975" w:type="dxa"/>
            <w:vAlign w:val="center"/>
          </w:tcPr>
          <w:p>
            <w:pPr>
              <w:widowControl/>
              <w:rPr>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2912" w:type="dxa"/>
            <w:vAlign w:val="center"/>
          </w:tcPr>
          <w:p>
            <w:pPr>
              <w:widowControl/>
              <w:jc w:val="center"/>
              <w:rPr>
                <w:color w:val="000000"/>
                <w:sz w:val="24"/>
              </w:rPr>
            </w:pPr>
            <w:r>
              <w:rPr>
                <w:rFonts w:hint="eastAsia"/>
                <w:color w:val="000000"/>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exact"/>
        </w:trPr>
        <w:tc>
          <w:tcPr>
            <w:tcW w:w="1061" w:type="dxa"/>
            <w:vAlign w:val="center"/>
          </w:tcPr>
          <w:p>
            <w:pPr>
              <w:widowControl/>
              <w:jc w:val="center"/>
              <w:rPr>
                <w:color w:val="000000"/>
                <w:sz w:val="24"/>
              </w:rPr>
            </w:pPr>
            <w:r>
              <w:rPr>
                <w:rFonts w:hint="eastAsia"/>
                <w:color w:val="000000"/>
                <w:sz w:val="24"/>
              </w:rPr>
              <w:t>1</w:t>
            </w:r>
            <w:r>
              <w:rPr>
                <w:color w:val="000000"/>
                <w:sz w:val="24"/>
              </w:rPr>
              <w:t>8</w:t>
            </w:r>
          </w:p>
        </w:tc>
        <w:tc>
          <w:tcPr>
            <w:tcW w:w="1795" w:type="dxa"/>
            <w:vAlign w:val="center"/>
          </w:tcPr>
          <w:p>
            <w:pPr>
              <w:widowControl/>
              <w:rPr>
                <w:color w:val="000000"/>
                <w:sz w:val="24"/>
              </w:rPr>
            </w:pPr>
            <w:r>
              <w:rPr>
                <w:color w:val="000000"/>
                <w:sz w:val="24"/>
              </w:rPr>
              <w:t>其他无效情形</w:t>
            </w:r>
          </w:p>
        </w:tc>
        <w:tc>
          <w:tcPr>
            <w:tcW w:w="3975" w:type="dxa"/>
            <w:vAlign w:val="center"/>
          </w:tcPr>
          <w:p>
            <w:pPr>
              <w:widowControl/>
              <w:rPr>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2912" w:type="dxa"/>
            <w:vAlign w:val="center"/>
          </w:tcPr>
          <w:p>
            <w:pPr>
              <w:widowControl/>
              <w:jc w:val="center"/>
              <w:rPr>
                <w:color w:val="000000"/>
                <w:sz w:val="24"/>
              </w:rPr>
            </w:pPr>
            <w:r>
              <w:rPr>
                <w:rFonts w:hint="eastAsia"/>
                <w:color w:val="000000"/>
                <w:sz w:val="24"/>
              </w:rPr>
              <w:t>不允许</w:t>
            </w:r>
          </w:p>
        </w:tc>
      </w:tr>
    </w:tbl>
    <w:p>
      <w:pPr>
        <w:pStyle w:val="12"/>
        <w:spacing w:before="11"/>
        <w:rPr>
          <w:rFonts w:asciiTheme="minorEastAsia" w:hAnsiTheme="minorEastAsia" w:eastAsiaTheme="minorEastAsia"/>
          <w:sz w:val="25"/>
          <w:lang w:eastAsia="zh-CN"/>
        </w:rPr>
      </w:pPr>
    </w:p>
    <w:p>
      <w:pPr>
        <w:widowControl/>
        <w:autoSpaceDE/>
        <w:autoSpaceDN/>
        <w:rPr>
          <w:rFonts w:asciiTheme="minorEastAsia" w:hAnsiTheme="minorEastAsia" w:eastAsiaTheme="minorEastAsia"/>
          <w:sz w:val="25"/>
          <w:lang w:eastAsia="zh-CN"/>
        </w:rPr>
      </w:pPr>
      <w:r>
        <w:rPr>
          <w:rFonts w:asciiTheme="minorEastAsia" w:hAnsiTheme="minorEastAsia" w:eastAsiaTheme="minorEastAsia"/>
          <w:sz w:val="25"/>
          <w:lang w:eastAsia="zh-CN"/>
        </w:rPr>
        <w:br w:type="page"/>
      </w:r>
    </w:p>
    <w:p>
      <w:pPr>
        <w:pStyle w:val="2"/>
        <w:rPr>
          <w:rFonts w:asciiTheme="minorEastAsia" w:hAnsiTheme="minorEastAsia" w:eastAsiaTheme="minorEastAsia"/>
          <w:sz w:val="25"/>
          <w:lang w:eastAsia="zh-CN"/>
        </w:rPr>
      </w:pPr>
    </w:p>
    <w:p>
      <w:pPr>
        <w:rPr>
          <w:lang w:eastAsia="zh-CN"/>
        </w:rPr>
      </w:pPr>
    </w:p>
    <w:p>
      <w:pPr>
        <w:pStyle w:val="41"/>
        <w:numPr>
          <w:ilvl w:val="0"/>
          <w:numId w:val="6"/>
        </w:numPr>
        <w:tabs>
          <w:tab w:val="left" w:pos="477"/>
        </w:tabs>
        <w:spacing w:before="43" w:line="338" w:lineRule="auto"/>
        <w:ind w:right="113"/>
        <w:jc w:val="both"/>
        <w:rPr>
          <w:rFonts w:asciiTheme="minorEastAsia" w:hAnsiTheme="minorEastAsia" w:eastAsiaTheme="minorEastAsia"/>
          <w:vanish/>
          <w:spacing w:val="2"/>
          <w:sz w:val="24"/>
          <w:lang w:eastAsia="zh-CN"/>
        </w:rPr>
      </w:pPr>
      <w:r>
        <w:rPr>
          <w:rFonts w:asciiTheme="minorEastAsia" w:hAnsiTheme="minorEastAsia" w:eastAsiaTheme="minorEastAsia"/>
          <w:sz w:val="24"/>
          <w:lang w:eastAsia="zh-CN"/>
        </w:rPr>
        <w:t>磋商、响应文件有关事项的澄清、说明或者更正和最后报价</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磋商小组所有成员将集中与单一供应商分别进行磋商，并给予所有参加磋商的供应商平等的磋商机会。</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在磋商过程中，磋商小组可以根据磋商文件和磋商情况实质性变动采购需求中的技术、服务要求以及合同草案条款，但不得变动磋商文件中的其他内容。</w:t>
      </w:r>
      <w:r>
        <w:rPr>
          <w:rFonts w:asciiTheme="minorEastAsia" w:hAnsiTheme="minorEastAsia" w:eastAsiaTheme="minorEastAsia"/>
          <w:spacing w:val="2"/>
          <w:sz w:val="24"/>
          <w:lang w:eastAsia="zh-CN"/>
        </w:rPr>
        <w:t>实质性变动的内容，须经采购人代表确认。</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对磋商文件作出的实质性变动是磋商文件的有效组成部分，磋商小组应当及时以书面形式同时通知所有参加磋商的供应商。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响应文件的澄清、说明或者更正：</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磋商小组在对响应文件的有效性</w:t>
      </w:r>
      <w:r>
        <w:rPr>
          <w:rFonts w:asciiTheme="minorEastAsia" w:hAnsiTheme="minorEastAsia" w:eastAsiaTheme="minorEastAsia"/>
          <w:spacing w:val="-55"/>
          <w:sz w:val="24"/>
          <w:lang w:eastAsia="zh-CN"/>
        </w:rPr>
        <w:t>、</w:t>
      </w:r>
      <w:r>
        <w:rPr>
          <w:rFonts w:asciiTheme="minorEastAsia" w:hAnsiTheme="minorEastAsia" w:eastAsiaTheme="minorEastAsia"/>
          <w:sz w:val="24"/>
          <w:lang w:eastAsia="zh-CN"/>
        </w:rPr>
        <w:t>完整性和响应程度进行审查时</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可以要求供应商对响应文件中含义不明确</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同类问题表述不一致或者有明显文字和计算错误的内容等作出必要的澄清、说明或者更正。</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w:t>
      </w:r>
    </w:p>
    <w:p>
      <w:pPr>
        <w:pStyle w:val="41"/>
        <w:numPr>
          <w:ilvl w:val="0"/>
          <w:numId w:val="0"/>
        </w:numPr>
        <w:tabs>
          <w:tab w:val="left" w:pos="477"/>
        </w:tabs>
        <w:spacing w:before="43" w:line="338" w:lineRule="auto"/>
        <w:ind w:left="851" w:leftChars="0" w:right="113" w:rightChars="0"/>
        <w:jc w:val="both"/>
        <w:rPr>
          <w:rFonts w:asciiTheme="minorEastAsia" w:hAnsiTheme="minorEastAsia" w:eastAsiaTheme="minorEastAsia"/>
          <w:sz w:val="24"/>
          <w:lang w:eastAsia="zh-CN"/>
        </w:rPr>
      </w:pPr>
    </w:p>
    <w:p>
      <w:pPr>
        <w:pStyle w:val="41"/>
        <w:numPr>
          <w:ilvl w:val="0"/>
          <w:numId w:val="0"/>
        </w:numPr>
        <w:tabs>
          <w:tab w:val="left" w:pos="477"/>
        </w:tabs>
        <w:spacing w:before="43" w:line="338" w:lineRule="auto"/>
        <w:ind w:left="851" w:leftChars="0" w:right="113" w:rightChars="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的一部分。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磋商结束后，磋商小组将要求所有实质性响应的供应商在规定时间内提交最后报价。最后报价时间为磋商小组指定的时间，具体时间根据磋商进度另行通知。</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最后报价是供应商响应文件的有效组成部分。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已提交响应文件的供应商，在提交最后报价之前，可以根据磋商情况退出磋商。</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最后报价的算术修正及政策调整</w:t>
      </w:r>
    </w:p>
    <w:p>
      <w:pPr>
        <w:pStyle w:val="41"/>
        <w:numPr>
          <w:ilvl w:val="1"/>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最后报价须包含竞争性磋商文件全部内容，如最后分项报价表有缺漏视为</w:t>
      </w:r>
      <w:r>
        <w:rPr>
          <w:rFonts w:asciiTheme="minorEastAsia" w:hAnsiTheme="minorEastAsia" w:eastAsiaTheme="minorEastAsia"/>
          <w:sz w:val="24"/>
          <w:lang w:eastAsia="zh-CN"/>
        </w:rPr>
        <w:t>已</w:t>
      </w:r>
      <w:r>
        <w:rPr>
          <w:rFonts w:asciiTheme="minorEastAsia" w:hAnsiTheme="minorEastAsia" w:eastAsiaTheme="minorEastAsia"/>
          <w:spacing w:val="2"/>
          <w:sz w:val="24"/>
          <w:lang w:eastAsia="zh-CN"/>
        </w:rPr>
        <w:t>含在其他各项报价中，将不对最后报价进行调整</w:t>
      </w:r>
      <w:r>
        <w:rPr>
          <w:rFonts w:asciiTheme="minorEastAsia" w:hAnsiTheme="minorEastAsia" w:eastAsiaTheme="minorEastAsia"/>
          <w:sz w:val="24"/>
          <w:lang w:eastAsia="zh-CN"/>
        </w:rPr>
        <w:t>。</w:t>
      </w:r>
      <w:r>
        <w:rPr>
          <w:rFonts w:asciiTheme="minorEastAsia" w:hAnsiTheme="minorEastAsia" w:eastAsiaTheme="minorEastAsia"/>
          <w:spacing w:val="2"/>
          <w:sz w:val="24"/>
          <w:lang w:eastAsia="zh-CN"/>
        </w:rPr>
        <w:t>磋商小组有权要求供应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在评审现场合理的时间内对此进行书面确认，供</w:t>
      </w:r>
      <w:r>
        <w:rPr>
          <w:rFonts w:asciiTheme="minorEastAsia" w:hAnsiTheme="minorEastAsia" w:eastAsiaTheme="minorEastAsia"/>
          <w:sz w:val="24"/>
          <w:lang w:eastAsia="zh-CN"/>
        </w:rPr>
        <w:t>应</w:t>
      </w:r>
      <w:r>
        <w:rPr>
          <w:rFonts w:asciiTheme="minorEastAsia" w:hAnsiTheme="minorEastAsia" w:eastAsiaTheme="minorEastAsia"/>
          <w:spacing w:val="2"/>
          <w:sz w:val="24"/>
          <w:lang w:eastAsia="zh-CN"/>
        </w:rPr>
        <w:t>商不确认的，视为将一</w:t>
      </w:r>
      <w:r>
        <w:rPr>
          <w:rFonts w:asciiTheme="minorEastAsia" w:hAnsiTheme="minorEastAsia" w:eastAsiaTheme="minorEastAsia"/>
          <w:sz w:val="24"/>
          <w:lang w:eastAsia="zh-CN"/>
        </w:rPr>
        <w:t>个采购包中的内容拆分响应，</w:t>
      </w:r>
      <w:r>
        <w:rPr>
          <w:rFonts w:asciiTheme="minorEastAsia" w:hAnsiTheme="minorEastAsia" w:eastAsiaTheme="minorEastAsia"/>
          <w:spacing w:val="-1"/>
          <w:sz w:val="24"/>
          <w:lang w:eastAsia="zh-CN"/>
        </w:rPr>
        <w:t>其</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w:t>
      </w:r>
      <w:r>
        <w:rPr>
          <w:rFonts w:asciiTheme="minorEastAsia" w:hAnsiTheme="minorEastAsia" w:eastAsiaTheme="minorEastAsia"/>
          <w:sz w:val="24"/>
          <w:lang w:eastAsia="zh-CN"/>
        </w:rPr>
        <w:t>无</w:t>
      </w:r>
      <w:r>
        <w:rPr>
          <w:rFonts w:asciiTheme="minorEastAsia" w:hAnsiTheme="minorEastAsia" w:eastAsiaTheme="minorEastAsia"/>
          <w:spacing w:val="2"/>
          <w:sz w:val="24"/>
          <w:lang w:eastAsia="zh-CN"/>
        </w:rPr>
        <w:t>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最后报价出现前后不一致的，按照下列规定修正：</w:t>
      </w:r>
    </w:p>
    <w:p>
      <w:pPr>
        <w:pStyle w:val="41"/>
        <w:numPr>
          <w:ilvl w:val="2"/>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竞争性磋商文件对于报价修正是否另有规定：</w:t>
      </w:r>
    </w:p>
    <w:p>
      <w:pPr>
        <w:pStyle w:val="12"/>
        <w:tabs>
          <w:tab w:val="left" w:pos="5674"/>
        </w:tabs>
        <w:spacing w:before="137"/>
        <w:ind w:left="2156"/>
        <w:rPr>
          <w:rFonts w:asciiTheme="minorEastAsia" w:hAnsiTheme="minorEastAsia" w:eastAsiaTheme="minorEastAsia"/>
          <w:lang w:eastAsia="zh-CN"/>
        </w:rPr>
      </w:pPr>
      <w:r>
        <w:rPr>
          <w:rFonts w:asciiTheme="minorEastAsia" w:hAnsiTheme="minorEastAsia" w:eastAsiaTheme="minorEastAsia"/>
          <w:w w:val="105"/>
          <w:lang w:eastAsia="zh-CN"/>
        </w:rPr>
        <w:t>□有，具体规定为：</w:t>
      </w:r>
      <w:r>
        <w:rPr>
          <w:rFonts w:asciiTheme="minorEastAsia" w:hAnsiTheme="minorEastAsia" w:eastAsiaTheme="minorEastAsia"/>
          <w:w w:val="105"/>
          <w:u w:val="single"/>
          <w:lang w:eastAsia="zh-CN"/>
        </w:rPr>
        <w:t xml:space="preserve"> </w:t>
      </w:r>
      <w:r>
        <w:rPr>
          <w:rFonts w:hint="eastAsia" w:asciiTheme="minorEastAsia" w:hAnsiTheme="minorEastAsia" w:eastAsiaTheme="minorEastAsia"/>
          <w:w w:val="105"/>
          <w:u w:val="single"/>
          <w:lang w:eastAsia="zh-CN"/>
        </w:rPr>
        <w:t xml:space="preserve">        </w:t>
      </w:r>
    </w:p>
    <w:p>
      <w:pPr>
        <w:pStyle w:val="12"/>
        <w:spacing w:before="134"/>
        <w:ind w:left="2156"/>
        <w:rPr>
          <w:rFonts w:asciiTheme="minorEastAsia" w:hAnsiTheme="minorEastAsia" w:eastAsiaTheme="minorEastAsia"/>
          <w:lang w:eastAsia="zh-CN"/>
        </w:rPr>
      </w:pPr>
      <w:r>
        <w:rPr>
          <w:rFonts w:hint="eastAsia"/>
          <w:lang w:eastAsia="zh-CN"/>
        </w:rPr>
        <w:t>■</w:t>
      </w:r>
      <w:r>
        <w:rPr>
          <w:rFonts w:asciiTheme="minorEastAsia" w:hAnsiTheme="minorEastAsia" w:eastAsiaTheme="minorEastAsia"/>
          <w:w w:val="105"/>
          <w:lang w:eastAsia="zh-CN"/>
        </w:rPr>
        <w:t>无，按下述 3.2.2-3.2.</w:t>
      </w:r>
      <w:r>
        <w:rPr>
          <w:rFonts w:hint="eastAsia" w:asciiTheme="minorEastAsia" w:hAnsiTheme="minorEastAsia" w:eastAsiaTheme="minorEastAsia"/>
          <w:w w:val="105"/>
          <w:lang w:eastAsia="zh-CN"/>
        </w:rPr>
        <w:t>6</w:t>
      </w:r>
      <w:r>
        <w:rPr>
          <w:rFonts w:asciiTheme="minorEastAsia" w:hAnsiTheme="minorEastAsia" w:eastAsiaTheme="minorEastAsia"/>
          <w:w w:val="105"/>
          <w:lang w:eastAsia="zh-CN"/>
        </w:rPr>
        <w:t xml:space="preserve"> 项规定修正。</w:t>
      </w:r>
    </w:p>
    <w:p>
      <w:pPr>
        <w:pStyle w:val="41"/>
        <w:numPr>
          <w:ilvl w:val="2"/>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大写金额和小写金额不一致的，以大写金额为准；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单价金额小数点或者百分比有明显错位的，以总价为准，并修改单价；</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总价金额与按单价汇总金额不一致的，以单价金额计算结果为准。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同时出现两种以上不一致的，按照前款规定的顺序修正。</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修正后的报价经供应商书面确认后产生约束力，供应商不确认的，</w:t>
      </w:r>
    </w:p>
    <w:p>
      <w:pPr>
        <w:pStyle w:val="41"/>
        <w:numPr>
          <w:ilvl w:val="0"/>
          <w:numId w:val="0"/>
        </w:numPr>
        <w:spacing w:before="43" w:line="338" w:lineRule="auto"/>
        <w:ind w:left="851" w:leftChars="0" w:right="113" w:rightChars="0"/>
        <w:jc w:val="both"/>
        <w:rPr>
          <w:rFonts w:hint="eastAsia" w:asciiTheme="minorEastAsia" w:hAnsiTheme="minorEastAsia" w:eastAsiaTheme="minorEastAsia"/>
          <w:sz w:val="24"/>
          <w:lang w:eastAsia="zh-CN"/>
        </w:rPr>
      </w:pPr>
    </w:p>
    <w:p>
      <w:pPr>
        <w:pStyle w:val="41"/>
        <w:numPr>
          <w:ilvl w:val="0"/>
          <w:numId w:val="0"/>
        </w:numPr>
        <w:spacing w:before="43" w:line="338" w:lineRule="auto"/>
        <w:ind w:left="851" w:leftChars="0" w:right="113" w:rightChars="0"/>
        <w:jc w:val="both"/>
        <w:rPr>
          <w:rFonts w:asciiTheme="minorEastAsia" w:hAnsiTheme="minorEastAsia" w:eastAsiaTheme="minorEastAsia"/>
          <w:sz w:val="24"/>
          <w:lang w:eastAsia="zh-CN"/>
        </w:rPr>
      </w:pPr>
      <w:r>
        <w:rPr>
          <w:rFonts w:asciiTheme="minorEastAsia" w:hAnsiTheme="minorEastAsia" w:eastAsiaTheme="minorEastAsia"/>
          <w:b/>
          <w:sz w:val="24"/>
          <w:lang w:eastAsia="zh-CN"/>
        </w:rPr>
        <w:t>其响应无效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落实政府采购政策的价格调整：只有符合第二章《供应商须知》4.2条规定情形的，可以享受中小企业扶持政策，用扣除后的价格参加评审；否则，评审时价格不予扣除。</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w:t>
      </w:r>
      <w:r>
        <w:rPr>
          <w:rFonts w:asciiTheme="minorEastAsia" w:hAnsiTheme="minorEastAsia" w:eastAsiaTheme="minorEastAsia"/>
          <w:b/>
          <w:sz w:val="24"/>
          <w:lang w:eastAsia="zh-CN"/>
        </w:rPr>
        <w:t>对小微企业报价给予</w:t>
      </w:r>
      <w:r>
        <w:rPr>
          <w:rFonts w:hint="eastAsia" w:asciiTheme="minorEastAsia" w:hAnsiTheme="minorEastAsia" w:eastAsiaTheme="minorEastAsia"/>
          <w:b/>
          <w:sz w:val="24"/>
          <w:u w:val="single"/>
          <w:lang w:eastAsia="zh-CN"/>
        </w:rPr>
        <w:t>10</w:t>
      </w:r>
      <w:r>
        <w:rPr>
          <w:rFonts w:asciiTheme="minorEastAsia" w:hAnsiTheme="minorEastAsia" w:eastAsiaTheme="minorEastAsia"/>
          <w:b/>
          <w:sz w:val="24"/>
          <w:u w:val="single"/>
          <w:lang w:eastAsia="zh-CN"/>
        </w:rPr>
        <w:t>%</w:t>
      </w:r>
      <w:r>
        <w:rPr>
          <w:rFonts w:asciiTheme="minorEastAsia" w:hAnsiTheme="minorEastAsia" w:eastAsiaTheme="minorEastAsia"/>
          <w:b/>
          <w:sz w:val="24"/>
          <w:lang w:eastAsia="zh-CN"/>
        </w:rPr>
        <w:t>的扣除</w:t>
      </w:r>
      <w:r>
        <w:rPr>
          <w:rFonts w:asciiTheme="minorEastAsia" w:hAnsiTheme="minorEastAsia" w:eastAsiaTheme="minorEastAsia"/>
          <w:sz w:val="24"/>
          <w:lang w:eastAsia="zh-CN"/>
        </w:rPr>
        <w:t>，用扣除后的价格参加评审。</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eastAsiaTheme="minorEastAsia"/>
          <w:b/>
          <w:sz w:val="24"/>
          <w:u w:val="single"/>
          <w:lang w:eastAsia="zh-CN"/>
        </w:rPr>
        <w:t>30%</w:t>
      </w:r>
      <w:r>
        <w:rPr>
          <w:rFonts w:asciiTheme="minorEastAsia" w:hAnsiTheme="minorEastAsia" w:eastAsiaTheme="minorEastAsia"/>
          <w:sz w:val="24"/>
          <w:lang w:eastAsia="zh-CN"/>
        </w:rPr>
        <w:t>以上的联合体或者大中型企业的报价给予</w:t>
      </w:r>
      <w:r>
        <w:rPr>
          <w:rFonts w:hint="eastAsia" w:asciiTheme="minorEastAsia" w:hAnsiTheme="minorEastAsia" w:eastAsiaTheme="minorEastAsia"/>
          <w:b/>
          <w:sz w:val="24"/>
          <w:u w:val="single"/>
          <w:lang w:eastAsia="zh-CN"/>
        </w:rPr>
        <w:t>3</w:t>
      </w:r>
      <w:r>
        <w:rPr>
          <w:rFonts w:asciiTheme="minorEastAsia" w:hAnsiTheme="minorEastAsia" w:eastAsiaTheme="minorEastAsia"/>
          <w:b/>
          <w:sz w:val="24"/>
          <w:u w:val="single"/>
          <w:lang w:eastAsia="zh-CN"/>
        </w:rPr>
        <w:t>%</w:t>
      </w:r>
      <w:r>
        <w:rPr>
          <w:rFonts w:asciiTheme="minorEastAsia" w:hAnsiTheme="minorEastAsia" w:eastAsiaTheme="minorEastAsia"/>
          <w:sz w:val="24"/>
          <w:lang w:eastAsia="zh-CN"/>
        </w:rPr>
        <w:t>的扣除，用扣除后的价格参加评审。</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组成联合体或者接受分包的小微企业与联合体内其他企业、分包企业之间存在直接控股、管理关系的，不享受价格扣除优惠政策。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价格扣除比例对小型企业和微型企业同等对待，不作区分。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中小企业参加政府采购活动，应当按照竞争性磋商文件给定的格式出具《中小企业声明函》，否则不得享受相关中小企业扶持政策。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监狱企业提供了由省级以上监狱管理局、戒毒管理局（含新疆生产建设兵团）出具的属于监狱企业的证明文件的，视同小微企业。</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残疾人福利性单位按竞争性磋商文件要求提供了《残疾人福利性单位声明函》的，视同小微企业。</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若供应商同时属于小型或微型企业、监狱企业、残疾人福利性单位中的两种及以上，将不重复享受小微企业价格扣减的优惠政策。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其他为落实政府采购政策实施的优先采购：</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     </w:t>
      </w:r>
      <w:r>
        <w:rPr>
          <w:rFonts w:asciiTheme="minorEastAsia" w:hAnsiTheme="minorEastAsia" w:eastAsiaTheme="minorEastAsia"/>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磋商环节及提交最后报价后如出现以下情况的，供应商的</w:t>
      </w:r>
      <w:r>
        <w:rPr>
          <w:rFonts w:asciiTheme="minorEastAsia" w:hAnsiTheme="minorEastAsia" w:eastAsiaTheme="minorEastAsia"/>
          <w:b/>
          <w:sz w:val="24"/>
          <w:lang w:eastAsia="zh-CN"/>
        </w:rPr>
        <w:t>响应文件无效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供应商对实质性变动不予确认的；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不满足磋商文件</w:t>
      </w:r>
      <w:r>
        <w:rPr>
          <w:rFonts w:hint="eastAsia" w:asciiTheme="minorEastAsia" w:hAnsiTheme="minorEastAsia" w:eastAsiaTheme="minorEastAsia"/>
          <w:spacing w:val="2"/>
          <w:sz w:val="24"/>
          <w:lang w:eastAsia="zh-CN"/>
        </w:rPr>
        <w:t>★</w:t>
      </w:r>
      <w:r>
        <w:rPr>
          <w:rFonts w:asciiTheme="minorEastAsia" w:hAnsiTheme="minorEastAsia" w:eastAsiaTheme="minorEastAsia"/>
          <w:spacing w:val="2"/>
          <w:sz w:val="24"/>
          <w:lang w:eastAsia="zh-CN"/>
        </w:rPr>
        <w:t>号条款或磋商文件技术指标超出磋商文件《采购需求》中主要技术参数允许偏差的最大范围的（如有）；</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未按照磋商小组规定的时间、逾期提交最后报价的；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如供应商的最后报价超过竞争性磋商文件中规定的项目/采购包预算金</w:t>
      </w:r>
    </w:p>
    <w:p>
      <w:pPr>
        <w:pStyle w:val="41"/>
        <w:numPr>
          <w:ilvl w:val="0"/>
          <w:numId w:val="0"/>
        </w:numPr>
        <w:spacing w:before="43" w:line="338" w:lineRule="auto"/>
        <w:ind w:left="440" w:leftChars="0" w:right="113" w:rightChars="0"/>
        <w:jc w:val="both"/>
        <w:rPr>
          <w:rFonts w:asciiTheme="minorEastAsia" w:hAnsiTheme="minorEastAsia" w:eastAsiaTheme="minorEastAsia"/>
          <w:spacing w:val="2"/>
          <w:sz w:val="24"/>
          <w:lang w:eastAsia="zh-CN"/>
        </w:rPr>
      </w:pPr>
    </w:p>
    <w:p>
      <w:pPr>
        <w:pStyle w:val="41"/>
        <w:numPr>
          <w:ilvl w:val="0"/>
          <w:numId w:val="0"/>
        </w:numPr>
        <w:spacing w:before="43" w:line="338" w:lineRule="auto"/>
        <w:ind w:left="440" w:leftChars="0" w:right="113" w:rightChars="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额或者项目/采购包最高限价的；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响应文件中出现可选择性或可调整的报价的（竞争性磋商文件另有规定的除外）；</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最后报价出现前后不一致，供应商对修正后的报价不予确认的；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其他：</w:t>
      </w:r>
      <w:r>
        <w:rPr>
          <w:rFonts w:hint="eastAsia" w:asciiTheme="minorEastAsia" w:hAnsiTheme="minorEastAsia" w:eastAsiaTheme="minorEastAsia"/>
          <w:spacing w:val="2"/>
          <w:sz w:val="24"/>
          <w:u w:val="single"/>
          <w:lang w:eastAsia="zh-CN"/>
        </w:rPr>
        <w:t xml:space="preserve">        /         </w:t>
      </w:r>
      <w:r>
        <w:rPr>
          <w:rFonts w:asciiTheme="minorEastAsia" w:hAnsiTheme="minorEastAsia" w:eastAsiaTheme="minorEastAsia"/>
          <w:spacing w:val="2"/>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竞争性磋商文件中没有规定的评审标准不得作为评审依据。</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lang w:eastAsia="zh-CN"/>
        </w:rPr>
        <w:t xml:space="preserve">         </w:t>
      </w:r>
      <w:r>
        <w:rPr>
          <w:rFonts w:asciiTheme="minorEastAsia" w:hAnsiTheme="minorEastAsia" w:eastAsiaTheme="minorEastAsia"/>
          <w:spacing w:val="2"/>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确定成交候选人名单</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磋商小组根据上述供应商排序，依次推荐排序前</w:t>
      </w:r>
      <w:r>
        <w:rPr>
          <w:rFonts w:hint="eastAsia" w:asciiTheme="minorEastAsia" w:hAnsiTheme="minorEastAsia" w:eastAsiaTheme="minorEastAsia"/>
          <w:b/>
          <w:spacing w:val="2"/>
          <w:sz w:val="24"/>
          <w:u w:val="single"/>
          <w:lang w:eastAsia="zh-CN"/>
        </w:rPr>
        <w:t xml:space="preserve"> 3 </w:t>
      </w:r>
      <w:r>
        <w:rPr>
          <w:rFonts w:asciiTheme="minorEastAsia" w:hAnsiTheme="minorEastAsia" w:eastAsiaTheme="minorEastAsia"/>
          <w:b/>
          <w:spacing w:val="2"/>
          <w:sz w:val="24"/>
          <w:lang w:eastAsia="zh-CN"/>
        </w:rPr>
        <w:t>名</w:t>
      </w:r>
      <w:r>
        <w:rPr>
          <w:rFonts w:asciiTheme="minorEastAsia" w:hAnsiTheme="minorEastAsia" w:eastAsiaTheme="minorEastAsia"/>
          <w:spacing w:val="2"/>
          <w:sz w:val="24"/>
          <w:lang w:eastAsia="zh-CN"/>
        </w:rPr>
        <w:t>的供应商为成交候选供应商（若在磋商文件允许的情形下提交最后报价的供应商为二家，则依次推荐二名供应商为成交候选供应商），并编写评审报告。</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磋商小组要对评分汇总情况进行复核，特别是对排名第一的、报价最低的、响应文件被认定为无效的情形进行重点复核。</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报告违法行为</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磋商小组在评审过程中发现供应商有行贿、提供虚假材料或者串通等违法行为时，</w:t>
      </w:r>
      <w:r>
        <w:rPr>
          <w:rFonts w:hint="eastAsia" w:asciiTheme="minorEastAsia" w:hAnsiTheme="minorEastAsia" w:eastAsiaTheme="minorEastAsia"/>
          <w:spacing w:val="2"/>
          <w:sz w:val="24"/>
          <w:lang w:eastAsia="zh-CN"/>
        </w:rPr>
        <w:t>应当及时向财政部门报告。</w:t>
      </w:r>
    </w:p>
    <w:p>
      <w:pPr>
        <w:widowControl/>
        <w:autoSpaceDE/>
        <w:autoSpaceDN/>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br w:type="page"/>
      </w:r>
    </w:p>
    <w:p>
      <w:pPr>
        <w:pStyle w:val="5"/>
        <w:rPr>
          <w:rFonts w:asciiTheme="minorEastAsia" w:hAnsiTheme="minorEastAsia" w:eastAsiaTheme="minorEastAsia"/>
          <w:b/>
          <w:lang w:eastAsia="zh-CN"/>
        </w:rPr>
      </w:pPr>
      <w:bookmarkStart w:id="35" w:name="_Toc164263462"/>
    </w:p>
    <w:p>
      <w:pPr>
        <w:pStyle w:val="5"/>
        <w:rPr>
          <w:rFonts w:asciiTheme="minorEastAsia" w:hAnsiTheme="minorEastAsia" w:eastAsiaTheme="minorEastAsia"/>
          <w:sz w:val="20"/>
          <w:lang w:eastAsia="zh-CN"/>
        </w:rPr>
      </w:pPr>
      <w:r>
        <w:rPr>
          <w:rFonts w:asciiTheme="minorEastAsia" w:hAnsiTheme="minorEastAsia" w:eastAsiaTheme="minorEastAsia"/>
          <w:b/>
          <w:lang w:eastAsia="zh-CN"/>
        </w:rPr>
        <w:t>二、评审标准</w:t>
      </w:r>
      <w:bookmarkEnd w:id="35"/>
    </w:p>
    <w:p>
      <w:pPr>
        <w:widowControl/>
        <w:spacing w:line="560" w:lineRule="exact"/>
        <w:rPr>
          <w:rFonts w:ascii="方正仿宋_GB18030" w:hAnsi="方正仿宋_GB18030" w:eastAsia="方正仿宋_GB18030" w:cs="方正仿宋_GB18030"/>
          <w:sz w:val="28"/>
          <w:szCs w:val="28"/>
          <w:lang w:eastAsia="zh-CN"/>
        </w:rPr>
      </w:pPr>
      <w:bookmarkStart w:id="36" w:name="_TOC_250002"/>
      <w:bookmarkEnd w:id="36"/>
      <w:bookmarkStart w:id="37" w:name="_Toc164263463"/>
      <w:r>
        <w:rPr>
          <w:rFonts w:hint="eastAsia" w:ascii="方正仿宋_GB18030" w:hAnsi="方正仿宋_GB18030" w:eastAsia="方正仿宋_GB18030" w:cs="方正仿宋_GB18030"/>
          <w:sz w:val="28"/>
          <w:szCs w:val="28"/>
          <w:lang w:eastAsia="zh-CN"/>
        </w:rPr>
        <w:t>1.评分因素及分值</w:t>
      </w:r>
    </w:p>
    <w:tbl>
      <w:tblPr>
        <w:tblStyle w:val="26"/>
        <w:tblW w:w="9225" w:type="dxa"/>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69"/>
        <w:gridCol w:w="2266"/>
        <w:gridCol w:w="1145"/>
        <w:gridCol w:w="4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1269" w:type="dxa"/>
            <w:vAlign w:val="center"/>
          </w:tcPr>
          <w:p>
            <w:pPr>
              <w:snapToGrid w:val="0"/>
              <w:spacing w:line="560" w:lineRule="exact"/>
              <w:ind w:right="-28"/>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序号</w:t>
            </w:r>
          </w:p>
        </w:tc>
        <w:tc>
          <w:tcPr>
            <w:tcW w:w="2266" w:type="dxa"/>
            <w:vAlign w:val="center"/>
          </w:tcPr>
          <w:p>
            <w:pPr>
              <w:snapToGrid w:val="0"/>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评分标准</w:t>
            </w:r>
          </w:p>
        </w:tc>
        <w:tc>
          <w:tcPr>
            <w:tcW w:w="1145" w:type="dxa"/>
            <w:vAlign w:val="center"/>
          </w:tcPr>
          <w:p>
            <w:pPr>
              <w:snapToGrid w:val="0"/>
              <w:spacing w:line="560" w:lineRule="exact"/>
              <w:ind w:left="113"/>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分值</w:t>
            </w:r>
          </w:p>
        </w:tc>
        <w:tc>
          <w:tcPr>
            <w:tcW w:w="4545" w:type="dxa"/>
            <w:vAlign w:val="center"/>
          </w:tcPr>
          <w:p>
            <w:pPr>
              <w:snapToGrid w:val="0"/>
              <w:spacing w:line="560" w:lineRule="exact"/>
              <w:ind w:left="113"/>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1269" w:type="dxa"/>
            <w:vAlign w:val="center"/>
          </w:tcPr>
          <w:p>
            <w:pPr>
              <w:spacing w:line="560" w:lineRule="exact"/>
              <w:ind w:right="-28"/>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1</w:t>
            </w:r>
          </w:p>
        </w:tc>
        <w:tc>
          <w:tcPr>
            <w:tcW w:w="2266" w:type="dxa"/>
            <w:vAlign w:val="center"/>
          </w:tcPr>
          <w:p>
            <w:pPr>
              <w:spacing w:line="560" w:lineRule="exact"/>
              <w:ind w:firstLine="840" w:firstLineChars="300"/>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价格部分</w:t>
            </w:r>
          </w:p>
        </w:tc>
        <w:tc>
          <w:tcPr>
            <w:tcW w:w="1145" w:type="dxa"/>
            <w:vAlign w:val="center"/>
          </w:tcPr>
          <w:p>
            <w:pPr>
              <w:spacing w:line="360" w:lineRule="auto"/>
              <w:ind w:firstLine="495" w:firstLineChars="177"/>
              <w:jc w:val="both"/>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r>
              <w:rPr>
                <w:rFonts w:ascii="方正仿宋_GB18030" w:hAnsi="方正仿宋_GB18030" w:eastAsia="方正仿宋_GB18030" w:cs="方正仿宋_GB18030"/>
                <w:sz w:val="28"/>
                <w:szCs w:val="28"/>
              </w:rPr>
              <w:t>0</w:t>
            </w:r>
          </w:p>
        </w:tc>
        <w:tc>
          <w:tcPr>
            <w:tcW w:w="4545" w:type="dxa"/>
            <w:vMerge w:val="restart"/>
            <w:vAlign w:val="center"/>
          </w:tcPr>
          <w:p>
            <w:pPr>
              <w:spacing w:line="560" w:lineRule="exact"/>
              <w:ind w:left="113"/>
              <w:jc w:val="center"/>
              <w:rPr>
                <w:rFonts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eastAsia="zh-CN"/>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94" w:hRule="exact"/>
        </w:trPr>
        <w:tc>
          <w:tcPr>
            <w:tcW w:w="1269" w:type="dxa"/>
            <w:vAlign w:val="center"/>
          </w:tcPr>
          <w:p>
            <w:pPr>
              <w:spacing w:line="560" w:lineRule="exact"/>
              <w:ind w:right="-28"/>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w:t>
            </w:r>
          </w:p>
        </w:tc>
        <w:tc>
          <w:tcPr>
            <w:tcW w:w="2266" w:type="dxa"/>
            <w:vAlign w:val="center"/>
          </w:tcPr>
          <w:p>
            <w:pPr>
              <w:spacing w:line="560" w:lineRule="exact"/>
              <w:ind w:firstLine="840" w:firstLineChars="300"/>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商务部分</w:t>
            </w:r>
          </w:p>
        </w:tc>
        <w:tc>
          <w:tcPr>
            <w:tcW w:w="1145" w:type="dxa"/>
            <w:vAlign w:val="center"/>
          </w:tcPr>
          <w:p>
            <w:pPr>
              <w:spacing w:line="360" w:lineRule="auto"/>
              <w:ind w:left="113"/>
              <w:jc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15</w:t>
            </w:r>
          </w:p>
        </w:tc>
        <w:tc>
          <w:tcPr>
            <w:tcW w:w="4545" w:type="dxa"/>
            <w:vMerge w:val="continue"/>
            <w:vAlign w:val="center"/>
          </w:tcPr>
          <w:p>
            <w:pPr>
              <w:spacing w:line="560" w:lineRule="exact"/>
              <w:ind w:left="113"/>
              <w:jc w:val="center"/>
              <w:rPr>
                <w:rFonts w:ascii="方正仿宋_GB18030" w:hAnsi="方正仿宋_GB18030" w:eastAsia="方正仿宋_GB18030" w:cs="方正仿宋_GB1803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33" w:hRule="exact"/>
        </w:trPr>
        <w:tc>
          <w:tcPr>
            <w:tcW w:w="1269" w:type="dxa"/>
            <w:vAlign w:val="center"/>
          </w:tcPr>
          <w:p>
            <w:pPr>
              <w:spacing w:line="560" w:lineRule="exact"/>
              <w:ind w:right="-28"/>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p>
        </w:tc>
        <w:tc>
          <w:tcPr>
            <w:tcW w:w="2266" w:type="dxa"/>
            <w:vAlign w:val="center"/>
          </w:tcPr>
          <w:p>
            <w:pPr>
              <w:spacing w:line="560" w:lineRule="exact"/>
              <w:ind w:firstLine="840" w:firstLineChars="300"/>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技术部分</w:t>
            </w:r>
          </w:p>
        </w:tc>
        <w:tc>
          <w:tcPr>
            <w:tcW w:w="1145" w:type="dxa"/>
            <w:vAlign w:val="center"/>
          </w:tcPr>
          <w:p>
            <w:pPr>
              <w:spacing w:line="360" w:lineRule="auto"/>
              <w:ind w:left="113"/>
              <w:jc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55</w:t>
            </w:r>
          </w:p>
        </w:tc>
        <w:tc>
          <w:tcPr>
            <w:tcW w:w="4545" w:type="dxa"/>
            <w:vMerge w:val="continue"/>
            <w:vAlign w:val="center"/>
          </w:tcPr>
          <w:p>
            <w:pPr>
              <w:spacing w:line="560" w:lineRule="exact"/>
              <w:rPr>
                <w:rFonts w:ascii="方正仿宋_GB18030" w:hAnsi="方正仿宋_GB18030" w:eastAsia="方正仿宋_GB18030" w:cs="方正仿宋_GB1803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15" w:hRule="exact"/>
        </w:trPr>
        <w:tc>
          <w:tcPr>
            <w:tcW w:w="3535" w:type="dxa"/>
            <w:gridSpan w:val="2"/>
            <w:vAlign w:val="center"/>
          </w:tcPr>
          <w:p>
            <w:pPr>
              <w:spacing w:line="560" w:lineRule="exact"/>
              <w:ind w:left="113"/>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合计</w:t>
            </w:r>
          </w:p>
        </w:tc>
        <w:tc>
          <w:tcPr>
            <w:tcW w:w="1145" w:type="dxa"/>
            <w:vAlign w:val="center"/>
          </w:tcPr>
          <w:p>
            <w:pPr>
              <w:spacing w:line="560" w:lineRule="exact"/>
              <w:ind w:left="113"/>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100</w:t>
            </w:r>
          </w:p>
        </w:tc>
        <w:tc>
          <w:tcPr>
            <w:tcW w:w="4545" w:type="dxa"/>
            <w:vMerge w:val="continue"/>
            <w:vAlign w:val="center"/>
          </w:tcPr>
          <w:p>
            <w:pPr>
              <w:spacing w:line="560" w:lineRule="exact"/>
              <w:rPr>
                <w:rFonts w:ascii="方正仿宋_GB18030" w:hAnsi="方正仿宋_GB18030" w:eastAsia="方正仿宋_GB18030" w:cs="方正仿宋_GB18030"/>
                <w:sz w:val="28"/>
                <w:szCs w:val="28"/>
              </w:rPr>
            </w:pPr>
          </w:p>
        </w:tc>
      </w:tr>
    </w:tbl>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2.1价格部分</w:t>
      </w:r>
    </w:p>
    <w:tbl>
      <w:tblPr>
        <w:tblStyle w:val="26"/>
        <w:tblpPr w:leftFromText="180" w:rightFromText="180" w:vertAnchor="text" w:tblpX="-318" w:tblpY="1"/>
        <w:tblOverlap w:val="never"/>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评分点</w:t>
            </w:r>
          </w:p>
        </w:tc>
        <w:tc>
          <w:tcPr>
            <w:tcW w:w="6974"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评审内容</w:t>
            </w:r>
          </w:p>
        </w:tc>
        <w:tc>
          <w:tcPr>
            <w:tcW w:w="1031"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9248" w:type="dxa"/>
            <w:gridSpan w:val="3"/>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trPr>
        <w:tc>
          <w:tcPr>
            <w:tcW w:w="1243" w:type="dxa"/>
            <w:vAlign w:val="center"/>
          </w:tcPr>
          <w:p>
            <w:pPr>
              <w:spacing w:line="560" w:lineRule="exact"/>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价格部分</w:t>
            </w:r>
          </w:p>
        </w:tc>
        <w:tc>
          <w:tcPr>
            <w:tcW w:w="6974" w:type="dxa"/>
            <w:vAlign w:val="center"/>
          </w:tcPr>
          <w:p>
            <w:pPr>
              <w:spacing w:line="560" w:lineRule="exact"/>
              <w:rPr>
                <w:rFonts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eastAsia="zh-CN"/>
              </w:rPr>
              <w:t>评标基准价／评标价×100×报价分值权重；评标基准价等于有效投标单位中价格扣除后报价的最小值，评标价等于价格扣除后的报价</w:t>
            </w:r>
          </w:p>
        </w:tc>
        <w:tc>
          <w:tcPr>
            <w:tcW w:w="1031" w:type="dxa"/>
            <w:vAlign w:val="center"/>
          </w:tcPr>
          <w:p>
            <w:pPr>
              <w:spacing w:line="560" w:lineRule="exact"/>
              <w:jc w:val="center"/>
              <w:rPr>
                <w:rFonts w:ascii="方正仿宋_GB18030" w:hAnsi="方正仿宋_GB18030" w:eastAsia="方正仿宋_GB18030" w:cs="方正仿宋_GB18030"/>
                <w:i/>
                <w:sz w:val="28"/>
                <w:szCs w:val="28"/>
              </w:rPr>
            </w:pPr>
            <w:r>
              <w:rPr>
                <w:rFonts w:hint="eastAsia" w:ascii="方正仿宋_GB18030" w:hAnsi="方正仿宋_GB18030" w:eastAsia="方正仿宋_GB18030" w:cs="方正仿宋_GB18030"/>
                <w:sz w:val="28"/>
                <w:szCs w:val="28"/>
              </w:rPr>
              <w:t>30分</w:t>
            </w:r>
          </w:p>
        </w:tc>
      </w:tr>
    </w:tbl>
    <w:p>
      <w:pPr>
        <w:spacing w:line="560" w:lineRule="exact"/>
        <w:rPr>
          <w:rFonts w:hint="eastAsia" w:ascii="方正仿宋_GB18030" w:hAnsi="方正仿宋_GB18030" w:eastAsia="方正仿宋_GB18030" w:cs="方正仿宋_GB18030"/>
          <w:sz w:val="28"/>
          <w:szCs w:val="28"/>
          <w:lang w:eastAsia="zh-CN"/>
        </w:rPr>
      </w:pPr>
    </w:p>
    <w:tbl>
      <w:tblPr>
        <w:tblStyle w:val="26"/>
        <w:tblpPr w:leftFromText="180" w:rightFromText="180" w:vertAnchor="text" w:horzAnchor="margin" w:tblpY="755"/>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92"/>
        <w:gridCol w:w="600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233" w:type="dxa"/>
            <w:gridSpan w:val="4"/>
            <w:vAlign w:val="center"/>
          </w:tcPr>
          <w:p>
            <w:pPr>
              <w:spacing w:line="276" w:lineRule="auto"/>
              <w:ind w:firstLine="482"/>
              <w:jc w:val="center"/>
              <w:rPr>
                <w:b/>
                <w:szCs w:val="18"/>
              </w:rPr>
            </w:pPr>
            <w:r>
              <w:rPr>
                <w:rFonts w:hint="eastAsia" w:ascii="方正仿宋_GB18030" w:hAnsi="方正仿宋_GB18030" w:eastAsia="方正仿宋_GB18030" w:cs="方正仿宋_GB18030"/>
                <w:b/>
                <w:sz w:val="28"/>
                <w:szCs w:val="28"/>
              </w:rPr>
              <w:t>商务部分（</w:t>
            </w:r>
            <w:r>
              <w:rPr>
                <w:rFonts w:hint="eastAsia" w:ascii="方正仿宋_GB18030" w:hAnsi="方正仿宋_GB18030" w:eastAsia="方正仿宋_GB18030" w:cs="方正仿宋_GB18030"/>
                <w:b/>
                <w:sz w:val="28"/>
                <w:szCs w:val="28"/>
                <w:lang w:val="en-US" w:eastAsia="zh-CN"/>
              </w:rPr>
              <w:t>15</w:t>
            </w:r>
            <w:r>
              <w:rPr>
                <w:rFonts w:hint="eastAsia" w:ascii="方正仿宋_GB18030" w:hAnsi="方正仿宋_GB18030" w:eastAsia="方正仿宋_GB18030" w:cs="方正仿宋_GB18030"/>
                <w:b/>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675" w:type="dxa"/>
            <w:vAlign w:val="center"/>
          </w:tcPr>
          <w:p>
            <w:pPr>
              <w:spacing w:line="276" w:lineRule="auto"/>
              <w:jc w:val="center"/>
              <w:rPr>
                <w:sz w:val="24"/>
              </w:rPr>
            </w:pPr>
            <w:r>
              <w:rPr>
                <w:rFonts w:hint="eastAsia"/>
                <w:sz w:val="24"/>
              </w:rPr>
              <w:t>序号</w:t>
            </w:r>
          </w:p>
        </w:tc>
        <w:tc>
          <w:tcPr>
            <w:tcW w:w="1792" w:type="dxa"/>
            <w:vAlign w:val="center"/>
          </w:tcPr>
          <w:p>
            <w:pPr>
              <w:spacing w:line="276" w:lineRule="auto"/>
              <w:jc w:val="center"/>
              <w:rPr>
                <w:sz w:val="24"/>
              </w:rPr>
            </w:pPr>
            <w:r>
              <w:rPr>
                <w:rFonts w:hint="eastAsia"/>
                <w:sz w:val="24"/>
              </w:rPr>
              <w:t>指标项</w:t>
            </w:r>
          </w:p>
        </w:tc>
        <w:tc>
          <w:tcPr>
            <w:tcW w:w="6008" w:type="dxa"/>
            <w:vAlign w:val="center"/>
          </w:tcPr>
          <w:p>
            <w:pPr>
              <w:spacing w:line="276" w:lineRule="auto"/>
              <w:jc w:val="center"/>
              <w:rPr>
                <w:sz w:val="24"/>
              </w:rPr>
            </w:pPr>
            <w:r>
              <w:rPr>
                <w:rFonts w:hint="eastAsia"/>
                <w:sz w:val="24"/>
              </w:rPr>
              <w:t>评分标准</w:t>
            </w:r>
          </w:p>
        </w:tc>
        <w:tc>
          <w:tcPr>
            <w:tcW w:w="758" w:type="dxa"/>
            <w:vAlign w:val="center"/>
          </w:tcPr>
          <w:p>
            <w:pPr>
              <w:spacing w:line="276" w:lineRule="auto"/>
              <w:jc w:val="center"/>
              <w:rPr>
                <w:sz w:val="24"/>
              </w:rPr>
            </w:pPr>
            <w:r>
              <w:rPr>
                <w:rFonts w:hint="eastAsia"/>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675" w:type="dxa"/>
            <w:vAlign w:val="center"/>
          </w:tcPr>
          <w:p>
            <w:pPr>
              <w:spacing w:line="276" w:lineRule="auto"/>
              <w:jc w:val="center"/>
              <w:rPr>
                <w:sz w:val="24"/>
              </w:rPr>
            </w:pPr>
            <w:r>
              <w:rPr>
                <w:rFonts w:hint="eastAsia"/>
                <w:sz w:val="24"/>
              </w:rPr>
              <w:t>1</w:t>
            </w:r>
          </w:p>
        </w:tc>
        <w:tc>
          <w:tcPr>
            <w:tcW w:w="1792" w:type="dxa"/>
            <w:vAlign w:val="center"/>
          </w:tcPr>
          <w:p>
            <w:pPr>
              <w:spacing w:line="276" w:lineRule="auto"/>
              <w:jc w:val="center"/>
              <w:rPr>
                <w:sz w:val="24"/>
                <w:lang w:eastAsia="zh-CN"/>
              </w:rPr>
            </w:pPr>
            <w:r>
              <w:rPr>
                <w:rFonts w:hint="eastAsia"/>
                <w:sz w:val="24"/>
                <w:lang w:eastAsia="zh-CN"/>
              </w:rPr>
              <w:t>项目经理任职资格（6分）</w:t>
            </w:r>
          </w:p>
        </w:tc>
        <w:tc>
          <w:tcPr>
            <w:tcW w:w="6008" w:type="dxa"/>
            <w:vAlign w:val="center"/>
          </w:tcPr>
          <w:p>
            <w:pPr>
              <w:spacing w:line="276" w:lineRule="auto"/>
              <w:rPr>
                <w:sz w:val="24"/>
                <w:lang w:eastAsia="zh-CN"/>
              </w:rPr>
            </w:pPr>
            <w:r>
              <w:rPr>
                <w:rFonts w:hint="eastAsia"/>
                <w:sz w:val="24"/>
                <w:lang w:eastAsia="zh-CN"/>
              </w:rPr>
              <w:t>大学专科及以上学历得</w:t>
            </w:r>
            <w:r>
              <w:rPr>
                <w:rFonts w:hint="eastAsia"/>
                <w:sz w:val="24"/>
                <w:lang w:val="en-US" w:eastAsia="zh-CN"/>
              </w:rPr>
              <w:t>6</w:t>
            </w:r>
            <w:r>
              <w:rPr>
                <w:rFonts w:hint="eastAsia"/>
                <w:sz w:val="24"/>
                <w:lang w:eastAsia="zh-CN"/>
              </w:rPr>
              <w:t>分；专科以下学历得</w:t>
            </w:r>
            <w:r>
              <w:rPr>
                <w:rFonts w:hint="eastAsia"/>
                <w:sz w:val="24"/>
                <w:lang w:val="en-US" w:eastAsia="zh-CN"/>
              </w:rPr>
              <w:t>3</w:t>
            </w:r>
            <w:r>
              <w:rPr>
                <w:rFonts w:hint="eastAsia"/>
                <w:sz w:val="24"/>
                <w:lang w:eastAsia="zh-CN"/>
              </w:rPr>
              <w:t>分</w:t>
            </w:r>
          </w:p>
        </w:tc>
        <w:tc>
          <w:tcPr>
            <w:tcW w:w="758" w:type="dxa"/>
            <w:vAlign w:val="center"/>
          </w:tcPr>
          <w:p>
            <w:pPr>
              <w:spacing w:line="276" w:lineRule="auto"/>
              <w:jc w:val="center"/>
              <w:rPr>
                <w:rFonts w:hint="eastAsia" w:eastAsia="宋体"/>
                <w:sz w:val="24"/>
                <w:lang w:eastAsia="zh-CN"/>
              </w:rPr>
            </w:pPr>
            <w:r>
              <w:rPr>
                <w:rFonts w:hint="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75" w:type="dxa"/>
            <w:vAlign w:val="center"/>
          </w:tcPr>
          <w:p>
            <w:pPr>
              <w:spacing w:line="276" w:lineRule="auto"/>
              <w:jc w:val="center"/>
              <w:rPr>
                <w:rFonts w:hint="eastAsia" w:eastAsia="宋体"/>
                <w:sz w:val="24"/>
                <w:lang w:eastAsia="zh-CN"/>
              </w:rPr>
            </w:pPr>
            <w:r>
              <w:rPr>
                <w:rFonts w:hint="eastAsia"/>
                <w:sz w:val="24"/>
                <w:lang w:val="en-US" w:eastAsia="zh-CN"/>
              </w:rPr>
              <w:t>2</w:t>
            </w:r>
          </w:p>
        </w:tc>
        <w:tc>
          <w:tcPr>
            <w:tcW w:w="1792" w:type="dxa"/>
            <w:vAlign w:val="center"/>
          </w:tcPr>
          <w:p>
            <w:pPr>
              <w:spacing w:before="60" w:beforeLines="25" w:after="60" w:afterLines="25"/>
              <w:rPr>
                <w:sz w:val="24"/>
                <w:lang w:eastAsia="zh-CN"/>
              </w:rPr>
            </w:pPr>
            <w:r>
              <w:rPr>
                <w:rFonts w:hint="eastAsia"/>
                <w:sz w:val="24"/>
                <w:lang w:eastAsia="zh-CN"/>
              </w:rPr>
              <w:t>拟入项目的人员配备</w:t>
            </w:r>
            <w:r>
              <w:rPr>
                <w:sz w:val="24"/>
                <w:lang w:eastAsia="zh-CN"/>
              </w:rPr>
              <w:t>和专业技术力量</w:t>
            </w:r>
          </w:p>
        </w:tc>
        <w:tc>
          <w:tcPr>
            <w:tcW w:w="6008" w:type="dxa"/>
            <w:vAlign w:val="center"/>
          </w:tcPr>
          <w:p>
            <w:pPr>
              <w:spacing w:before="60" w:beforeLines="25" w:after="60" w:afterLines="25"/>
              <w:rPr>
                <w:sz w:val="24"/>
                <w:lang w:eastAsia="zh-CN"/>
              </w:rPr>
            </w:pPr>
            <w:r>
              <w:rPr>
                <w:sz w:val="24"/>
                <w:lang w:eastAsia="zh-CN"/>
              </w:rPr>
              <w:t>较强，能满足施工需要得</w:t>
            </w:r>
            <w:r>
              <w:rPr>
                <w:rFonts w:hint="eastAsia"/>
                <w:sz w:val="24"/>
                <w:lang w:eastAsia="zh-CN"/>
              </w:rPr>
              <w:t>3</w:t>
            </w:r>
            <w:r>
              <w:rPr>
                <w:sz w:val="24"/>
                <w:lang w:eastAsia="zh-CN"/>
              </w:rPr>
              <w:t>分</w:t>
            </w:r>
            <w:r>
              <w:rPr>
                <w:rFonts w:hint="eastAsia"/>
                <w:sz w:val="24"/>
                <w:lang w:eastAsia="zh-CN"/>
              </w:rPr>
              <w:t>，</w:t>
            </w:r>
            <w:r>
              <w:rPr>
                <w:sz w:val="24"/>
                <w:lang w:eastAsia="zh-CN"/>
              </w:rPr>
              <w:t>一般，基本满足施工需要得</w:t>
            </w:r>
            <w:r>
              <w:rPr>
                <w:rFonts w:hint="eastAsia"/>
                <w:sz w:val="24"/>
                <w:lang w:eastAsia="zh-CN"/>
              </w:rPr>
              <w:t>1</w:t>
            </w:r>
            <w:r>
              <w:rPr>
                <w:sz w:val="24"/>
                <w:lang w:eastAsia="zh-CN"/>
              </w:rPr>
              <w:t>分</w:t>
            </w:r>
            <w:r>
              <w:rPr>
                <w:rFonts w:hint="eastAsia"/>
                <w:sz w:val="24"/>
                <w:lang w:eastAsia="zh-CN"/>
              </w:rPr>
              <w:t>，不满足施工需要得0分</w:t>
            </w:r>
          </w:p>
        </w:tc>
        <w:tc>
          <w:tcPr>
            <w:tcW w:w="758" w:type="dxa"/>
            <w:vAlign w:val="center"/>
          </w:tcPr>
          <w:p>
            <w:pPr>
              <w:spacing w:line="276" w:lineRule="auto"/>
              <w:jc w:val="center"/>
              <w:rPr>
                <w:sz w:val="24"/>
                <w:lang w:eastAsia="zh-CN"/>
              </w:rPr>
            </w:pPr>
            <w:r>
              <w:rPr>
                <w:rFonts w:hint="eastAsia"/>
                <w:sz w:val="24"/>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75" w:type="dxa"/>
            <w:vAlign w:val="center"/>
          </w:tcPr>
          <w:p>
            <w:pPr>
              <w:spacing w:line="276" w:lineRule="auto"/>
              <w:jc w:val="center"/>
              <w:rPr>
                <w:rFonts w:hint="eastAsia" w:eastAsia="宋体"/>
                <w:sz w:val="24"/>
                <w:lang w:eastAsia="zh-CN"/>
              </w:rPr>
            </w:pPr>
            <w:r>
              <w:rPr>
                <w:rFonts w:hint="eastAsia"/>
                <w:sz w:val="24"/>
                <w:lang w:val="en-US" w:eastAsia="zh-CN"/>
              </w:rPr>
              <w:t>2</w:t>
            </w:r>
          </w:p>
        </w:tc>
        <w:tc>
          <w:tcPr>
            <w:tcW w:w="1792" w:type="dxa"/>
            <w:vAlign w:val="center"/>
          </w:tcPr>
          <w:p>
            <w:pPr>
              <w:spacing w:before="60" w:beforeLines="25" w:after="60" w:afterLines="25"/>
              <w:rPr>
                <w:sz w:val="24"/>
                <w:lang w:eastAsia="zh-CN"/>
              </w:rPr>
            </w:pPr>
            <w:r>
              <w:rPr>
                <w:rFonts w:hint="eastAsia"/>
                <w:bCs/>
                <w:sz w:val="24"/>
                <w:lang w:eastAsia="zh-CN"/>
              </w:rPr>
              <w:t>近三年企业同类项目业绩</w:t>
            </w:r>
          </w:p>
        </w:tc>
        <w:tc>
          <w:tcPr>
            <w:tcW w:w="6008" w:type="dxa"/>
            <w:vAlign w:val="center"/>
          </w:tcPr>
          <w:p>
            <w:pPr>
              <w:spacing w:before="60" w:beforeLines="25" w:after="60" w:afterLines="25"/>
              <w:rPr>
                <w:sz w:val="24"/>
                <w:lang w:eastAsia="zh-CN"/>
              </w:rPr>
            </w:pPr>
            <w:r>
              <w:rPr>
                <w:rFonts w:hint="eastAsia"/>
                <w:bCs/>
                <w:sz w:val="24"/>
                <w:lang w:eastAsia="zh-CN"/>
              </w:rPr>
              <w:t>（2022年</w:t>
            </w:r>
            <w:r>
              <w:rPr>
                <w:rFonts w:hint="eastAsia"/>
                <w:bCs/>
                <w:sz w:val="24"/>
                <w:lang w:val="en-US" w:eastAsia="zh-CN"/>
              </w:rPr>
              <w:t>11</w:t>
            </w:r>
            <w:r>
              <w:rPr>
                <w:rFonts w:hint="eastAsia"/>
                <w:bCs/>
                <w:sz w:val="24"/>
                <w:lang w:eastAsia="zh-CN"/>
              </w:rPr>
              <w:t>月</w:t>
            </w:r>
            <w:r>
              <w:rPr>
                <w:rFonts w:hint="eastAsia"/>
                <w:bCs/>
                <w:sz w:val="24"/>
                <w:lang w:val="en-US" w:eastAsia="zh-CN"/>
              </w:rPr>
              <w:t>1</w:t>
            </w:r>
            <w:r>
              <w:rPr>
                <w:rFonts w:hint="eastAsia"/>
                <w:bCs/>
                <w:sz w:val="24"/>
                <w:lang w:eastAsia="zh-CN"/>
              </w:rPr>
              <w:t>日起至2025年</w:t>
            </w:r>
            <w:r>
              <w:rPr>
                <w:rFonts w:hint="eastAsia"/>
                <w:bCs/>
                <w:sz w:val="24"/>
                <w:lang w:val="en-US" w:eastAsia="zh-CN"/>
              </w:rPr>
              <w:t>10</w:t>
            </w:r>
            <w:r>
              <w:rPr>
                <w:rFonts w:hint="eastAsia"/>
                <w:bCs/>
                <w:sz w:val="24"/>
                <w:lang w:eastAsia="zh-CN"/>
              </w:rPr>
              <w:t>月</w:t>
            </w:r>
            <w:r>
              <w:rPr>
                <w:rFonts w:hint="eastAsia"/>
                <w:bCs/>
                <w:sz w:val="24"/>
                <w:lang w:val="en-US" w:eastAsia="zh-CN"/>
              </w:rPr>
              <w:t>31</w:t>
            </w:r>
            <w:r>
              <w:rPr>
                <w:rFonts w:hint="eastAsia"/>
                <w:bCs/>
                <w:sz w:val="24"/>
                <w:lang w:eastAsia="zh-CN"/>
              </w:rPr>
              <w:t>日）每提供1个类似业绩得</w:t>
            </w:r>
            <w:r>
              <w:rPr>
                <w:rFonts w:hint="eastAsia"/>
                <w:bCs/>
                <w:sz w:val="24"/>
                <w:lang w:val="en-US" w:eastAsia="zh-CN"/>
              </w:rPr>
              <w:t>3</w:t>
            </w:r>
            <w:r>
              <w:rPr>
                <w:rFonts w:hint="eastAsia"/>
                <w:bCs/>
                <w:sz w:val="24"/>
                <w:lang w:eastAsia="zh-CN"/>
              </w:rPr>
              <w:t>分，最多得</w:t>
            </w:r>
            <w:r>
              <w:rPr>
                <w:rFonts w:hint="eastAsia"/>
                <w:bCs/>
                <w:sz w:val="24"/>
                <w:lang w:val="en-US" w:eastAsia="zh-CN"/>
              </w:rPr>
              <w:t>6</w:t>
            </w:r>
            <w:r>
              <w:rPr>
                <w:rFonts w:hint="eastAsia"/>
                <w:bCs/>
                <w:sz w:val="24"/>
                <w:lang w:eastAsia="zh-CN"/>
              </w:rPr>
              <w:t>分。</w:t>
            </w:r>
            <w:r>
              <w:rPr>
                <w:sz w:val="24"/>
                <w:lang w:eastAsia="zh-CN"/>
              </w:rPr>
              <w:t>需提供</w:t>
            </w:r>
            <w:r>
              <w:rPr>
                <w:rFonts w:hint="eastAsia"/>
                <w:sz w:val="24"/>
                <w:lang w:eastAsia="zh-CN"/>
              </w:rPr>
              <w:t>中标通知书或合同协议书（提供合同关键页）复印件</w:t>
            </w:r>
          </w:p>
        </w:tc>
        <w:tc>
          <w:tcPr>
            <w:tcW w:w="758" w:type="dxa"/>
            <w:vAlign w:val="center"/>
          </w:tcPr>
          <w:p>
            <w:pPr>
              <w:spacing w:line="276" w:lineRule="auto"/>
              <w:jc w:val="center"/>
              <w:rPr>
                <w:rFonts w:hint="eastAsia" w:eastAsia="宋体"/>
                <w:sz w:val="24"/>
                <w:lang w:eastAsia="zh-CN"/>
              </w:rPr>
            </w:pPr>
            <w:r>
              <w:rPr>
                <w:rFonts w:hint="eastAsia"/>
                <w:sz w:val="24"/>
                <w:lang w:val="en-US" w:eastAsia="zh-CN"/>
              </w:rPr>
              <w:t>6</w:t>
            </w:r>
          </w:p>
        </w:tc>
      </w:tr>
    </w:tbl>
    <w:p>
      <w:pPr>
        <w:spacing w:line="560" w:lineRule="exact"/>
        <w:rPr>
          <w:rFonts w:hint="eastAsia"/>
          <w:lang w:eastAsia="zh-CN"/>
        </w:rPr>
      </w:pPr>
      <w:r>
        <w:rPr>
          <w:rFonts w:hint="eastAsia" w:ascii="方正仿宋_GB18030" w:hAnsi="方正仿宋_GB18030" w:eastAsia="方正仿宋_GB18030" w:cs="方正仿宋_GB18030"/>
          <w:sz w:val="28"/>
          <w:szCs w:val="28"/>
        </w:rPr>
        <w:t>2.2商务部分</w:t>
      </w: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560" w:lineRule="exact"/>
        <w:rPr>
          <w:rFonts w:hint="eastAsia" w:ascii="方正仿宋_GB18030" w:hAnsi="方正仿宋_GB18030" w:eastAsia="方正仿宋_GB18030" w:cs="方正仿宋_GB18030"/>
          <w:sz w:val="28"/>
          <w:szCs w:val="28"/>
        </w:rPr>
      </w:pPr>
    </w:p>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w:t>
      </w:r>
      <w:r>
        <w:rPr>
          <w:rFonts w:hint="eastAsia" w:ascii="方正仿宋_GB18030" w:hAnsi="方正仿宋_GB18030" w:eastAsia="方正仿宋_GB18030" w:cs="方正仿宋_GB18030"/>
          <w:sz w:val="28"/>
          <w:szCs w:val="28"/>
          <w:lang w:val="en-US" w:eastAsia="zh-CN"/>
        </w:rPr>
        <w:t>3</w:t>
      </w:r>
      <w:r>
        <w:rPr>
          <w:rFonts w:hint="eastAsia" w:ascii="方正仿宋_GB18030" w:hAnsi="方正仿宋_GB18030" w:eastAsia="方正仿宋_GB18030" w:cs="方正仿宋_GB18030"/>
          <w:sz w:val="28"/>
          <w:szCs w:val="28"/>
        </w:rPr>
        <w:t>技术部分</w:t>
      </w:r>
    </w:p>
    <w:tbl>
      <w:tblPr>
        <w:tblStyle w:val="26"/>
        <w:tblpPr w:leftFromText="180" w:rightFromText="180" w:vertAnchor="text" w:tblpXSpec="center" w:tblpY="1"/>
        <w:tblOverlap w:val="never"/>
        <w:tblW w:w="9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99"/>
        <w:gridCol w:w="4572"/>
        <w:gridCol w:w="1404"/>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exact"/>
          <w:jc w:val="center"/>
        </w:trPr>
        <w:tc>
          <w:tcPr>
            <w:tcW w:w="9654" w:type="dxa"/>
            <w:gridSpan w:val="5"/>
            <w:vAlign w:val="center"/>
          </w:tcPr>
          <w:p>
            <w:pPr>
              <w:spacing w:line="276" w:lineRule="auto"/>
              <w:jc w:val="center"/>
              <w:rPr>
                <w:b/>
                <w:sz w:val="24"/>
              </w:rPr>
            </w:pPr>
            <w:r>
              <w:rPr>
                <w:rFonts w:hint="eastAsia"/>
                <w:b/>
                <w:sz w:val="24"/>
              </w:rPr>
              <w:t>技术部分（</w:t>
            </w:r>
            <w:r>
              <w:rPr>
                <w:rFonts w:hint="eastAsia"/>
                <w:b/>
                <w:sz w:val="24"/>
                <w:lang w:val="en-US" w:eastAsia="zh-CN"/>
              </w:rPr>
              <w:t>55</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spacing w:line="276" w:lineRule="auto"/>
              <w:jc w:val="center"/>
              <w:rPr>
                <w:sz w:val="24"/>
              </w:rPr>
            </w:pPr>
            <w:r>
              <w:rPr>
                <w:rFonts w:hint="eastAsia"/>
                <w:sz w:val="24"/>
              </w:rPr>
              <w:t>序号</w:t>
            </w:r>
          </w:p>
        </w:tc>
        <w:tc>
          <w:tcPr>
            <w:tcW w:w="1899" w:type="dxa"/>
            <w:vAlign w:val="center"/>
          </w:tcPr>
          <w:p>
            <w:pPr>
              <w:spacing w:line="276" w:lineRule="auto"/>
              <w:jc w:val="center"/>
              <w:rPr>
                <w:sz w:val="24"/>
              </w:rPr>
            </w:pPr>
            <w:r>
              <w:rPr>
                <w:rFonts w:hint="eastAsia"/>
                <w:sz w:val="24"/>
              </w:rPr>
              <w:t>指标项</w:t>
            </w:r>
          </w:p>
        </w:tc>
        <w:tc>
          <w:tcPr>
            <w:tcW w:w="5976" w:type="dxa"/>
            <w:gridSpan w:val="2"/>
            <w:vAlign w:val="center"/>
          </w:tcPr>
          <w:p>
            <w:pPr>
              <w:spacing w:line="276" w:lineRule="auto"/>
              <w:jc w:val="center"/>
              <w:rPr>
                <w:sz w:val="24"/>
              </w:rPr>
            </w:pPr>
            <w:r>
              <w:rPr>
                <w:rFonts w:hint="eastAsia"/>
                <w:sz w:val="24"/>
              </w:rPr>
              <w:t>评分标准</w:t>
            </w:r>
          </w:p>
        </w:tc>
        <w:tc>
          <w:tcPr>
            <w:tcW w:w="1104" w:type="dxa"/>
            <w:vAlign w:val="center"/>
          </w:tcPr>
          <w:p>
            <w:pPr>
              <w:spacing w:line="276" w:lineRule="auto"/>
              <w:jc w:val="center"/>
              <w:rPr>
                <w:sz w:val="24"/>
              </w:rPr>
            </w:pPr>
            <w:r>
              <w:rPr>
                <w:rFonts w:hint="eastAsia"/>
                <w:sz w:val="24"/>
              </w:rPr>
              <w:t>指标分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75" w:type="dxa"/>
            <w:vMerge w:val="restart"/>
            <w:vAlign w:val="center"/>
          </w:tcPr>
          <w:p>
            <w:pPr>
              <w:spacing w:line="276" w:lineRule="auto"/>
              <w:jc w:val="center"/>
              <w:rPr>
                <w:sz w:val="24"/>
              </w:rPr>
            </w:pPr>
            <w:r>
              <w:rPr>
                <w:rFonts w:hint="eastAsia"/>
                <w:sz w:val="24"/>
              </w:rPr>
              <w:t>1</w:t>
            </w:r>
          </w:p>
        </w:tc>
        <w:tc>
          <w:tcPr>
            <w:tcW w:w="1899" w:type="dxa"/>
            <w:vMerge w:val="restart"/>
            <w:vAlign w:val="center"/>
          </w:tcPr>
          <w:p>
            <w:pPr>
              <w:spacing w:before="60" w:beforeLines="25" w:after="60" w:afterLines="25"/>
              <w:rPr>
                <w:sz w:val="24"/>
              </w:rPr>
            </w:pPr>
            <w:r>
              <w:rPr>
                <w:rFonts w:hint="eastAsia"/>
                <w:sz w:val="24"/>
              </w:rPr>
              <w:t>施工方案与技术措施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75" w:type="dxa"/>
            <w:vMerge w:val="restart"/>
            <w:vAlign w:val="center"/>
          </w:tcPr>
          <w:p>
            <w:pPr>
              <w:spacing w:line="276" w:lineRule="auto"/>
              <w:jc w:val="center"/>
              <w:rPr>
                <w:sz w:val="24"/>
              </w:rPr>
            </w:pPr>
            <w:r>
              <w:rPr>
                <w:rFonts w:hint="eastAsia"/>
                <w:sz w:val="24"/>
              </w:rPr>
              <w:t>2</w:t>
            </w:r>
          </w:p>
        </w:tc>
        <w:tc>
          <w:tcPr>
            <w:tcW w:w="1899" w:type="dxa"/>
            <w:vMerge w:val="restart"/>
            <w:vAlign w:val="center"/>
          </w:tcPr>
          <w:p>
            <w:pPr>
              <w:spacing w:before="60" w:beforeLines="25" w:after="60" w:afterLines="25"/>
              <w:rPr>
                <w:sz w:val="24"/>
                <w:lang w:eastAsia="zh-CN"/>
              </w:rPr>
            </w:pPr>
            <w:r>
              <w:rPr>
                <w:rFonts w:hint="eastAsia"/>
                <w:sz w:val="24"/>
                <w:lang w:eastAsia="zh-CN"/>
              </w:rPr>
              <w:t>质量管理体系与保证措施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675" w:type="dxa"/>
            <w:vMerge w:val="restart"/>
            <w:vAlign w:val="center"/>
          </w:tcPr>
          <w:p>
            <w:pPr>
              <w:spacing w:line="276" w:lineRule="auto"/>
              <w:jc w:val="center"/>
              <w:rPr>
                <w:sz w:val="24"/>
              </w:rPr>
            </w:pPr>
            <w:r>
              <w:rPr>
                <w:rFonts w:hint="eastAsia"/>
                <w:sz w:val="24"/>
              </w:rPr>
              <w:t>3</w:t>
            </w:r>
          </w:p>
        </w:tc>
        <w:tc>
          <w:tcPr>
            <w:tcW w:w="1899" w:type="dxa"/>
            <w:vMerge w:val="restart"/>
            <w:vAlign w:val="center"/>
          </w:tcPr>
          <w:p>
            <w:pPr>
              <w:spacing w:before="60" w:beforeLines="25" w:after="60" w:afterLines="25"/>
              <w:rPr>
                <w:sz w:val="24"/>
                <w:lang w:eastAsia="zh-CN"/>
              </w:rPr>
            </w:pPr>
            <w:r>
              <w:rPr>
                <w:rFonts w:hint="eastAsia"/>
                <w:sz w:val="24"/>
                <w:lang w:eastAsia="zh-CN"/>
              </w:rPr>
              <w:t>安全</w:t>
            </w:r>
            <w:r>
              <w:rPr>
                <w:rFonts w:hint="eastAsia" w:cs="Arial"/>
                <w:iCs/>
                <w:sz w:val="24"/>
                <w:lang w:eastAsia="zh-CN"/>
              </w:rPr>
              <w:t>和绿色施工保障</w:t>
            </w:r>
            <w:r>
              <w:rPr>
                <w:rFonts w:hint="eastAsia"/>
                <w:sz w:val="24"/>
                <w:lang w:eastAsia="zh-CN"/>
              </w:rPr>
              <w:t>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w:t>
            </w:r>
            <w:r>
              <w:rPr>
                <w:rFonts w:hint="eastAsia"/>
                <w:sz w:val="24"/>
                <w:lang w:val="en-US" w:eastAsia="zh-CN"/>
              </w:rPr>
              <w:t>5</w:t>
            </w:r>
            <w:r>
              <w:rPr>
                <w:rFonts w:hint="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75" w:type="dxa"/>
            <w:vMerge w:val="restart"/>
            <w:vAlign w:val="center"/>
          </w:tcPr>
          <w:p>
            <w:pPr>
              <w:spacing w:line="276" w:lineRule="auto"/>
              <w:jc w:val="center"/>
              <w:rPr>
                <w:sz w:val="24"/>
              </w:rPr>
            </w:pPr>
            <w:r>
              <w:rPr>
                <w:rFonts w:hint="eastAsia"/>
                <w:sz w:val="24"/>
              </w:rPr>
              <w:t>4</w:t>
            </w:r>
          </w:p>
        </w:tc>
        <w:tc>
          <w:tcPr>
            <w:tcW w:w="1899" w:type="dxa"/>
            <w:vMerge w:val="restart"/>
            <w:vAlign w:val="center"/>
          </w:tcPr>
          <w:p>
            <w:pPr>
              <w:spacing w:before="60" w:beforeLines="25" w:after="60" w:afterLines="25"/>
              <w:rPr>
                <w:sz w:val="24"/>
                <w:lang w:eastAsia="zh-CN"/>
              </w:rPr>
            </w:pPr>
            <w:r>
              <w:rPr>
                <w:rFonts w:hint="eastAsia"/>
                <w:sz w:val="24"/>
                <w:lang w:eastAsia="zh-CN"/>
              </w:rPr>
              <w:t>工程进度计划与保证措施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lang w:val="en-US" w:eastAsia="zh-CN"/>
              </w:rPr>
              <w:t>10</w:t>
            </w:r>
            <w:r>
              <w:rPr>
                <w:rFonts w:hint="eastAsia"/>
                <w:sz w:val="24"/>
              </w:rPr>
              <w:t>分</w:t>
            </w:r>
          </w:p>
        </w:tc>
        <w:tc>
          <w:tcPr>
            <w:tcW w:w="1104" w:type="dxa"/>
            <w:vMerge w:val="restart"/>
            <w:vAlign w:val="center"/>
          </w:tcPr>
          <w:p>
            <w:pPr>
              <w:spacing w:line="276" w:lineRule="auto"/>
              <w:jc w:val="center"/>
              <w:rPr>
                <w:sz w:val="24"/>
              </w:rPr>
            </w:pPr>
            <w:r>
              <w:rPr>
                <w:rFonts w:hint="eastAsia"/>
                <w:sz w:val="24"/>
                <w:lang w:val="en-US" w:eastAsia="zh-CN"/>
              </w:rPr>
              <w:t>10</w:t>
            </w:r>
            <w:r>
              <w:rPr>
                <w:rFonts w:hint="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lang w:val="en-US" w:eastAsia="zh-CN"/>
              </w:rPr>
              <w:t>6</w:t>
            </w:r>
            <w:r>
              <w:rPr>
                <w:rFonts w:hint="eastAsia"/>
                <w:sz w:val="24"/>
              </w:rPr>
              <w:t>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lang w:val="en-US" w:eastAsia="zh-CN"/>
              </w:rPr>
              <w:t>3</w:t>
            </w:r>
            <w:r>
              <w:rPr>
                <w:rFonts w:hint="eastAsia"/>
                <w:sz w:val="24"/>
              </w:rPr>
              <w:t>分</w:t>
            </w:r>
          </w:p>
        </w:tc>
        <w:tc>
          <w:tcPr>
            <w:tcW w:w="1104" w:type="dxa"/>
            <w:vMerge w:val="continue"/>
            <w:vAlign w:val="center"/>
          </w:tcPr>
          <w:p>
            <w:pPr>
              <w:spacing w:line="276" w:lineRule="auto"/>
              <w:jc w:val="center"/>
              <w:rPr>
                <w:sz w:val="24"/>
              </w:rPr>
            </w:pPr>
          </w:p>
        </w:tc>
      </w:tr>
    </w:tbl>
    <w:p>
      <w:pPr>
        <w:rPr>
          <w:rFonts w:asciiTheme="minorEastAsia" w:hAnsiTheme="minorEastAsia" w:eastAsiaTheme="minorEastAsia"/>
        </w:rPr>
      </w:pPr>
    </w:p>
    <w:p>
      <w:pPr>
        <w:spacing w:line="560" w:lineRule="exact"/>
        <w:rPr>
          <w:rFonts w:cs="方正仿宋_GB18030"/>
          <w:b/>
          <w:sz w:val="24"/>
        </w:rPr>
      </w:pPr>
      <w:r>
        <w:rPr>
          <w:rFonts w:hint="eastAsia" w:cs="方正仿宋_GB18030"/>
          <w:b/>
          <w:sz w:val="24"/>
        </w:rPr>
        <w:t>注：</w:t>
      </w:r>
    </w:p>
    <w:p>
      <w:pPr>
        <w:spacing w:line="560" w:lineRule="exact"/>
        <w:rPr>
          <w:rFonts w:cs="方正仿宋_GB18030"/>
          <w:b/>
          <w:sz w:val="24"/>
          <w:lang w:eastAsia="zh-CN"/>
        </w:rPr>
      </w:pPr>
      <w:r>
        <w:rPr>
          <w:rFonts w:hint="eastAsia" w:cs="方正仿宋_GB18030"/>
          <w:b/>
          <w:sz w:val="24"/>
          <w:lang w:eastAsia="zh-CN"/>
        </w:rPr>
        <w:t>能影响服务质量或者不能诚信履约的，应当要求其在评标现场合理的时间内提供书面说明（法表人或授权代表签字，或加盖公章），必要时提交相关证明材料；投标人不能证明其报价合理性的，评标委员会应当将其作为无效投标处理。</w:t>
      </w:r>
    </w:p>
    <w:p>
      <w:pPr>
        <w:spacing w:line="560" w:lineRule="exact"/>
        <w:rPr>
          <w:rFonts w:cs="方正仿宋_GB18030"/>
          <w:b/>
          <w:sz w:val="24"/>
          <w:lang w:eastAsia="zh-CN"/>
        </w:rPr>
      </w:pPr>
      <w:r>
        <w:rPr>
          <w:rFonts w:hint="eastAsia" w:cs="方正仿宋_GB18030"/>
          <w:b/>
          <w:sz w:val="24"/>
          <w:lang w:eastAsia="zh-CN"/>
        </w:rPr>
        <w:t>2.得分保留至小数点后两位，第三位按照“四舍五入”原则处理。</w:t>
      </w:r>
    </w:p>
    <w:p>
      <w:pPr>
        <w:pStyle w:val="3"/>
        <w:tabs>
          <w:tab w:val="left" w:pos="1670"/>
        </w:tabs>
        <w:spacing w:before="246"/>
        <w:ind w:left="48"/>
        <w:jc w:val="both"/>
        <w:rPr>
          <w:rFonts w:cs="方正仿宋_GB18030"/>
          <w:b/>
          <w:sz w:val="24"/>
          <w:lang w:eastAsia="zh-CN"/>
        </w:rPr>
      </w:pPr>
      <w:r>
        <w:rPr>
          <w:rFonts w:hint="eastAsia" w:cs="方正仿宋_GB18030"/>
          <w:b/>
          <w:sz w:val="24"/>
          <w:lang w:eastAsia="zh-CN"/>
        </w:rPr>
        <w:t>3.最低报价不作为中标的保证。</w:t>
      </w:r>
    </w:p>
    <w:p>
      <w:pPr>
        <w:pStyle w:val="38"/>
      </w:pPr>
    </w:p>
    <w:p>
      <w:pPr>
        <w:pStyle w:val="38"/>
        <w:sectPr>
          <w:footerReference r:id="rId6" w:type="default"/>
          <w:pgSz w:w="11893" w:h="16826"/>
          <w:pgMar w:top="666" w:right="1587" w:bottom="360" w:left="1726" w:header="720" w:footer="720" w:gutter="0"/>
          <w:lnNumType w:countBy="0" w:distance="360"/>
          <w:cols w:space="720" w:num="1"/>
        </w:sectPr>
      </w:pPr>
    </w:p>
    <w:p/>
    <w:p>
      <w:pPr>
        <w:rPr>
          <w:rFonts w:cs="方正仿宋_GB18030"/>
          <w:b/>
          <w:sz w:val="24"/>
          <w:lang w:eastAsia="zh-CN"/>
        </w:rPr>
      </w:pPr>
    </w:p>
    <w:p>
      <w:pPr>
        <w:pStyle w:val="3"/>
        <w:tabs>
          <w:tab w:val="left" w:pos="1670"/>
        </w:tabs>
        <w:spacing w:before="246"/>
        <w:ind w:left="48"/>
        <w:jc w:val="center"/>
        <w:rPr>
          <w:lang w:eastAsia="zh-CN"/>
        </w:rPr>
      </w:pPr>
      <w:r>
        <w:rPr>
          <w:rFonts w:asciiTheme="minorEastAsia" w:hAnsiTheme="minorEastAsia" w:eastAsiaTheme="minorEastAsia"/>
          <w:b/>
          <w:lang w:eastAsia="zh-CN"/>
        </w:rPr>
        <w:t>第四章采购需求</w:t>
      </w:r>
      <w:bookmarkEnd w:id="37"/>
    </w:p>
    <w:p>
      <w:pPr>
        <w:pStyle w:val="2"/>
        <w:rPr>
          <w:lang w:eastAsia="zh-CN"/>
        </w:rPr>
      </w:pPr>
    </w:p>
    <w:p>
      <w:pPr>
        <w:spacing w:before="60" w:beforeLines="25" w:after="60" w:afterLines="25"/>
        <w:rPr>
          <w:sz w:val="24"/>
          <w:lang w:eastAsia="zh-CN"/>
        </w:rPr>
      </w:pPr>
      <w:bookmarkStart w:id="38" w:name="_TOC_250001"/>
      <w:bookmarkEnd w:id="38"/>
      <w:bookmarkStart w:id="39" w:name="_Toc164263464"/>
      <w:r>
        <w:rPr>
          <w:rFonts w:hint="eastAsia"/>
          <w:sz w:val="24"/>
          <w:lang w:eastAsia="zh-CN"/>
        </w:rPr>
        <w:t>一、工程概况</w:t>
      </w:r>
    </w:p>
    <w:p>
      <w:pPr>
        <w:spacing w:before="60" w:beforeLines="25" w:after="60" w:afterLines="25"/>
        <w:rPr>
          <w:sz w:val="24"/>
          <w:lang w:eastAsia="zh-CN"/>
        </w:rPr>
      </w:pPr>
      <w:r>
        <w:rPr>
          <w:rFonts w:hint="eastAsia"/>
          <w:sz w:val="24"/>
          <w:lang w:eastAsia="zh-CN"/>
        </w:rPr>
        <w:t>项目名称：实行社区管理退休人员服务经费</w:t>
      </w:r>
    </w:p>
    <w:p>
      <w:pPr>
        <w:spacing w:before="60" w:beforeLines="25" w:after="60" w:afterLines="25"/>
        <w:rPr>
          <w:sz w:val="24"/>
          <w:lang w:eastAsia="zh-CN"/>
        </w:rPr>
      </w:pPr>
      <w:r>
        <w:rPr>
          <w:rFonts w:hint="eastAsia"/>
          <w:sz w:val="24"/>
          <w:lang w:eastAsia="zh-CN"/>
        </w:rPr>
        <w:t>项目地点：北京市顺义区</w:t>
      </w:r>
    </w:p>
    <w:p>
      <w:pPr>
        <w:pStyle w:val="2"/>
        <w:rPr>
          <w:lang w:eastAsia="zh-CN"/>
        </w:rPr>
      </w:pPr>
    </w:p>
    <w:p>
      <w:pPr>
        <w:spacing w:before="60" w:beforeLines="25" w:after="60" w:afterLines="25"/>
        <w:rPr>
          <w:sz w:val="24"/>
          <w:lang w:eastAsia="zh-CN"/>
        </w:rPr>
      </w:pPr>
      <w:r>
        <w:rPr>
          <w:rFonts w:hint="eastAsia"/>
          <w:sz w:val="24"/>
          <w:lang w:eastAsia="zh-CN"/>
        </w:rPr>
        <w:t>二、工程期限</w:t>
      </w:r>
    </w:p>
    <w:p>
      <w:pPr>
        <w:spacing w:before="60" w:beforeLines="25" w:after="60" w:afterLines="25"/>
        <w:rPr>
          <w:sz w:val="24"/>
          <w:lang w:eastAsia="zh-CN"/>
        </w:rPr>
      </w:pPr>
      <w:r>
        <w:rPr>
          <w:rFonts w:hint="eastAsia"/>
          <w:sz w:val="24"/>
          <w:lang w:eastAsia="zh-CN"/>
        </w:rPr>
        <w:t>自合同签订之日起</w:t>
      </w:r>
      <w:r>
        <w:rPr>
          <w:rFonts w:hint="eastAsia"/>
          <w:sz w:val="24"/>
          <w:lang w:val="en-US" w:eastAsia="zh-CN"/>
        </w:rPr>
        <w:t>60</w:t>
      </w:r>
      <w:r>
        <w:rPr>
          <w:rFonts w:hint="eastAsia"/>
          <w:sz w:val="24"/>
          <w:lang w:eastAsia="zh-CN"/>
        </w:rPr>
        <w:t xml:space="preserve">日历天 </w:t>
      </w:r>
    </w:p>
    <w:p>
      <w:pPr>
        <w:pStyle w:val="2"/>
        <w:rPr>
          <w:lang w:eastAsia="zh-CN"/>
        </w:rPr>
      </w:pPr>
    </w:p>
    <w:p>
      <w:pPr>
        <w:spacing w:before="60" w:beforeLines="25" w:after="60" w:afterLines="25"/>
        <w:rPr>
          <w:sz w:val="24"/>
          <w:lang w:eastAsia="zh-CN"/>
        </w:rPr>
      </w:pPr>
      <w:r>
        <w:rPr>
          <w:rFonts w:hint="eastAsia"/>
          <w:sz w:val="24"/>
          <w:lang w:eastAsia="zh-CN"/>
        </w:rPr>
        <w:t>三、工程内容</w:t>
      </w:r>
    </w:p>
    <w:p>
      <w:pPr>
        <w:spacing w:before="60" w:beforeLines="25" w:after="60" w:afterLines="25"/>
        <w:rPr>
          <w:sz w:val="24"/>
          <w:lang w:eastAsia="zh-CN"/>
        </w:rPr>
      </w:pPr>
      <w:r>
        <w:rPr>
          <w:rFonts w:hint="eastAsia"/>
          <w:sz w:val="24"/>
          <w:lang w:eastAsia="zh-CN"/>
        </w:rPr>
        <w:t xml:space="preserve">具体工程内容详见工程量清单。 </w:t>
      </w:r>
    </w:p>
    <w:p>
      <w:pPr>
        <w:pStyle w:val="2"/>
        <w:rPr>
          <w:lang w:eastAsia="zh-CN"/>
        </w:rPr>
      </w:pPr>
    </w:p>
    <w:p>
      <w:pPr>
        <w:spacing w:before="60" w:beforeLines="25" w:after="60" w:afterLines="25"/>
        <w:rPr>
          <w:sz w:val="24"/>
          <w:lang w:eastAsia="zh-CN"/>
        </w:rPr>
      </w:pPr>
      <w:r>
        <w:rPr>
          <w:rFonts w:hint="eastAsia"/>
          <w:sz w:val="24"/>
          <w:lang w:eastAsia="zh-CN"/>
        </w:rPr>
        <w:t>四、质量标准：合格。</w:t>
      </w:r>
    </w:p>
    <w:p>
      <w:pPr>
        <w:rPr>
          <w:b/>
          <w:bCs/>
          <w:sz w:val="21"/>
          <w:szCs w:val="20"/>
          <w:lang w:eastAsia="zh-CN"/>
        </w:rPr>
      </w:pPr>
    </w:p>
    <w:p>
      <w:pPr>
        <w:pStyle w:val="2"/>
        <w:rPr>
          <w:b/>
          <w:bCs/>
          <w:sz w:val="21"/>
          <w:szCs w:val="20"/>
          <w:lang w:eastAsia="zh-CN"/>
        </w:rPr>
      </w:pPr>
    </w:p>
    <w:p>
      <w:pPr>
        <w:rPr>
          <w:b/>
          <w:bCs/>
          <w:sz w:val="21"/>
          <w:szCs w:val="20"/>
          <w:lang w:eastAsia="zh-CN"/>
        </w:rPr>
      </w:pPr>
    </w:p>
    <w:p>
      <w:pPr>
        <w:pStyle w:val="2"/>
        <w:rPr>
          <w:b/>
          <w:bCs/>
          <w:sz w:val="21"/>
          <w:szCs w:val="20"/>
          <w:lang w:eastAsia="zh-CN"/>
        </w:rPr>
      </w:pPr>
    </w:p>
    <w:p>
      <w:pPr>
        <w:rPr>
          <w:b/>
          <w:bCs/>
          <w:sz w:val="21"/>
          <w:szCs w:val="20"/>
          <w:lang w:eastAsia="zh-CN"/>
        </w:rPr>
      </w:pPr>
    </w:p>
    <w:p>
      <w:pPr>
        <w:pStyle w:val="2"/>
        <w:rPr>
          <w:b/>
          <w:bCs/>
          <w:sz w:val="21"/>
          <w:szCs w:val="20"/>
          <w:lang w:eastAsia="zh-CN"/>
        </w:rPr>
      </w:pPr>
    </w:p>
    <w:p>
      <w:pPr>
        <w:rPr>
          <w:b/>
          <w:bCs/>
          <w:sz w:val="21"/>
          <w:szCs w:val="20"/>
          <w:lang w:eastAsia="zh-CN"/>
        </w:rPr>
      </w:pPr>
    </w:p>
    <w:p>
      <w:pPr>
        <w:pStyle w:val="38"/>
        <w:ind w:left="360" w:hanging="360"/>
        <w:rPr>
          <w:rFonts w:ascii="宋体" w:cs="宋体"/>
          <w:b/>
          <w:bCs/>
          <w:szCs w:val="20"/>
        </w:rPr>
      </w:pPr>
    </w:p>
    <w:p>
      <w:pPr>
        <w:rPr>
          <w:b/>
          <w:bCs/>
          <w:sz w:val="21"/>
          <w:szCs w:val="20"/>
          <w:lang w:eastAsia="zh-CN"/>
        </w:rPr>
      </w:pPr>
    </w:p>
    <w:p>
      <w:pPr>
        <w:pStyle w:val="2"/>
        <w:rPr>
          <w:b/>
          <w:bCs/>
          <w:sz w:val="21"/>
          <w:szCs w:val="20"/>
          <w:lang w:eastAsia="zh-CN"/>
        </w:rPr>
      </w:pPr>
    </w:p>
    <w:p>
      <w:pPr>
        <w:rPr>
          <w:b/>
          <w:bCs/>
          <w:sz w:val="21"/>
          <w:szCs w:val="20"/>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pStyle w:val="2"/>
        <w:rPr>
          <w:lang w:eastAsia="zh-CN"/>
        </w:rPr>
      </w:pPr>
    </w:p>
    <w:p>
      <w:pPr>
        <w:pStyle w:val="3"/>
        <w:numPr>
          <w:ilvl w:val="0"/>
          <w:numId w:val="0"/>
        </w:numPr>
        <w:tabs>
          <w:tab w:val="left" w:pos="1670"/>
        </w:tabs>
        <w:spacing w:before="246"/>
        <w:ind w:firstLine="2891" w:firstLineChars="800"/>
        <w:jc w:val="both"/>
        <w:rPr>
          <w:rFonts w:asciiTheme="minorEastAsia" w:hAnsiTheme="minorEastAsia" w:eastAsiaTheme="minorEastAsia"/>
          <w:b/>
          <w:lang w:eastAsia="zh-CN"/>
        </w:rPr>
      </w:pPr>
      <w:r>
        <w:rPr>
          <w:rFonts w:asciiTheme="minorEastAsia" w:hAnsiTheme="minorEastAsia" w:eastAsiaTheme="minorEastAsia"/>
          <w:b/>
          <w:lang w:eastAsia="zh-CN"/>
        </w:rPr>
        <w:t>第五章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合</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同</w:t>
      </w:r>
      <w:bookmarkEnd w:id="39"/>
    </w:p>
    <w:p>
      <w:pPr>
        <w:pStyle w:val="12"/>
        <w:spacing w:before="1"/>
        <w:rPr>
          <w:rFonts w:asciiTheme="minorEastAsia" w:hAnsiTheme="minorEastAsia" w:eastAsiaTheme="minorEastAsia"/>
          <w:sz w:val="43"/>
          <w:lang w:eastAsia="zh-CN"/>
        </w:rPr>
      </w:pPr>
    </w:p>
    <w:p>
      <w:pPr>
        <w:jc w:val="center"/>
        <w:rPr>
          <w:lang w:eastAsia="zh-CN"/>
        </w:rPr>
      </w:pPr>
      <w:r>
        <w:rPr>
          <w:rFonts w:hint="eastAsia"/>
          <w:lang w:eastAsia="zh-CN"/>
        </w:rPr>
        <w:t>（此合同仅供参考。以最终采购人与中标供应商签定的合同条款为准，</w:t>
      </w:r>
    </w:p>
    <w:p>
      <w:pPr>
        <w:jc w:val="center"/>
        <w:rPr>
          <w:lang w:eastAsia="zh-CN"/>
        </w:rPr>
      </w:pPr>
      <w:r>
        <w:rPr>
          <w:rFonts w:hint="eastAsia"/>
          <w:lang w:eastAsia="zh-CN"/>
        </w:rPr>
        <w:t>最终签定合同的主要条款不能与招标文件有冲突）</w:t>
      </w:r>
    </w:p>
    <w:p>
      <w:pPr>
        <w:pStyle w:val="2"/>
        <w:rPr>
          <w:lang w:eastAsia="zh-CN"/>
        </w:rPr>
      </w:pPr>
    </w:p>
    <w:p>
      <w:pPr>
        <w:jc w:val="center"/>
        <w:rPr>
          <w:rFonts w:ascii="宋体" w:hAnsi="宋体"/>
          <w:b/>
          <w:color w:val="auto"/>
          <w:sz w:val="48"/>
          <w:szCs w:val="48"/>
          <w:highlight w:val="none"/>
        </w:rPr>
      </w:pPr>
    </w:p>
    <w:p>
      <w:pPr>
        <w:jc w:val="both"/>
        <w:rPr>
          <w:rFonts w:ascii="宋体" w:hAnsi="宋体"/>
          <w:b/>
          <w:color w:val="auto"/>
          <w:sz w:val="48"/>
          <w:szCs w:val="48"/>
          <w:highlight w:val="none"/>
        </w:rPr>
      </w:pPr>
    </w:p>
    <w:p>
      <w:pPr>
        <w:jc w:val="center"/>
        <w:rPr>
          <w:rFonts w:ascii="宋体" w:hAnsi="宋体"/>
          <w:b/>
          <w:color w:val="auto"/>
          <w:sz w:val="48"/>
          <w:szCs w:val="48"/>
          <w:highlight w:val="none"/>
        </w:rPr>
      </w:pPr>
    </w:p>
    <w:p>
      <w:pPr>
        <w:jc w:val="center"/>
        <w:rPr>
          <w:rFonts w:ascii="宋体" w:hAnsi="宋体"/>
          <w:b/>
          <w:color w:val="auto"/>
          <w:sz w:val="48"/>
          <w:szCs w:val="48"/>
          <w:highlight w:val="none"/>
        </w:rPr>
      </w:pPr>
      <w:r>
        <w:rPr>
          <w:rFonts w:ascii="宋体" w:hAnsi="宋体"/>
          <w:b/>
          <w:color w:val="auto"/>
          <w:sz w:val="48"/>
          <w:szCs w:val="48"/>
          <w:highlight w:val="none"/>
        </w:rPr>
        <w:t>建设工程施工合同</w:t>
      </w:r>
    </w:p>
    <w:p>
      <w:pPr>
        <w:jc w:val="center"/>
        <w:rPr>
          <w:rFonts w:ascii="Times New Roman" w:hAnsi="Times New Roman" w:eastAsia="华文中宋"/>
          <w:b/>
          <w:color w:val="auto"/>
          <w:sz w:val="52"/>
          <w:szCs w:val="52"/>
          <w:highlight w:val="none"/>
        </w:rPr>
      </w:pPr>
      <w:r>
        <w:rPr>
          <w:rFonts w:ascii="Times New Roman" w:hAnsi="Times New Roman" w:eastAsia="华文中宋"/>
          <w:b/>
          <w:color w:val="auto"/>
          <w:sz w:val="52"/>
          <w:szCs w:val="52"/>
          <w:highlight w:val="none"/>
        </w:rPr>
        <w:br w:type="textWrapping"/>
      </w:r>
    </w:p>
    <w:p>
      <w:pPr>
        <w:jc w:val="center"/>
        <w:rPr>
          <w:rFonts w:ascii="Times New Roman" w:hAnsi="Times New Roman" w:eastAsia="华文中宋"/>
          <w:b/>
          <w:color w:val="auto"/>
          <w:sz w:val="52"/>
          <w:szCs w:val="52"/>
          <w:highlight w:val="none"/>
        </w:rPr>
      </w:pPr>
    </w:p>
    <w:p>
      <w:pPr>
        <w:tabs>
          <w:tab w:val="left" w:pos="7545"/>
        </w:tabs>
        <w:rPr>
          <w:rFonts w:ascii="Times New Roman" w:hAnsi="Times New Roman" w:eastAsia="黑体"/>
          <w:b/>
          <w:color w:val="auto"/>
          <w:sz w:val="52"/>
          <w:szCs w:val="52"/>
          <w:highlight w:val="none"/>
        </w:rPr>
      </w:pPr>
      <w:r>
        <w:rPr>
          <w:rFonts w:ascii="Times New Roman" w:hAnsi="Times New Roman" w:eastAsia="黑体"/>
          <w:b/>
          <w:color w:val="auto"/>
          <w:sz w:val="52"/>
          <w:szCs w:val="52"/>
          <w:highlight w:val="none"/>
        </w:rPr>
        <w:tab/>
      </w:r>
    </w:p>
    <w:p>
      <w:pPr>
        <w:rPr>
          <w:rFonts w:ascii="Times New Roman" w:hAnsi="Times New Roman"/>
          <w:b/>
          <w:color w:val="auto"/>
          <w:sz w:val="28"/>
          <w:szCs w:val="28"/>
          <w:highlight w:val="none"/>
        </w:rPr>
      </w:pPr>
    </w:p>
    <w:p>
      <w:pPr>
        <w:rPr>
          <w:rFonts w:ascii="Times New Roman" w:hAnsi="Times New Roman"/>
          <w:b/>
          <w:color w:val="auto"/>
          <w:sz w:val="28"/>
          <w:szCs w:val="28"/>
          <w:highlight w:val="none"/>
        </w:rPr>
      </w:pPr>
    </w:p>
    <w:p>
      <w:pPr>
        <w:rPr>
          <w:rFonts w:ascii="Times New Roman" w:hAnsi="Times New Roman"/>
          <w:b/>
          <w:color w:val="auto"/>
          <w:sz w:val="28"/>
          <w:szCs w:val="28"/>
          <w:highlight w:val="none"/>
        </w:rPr>
      </w:pPr>
    </w:p>
    <w:p>
      <w:pPr>
        <w:rPr>
          <w:rFonts w:hint="eastAsia" w:ascii="Times New Roman" w:hAnsi="Times New Roman"/>
          <w:b/>
          <w:color w:val="auto"/>
          <w:sz w:val="28"/>
          <w:szCs w:val="28"/>
          <w:highlight w:val="none"/>
        </w:rPr>
      </w:pPr>
    </w:p>
    <w:p>
      <w:pPr>
        <w:rPr>
          <w:rFonts w:hint="eastAsia" w:ascii="Times New Roman" w:hAnsi="Times New Roman"/>
          <w:b/>
          <w:color w:val="auto"/>
          <w:sz w:val="28"/>
          <w:szCs w:val="28"/>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color w:val="auto"/>
          <w:highlight w:val="none"/>
        </w:rPr>
      </w:pPr>
    </w:p>
    <w:p>
      <w:pPr>
        <w:rPr>
          <w:rFonts w:ascii="Times New Roman" w:hAnsi="Times New Roman"/>
          <w:b/>
          <w:color w:val="auto"/>
          <w:sz w:val="28"/>
          <w:szCs w:val="28"/>
          <w:highlight w:val="none"/>
        </w:rPr>
      </w:pPr>
    </w:p>
    <w:p>
      <w:pPr>
        <w:ind w:right="2849" w:rightChars="1295" w:firstLine="4339" w:firstLineChars="1050"/>
        <w:rPr>
          <w:rFonts w:ascii="Times New Roman" w:hAnsi="Times New Roman"/>
          <w:b/>
          <w:color w:val="auto"/>
          <w:spacing w:val="46"/>
          <w:sz w:val="32"/>
          <w:szCs w:val="28"/>
          <w:highlight w:val="none"/>
        </w:rPr>
      </w:pPr>
    </w:p>
    <w:p>
      <w:pPr>
        <w:ind w:right="2849" w:rightChars="1295" w:firstLine="4339" w:firstLineChars="1050"/>
        <w:rPr>
          <w:rFonts w:ascii="Times New Roman" w:hAnsi="Times New Roman"/>
          <w:b/>
          <w:color w:val="auto"/>
          <w:spacing w:val="46"/>
          <w:sz w:val="32"/>
          <w:szCs w:val="28"/>
          <w:highlight w:val="none"/>
        </w:rPr>
      </w:pPr>
    </w:p>
    <w:p>
      <w:pPr>
        <w:ind w:right="2849" w:rightChars="1295" w:firstLine="4339" w:firstLineChars="1050"/>
        <w:rPr>
          <w:rFonts w:ascii="Times New Roman" w:hAnsi="Times New Roman"/>
          <w:b/>
          <w:color w:val="auto"/>
          <w:spacing w:val="46"/>
          <w:sz w:val="32"/>
          <w:szCs w:val="28"/>
          <w:highlight w:val="none"/>
        </w:rPr>
      </w:pPr>
    </w:p>
    <w:p>
      <w:pPr>
        <w:ind w:right="2849" w:rightChars="1295" w:firstLine="3120" w:firstLineChars="1000"/>
        <w:rPr>
          <w:rFonts w:ascii="Times New Roman" w:hAnsi="Times New Roman"/>
          <w:b/>
          <w:color w:val="auto"/>
          <w:spacing w:val="46"/>
          <w:sz w:val="32"/>
          <w:szCs w:val="28"/>
          <w:highlight w:val="none"/>
        </w:rPr>
      </w:pPr>
      <w:r>
        <w:rPr>
          <w:rFonts w:ascii="Times New Roman" w:hAnsi="Times New Roman"/>
          <w:color w:val="auto"/>
          <w:spacing w:val="46"/>
          <w:highlight w:val="none"/>
        </w:rPr>
        <mc:AlternateContent>
          <mc:Choice Requires="wps">
            <w:drawing>
              <wp:anchor distT="0" distB="0" distL="114300" distR="114300" simplePos="0" relativeHeight="251669504" behindDoc="0" locked="0" layoutInCell="1" allowOverlap="1">
                <wp:simplePos x="0" y="0"/>
                <wp:positionH relativeFrom="column">
                  <wp:posOffset>3600450</wp:posOffset>
                </wp:positionH>
                <wp:positionV relativeFrom="paragraph">
                  <wp:posOffset>120015</wp:posOffset>
                </wp:positionV>
                <wp:extent cx="66675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666750" cy="457200"/>
                        </a:xfrm>
                        <a:prstGeom prst="rect">
                          <a:avLst/>
                        </a:prstGeom>
                        <a:noFill/>
                        <a:ln w="9525" cap="flat" cmpd="sng">
                          <a:solidFill>
                            <a:srgbClr val="FFFFFF"/>
                          </a:solidFill>
                          <a:prstDash val="solid"/>
                          <a:miter/>
                          <a:headEnd type="none" w="med" len="med"/>
                          <a:tailEnd type="none" w="med" len="med"/>
                        </a:ln>
                        <a:effectLst/>
                      </wps:spPr>
                      <wps:txbx>
                        <w:txbxContent>
                          <w:p>
                            <w:pPr>
                              <w:rPr>
                                <w:rFonts w:hint="eastAsia"/>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283.5pt;margin-top:9.45pt;height:36pt;width:52.5pt;z-index:251669504;mso-width-relative:page;mso-height-relative:page;" filled="f" stroked="t" coordsize="21600,21600" o:gfxdata="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xpuf2AAAAAkBAAAPAAAAAAAAAAEAIAAAACIAAABkcnMvZG93bnJldi54bWxQ&#10;SwECFAAUAAAACACHTuJAKDTTfvcBAADaAwAADgAAAAAAAAABACAAAAAnAQAAZHJzL2Uyb0RvYy54&#10;bWxQSwUGAAAAAAYABgBZAQAAkAU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ascii="Times New Roman" w:hAnsi="Times New Roman"/>
          <w:b/>
          <w:color w:val="auto"/>
          <w:spacing w:val="46"/>
          <w:sz w:val="32"/>
          <w:szCs w:val="28"/>
          <w:highlight w:val="none"/>
        </w:rPr>
        <w:t>住房和城乡建设部</w:t>
      </w:r>
    </w:p>
    <w:p>
      <w:pPr>
        <w:ind w:right="2849" w:rightChars="1295" w:firstLine="2233" w:firstLineChars="695"/>
        <w:rPr>
          <w:rFonts w:hint="eastAsia"/>
          <w:color w:val="auto"/>
          <w:highlight w:val="none"/>
        </w:rPr>
      </w:pPr>
      <w:r>
        <w:rPr>
          <w:rFonts w:ascii="Times New Roman" w:hAnsi="Times New Roman"/>
          <w:b/>
          <w:color w:val="auto"/>
          <w:sz w:val="32"/>
          <w:szCs w:val="28"/>
          <w:highlight w:val="none"/>
        </w:rPr>
        <w:t>国家工商行政管理总局</w:t>
      </w:r>
    </w:p>
    <w:p>
      <w:pPr>
        <w:rPr>
          <w:rFonts w:hint="eastAsia"/>
          <w:b/>
          <w:color w:val="auto"/>
          <w:sz w:val="32"/>
          <w:szCs w:val="32"/>
          <w:highlight w:val="none"/>
        </w:rPr>
      </w:pPr>
    </w:p>
    <w:p>
      <w:pPr>
        <w:rPr>
          <w:rFonts w:hint="eastAsia"/>
          <w:color w:val="auto"/>
          <w:highlight w:val="none"/>
        </w:rPr>
      </w:pPr>
    </w:p>
    <w:p>
      <w:pPr>
        <w:pStyle w:val="23"/>
        <w:rPr>
          <w:color w:val="auto"/>
          <w:highlight w:val="none"/>
        </w:rPr>
        <w:sectPr>
          <w:footerReference r:id="rId7" w:type="even"/>
          <w:pgSz w:w="11893" w:h="16826"/>
          <w:pgMar w:top="666" w:right="1767" w:bottom="360" w:left="1726" w:header="720" w:footer="720" w:gutter="0"/>
          <w:lnNumType w:countBy="0" w:distance="360"/>
          <w:cols w:space="720" w:num="1"/>
        </w:sectPr>
      </w:pPr>
    </w:p>
    <w:p>
      <w:pPr>
        <w:pStyle w:val="23"/>
        <w:rPr>
          <w:rFonts w:hint="eastAsia"/>
          <w:color w:val="auto"/>
          <w:highlight w:val="none"/>
        </w:rPr>
      </w:pPr>
      <w:bookmarkStart w:id="40" w:name="_Toc79998203"/>
    </w:p>
    <w:p>
      <w:pPr>
        <w:pStyle w:val="23"/>
        <w:rPr>
          <w:rFonts w:hint="eastAsia"/>
          <w:color w:val="auto"/>
          <w:highlight w:val="none"/>
        </w:rPr>
      </w:pPr>
      <w:r>
        <w:rPr>
          <w:rFonts w:hint="eastAsia"/>
          <w:color w:val="auto"/>
          <w:highlight w:val="none"/>
        </w:rPr>
        <w:t>合同协议书</w:t>
      </w:r>
      <w:bookmarkEnd w:id="40"/>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 xml:space="preserve">                                                      编号：</w:t>
      </w:r>
      <w:r>
        <w:rPr>
          <w:rFonts w:ascii="宋体" w:hAnsi="宋体"/>
          <w:color w:val="auto"/>
          <w:szCs w:val="21"/>
          <w:highlight w:val="none"/>
          <w:u w:val="single"/>
        </w:rPr>
        <w:t xml:space="preserve">                  </w:t>
      </w:r>
      <w:r>
        <w:rPr>
          <w:b/>
          <w:bCs/>
          <w:color w:val="auto"/>
          <w:kern w:val="44"/>
          <w:sz w:val="32"/>
          <w:szCs w:val="44"/>
          <w:highlight w:val="none"/>
        </w:rPr>
        <w:t xml:space="preserve">           </w:t>
      </w:r>
      <w:r>
        <w:rPr>
          <w:rFonts w:ascii="宋体" w:hAnsi="宋体"/>
          <w:color w:val="auto"/>
          <w:szCs w:val="21"/>
          <w:highlight w:val="none"/>
        </w:rPr>
        <w:t xml:space="preserve">                </w:t>
      </w:r>
    </w:p>
    <w:p>
      <w:pPr>
        <w:pStyle w:val="2"/>
        <w:rPr>
          <w:color w:val="auto"/>
          <w:highlight w:val="none"/>
        </w:rPr>
      </w:pPr>
    </w:p>
    <w:p>
      <w:pPr>
        <w:pStyle w:val="2"/>
        <w:spacing w:line="360" w:lineRule="auto"/>
        <w:rPr>
          <w:rFonts w:hint="eastAsia" w:ascii="宋体" w:cs="Arial"/>
          <w:color w:val="auto"/>
          <w:sz w:val="21"/>
          <w:szCs w:val="21"/>
          <w:highlight w:val="none"/>
          <w:u w:val="single"/>
        </w:rPr>
      </w:pPr>
      <w:r>
        <w:rPr>
          <w:rFonts w:hint="eastAsia" w:ascii="宋体" w:hAnsi="宋体" w:cs="Arial"/>
          <w:color w:val="auto"/>
          <w:sz w:val="21"/>
          <w:szCs w:val="21"/>
          <w:highlight w:val="none"/>
        </w:rPr>
        <w:t>发包人（全称）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pPr>
        <w:spacing w:line="360" w:lineRule="auto"/>
        <w:rPr>
          <w:rFonts w:ascii="宋体" w:hAnsi="宋体" w:cs="Arial"/>
          <w:color w:val="auto"/>
          <w:szCs w:val="21"/>
          <w:highlight w:val="none"/>
          <w:u w:val="single"/>
        </w:rPr>
      </w:pPr>
      <w:r>
        <w:rPr>
          <w:rFonts w:hint="eastAsia" w:ascii="宋体" w:hAnsi="宋体"/>
          <w:color w:val="auto"/>
          <w:szCs w:val="21"/>
          <w:highlight w:val="none"/>
        </w:rPr>
        <w:t>法</w:t>
      </w:r>
      <w:r>
        <w:rPr>
          <w:rFonts w:ascii="宋体" w:hAnsi="宋体"/>
          <w:color w:val="auto"/>
          <w:szCs w:val="21"/>
          <w:highlight w:val="none"/>
        </w:rPr>
        <w:t xml:space="preserve"> </w:t>
      </w:r>
      <w:r>
        <w:rPr>
          <w:rFonts w:hint="eastAsia" w:ascii="宋体" w:hAnsi="宋体"/>
          <w:color w:val="auto"/>
          <w:szCs w:val="21"/>
          <w:highlight w:val="none"/>
        </w:rPr>
        <w:t>定</w:t>
      </w:r>
      <w:r>
        <w:rPr>
          <w:rFonts w:ascii="宋体" w:hAnsi="宋体"/>
          <w:color w:val="auto"/>
          <w:szCs w:val="21"/>
          <w:highlight w:val="none"/>
        </w:rPr>
        <w:t xml:space="preserve"> </w:t>
      </w:r>
      <w:r>
        <w:rPr>
          <w:rFonts w:hint="eastAsia" w:ascii="宋体" w:hAnsi="宋体"/>
          <w:color w:val="auto"/>
          <w:szCs w:val="21"/>
          <w:highlight w:val="none"/>
        </w:rPr>
        <w:t>代</w:t>
      </w:r>
      <w:r>
        <w:rPr>
          <w:rFonts w:ascii="宋体" w:hAnsi="宋体"/>
          <w:color w:val="auto"/>
          <w:szCs w:val="21"/>
          <w:highlight w:val="none"/>
        </w:rPr>
        <w:t xml:space="preserve"> </w:t>
      </w:r>
      <w:r>
        <w:rPr>
          <w:rFonts w:hint="eastAsia" w:ascii="宋体" w:hAnsi="宋体"/>
          <w:color w:val="auto"/>
          <w:szCs w:val="21"/>
          <w:highlight w:val="none"/>
        </w:rPr>
        <w:t>表</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u w:val="single"/>
        </w:rPr>
        <w:t xml:space="preserve"> </w:t>
      </w:r>
      <w:r>
        <w:rPr>
          <w:rFonts w:hint="eastAsia" w:ascii="宋体" w:hAnsi="宋体" w:cs="Arial"/>
          <w:color w:val="auto"/>
          <w:szCs w:val="21"/>
          <w:highlight w:val="none"/>
          <w:u w:val="single"/>
        </w:rPr>
        <w:t xml:space="preserve">                                 </w:t>
      </w:r>
    </w:p>
    <w:p>
      <w:pPr>
        <w:spacing w:line="360" w:lineRule="auto"/>
        <w:rPr>
          <w:rFonts w:hint="eastAsia" w:ascii="宋体" w:hAnsi="宋体" w:cs="宋体"/>
          <w:color w:val="auto"/>
          <w:szCs w:val="21"/>
          <w:highlight w:val="none"/>
          <w:u w:val="single"/>
        </w:rPr>
      </w:pPr>
      <w:r>
        <w:rPr>
          <w:rFonts w:hint="eastAsia" w:ascii="宋体" w:hAnsi="宋体" w:cs="Arial"/>
          <w:color w:val="auto"/>
          <w:szCs w:val="21"/>
          <w:highlight w:val="none"/>
        </w:rPr>
        <w:t>法定注册地址：</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 xml:space="preserve"> </w:t>
      </w:r>
    </w:p>
    <w:p>
      <w:pPr>
        <w:spacing w:line="360" w:lineRule="auto"/>
        <w:rPr>
          <w:rFonts w:asci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ascii="宋体"/>
          <w:color w:val="auto"/>
          <w:szCs w:val="21"/>
          <w:highlight w:val="none"/>
        </w:rPr>
      </w:pPr>
      <w:r>
        <w:rPr>
          <w:rFonts w:hint="eastAsia" w:ascii="宋体" w:hAnsi="宋体"/>
          <w:color w:val="auto"/>
          <w:szCs w:val="21"/>
          <w:highlight w:val="none"/>
        </w:rPr>
        <w:t>法</w:t>
      </w:r>
      <w:r>
        <w:rPr>
          <w:rFonts w:ascii="宋体" w:hAnsi="宋体"/>
          <w:color w:val="auto"/>
          <w:szCs w:val="21"/>
          <w:highlight w:val="none"/>
        </w:rPr>
        <w:t xml:space="preserve"> </w:t>
      </w:r>
      <w:r>
        <w:rPr>
          <w:rFonts w:hint="eastAsia" w:ascii="宋体" w:hAnsi="宋体"/>
          <w:color w:val="auto"/>
          <w:szCs w:val="21"/>
          <w:highlight w:val="none"/>
        </w:rPr>
        <w:t>定</w:t>
      </w:r>
      <w:r>
        <w:rPr>
          <w:rFonts w:ascii="宋体" w:hAnsi="宋体"/>
          <w:color w:val="auto"/>
          <w:szCs w:val="21"/>
          <w:highlight w:val="none"/>
        </w:rPr>
        <w:t xml:space="preserve"> </w:t>
      </w:r>
      <w:r>
        <w:rPr>
          <w:rFonts w:hint="eastAsia" w:ascii="宋体" w:hAnsi="宋体"/>
          <w:color w:val="auto"/>
          <w:szCs w:val="21"/>
          <w:highlight w:val="none"/>
        </w:rPr>
        <w:t>代</w:t>
      </w:r>
      <w:r>
        <w:rPr>
          <w:rFonts w:ascii="宋体" w:hAnsi="宋体"/>
          <w:color w:val="auto"/>
          <w:szCs w:val="21"/>
          <w:highlight w:val="none"/>
        </w:rPr>
        <w:t xml:space="preserve"> </w:t>
      </w:r>
      <w:r>
        <w:rPr>
          <w:rFonts w:hint="eastAsia" w:ascii="宋体" w:hAnsi="宋体"/>
          <w:color w:val="auto"/>
          <w:szCs w:val="21"/>
          <w:highlight w:val="none"/>
        </w:rPr>
        <w:t>表</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法定注册地址</w:t>
      </w:r>
      <w:r>
        <w:rPr>
          <w:rFonts w:hint="eastAsia" w:ascii="宋体" w:hAnsi="宋体"/>
          <w:b/>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firstLine="490"/>
        <w:rPr>
          <w:rFonts w:ascii="宋体"/>
          <w:color w:val="auto"/>
          <w:highlight w:val="none"/>
        </w:rPr>
      </w:pPr>
    </w:p>
    <w:p>
      <w:pPr>
        <w:spacing w:line="360" w:lineRule="auto"/>
        <w:ind w:firstLine="440" w:firstLineChars="200"/>
        <w:rPr>
          <w:rFonts w:ascii="宋体"/>
          <w:color w:val="auto"/>
          <w:highlight w:val="none"/>
          <w:u w:val="single"/>
        </w:rPr>
      </w:pPr>
      <w:r>
        <w:rPr>
          <w:rFonts w:hint="eastAsia" w:ascii="宋体" w:hAnsi="宋体"/>
          <w:color w:val="auto"/>
          <w:szCs w:val="21"/>
          <w:highlight w:val="none"/>
        </w:rPr>
        <w:t>发包人为建设</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（以下简称“本工程”），已接受承包人提出的承担本工程的施工、竣工、交付并维修其任何缺陷的投标。</w:t>
      </w:r>
      <w:r>
        <w:rPr>
          <w:rFonts w:hint="eastAsia" w:ascii="宋体" w:hAnsi="宋体"/>
          <w:color w:val="auto"/>
          <w:highlight w:val="none"/>
        </w:rPr>
        <w:t>依照《中华人民共和国招标投标法》、《中华人民共和国民法典》、《中华人民共和国建筑法》、</w:t>
      </w:r>
      <w:r>
        <w:rPr>
          <w:rFonts w:hint="eastAsia" w:ascii="宋体" w:hAnsi="宋体"/>
          <w:color w:val="auto"/>
          <w:highlight w:val="none"/>
          <w:lang w:eastAsia="zh-CN"/>
        </w:rPr>
        <w:t>《中华人民共和国政府采购法》</w:t>
      </w:r>
      <w:r>
        <w:rPr>
          <w:rFonts w:hint="eastAsia" w:ascii="宋体" w:hAnsi="宋体"/>
          <w:color w:val="auto"/>
          <w:highlight w:val="none"/>
        </w:rPr>
        <w:t>及其他有关法律、行政法规，遵循平等、自愿、公平和诚实信用的原则，双方共同达成并订立如下协议。</w:t>
      </w:r>
    </w:p>
    <w:p>
      <w:pPr>
        <w:spacing w:line="360" w:lineRule="auto"/>
        <w:ind w:firstLine="440" w:firstLineChars="200"/>
        <w:rPr>
          <w:rFonts w:ascii="宋体"/>
          <w:color w:val="auto"/>
          <w:highlight w:val="none"/>
        </w:rPr>
      </w:pPr>
      <w:r>
        <w:rPr>
          <w:rFonts w:hint="eastAsia" w:ascii="宋体" w:hAnsi="宋体"/>
          <w:color w:val="auto"/>
          <w:highlight w:val="none"/>
        </w:rPr>
        <w:t xml:space="preserve">一、工程概况  </w:t>
      </w:r>
    </w:p>
    <w:p>
      <w:pPr>
        <w:spacing w:line="360" w:lineRule="auto"/>
        <w:ind w:left="1540" w:leftChars="200" w:hanging="1100" w:hangingChars="500"/>
        <w:rPr>
          <w:rFonts w:ascii="宋体" w:hAnsi="宋体"/>
          <w:color w:val="auto"/>
          <w:szCs w:val="21"/>
          <w:highlight w:val="none"/>
          <w:u w:val="single"/>
        </w:rPr>
      </w:pPr>
      <w:r>
        <w:rPr>
          <w:rFonts w:hint="eastAsia" w:ascii="宋体" w:hAnsi="宋体"/>
          <w:color w:val="auto"/>
          <w:highlight w:val="none"/>
        </w:rPr>
        <w:t>工程名称：</w:t>
      </w:r>
      <w:r>
        <w:rPr>
          <w:rFonts w:hint="eastAsia" w:ascii="宋体" w:hAnsi="宋体"/>
          <w:color w:val="auto"/>
          <w:szCs w:val="21"/>
          <w:highlight w:val="none"/>
          <w:u w:val="single"/>
        </w:rPr>
        <w:t xml:space="preserve">                    </w:t>
      </w:r>
    </w:p>
    <w:p>
      <w:pPr>
        <w:spacing w:line="360" w:lineRule="auto"/>
        <w:ind w:firstLine="440" w:firstLineChars="200"/>
        <w:rPr>
          <w:rFonts w:ascii="宋体"/>
          <w:color w:val="auto"/>
          <w:highlight w:val="none"/>
          <w:u w:val="single"/>
        </w:rPr>
      </w:pPr>
      <w:r>
        <w:rPr>
          <w:rFonts w:hint="eastAsia" w:ascii="宋体" w:hAnsi="宋体"/>
          <w:color w:val="auto"/>
          <w:highlight w:val="none"/>
        </w:rPr>
        <w:t>工程地点：</w:t>
      </w:r>
      <w:r>
        <w:rPr>
          <w:rFonts w:hint="eastAsia" w:ascii="宋体" w:hAnsi="宋体"/>
          <w:color w:val="auto"/>
          <w:szCs w:val="21"/>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ind w:firstLine="444" w:firstLineChars="202"/>
        <w:rPr>
          <w:rFonts w:hint="eastAsia" w:ascii="宋体" w:hAnsi="宋体"/>
          <w:color w:val="auto"/>
          <w:szCs w:val="21"/>
          <w:highlight w:val="none"/>
          <w:u w:val="single"/>
        </w:rPr>
      </w:pPr>
      <w:r>
        <w:rPr>
          <w:rFonts w:hint="eastAsia" w:ascii="宋体" w:hAnsi="宋体"/>
          <w:color w:val="auto"/>
          <w:highlight w:val="none"/>
        </w:rPr>
        <w:t>工程内容：</w:t>
      </w:r>
      <w:r>
        <w:rPr>
          <w:rFonts w:hint="eastAsia" w:ascii="宋体" w:hAnsi="宋体"/>
          <w:color w:val="auto"/>
          <w:szCs w:val="21"/>
          <w:highlight w:val="none"/>
          <w:u w:val="single"/>
        </w:rPr>
        <w:t xml:space="preserve">                                    </w:t>
      </w:r>
    </w:p>
    <w:p>
      <w:pPr>
        <w:spacing w:line="360" w:lineRule="auto"/>
        <w:ind w:firstLine="440" w:firstLineChars="200"/>
        <w:rPr>
          <w:rFonts w:ascii="宋体" w:hAnsi="宋体"/>
          <w:color w:val="auto"/>
          <w:highlight w:val="none"/>
          <w:u w:val="single"/>
        </w:rPr>
      </w:pPr>
      <w:r>
        <w:rPr>
          <w:rFonts w:hint="eastAsia" w:ascii="宋体" w:hAnsi="宋体"/>
          <w:color w:val="auto"/>
          <w:highlight w:val="none"/>
        </w:rPr>
        <w:t>工程立项批准文号：</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spacing w:line="360" w:lineRule="auto"/>
        <w:ind w:firstLine="440" w:firstLineChars="200"/>
        <w:rPr>
          <w:rFonts w:ascii="宋体" w:hAnsi="宋体"/>
          <w:color w:val="auto"/>
          <w:highlight w:val="none"/>
          <w:u w:val="single"/>
        </w:rPr>
      </w:pPr>
      <w:r>
        <w:rPr>
          <w:rFonts w:hint="eastAsia" w:ascii="宋体" w:hAnsi="宋体"/>
          <w:color w:val="auto"/>
          <w:highlight w:val="none"/>
        </w:rPr>
        <w:t>资金来源：</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spacing w:line="360" w:lineRule="auto"/>
        <w:ind w:firstLine="440" w:firstLineChars="200"/>
        <w:rPr>
          <w:rFonts w:ascii="宋体"/>
          <w:color w:val="auto"/>
          <w:highlight w:val="none"/>
        </w:rPr>
      </w:pPr>
      <w:r>
        <w:rPr>
          <w:rFonts w:hint="eastAsia" w:ascii="宋体" w:hAnsi="宋体"/>
          <w:color w:val="auto"/>
          <w:highlight w:val="none"/>
        </w:rPr>
        <w:t>二、工程承包范围</w:t>
      </w:r>
    </w:p>
    <w:p>
      <w:pPr>
        <w:snapToGrid w:val="0"/>
        <w:spacing w:line="360" w:lineRule="auto"/>
        <w:ind w:firstLine="444" w:firstLineChars="202"/>
        <w:rPr>
          <w:rFonts w:hint="eastAsia" w:ascii="宋体" w:hAnsi="宋体"/>
          <w:color w:val="auto"/>
          <w:szCs w:val="21"/>
          <w:highlight w:val="none"/>
          <w:u w:val="single"/>
        </w:rPr>
      </w:pPr>
      <w:r>
        <w:rPr>
          <w:rFonts w:hint="eastAsia" w:ascii="宋体" w:hAnsi="宋体"/>
          <w:color w:val="auto"/>
          <w:highlight w:val="none"/>
        </w:rPr>
        <w:t>承包范围：</w:t>
      </w:r>
      <w:r>
        <w:rPr>
          <w:rFonts w:hint="eastAsia" w:ascii="宋体" w:hAnsi="宋体"/>
          <w:color w:val="auto"/>
          <w:szCs w:val="21"/>
          <w:highlight w:val="none"/>
          <w:u w:val="single"/>
        </w:rPr>
        <w:t xml:space="preserve">                                      </w:t>
      </w:r>
    </w:p>
    <w:p>
      <w:pPr>
        <w:snapToGrid w:val="0"/>
        <w:spacing w:line="360" w:lineRule="auto"/>
        <w:ind w:firstLine="444" w:firstLineChars="202"/>
        <w:rPr>
          <w:rFonts w:ascii="宋体"/>
          <w:b/>
          <w:color w:val="auto"/>
          <w:highlight w:val="none"/>
          <w:u w:val="single"/>
        </w:rPr>
      </w:pPr>
      <w:r>
        <w:rPr>
          <w:rFonts w:hint="eastAsia" w:ascii="宋体" w:hAnsi="宋体"/>
          <w:color w:val="auto"/>
          <w:highlight w:val="none"/>
        </w:rPr>
        <w:t>详细承包范围见第五章“技术标准和要求”。</w:t>
      </w:r>
    </w:p>
    <w:p>
      <w:pPr>
        <w:spacing w:line="360" w:lineRule="auto"/>
        <w:ind w:firstLine="440" w:firstLineChars="200"/>
        <w:rPr>
          <w:rFonts w:hint="eastAsia" w:ascii="宋体" w:hAnsi="宋体"/>
          <w:color w:val="auto"/>
          <w:highlight w:val="none"/>
        </w:rPr>
      </w:pPr>
      <w:r>
        <w:rPr>
          <w:rFonts w:hint="eastAsia" w:ascii="宋体" w:hAnsi="宋体"/>
          <w:color w:val="auto"/>
          <w:highlight w:val="none"/>
        </w:rPr>
        <w:t>三、合同工期</w:t>
      </w:r>
    </w:p>
    <w:p>
      <w:pPr>
        <w:spacing w:line="360" w:lineRule="auto"/>
        <w:ind w:firstLine="440" w:firstLineChars="200"/>
        <w:rPr>
          <w:rFonts w:ascii="宋体" w:cs="Arial"/>
          <w:color w:val="auto"/>
          <w:szCs w:val="21"/>
          <w:highlight w:val="none"/>
        </w:rPr>
      </w:pPr>
      <w:r>
        <w:rPr>
          <w:rFonts w:hint="eastAsia" w:ascii="宋体" w:hAnsi="宋体" w:cs="Arial"/>
          <w:color w:val="auto"/>
          <w:szCs w:val="21"/>
          <w:highlight w:val="none"/>
        </w:rPr>
        <w:t>计划开工日期：</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ascii="宋体" w:hAnsi="宋体" w:cs="Arial"/>
          <w:color w:val="auto"/>
          <w:szCs w:val="21"/>
          <w:highlight w:val="none"/>
          <w:u w:val="single"/>
        </w:rPr>
        <w:t xml:space="preserve"> </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日</w:t>
      </w:r>
    </w:p>
    <w:p>
      <w:pPr>
        <w:spacing w:line="360" w:lineRule="auto"/>
        <w:ind w:firstLine="440" w:firstLineChars="200"/>
        <w:rPr>
          <w:rFonts w:hint="eastAsia" w:ascii="宋体" w:hAnsi="宋体"/>
          <w:color w:val="auto"/>
          <w:highlight w:val="none"/>
        </w:rPr>
      </w:pPr>
      <w:r>
        <w:rPr>
          <w:rFonts w:hint="eastAsia" w:ascii="宋体" w:hAnsi="宋体" w:cs="Arial"/>
          <w:color w:val="auto"/>
          <w:szCs w:val="21"/>
          <w:highlight w:val="none"/>
        </w:rPr>
        <w:t>计划竣工日期：</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ascii="宋体" w:hAnsi="宋体" w:cs="Arial"/>
          <w:color w:val="auto"/>
          <w:szCs w:val="21"/>
          <w:highlight w:val="none"/>
          <w:u w:val="single"/>
        </w:rPr>
        <w:t xml:space="preserve"> </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ascii="宋体" w:hAnsi="宋体" w:cs="Arial"/>
          <w:color w:val="auto"/>
          <w:szCs w:val="21"/>
          <w:highlight w:val="none"/>
          <w:u w:val="single"/>
        </w:rPr>
        <w:t xml:space="preserve"> </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 xml:space="preserve"> </w:t>
      </w:r>
      <w:r>
        <w:rPr>
          <w:rFonts w:hint="eastAsia" w:ascii="宋体" w:hAnsi="宋体" w:cs="Arial"/>
          <w:color w:val="auto"/>
          <w:szCs w:val="21"/>
          <w:highlight w:val="none"/>
        </w:rPr>
        <w:t>日</w:t>
      </w:r>
    </w:p>
    <w:p>
      <w:pPr>
        <w:spacing w:line="360" w:lineRule="auto"/>
        <w:ind w:firstLine="440" w:firstLineChars="200"/>
        <w:rPr>
          <w:rFonts w:ascii="宋体"/>
          <w:color w:val="auto"/>
          <w:highlight w:val="none"/>
        </w:rPr>
      </w:pPr>
      <w:r>
        <w:rPr>
          <w:rFonts w:hint="eastAsia" w:ascii="宋体" w:hAnsi="宋体"/>
          <w:color w:val="auto"/>
          <w:highlight w:val="none"/>
        </w:rPr>
        <w:t>施工合同签订后</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日历天，自监理人发出的开工通知中载明的开工日期起算。</w:t>
      </w:r>
    </w:p>
    <w:p>
      <w:pPr>
        <w:spacing w:line="360" w:lineRule="auto"/>
        <w:ind w:firstLine="440" w:firstLineChars="200"/>
        <w:rPr>
          <w:rFonts w:ascii="宋体"/>
          <w:color w:val="auto"/>
          <w:highlight w:val="none"/>
        </w:rPr>
      </w:pPr>
      <w:r>
        <w:rPr>
          <w:rFonts w:hint="eastAsia" w:ascii="宋体" w:hAnsi="宋体"/>
          <w:color w:val="auto"/>
          <w:highlight w:val="none"/>
        </w:rPr>
        <w:t>四、质量标准</w:t>
      </w:r>
    </w:p>
    <w:p>
      <w:pPr>
        <w:spacing w:line="360" w:lineRule="auto"/>
        <w:ind w:firstLine="440" w:firstLineChars="200"/>
        <w:rPr>
          <w:rFonts w:ascii="宋体" w:hAnsi="宋体"/>
          <w:color w:val="auto"/>
          <w:highlight w:val="none"/>
          <w:u w:val="single"/>
        </w:rPr>
      </w:pPr>
      <w:r>
        <w:rPr>
          <w:rFonts w:hint="eastAsia" w:ascii="宋体" w:hAnsi="宋体"/>
          <w:color w:val="auto"/>
          <w:highlight w:val="none"/>
        </w:rPr>
        <w:t>工程质量标准：</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w:t>
      </w:r>
    </w:p>
    <w:p>
      <w:pPr>
        <w:spacing w:line="360" w:lineRule="auto"/>
        <w:ind w:firstLine="440" w:firstLineChars="200"/>
        <w:rPr>
          <w:rFonts w:ascii="宋体"/>
          <w:color w:val="auto"/>
          <w:highlight w:val="none"/>
        </w:rPr>
      </w:pPr>
      <w:r>
        <w:rPr>
          <w:rFonts w:hint="eastAsia" w:ascii="宋体" w:hAnsi="宋体"/>
          <w:color w:val="auto"/>
          <w:highlight w:val="none"/>
        </w:rPr>
        <w:t>五、合同形式</w:t>
      </w:r>
    </w:p>
    <w:p>
      <w:pPr>
        <w:spacing w:line="360" w:lineRule="auto"/>
        <w:ind w:firstLine="440" w:firstLineChars="200"/>
        <w:rPr>
          <w:rFonts w:ascii="宋体"/>
          <w:b/>
          <w:color w:val="auto"/>
          <w:highlight w:val="none"/>
          <w:u w:val="single"/>
        </w:rPr>
      </w:pPr>
      <w:r>
        <w:rPr>
          <w:rFonts w:hint="eastAsia" w:ascii="宋体" w:hAnsi="宋体"/>
          <w:color w:val="auto"/>
          <w:highlight w:val="none"/>
        </w:rPr>
        <w:t>本合同采用</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合同形式。</w:t>
      </w:r>
    </w:p>
    <w:p>
      <w:pPr>
        <w:spacing w:line="360" w:lineRule="auto"/>
        <w:ind w:firstLine="440" w:firstLineChars="200"/>
        <w:rPr>
          <w:rFonts w:ascii="宋体"/>
          <w:bCs/>
          <w:color w:val="auto"/>
          <w:highlight w:val="none"/>
        </w:rPr>
      </w:pPr>
      <w:r>
        <w:rPr>
          <w:rFonts w:hint="eastAsia" w:ascii="宋体" w:hAnsi="宋体"/>
          <w:bCs/>
          <w:color w:val="auto"/>
          <w:highlight w:val="none"/>
        </w:rPr>
        <w:t>六、签约合同价</w:t>
      </w:r>
    </w:p>
    <w:p>
      <w:pPr>
        <w:spacing w:line="360" w:lineRule="auto"/>
        <w:ind w:firstLine="440" w:firstLineChars="200"/>
        <w:rPr>
          <w:rFonts w:ascii="宋体"/>
          <w:color w:val="auto"/>
          <w:highlight w:val="none"/>
        </w:rPr>
      </w:pPr>
      <w:r>
        <w:rPr>
          <w:rFonts w:hint="eastAsia" w:ascii="宋体" w:hAnsi="宋体"/>
          <w:color w:val="auto"/>
          <w:highlight w:val="none"/>
        </w:rPr>
        <w:t>金额（大写）：</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（人民币）</w:t>
      </w:r>
    </w:p>
    <w:p>
      <w:pPr>
        <w:ind w:firstLine="550" w:firstLineChars="250"/>
        <w:rPr>
          <w:rFonts w:hint="eastAsia" w:ascii="宋体" w:hAnsi="宋体" w:cs="宋体"/>
          <w:color w:val="auto"/>
          <w:kern w:val="0"/>
          <w:sz w:val="24"/>
          <w:szCs w:val="24"/>
          <w:highlight w:val="none"/>
        </w:rPr>
      </w:pPr>
      <w:r>
        <w:rPr>
          <w:rFonts w:hint="eastAsia" w:ascii="宋体" w:hAnsi="宋体"/>
          <w:color w:val="auto"/>
          <w:highlight w:val="none"/>
        </w:rPr>
        <w:t>（小写）￥：</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元。</w:t>
      </w:r>
    </w:p>
    <w:p>
      <w:pPr>
        <w:spacing w:line="360" w:lineRule="auto"/>
        <w:ind w:firstLine="660" w:firstLineChars="300"/>
        <w:rPr>
          <w:rFonts w:hint="eastAsia" w:ascii="宋体" w:hAnsi="宋体"/>
          <w:color w:val="auto"/>
          <w:highlight w:val="none"/>
        </w:rPr>
      </w:pPr>
    </w:p>
    <w:p>
      <w:pPr>
        <w:spacing w:line="360" w:lineRule="auto"/>
        <w:ind w:firstLine="660" w:firstLineChars="300"/>
      </w:pPr>
      <w:r>
        <w:rPr>
          <w:rFonts w:hint="eastAsia" w:ascii="宋体" w:hAnsi="宋体"/>
          <w:color w:val="auto"/>
          <w:highlight w:val="none"/>
        </w:rPr>
        <w:t>其中：安全文明施工费：</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元</w:t>
      </w:r>
    </w:p>
    <w:p>
      <w:pPr>
        <w:spacing w:line="360" w:lineRule="auto"/>
        <w:ind w:firstLine="1320" w:firstLineChars="600"/>
        <w:rPr>
          <w:rFonts w:ascii="宋体"/>
          <w:color w:val="auto"/>
          <w:highlight w:val="none"/>
        </w:rPr>
      </w:pPr>
      <w:r>
        <w:rPr>
          <w:rFonts w:hint="eastAsia" w:ascii="宋体" w:hAnsi="宋体"/>
          <w:color w:val="auto"/>
          <w:highlight w:val="none"/>
        </w:rPr>
        <w:t>暂列金额（除税）：</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元</w:t>
      </w:r>
    </w:p>
    <w:p>
      <w:pPr>
        <w:spacing w:line="360" w:lineRule="auto"/>
        <w:ind w:firstLine="1320" w:firstLineChars="600"/>
        <w:jc w:val="left"/>
        <w:rPr>
          <w:rFonts w:hint="eastAsia" w:ascii="宋体" w:hAnsi="宋体"/>
          <w:color w:val="auto"/>
          <w:highlight w:val="none"/>
        </w:rPr>
      </w:pPr>
      <w:r>
        <w:rPr>
          <w:rFonts w:hint="eastAsia" w:ascii="宋体" w:hAnsi="宋体"/>
          <w:bCs/>
          <w:color w:val="auto"/>
          <w:highlight w:val="none"/>
        </w:rPr>
        <w:t>专业工程暂估价</w:t>
      </w:r>
      <w:r>
        <w:rPr>
          <w:rFonts w:hint="eastAsia" w:ascii="宋体" w:hAnsi="宋体"/>
          <w:color w:val="auto"/>
          <w:highlight w:val="none"/>
        </w:rPr>
        <w:t>（除税）</w:t>
      </w:r>
      <w:r>
        <w:rPr>
          <w:rFonts w:hint="eastAsia" w:ascii="宋体" w:hAnsi="宋体"/>
          <w:bCs/>
          <w:color w:val="auto"/>
          <w:highlight w:val="none"/>
        </w:rPr>
        <w:t>：</w:t>
      </w:r>
      <w:r>
        <w:rPr>
          <w:rFonts w:ascii="宋体" w:hAnsi="宋体"/>
          <w:color w:val="auto"/>
          <w:highlight w:val="none"/>
          <w:u w:val="single"/>
        </w:rPr>
        <w:t xml:space="preserve">      </w:t>
      </w:r>
      <w:r>
        <w:rPr>
          <w:rFonts w:ascii="宋体" w:hAnsi="宋体"/>
          <w:color w:val="auto"/>
          <w:sz w:val="24"/>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元</w:t>
      </w:r>
    </w:p>
    <w:p>
      <w:pPr>
        <w:pStyle w:val="2"/>
        <w:rPr>
          <w:color w:val="auto"/>
          <w:sz w:val="21"/>
          <w:szCs w:val="21"/>
          <w:highlight w:val="none"/>
        </w:rPr>
      </w:pPr>
      <w:r>
        <w:rPr>
          <w:rFonts w:hint="eastAsia"/>
          <w:color w:val="auto"/>
          <w:highlight w:val="none"/>
        </w:rPr>
        <w:t xml:space="preserve">         </w:t>
      </w:r>
      <w:r>
        <w:rPr>
          <w:rFonts w:hint="eastAsia"/>
          <w:color w:val="auto"/>
          <w:sz w:val="21"/>
          <w:szCs w:val="21"/>
          <w:highlight w:val="none"/>
        </w:rPr>
        <w:t xml:space="preserve">  注：最终价格以工程竣工后财政评审结算审计金额为准</w:t>
      </w:r>
    </w:p>
    <w:p>
      <w:pPr>
        <w:spacing w:line="360" w:lineRule="auto"/>
        <w:ind w:firstLine="440" w:firstLineChars="200"/>
        <w:rPr>
          <w:rFonts w:ascii="宋体"/>
          <w:bCs/>
          <w:color w:val="auto"/>
          <w:highlight w:val="none"/>
        </w:rPr>
      </w:pPr>
      <w:r>
        <w:rPr>
          <w:rFonts w:hint="eastAsia" w:ascii="宋体" w:hAnsi="宋体"/>
          <w:bCs/>
          <w:color w:val="auto"/>
          <w:highlight w:val="none"/>
        </w:rPr>
        <w:t>七、承包人项目经理：</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职称：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建造师执业资格证书号：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40" w:firstLineChars="200"/>
        <w:rPr>
          <w:rFonts w:hint="eastAsia" w:asci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 xml:space="preserve"> </w:t>
      </w:r>
    </w:p>
    <w:p>
      <w:pPr>
        <w:spacing w:line="360" w:lineRule="auto"/>
        <w:ind w:firstLine="440" w:firstLineChars="200"/>
        <w:rPr>
          <w:rFonts w:ascii="宋体"/>
          <w:color w:val="auto"/>
          <w:highlight w:val="none"/>
        </w:rPr>
      </w:pPr>
      <w:r>
        <w:rPr>
          <w:rFonts w:hint="eastAsia" w:ascii="宋体" w:hAnsi="宋体"/>
          <w:color w:val="auto"/>
          <w:highlight w:val="none"/>
        </w:rPr>
        <w:t>八、合同文件的组成</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下列文件共同构成合同文件：</w:t>
      </w:r>
    </w:p>
    <w:p>
      <w:pPr>
        <w:spacing w:line="360" w:lineRule="auto"/>
        <w:ind w:firstLine="440" w:firstLineChars="200"/>
        <w:rPr>
          <w:rFonts w:ascii="宋体"/>
          <w:color w:val="auto"/>
          <w:highlight w:val="none"/>
        </w:rPr>
      </w:pPr>
      <w:r>
        <w:rPr>
          <w:rFonts w:ascii="宋体" w:hAnsi="宋体"/>
          <w:color w:val="auto"/>
          <w:highlight w:val="none"/>
        </w:rPr>
        <w:t>1</w:t>
      </w:r>
      <w:r>
        <w:rPr>
          <w:rFonts w:hint="eastAsia" w:ascii="宋体" w:hAnsi="宋体"/>
          <w:color w:val="auto"/>
          <w:highlight w:val="none"/>
        </w:rPr>
        <w:t>、本协议书；</w:t>
      </w:r>
    </w:p>
    <w:p>
      <w:pPr>
        <w:spacing w:line="360" w:lineRule="auto"/>
        <w:ind w:firstLine="440" w:firstLineChars="200"/>
        <w:rPr>
          <w:rFonts w:ascii="宋体"/>
          <w:color w:val="auto"/>
          <w:highlight w:val="none"/>
        </w:rPr>
      </w:pPr>
      <w:r>
        <w:rPr>
          <w:rFonts w:ascii="宋体" w:hAnsi="宋体"/>
          <w:color w:val="auto"/>
          <w:highlight w:val="none"/>
        </w:rPr>
        <w:t>2</w:t>
      </w:r>
      <w:r>
        <w:rPr>
          <w:rFonts w:hint="eastAsia" w:ascii="宋体" w:hAnsi="宋体"/>
          <w:color w:val="auto"/>
          <w:highlight w:val="none"/>
        </w:rPr>
        <w:t>、中标通知书；</w:t>
      </w:r>
    </w:p>
    <w:p>
      <w:pPr>
        <w:spacing w:line="360" w:lineRule="auto"/>
        <w:ind w:firstLine="440" w:firstLineChars="200"/>
        <w:rPr>
          <w:rFonts w:ascii="宋体"/>
          <w:color w:val="auto"/>
          <w:highlight w:val="none"/>
        </w:rPr>
      </w:pPr>
      <w:r>
        <w:rPr>
          <w:rFonts w:ascii="宋体" w:hAnsi="宋体"/>
          <w:color w:val="auto"/>
          <w:highlight w:val="none"/>
        </w:rPr>
        <w:t>3</w:t>
      </w:r>
      <w:r>
        <w:rPr>
          <w:rFonts w:hint="eastAsia" w:ascii="宋体" w:hAnsi="宋体"/>
          <w:color w:val="auto"/>
          <w:highlight w:val="none"/>
        </w:rPr>
        <w:t>、</w:t>
      </w:r>
      <w:r>
        <w:rPr>
          <w:rFonts w:hint="eastAsia" w:ascii="宋体" w:hAnsi="宋体"/>
          <w:color w:val="auto"/>
          <w:szCs w:val="21"/>
          <w:highlight w:val="none"/>
        </w:rPr>
        <w:t>报价函及报价函附录</w:t>
      </w:r>
      <w:r>
        <w:rPr>
          <w:rFonts w:hint="eastAsia" w:ascii="宋体" w:hAnsi="宋体"/>
          <w:color w:val="auto"/>
          <w:highlight w:val="none"/>
        </w:rPr>
        <w:t>；</w:t>
      </w:r>
    </w:p>
    <w:p>
      <w:pPr>
        <w:spacing w:line="360" w:lineRule="auto"/>
        <w:ind w:firstLine="440" w:firstLineChars="200"/>
        <w:rPr>
          <w:rFonts w:ascii="宋体"/>
          <w:color w:val="auto"/>
          <w:highlight w:val="none"/>
        </w:rPr>
      </w:pPr>
      <w:r>
        <w:rPr>
          <w:rFonts w:ascii="宋体" w:hAnsi="宋体"/>
          <w:color w:val="auto"/>
          <w:highlight w:val="none"/>
        </w:rPr>
        <w:t>4</w:t>
      </w:r>
      <w:r>
        <w:rPr>
          <w:rFonts w:hint="eastAsia" w:ascii="宋体" w:hAnsi="宋体"/>
          <w:color w:val="auto"/>
          <w:highlight w:val="none"/>
        </w:rPr>
        <w:t>、合同条款专用部分；</w:t>
      </w:r>
    </w:p>
    <w:p>
      <w:pPr>
        <w:spacing w:line="360" w:lineRule="auto"/>
        <w:ind w:firstLine="440" w:firstLineChars="200"/>
        <w:rPr>
          <w:rFonts w:ascii="宋体"/>
          <w:color w:val="auto"/>
          <w:highlight w:val="none"/>
        </w:rPr>
      </w:pPr>
      <w:r>
        <w:rPr>
          <w:rFonts w:ascii="宋体" w:hAnsi="宋体"/>
          <w:color w:val="auto"/>
          <w:highlight w:val="none"/>
        </w:rPr>
        <w:t>5</w:t>
      </w:r>
      <w:r>
        <w:rPr>
          <w:rFonts w:hint="eastAsia" w:ascii="宋体" w:hAnsi="宋体"/>
          <w:color w:val="auto"/>
          <w:highlight w:val="none"/>
        </w:rPr>
        <w:t>、合同条款</w:t>
      </w:r>
      <w:r>
        <w:rPr>
          <w:rFonts w:hint="eastAsia" w:ascii="宋体" w:hAnsi="宋体"/>
          <w:color w:val="auto"/>
          <w:highlight w:val="none"/>
          <w:lang w:val="en-US" w:eastAsia="zh-CN"/>
        </w:rPr>
        <w:t>通用</w:t>
      </w:r>
      <w:r>
        <w:rPr>
          <w:rFonts w:hint="eastAsia" w:ascii="宋体" w:hAnsi="宋体"/>
          <w:color w:val="auto"/>
          <w:highlight w:val="none"/>
        </w:rPr>
        <w:t>部分；</w:t>
      </w:r>
    </w:p>
    <w:p>
      <w:pPr>
        <w:spacing w:line="360" w:lineRule="auto"/>
        <w:ind w:firstLine="440" w:firstLineChars="200"/>
        <w:rPr>
          <w:rFonts w:ascii="宋体"/>
          <w:color w:val="auto"/>
          <w:highlight w:val="none"/>
        </w:rPr>
      </w:pPr>
      <w:r>
        <w:rPr>
          <w:rFonts w:ascii="宋体" w:hAnsi="宋体"/>
          <w:color w:val="auto"/>
          <w:highlight w:val="none"/>
        </w:rPr>
        <w:t>6</w:t>
      </w:r>
      <w:r>
        <w:rPr>
          <w:rFonts w:hint="eastAsia" w:ascii="宋体" w:hAnsi="宋体"/>
          <w:color w:val="auto"/>
          <w:highlight w:val="none"/>
        </w:rPr>
        <w:t>、</w:t>
      </w:r>
      <w:r>
        <w:rPr>
          <w:rFonts w:hint="eastAsia" w:ascii="宋体" w:hAnsi="宋体"/>
          <w:color w:val="auto"/>
          <w:szCs w:val="21"/>
          <w:highlight w:val="none"/>
        </w:rPr>
        <w:t>技术标准和要求；</w:t>
      </w:r>
    </w:p>
    <w:p>
      <w:pPr>
        <w:spacing w:line="360" w:lineRule="auto"/>
        <w:ind w:firstLine="440" w:firstLineChars="200"/>
        <w:rPr>
          <w:rFonts w:ascii="宋体"/>
          <w:color w:val="auto"/>
          <w:highlight w:val="none"/>
        </w:rPr>
      </w:pPr>
      <w:r>
        <w:rPr>
          <w:rFonts w:ascii="宋体" w:hAnsi="宋体"/>
          <w:color w:val="auto"/>
          <w:highlight w:val="none"/>
        </w:rPr>
        <w:t>7</w:t>
      </w:r>
      <w:r>
        <w:rPr>
          <w:rFonts w:hint="eastAsia" w:ascii="宋体" w:hAnsi="宋体"/>
          <w:color w:val="auto"/>
          <w:highlight w:val="none"/>
        </w:rPr>
        <w:t>、图纸；</w:t>
      </w:r>
    </w:p>
    <w:p>
      <w:pPr>
        <w:spacing w:line="360" w:lineRule="auto"/>
        <w:ind w:firstLine="440" w:firstLineChars="200"/>
        <w:rPr>
          <w:rFonts w:ascii="宋体"/>
          <w:color w:val="auto"/>
          <w:highlight w:val="none"/>
        </w:rPr>
      </w:pPr>
      <w:r>
        <w:rPr>
          <w:rFonts w:ascii="宋体" w:hAnsi="宋体"/>
          <w:color w:val="auto"/>
          <w:highlight w:val="none"/>
        </w:rPr>
        <w:t>8</w:t>
      </w:r>
      <w:r>
        <w:rPr>
          <w:rFonts w:hint="eastAsia" w:ascii="宋体" w:hAnsi="宋体"/>
          <w:color w:val="auto"/>
          <w:highlight w:val="none"/>
        </w:rPr>
        <w:t>、已标价工程量清单；</w:t>
      </w:r>
    </w:p>
    <w:p>
      <w:pPr>
        <w:spacing w:line="360" w:lineRule="auto"/>
        <w:ind w:firstLine="440" w:firstLineChars="200"/>
        <w:rPr>
          <w:rFonts w:ascii="宋体" w:hAnsi="宋体"/>
          <w:color w:val="auto"/>
          <w:highlight w:val="none"/>
        </w:rPr>
      </w:pPr>
      <w:r>
        <w:rPr>
          <w:rFonts w:ascii="宋体" w:hAnsi="宋体"/>
          <w:color w:val="auto"/>
          <w:highlight w:val="none"/>
        </w:rPr>
        <w:t>9</w:t>
      </w:r>
      <w:r>
        <w:rPr>
          <w:rFonts w:hint="eastAsia" w:ascii="宋体" w:hAnsi="宋体"/>
          <w:color w:val="auto"/>
          <w:highlight w:val="none"/>
        </w:rPr>
        <w:t>、施工</w:t>
      </w:r>
      <w:r>
        <w:rPr>
          <w:rFonts w:ascii="宋体" w:hAnsi="宋体"/>
          <w:color w:val="auto"/>
          <w:highlight w:val="none"/>
        </w:rPr>
        <w:t>组织设计；</w:t>
      </w:r>
    </w:p>
    <w:p>
      <w:pPr>
        <w:spacing w:line="360" w:lineRule="auto"/>
        <w:ind w:firstLine="440" w:firstLineChars="200"/>
        <w:rPr>
          <w:rFonts w:ascii="宋体"/>
          <w:color w:val="auto"/>
          <w:highlight w:val="none"/>
        </w:rPr>
      </w:pPr>
      <w:r>
        <w:rPr>
          <w:rFonts w:hint="eastAsia" w:ascii="宋体" w:hAnsi="宋体"/>
          <w:color w:val="auto"/>
          <w:highlight w:val="none"/>
        </w:rPr>
        <w:t>10、其他合同文件。</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上述文件互相补充和解释，如有不明确或不一致之处，以合同约定次序在先者为准。</w:t>
      </w:r>
    </w:p>
    <w:p>
      <w:pPr>
        <w:spacing w:line="360" w:lineRule="auto"/>
        <w:ind w:firstLine="440" w:firstLineChars="200"/>
        <w:rPr>
          <w:rFonts w:ascii="宋体"/>
          <w:color w:val="auto"/>
          <w:highlight w:val="none"/>
        </w:rPr>
      </w:pPr>
      <w:r>
        <w:rPr>
          <w:rFonts w:hint="eastAsia" w:ascii="宋体" w:hAnsi="宋体"/>
          <w:color w:val="auto"/>
          <w:highlight w:val="none"/>
        </w:rPr>
        <w:t>九、本协议书中有关词语定义与合同条款中的定义相同。</w:t>
      </w:r>
    </w:p>
    <w:p>
      <w:pPr>
        <w:spacing w:line="360" w:lineRule="auto"/>
        <w:ind w:firstLine="440" w:firstLineChars="200"/>
        <w:rPr>
          <w:rFonts w:ascii="宋体"/>
          <w:color w:val="auto"/>
          <w:highlight w:val="none"/>
        </w:rPr>
      </w:pPr>
      <w:r>
        <w:rPr>
          <w:rFonts w:hint="eastAsia" w:ascii="宋体" w:hAnsi="宋体"/>
          <w:color w:val="auto"/>
          <w:highlight w:val="none"/>
        </w:rPr>
        <w:t>十、承包人承诺按照合同约定进行施工、竣工、交付并承担质量缺陷保修责任。</w:t>
      </w:r>
    </w:p>
    <w:p>
      <w:pPr>
        <w:spacing w:line="360" w:lineRule="auto"/>
        <w:ind w:firstLine="440" w:firstLineChars="200"/>
        <w:rPr>
          <w:rFonts w:ascii="宋体"/>
          <w:color w:val="auto"/>
          <w:highlight w:val="none"/>
        </w:rPr>
      </w:pPr>
      <w:r>
        <w:rPr>
          <w:rFonts w:hint="eastAsia" w:ascii="宋体" w:hAnsi="宋体"/>
          <w:color w:val="auto"/>
          <w:highlight w:val="none"/>
        </w:rPr>
        <w:t>十一、发包人承诺按照合同约定的条件、期限和方式向承包人支付合同价款。</w:t>
      </w:r>
    </w:p>
    <w:p>
      <w:pPr>
        <w:spacing w:line="360" w:lineRule="auto"/>
        <w:ind w:firstLine="440" w:firstLineChars="200"/>
        <w:rPr>
          <w:rFonts w:hint="default" w:ascii="宋体" w:eastAsia="宋体"/>
          <w:color w:val="auto"/>
          <w:highlight w:val="none"/>
          <w:u w:val="single"/>
          <w:lang w:val="en-US" w:eastAsia="zh-CN"/>
        </w:rPr>
      </w:pPr>
      <w:r>
        <w:rPr>
          <w:rFonts w:hint="eastAsia" w:ascii="宋体" w:hAnsi="宋体"/>
          <w:color w:val="auto"/>
          <w:highlight w:val="none"/>
        </w:rPr>
        <w:t>十二、本协议书连同其他合同文件正本一式两份，合同双方各执一份；副本一式</w:t>
      </w:r>
      <w:r>
        <w:rPr>
          <w:rFonts w:hint="eastAsia" w:ascii="宋体" w:hAnsi="宋体"/>
          <w:color w:val="auto"/>
          <w:highlight w:val="none"/>
          <w:u w:val="single"/>
          <w:lang w:val="en-US" w:eastAsia="zh-CN"/>
        </w:rPr>
        <w:t xml:space="preserve">     </w:t>
      </w:r>
    </w:p>
    <w:p>
      <w:pPr>
        <w:spacing w:line="360" w:lineRule="auto"/>
        <w:rPr>
          <w:rFonts w:ascii="宋体"/>
          <w:color w:val="auto"/>
          <w:highlight w:val="none"/>
        </w:rPr>
      </w:pPr>
      <w:r>
        <w:rPr>
          <w:rFonts w:hint="eastAsia" w:ascii="宋体" w:hAnsi="宋体"/>
          <w:color w:val="auto"/>
          <w:highlight w:val="none"/>
        </w:rPr>
        <w:t>份，其中一份在合同报送建设行政主管部门备案时留存。</w:t>
      </w:r>
    </w:p>
    <w:p>
      <w:pPr>
        <w:spacing w:line="360" w:lineRule="auto"/>
        <w:ind w:firstLine="440" w:firstLineChars="200"/>
        <w:rPr>
          <w:rFonts w:hint="eastAsia" w:ascii="宋体"/>
          <w:color w:val="auto"/>
          <w:highlight w:val="none"/>
        </w:rPr>
      </w:pPr>
      <w:r>
        <w:rPr>
          <w:rFonts w:hint="eastAsia" w:ascii="宋体" w:hAnsi="宋体"/>
          <w:color w:val="auto"/>
          <w:highlight w:val="none"/>
        </w:rPr>
        <w:t>十三、合同未尽事宜，双方另行签订补充协议，但不得背离本协议第八条所约定的合同文件的实质性内容。补充协议是合同文件的组成部分。</w:t>
      </w:r>
    </w:p>
    <w:p>
      <w:pPr>
        <w:spacing w:line="360" w:lineRule="auto"/>
        <w:rPr>
          <w:rFonts w:hint="eastAsia" w:ascii="宋体" w:hAnsi="宋体"/>
          <w:bCs/>
          <w:color w:val="auto"/>
          <w:szCs w:val="21"/>
          <w:highlight w:val="none"/>
        </w:rPr>
      </w:pPr>
    </w:p>
    <w:p>
      <w:pPr>
        <w:spacing w:line="360" w:lineRule="auto"/>
        <w:rPr>
          <w:rFonts w:hint="eastAsia" w:ascii="宋体" w:hAnsi="宋体"/>
          <w:bCs/>
          <w:color w:val="auto"/>
          <w:szCs w:val="21"/>
          <w:highlight w:val="none"/>
        </w:rPr>
      </w:pPr>
    </w:p>
    <w:p>
      <w:pPr>
        <w:spacing w:line="360" w:lineRule="auto"/>
        <w:rPr>
          <w:rFonts w:hint="eastAsia" w:ascii="宋体" w:hAnsi="宋体"/>
          <w:bCs/>
          <w:color w:val="auto"/>
          <w:szCs w:val="21"/>
          <w:highlight w:val="none"/>
        </w:rPr>
      </w:pPr>
    </w:p>
    <w:p>
      <w:pPr>
        <w:spacing w:line="360" w:lineRule="auto"/>
        <w:rPr>
          <w:rFonts w:hint="eastAsia" w:ascii="宋体" w:hAnsi="宋体"/>
          <w:bCs/>
          <w:color w:val="auto"/>
          <w:szCs w:val="21"/>
          <w:highlight w:val="none"/>
        </w:rPr>
      </w:pPr>
    </w:p>
    <w:p>
      <w:pPr>
        <w:spacing w:line="360" w:lineRule="auto"/>
        <w:rPr>
          <w:rFonts w:hint="eastAsia" w:ascii="宋体" w:hAnsi="宋体"/>
          <w:bCs/>
          <w:color w:val="auto"/>
          <w:szCs w:val="21"/>
          <w:highlight w:val="none"/>
        </w:rPr>
      </w:pPr>
    </w:p>
    <w:p>
      <w:pPr>
        <w:pStyle w:val="2"/>
        <w:rPr>
          <w:rFonts w:hint="eastAsia" w:ascii="宋体" w:hAnsi="宋体"/>
          <w:bCs/>
          <w:color w:val="auto"/>
          <w:szCs w:val="21"/>
          <w:highlight w:val="none"/>
        </w:rPr>
      </w:pPr>
    </w:p>
    <w:p>
      <w:pPr>
        <w:rPr>
          <w:rFonts w:hint="eastAsia" w:ascii="宋体" w:hAnsi="宋体"/>
          <w:bCs/>
          <w:color w:val="auto"/>
          <w:szCs w:val="21"/>
          <w:highlight w:val="none"/>
        </w:rPr>
      </w:pPr>
    </w:p>
    <w:p>
      <w:pPr>
        <w:pStyle w:val="2"/>
        <w:rPr>
          <w:rFonts w:hint="eastAsia"/>
        </w:rPr>
      </w:pPr>
    </w:p>
    <w:p>
      <w:pPr>
        <w:spacing w:line="360" w:lineRule="auto"/>
        <w:rPr>
          <w:rFonts w:hint="eastAsia" w:ascii="宋体" w:hAnsi="宋体"/>
          <w:bCs/>
          <w:color w:val="auto"/>
          <w:szCs w:val="21"/>
          <w:highlight w:val="none"/>
        </w:rPr>
      </w:pPr>
    </w:p>
    <w:p>
      <w:pPr>
        <w:spacing w:line="360" w:lineRule="auto"/>
        <w:rPr>
          <w:rFonts w:hint="eastAsia" w:ascii="宋体" w:hAnsi="宋体"/>
          <w:bCs/>
          <w:color w:val="auto"/>
          <w:szCs w:val="21"/>
          <w:highlight w:val="none"/>
        </w:rPr>
      </w:pPr>
      <w:r>
        <w:rPr>
          <w:rFonts w:hint="eastAsia" w:ascii="宋体" w:hAnsi="宋体"/>
          <w:bCs/>
          <w:color w:val="auto"/>
          <w:szCs w:val="21"/>
          <w:highlight w:val="none"/>
        </w:rPr>
        <w:t>此页无正文</w:t>
      </w:r>
    </w:p>
    <w:p>
      <w:pPr>
        <w:pStyle w:val="2"/>
        <w:jc w:val="center"/>
        <w:rPr>
          <w:rFonts w:hint="eastAsia"/>
          <w:color w:val="auto"/>
          <w:highlight w:val="none"/>
        </w:rPr>
      </w:pPr>
    </w:p>
    <w:p>
      <w:pPr>
        <w:spacing w:line="360" w:lineRule="auto"/>
        <w:rPr>
          <w:rFonts w:hint="eastAsia" w:ascii="宋体" w:hAnsi="宋体"/>
          <w:bCs/>
          <w:color w:val="auto"/>
          <w:szCs w:val="21"/>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spacing w:line="360" w:lineRule="auto"/>
        <w:rPr>
          <w:rFonts w:ascii="宋体"/>
          <w:color w:val="auto"/>
          <w:szCs w:val="21"/>
          <w:highlight w:val="none"/>
        </w:rPr>
      </w:pPr>
      <w:r>
        <w:rPr>
          <w:rFonts w:hint="eastAsia" w:ascii="宋体" w:hAnsi="宋体"/>
          <w:bCs/>
          <w:color w:val="auto"/>
          <w:szCs w:val="21"/>
          <w:highlight w:val="none"/>
        </w:rPr>
        <w:t>发包人：</w:t>
      </w:r>
      <w:r>
        <w:rPr>
          <w:rFonts w:ascii="宋体" w:hAnsi="宋体"/>
          <w:color w:val="auto"/>
          <w:szCs w:val="21"/>
          <w:highlight w:val="none"/>
          <w:u w:val="single"/>
        </w:rPr>
        <w:t xml:space="preserve">                    </w:t>
      </w:r>
      <w:r>
        <w:rPr>
          <w:rFonts w:hint="eastAsia" w:ascii="宋体" w:hAnsi="宋体"/>
          <w:color w:val="auto"/>
          <w:szCs w:val="21"/>
          <w:highlight w:val="none"/>
        </w:rPr>
        <w:t>（盖单位章）</w:t>
      </w:r>
      <w:r>
        <w:rPr>
          <w:rFonts w:ascii="宋体" w:hAnsi="宋体"/>
          <w:bCs/>
          <w:color w:val="auto"/>
          <w:szCs w:val="21"/>
          <w:highlight w:val="none"/>
        </w:rPr>
        <w:t xml:space="preserve"> </w:t>
      </w:r>
      <w:r>
        <w:rPr>
          <w:rFonts w:hint="eastAsia" w:ascii="宋体" w:hAnsi="宋体"/>
          <w:bCs/>
          <w:color w:val="auto"/>
          <w:szCs w:val="21"/>
          <w:highlight w:val="none"/>
        </w:rPr>
        <w:t>承包人：</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hint="eastAsia" w:ascii="宋体" w:hAnsi="宋体"/>
          <w:bCs/>
          <w:color w:val="auto"/>
          <w:szCs w:val="21"/>
          <w:highlight w:val="none"/>
        </w:rPr>
      </w:pPr>
    </w:p>
    <w:p>
      <w:pPr>
        <w:spacing w:line="360" w:lineRule="auto"/>
        <w:rPr>
          <w:rFonts w:ascii="宋体"/>
          <w:color w:val="auto"/>
          <w:szCs w:val="21"/>
          <w:highlight w:val="none"/>
        </w:rPr>
      </w:pPr>
      <w:r>
        <w:rPr>
          <w:rFonts w:hint="eastAsia" w:ascii="宋体" w:hAnsi="宋体"/>
          <w:bCs/>
          <w:color w:val="auto"/>
          <w:szCs w:val="21"/>
          <w:highlight w:val="none"/>
        </w:rPr>
        <w:t>法定代表人或其</w:t>
      </w:r>
      <w:r>
        <w:rPr>
          <w:rFonts w:ascii="宋体" w:hAnsi="宋体"/>
          <w:color w:val="auto"/>
          <w:szCs w:val="21"/>
          <w:highlight w:val="none"/>
        </w:rPr>
        <w:t xml:space="preserve">                           </w:t>
      </w:r>
      <w:r>
        <w:rPr>
          <w:rFonts w:hint="eastAsia" w:ascii="宋体" w:hAnsi="宋体"/>
          <w:bCs/>
          <w:color w:val="auto"/>
          <w:szCs w:val="21"/>
          <w:highlight w:val="none"/>
        </w:rPr>
        <w:t>法定代表人或其</w:t>
      </w:r>
    </w:p>
    <w:p>
      <w:pPr>
        <w:spacing w:line="360" w:lineRule="auto"/>
        <w:rPr>
          <w:rFonts w:hint="eastAsia" w:ascii="宋体"/>
          <w:color w:val="auto"/>
          <w:szCs w:val="21"/>
          <w:highlight w:val="none"/>
        </w:rPr>
      </w:pPr>
      <w:r>
        <w:rPr>
          <w:rFonts w:hint="eastAsia" w:ascii="宋体" w:hAnsi="宋体"/>
          <w:bCs/>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rPr>
        <w:t>（签字）</w:t>
      </w:r>
      <w:r>
        <w:rPr>
          <w:rFonts w:ascii="宋体" w:hAnsi="宋体"/>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rPr>
          <w:rFonts w:hint="eastAsia" w:ascii="宋体" w:hAnsi="宋体"/>
          <w:color w:val="auto"/>
          <w:szCs w:val="21"/>
          <w:highlight w:val="none"/>
          <w:u w:val="single"/>
        </w:rPr>
      </w:pPr>
    </w:p>
    <w:p>
      <w:pPr>
        <w:spacing w:line="360" w:lineRule="auto"/>
        <w:rPr>
          <w:rFonts w:asci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ascii="宋体" w:hAnsi="宋体"/>
          <w:color w:val="auto"/>
          <w:szCs w:val="21"/>
          <w:highlight w:val="none"/>
          <w:u w:val="single"/>
        </w:rPr>
        <w:sectPr>
          <w:footerReference r:id="rId8" w:type="default"/>
          <w:pgSz w:w="11893" w:h="16826"/>
          <w:pgMar w:top="666" w:right="1767" w:bottom="360" w:left="1726" w:header="720" w:footer="720" w:gutter="0"/>
          <w:lnNumType w:countBy="0" w:distance="360"/>
          <w:cols w:space="720" w:num="1"/>
        </w:sectPr>
      </w:pPr>
      <w:r>
        <w:rPr>
          <w:rFonts w:hint="eastAsia" w:ascii="宋体" w:hAnsi="宋体"/>
          <w:color w:val="auto"/>
          <w:szCs w:val="21"/>
          <w:highlight w:val="none"/>
        </w:rPr>
        <w:t>签约地点：</w:t>
      </w:r>
      <w:bookmarkStart w:id="41" w:name="_Toc147_WPSOffice_Level1"/>
      <w:bookmarkStart w:id="42" w:name="_Toc8247"/>
      <w:bookmarkStart w:id="43" w:name="_Toc69034448"/>
      <w:r>
        <w:rPr>
          <w:rFonts w:hint="eastAsia" w:ascii="宋体" w:hAnsi="宋体" w:cs="宋体"/>
          <w:color w:val="auto"/>
          <w:szCs w:val="21"/>
          <w:highlight w:val="none"/>
          <w:u w:val="single"/>
        </w:rPr>
        <w:t xml:space="preserve">           </w:t>
      </w:r>
      <w:r>
        <w:rPr>
          <w:rFonts w:hint="eastAsia" w:ascii="宋体" w:hAnsi="宋体" w:cs="Arial"/>
          <w:color w:val="auto"/>
          <w:szCs w:val="21"/>
          <w:highlight w:val="none"/>
          <w:u w:val="single"/>
        </w:rPr>
        <w:t xml:space="preserve">   </w:t>
      </w:r>
      <w:r>
        <w:rPr>
          <w:rFonts w:ascii="宋体" w:hAnsi="宋体"/>
          <w:color w:val="auto"/>
          <w:szCs w:val="21"/>
          <w:highlight w:val="none"/>
          <w:u w:val="single"/>
        </w:rPr>
        <w:t xml:space="preserve">     </w:t>
      </w:r>
    </w:p>
    <w:bookmarkEnd w:id="41"/>
    <w:bookmarkEnd w:id="42"/>
    <w:bookmarkEnd w:id="43"/>
    <w:p>
      <w:pPr>
        <w:pStyle w:val="23"/>
        <w:rPr>
          <w:color w:val="auto"/>
          <w:highlight w:val="none"/>
        </w:rPr>
      </w:pPr>
      <w:bookmarkStart w:id="44" w:name="_Toc69034473"/>
      <w:bookmarkStart w:id="45" w:name="_Toc806_WPSOffice_Level1"/>
      <w:bookmarkStart w:id="46" w:name="_Toc31834_WPSOffice_Level1"/>
      <w:bookmarkStart w:id="47" w:name="_Toc79998231"/>
      <w:bookmarkStart w:id="48" w:name="_Toc13132_WPSOffice_Level1"/>
      <w:r>
        <w:rPr>
          <w:rFonts w:hint="eastAsia"/>
          <w:color w:val="auto"/>
          <w:highlight w:val="none"/>
        </w:rPr>
        <w:t>合同条款专用部分</w:t>
      </w:r>
      <w:bookmarkEnd w:id="44"/>
      <w:bookmarkEnd w:id="45"/>
      <w:bookmarkEnd w:id="46"/>
      <w:bookmarkEnd w:id="47"/>
      <w:bookmarkEnd w:id="48"/>
    </w:p>
    <w:p>
      <w:pPr>
        <w:pStyle w:val="59"/>
        <w:spacing w:before="120" w:after="120"/>
        <w:outlineLvl w:val="0"/>
        <w:rPr>
          <w:color w:val="auto"/>
          <w:highlight w:val="none"/>
        </w:rPr>
      </w:pPr>
      <w:bookmarkStart w:id="49" w:name="_Toc30235"/>
      <w:bookmarkStart w:id="50" w:name="_Toc490331665"/>
      <w:bookmarkStart w:id="51" w:name="_Toc69034474"/>
      <w:bookmarkStart w:id="52" w:name="_Toc9328"/>
      <w:bookmarkStart w:id="53" w:name="_Toc510037967"/>
      <w:bookmarkStart w:id="54" w:name="_Toc489280180"/>
      <w:bookmarkStart w:id="55" w:name="_Toc485323148"/>
      <w:bookmarkStart w:id="56" w:name="_Toc497214043"/>
      <w:bookmarkStart w:id="57" w:name="_Toc486580374"/>
      <w:bookmarkStart w:id="58" w:name="_Toc79998232"/>
      <w:r>
        <w:rPr>
          <w:color w:val="auto"/>
          <w:highlight w:val="none"/>
        </w:rPr>
        <w:t>1.</w:t>
      </w:r>
      <w:r>
        <w:rPr>
          <w:rFonts w:hint="eastAsia"/>
          <w:color w:val="auto"/>
          <w:highlight w:val="none"/>
        </w:rPr>
        <w:t>一般约定</w:t>
      </w:r>
      <w:bookmarkEnd w:id="49"/>
      <w:bookmarkEnd w:id="50"/>
      <w:bookmarkEnd w:id="51"/>
      <w:bookmarkEnd w:id="52"/>
      <w:bookmarkEnd w:id="53"/>
      <w:bookmarkEnd w:id="54"/>
      <w:bookmarkEnd w:id="55"/>
      <w:bookmarkEnd w:id="56"/>
      <w:bookmarkEnd w:id="57"/>
      <w:bookmarkEnd w:id="58"/>
    </w:p>
    <w:p>
      <w:pPr>
        <w:pStyle w:val="60"/>
        <w:spacing w:before="120" w:after="120"/>
        <w:outlineLvl w:val="1"/>
        <w:rPr>
          <w:color w:val="auto"/>
          <w:highlight w:val="none"/>
        </w:rPr>
      </w:pPr>
      <w:bookmarkStart w:id="59" w:name="_Toc489280181"/>
      <w:bookmarkStart w:id="60" w:name="_Toc486580375"/>
      <w:bookmarkStart w:id="61" w:name="_Toc490331666"/>
      <w:bookmarkStart w:id="62" w:name="_Toc79998233"/>
      <w:bookmarkStart w:id="63" w:name="_Toc510037968"/>
      <w:bookmarkStart w:id="64" w:name="_Toc69034475"/>
      <w:bookmarkStart w:id="65" w:name="_Toc485323149"/>
      <w:bookmarkStart w:id="66" w:name="_Toc11915"/>
      <w:bookmarkStart w:id="67" w:name="_Toc497214044"/>
      <w:bookmarkStart w:id="68" w:name="_Toc8525"/>
      <w:r>
        <w:rPr>
          <w:color w:val="auto"/>
          <w:highlight w:val="none"/>
        </w:rPr>
        <w:t xml:space="preserve">1.1  </w:t>
      </w:r>
      <w:r>
        <w:rPr>
          <w:rFonts w:hint="eastAsia"/>
          <w:color w:val="auto"/>
          <w:highlight w:val="none"/>
        </w:rPr>
        <w:t>词语定义</w:t>
      </w:r>
      <w:bookmarkEnd w:id="59"/>
      <w:bookmarkEnd w:id="60"/>
      <w:bookmarkEnd w:id="61"/>
      <w:bookmarkEnd w:id="62"/>
      <w:bookmarkEnd w:id="63"/>
      <w:bookmarkEnd w:id="64"/>
      <w:bookmarkEnd w:id="65"/>
      <w:bookmarkEnd w:id="66"/>
      <w:bookmarkEnd w:id="67"/>
      <w:bookmarkEnd w:id="68"/>
    </w:p>
    <w:p>
      <w:pPr>
        <w:spacing w:line="360" w:lineRule="auto"/>
        <w:ind w:firstLine="440" w:firstLineChars="200"/>
        <w:rPr>
          <w:rFonts w:ascii="宋体"/>
          <w:color w:val="auto"/>
          <w:szCs w:val="21"/>
          <w:highlight w:val="none"/>
        </w:rPr>
      </w:pPr>
      <w:r>
        <w:rPr>
          <w:rFonts w:ascii="宋体" w:hAnsi="宋体"/>
          <w:color w:val="auto"/>
          <w:szCs w:val="21"/>
          <w:highlight w:val="none"/>
        </w:rPr>
        <w:t xml:space="preserve">1.1.2  </w:t>
      </w:r>
      <w:r>
        <w:rPr>
          <w:rFonts w:hint="eastAsia" w:ascii="宋体" w:hAnsi="宋体"/>
          <w:color w:val="auto"/>
          <w:szCs w:val="21"/>
          <w:highlight w:val="none"/>
        </w:rPr>
        <w:t>合同当事人和人员</w:t>
      </w:r>
    </w:p>
    <w:p>
      <w:pPr>
        <w:tabs>
          <w:tab w:val="left" w:pos="750"/>
        </w:tabs>
        <w:spacing w:line="360" w:lineRule="auto"/>
        <w:ind w:firstLine="660" w:firstLineChars="300"/>
        <w:rPr>
          <w:rFonts w:ascii="仿宋" w:hAnsi="仿宋" w:eastAsia="仿宋"/>
          <w:bCs/>
          <w:color w:val="auto"/>
          <w:sz w:val="24"/>
          <w:szCs w:val="24"/>
          <w:highlight w:val="none"/>
        </w:rPr>
      </w:pPr>
      <w:r>
        <w:rPr>
          <w:rFonts w:ascii="宋体" w:hAnsi="宋体"/>
          <w:color w:val="auto"/>
          <w:szCs w:val="21"/>
          <w:highlight w:val="none"/>
        </w:rPr>
        <w:t>1.1.2.</w:t>
      </w:r>
      <w:r>
        <w:rPr>
          <w:rFonts w:hint="eastAsia" w:ascii="宋体" w:hAnsi="宋体"/>
          <w:color w:val="auto"/>
          <w:szCs w:val="21"/>
          <w:highlight w:val="none"/>
          <w:lang w:val="en-US" w:eastAsia="zh-CN"/>
        </w:rPr>
        <w:t>1</w:t>
      </w:r>
      <w:r>
        <w:rPr>
          <w:rFonts w:ascii="宋体" w:hAnsi="宋体"/>
          <w:color w:val="auto"/>
          <w:szCs w:val="21"/>
          <w:highlight w:val="none"/>
        </w:rPr>
        <w:t xml:space="preserve"> </w:t>
      </w:r>
      <w:r>
        <w:rPr>
          <w:rFonts w:hint="eastAsia" w:ascii="宋体" w:hAnsi="宋体"/>
          <w:color w:val="auto"/>
          <w:szCs w:val="21"/>
          <w:highlight w:val="none"/>
        </w:rPr>
        <w:t>发包人：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660" w:firstLineChars="300"/>
        <w:jc w:val="left"/>
        <w:rPr>
          <w:rFonts w:ascii="宋体"/>
          <w:color w:val="auto"/>
          <w:szCs w:val="21"/>
          <w:highlight w:val="none"/>
          <w:u w:val="single"/>
        </w:rPr>
      </w:pPr>
      <w:r>
        <w:rPr>
          <w:rFonts w:ascii="宋体" w:hAnsi="宋体"/>
          <w:color w:val="auto"/>
          <w:szCs w:val="21"/>
          <w:highlight w:val="none"/>
        </w:rPr>
        <w:t>1.1.2.</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承包人：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660" w:firstLineChars="300"/>
        <w:jc w:val="left"/>
        <w:rPr>
          <w:rFonts w:asci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lang w:val="en-US" w:eastAsia="zh-CN"/>
        </w:rPr>
        <w:t>3</w:t>
      </w:r>
      <w:r>
        <w:rPr>
          <w:rFonts w:ascii="宋体" w:hAnsi="宋体"/>
          <w:color w:val="auto"/>
          <w:szCs w:val="21"/>
          <w:highlight w:val="none"/>
        </w:rPr>
        <w:t xml:space="preserve">  </w:t>
      </w:r>
      <w:r>
        <w:rPr>
          <w:rFonts w:hint="eastAsia" w:ascii="宋体" w:hAnsi="宋体"/>
          <w:color w:val="auto"/>
          <w:szCs w:val="21"/>
          <w:highlight w:val="none"/>
        </w:rPr>
        <w:t>监理人：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660" w:firstLineChars="300"/>
        <w:jc w:val="left"/>
        <w:rPr>
          <w:rFonts w:asci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lang w:val="en-US" w:eastAsia="zh-CN"/>
        </w:rPr>
        <w:t>4</w:t>
      </w:r>
      <w:r>
        <w:rPr>
          <w:rFonts w:ascii="宋体" w:hAnsi="宋体"/>
          <w:color w:val="auto"/>
          <w:szCs w:val="21"/>
          <w:highlight w:val="none"/>
        </w:rPr>
        <w:t xml:space="preserve">  </w:t>
      </w:r>
      <w:r>
        <w:rPr>
          <w:rFonts w:hint="eastAsia" w:ascii="宋体" w:hAnsi="宋体"/>
          <w:color w:val="auto"/>
          <w:szCs w:val="21"/>
          <w:highlight w:val="none"/>
        </w:rPr>
        <w:t>发包人代表：指发包人指定的派驻施工场地（现场）的全权代表。</w:t>
      </w:r>
    </w:p>
    <w:p>
      <w:pPr>
        <w:spacing w:line="360" w:lineRule="auto"/>
        <w:ind w:firstLine="1650" w:firstLineChars="750"/>
        <w:jc w:val="left"/>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1650" w:firstLineChars="750"/>
        <w:jc w:val="left"/>
        <w:rPr>
          <w:rFonts w:ascii="宋体" w:hAnsi="宋体"/>
          <w:color w:val="auto"/>
          <w:szCs w:val="21"/>
          <w:highlight w:val="none"/>
          <w:u w:val="single"/>
        </w:rPr>
      </w:pPr>
      <w:r>
        <w:rPr>
          <w:rFonts w:hint="eastAsia" w:ascii="宋体" w:hAnsi="宋体"/>
          <w:color w:val="auto"/>
          <w:szCs w:val="21"/>
          <w:highlight w:val="none"/>
        </w:rPr>
        <w:t>职称：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1650" w:firstLineChars="750"/>
        <w:jc w:val="left"/>
        <w:rPr>
          <w:rFonts w:asci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1650" w:firstLineChars="750"/>
        <w:jc w:val="left"/>
        <w:rPr>
          <w:rFonts w:asci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p>
      <w:pPr>
        <w:spacing w:line="360" w:lineRule="auto"/>
        <w:ind w:firstLine="1650" w:firstLineChars="750"/>
        <w:jc w:val="left"/>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40" w:firstLineChars="200"/>
        <w:rPr>
          <w:rFonts w:asci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工程和设备</w:t>
      </w:r>
    </w:p>
    <w:p>
      <w:pPr>
        <w:spacing w:line="360" w:lineRule="auto"/>
        <w:ind w:firstLine="660" w:firstLineChars="300"/>
        <w:jc w:val="left"/>
        <w:rPr>
          <w:rFonts w:ascii="宋体"/>
          <w:color w:val="auto"/>
          <w:szCs w:val="21"/>
          <w:highlight w:val="none"/>
          <w:u w:val="single"/>
        </w:rPr>
      </w:pPr>
      <w:r>
        <w:rPr>
          <w:rFonts w:ascii="宋体" w:hAnsi="宋体"/>
          <w:color w:val="auto"/>
          <w:szCs w:val="21"/>
          <w:highlight w:val="none"/>
        </w:rPr>
        <w:t>1.1.3.</w:t>
      </w:r>
      <w:r>
        <w:rPr>
          <w:rFonts w:hint="eastAsia" w:ascii="宋体" w:hAnsi="宋体"/>
          <w:color w:val="auto"/>
          <w:szCs w:val="21"/>
          <w:highlight w:val="none"/>
          <w:lang w:val="en-US" w:eastAsia="zh-CN"/>
        </w:rPr>
        <w:t>1</w:t>
      </w:r>
      <w:r>
        <w:rPr>
          <w:rFonts w:ascii="宋体" w:hAnsi="宋体"/>
          <w:color w:val="auto"/>
          <w:szCs w:val="21"/>
          <w:highlight w:val="none"/>
        </w:rPr>
        <w:t xml:space="preserve">  </w:t>
      </w:r>
      <w:r>
        <w:rPr>
          <w:rFonts w:hint="eastAsia" w:ascii="宋体" w:hAnsi="宋体"/>
          <w:color w:val="auto"/>
          <w:szCs w:val="21"/>
          <w:highlight w:val="none"/>
        </w:rPr>
        <w:t>永久工程：</w:t>
      </w:r>
      <w:r>
        <w:rPr>
          <w:rFonts w:hint="eastAsia" w:ascii="宋体" w:hAnsi="宋体"/>
          <w:color w:val="auto"/>
          <w:szCs w:val="21"/>
          <w:highlight w:val="none"/>
          <w:u w:val="single"/>
        </w:rPr>
        <w:t>指按合同条款约定建造并移交给发包人的工程，包括工程设备</w:t>
      </w:r>
      <w:r>
        <w:rPr>
          <w:rFonts w:hint="eastAsia" w:ascii="宋体" w:hAnsi="宋体"/>
          <w:color w:val="auto"/>
          <w:szCs w:val="21"/>
          <w:highlight w:val="none"/>
        </w:rPr>
        <w:t>。</w:t>
      </w:r>
    </w:p>
    <w:p>
      <w:pPr>
        <w:spacing w:line="360" w:lineRule="auto"/>
        <w:ind w:firstLine="660" w:firstLineChars="300"/>
        <w:jc w:val="left"/>
        <w:rPr>
          <w:rFonts w:ascii="宋体"/>
          <w:color w:val="auto"/>
          <w:szCs w:val="21"/>
          <w:highlight w:val="none"/>
        </w:rPr>
      </w:pPr>
      <w:r>
        <w:rPr>
          <w:rFonts w:ascii="宋体" w:hAnsi="宋体"/>
          <w:color w:val="auto"/>
          <w:szCs w:val="21"/>
          <w:highlight w:val="none"/>
        </w:rPr>
        <w:t>1.1.3</w:t>
      </w:r>
      <w:r>
        <w:rPr>
          <w:rFonts w:asci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临时工程：</w:t>
      </w:r>
      <w:r>
        <w:rPr>
          <w:rFonts w:hint="eastAsia" w:ascii="宋体" w:hAnsi="宋体"/>
          <w:color w:val="auto"/>
          <w:szCs w:val="21"/>
          <w:highlight w:val="none"/>
          <w:u w:val="single"/>
        </w:rPr>
        <w:t>指为完成合同条款约定的永久工程所修建的各类临时性工程，临时供水工程、施工照明工程等。</w:t>
      </w:r>
    </w:p>
    <w:p>
      <w:pPr>
        <w:spacing w:line="360" w:lineRule="auto"/>
        <w:ind w:firstLine="660" w:firstLineChars="300"/>
        <w:jc w:val="left"/>
        <w:rPr>
          <w:rFonts w:ascii="宋体"/>
          <w:color w:val="auto"/>
          <w:szCs w:val="21"/>
          <w:highlight w:val="none"/>
        </w:rPr>
      </w:pPr>
      <w:r>
        <w:rPr>
          <w:rFonts w:ascii="宋体" w:hAnsi="宋体"/>
          <w:color w:val="auto"/>
          <w:szCs w:val="21"/>
          <w:highlight w:val="none"/>
        </w:rPr>
        <w:t>1.1.3</w:t>
      </w:r>
      <w:r>
        <w:rPr>
          <w:rFonts w:asci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 xml:space="preserve">  </w:t>
      </w:r>
      <w:r>
        <w:rPr>
          <w:rFonts w:hint="eastAsia" w:ascii="宋体" w:hAnsi="宋体"/>
          <w:color w:val="auto"/>
          <w:szCs w:val="21"/>
          <w:highlight w:val="none"/>
        </w:rPr>
        <w:t>永久占地：</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660" w:firstLineChars="300"/>
        <w:jc w:val="left"/>
        <w:rPr>
          <w:rFonts w:ascii="宋体"/>
          <w:color w:val="auto"/>
          <w:szCs w:val="21"/>
          <w:highlight w:val="none"/>
        </w:rPr>
      </w:pPr>
      <w:r>
        <w:rPr>
          <w:rFonts w:ascii="宋体" w:hAnsi="宋体"/>
          <w:color w:val="auto"/>
          <w:szCs w:val="21"/>
          <w:highlight w:val="none"/>
        </w:rPr>
        <w:t>1.1.3</w:t>
      </w:r>
      <w:r>
        <w:rPr>
          <w:rFonts w:asci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 xml:space="preserve"> </w:t>
      </w:r>
      <w:r>
        <w:rPr>
          <w:rFonts w:hint="eastAsia" w:ascii="宋体" w:hAnsi="宋体"/>
          <w:color w:val="auto"/>
          <w:szCs w:val="21"/>
          <w:highlight w:val="none"/>
        </w:rPr>
        <w:t>临时占地：</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40" w:firstLineChars="200"/>
        <w:rPr>
          <w:rFonts w:ascii="宋体"/>
          <w:color w:val="auto"/>
          <w:szCs w:val="21"/>
          <w:highlight w:val="none"/>
        </w:rPr>
      </w:pPr>
      <w:r>
        <w:rPr>
          <w:rFonts w:ascii="宋体" w:hAnsi="宋体"/>
          <w:color w:val="auto"/>
          <w:szCs w:val="21"/>
          <w:highlight w:val="none"/>
        </w:rPr>
        <w:t xml:space="preserve">1.1.4  </w:t>
      </w:r>
      <w:r>
        <w:rPr>
          <w:rFonts w:hint="eastAsia" w:ascii="宋体" w:hAnsi="宋体"/>
          <w:color w:val="auto"/>
          <w:szCs w:val="21"/>
          <w:highlight w:val="none"/>
        </w:rPr>
        <w:t>日期</w:t>
      </w:r>
    </w:p>
    <w:p>
      <w:pPr>
        <w:spacing w:line="360" w:lineRule="auto"/>
        <w:ind w:firstLine="880" w:firstLineChars="400"/>
        <w:jc w:val="left"/>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缺陷责任期期限：</w:t>
      </w:r>
      <w:r>
        <w:rPr>
          <w:rFonts w:ascii="宋体" w:hAnsi="宋体"/>
          <w:color w:val="auto"/>
          <w:szCs w:val="21"/>
          <w:highlight w:val="none"/>
          <w:u w:val="single"/>
        </w:rPr>
        <w:t>24</w:t>
      </w:r>
      <w:r>
        <w:rPr>
          <w:rFonts w:hint="eastAsia" w:ascii="宋体" w:hAnsi="宋体"/>
          <w:color w:val="auto"/>
          <w:szCs w:val="21"/>
          <w:highlight w:val="none"/>
          <w:u w:val="single"/>
        </w:rPr>
        <w:t>个</w:t>
      </w:r>
      <w:r>
        <w:rPr>
          <w:rFonts w:hint="eastAsia" w:ascii="宋体" w:hAnsi="宋体"/>
          <w:color w:val="auto"/>
          <w:szCs w:val="21"/>
          <w:highlight w:val="none"/>
        </w:rPr>
        <w:t>月。</w:t>
      </w:r>
    </w:p>
    <w:p>
      <w:pPr>
        <w:spacing w:line="360" w:lineRule="auto"/>
        <w:ind w:firstLine="440" w:firstLineChars="200"/>
        <w:rPr>
          <w:rFonts w:ascii="宋体"/>
          <w:color w:val="auto"/>
          <w:szCs w:val="21"/>
          <w:highlight w:val="none"/>
        </w:rPr>
      </w:pPr>
      <w:r>
        <w:rPr>
          <w:rFonts w:ascii="宋体" w:hAnsi="宋体"/>
          <w:color w:val="auto"/>
          <w:szCs w:val="21"/>
          <w:highlight w:val="none"/>
        </w:rPr>
        <w:t>1.1.</w:t>
      </w:r>
      <w:r>
        <w:rPr>
          <w:rFonts w:hint="eastAsia"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其他需要补充的内容</w:t>
      </w:r>
    </w:p>
    <w:p>
      <w:pPr>
        <w:spacing w:line="360" w:lineRule="auto"/>
        <w:ind w:left="330" w:leftChars="150" w:firstLine="114" w:firstLineChars="52"/>
        <w:rPr>
          <w:rFonts w:asci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pPr>
        <w:pStyle w:val="60"/>
        <w:spacing w:before="120" w:after="120"/>
        <w:outlineLvl w:val="1"/>
        <w:rPr>
          <w:color w:val="auto"/>
          <w:highlight w:val="none"/>
        </w:rPr>
      </w:pPr>
      <w:bookmarkStart w:id="69" w:name="_Toc79998234"/>
      <w:bookmarkStart w:id="70" w:name="_Toc510037969"/>
      <w:bookmarkStart w:id="71" w:name="_Toc2786"/>
      <w:bookmarkStart w:id="72" w:name="_Toc486580376"/>
      <w:bookmarkStart w:id="73" w:name="_Toc22233"/>
      <w:bookmarkStart w:id="74" w:name="_Toc490331667"/>
      <w:bookmarkStart w:id="75" w:name="_Toc489280182"/>
      <w:bookmarkStart w:id="76" w:name="_Toc69034476"/>
      <w:bookmarkStart w:id="77" w:name="_Toc497214045"/>
      <w:bookmarkStart w:id="78" w:name="_Toc485323150"/>
      <w:r>
        <w:rPr>
          <w:color w:val="auto"/>
          <w:highlight w:val="none"/>
        </w:rPr>
        <w:t>1.</w:t>
      </w:r>
      <w:r>
        <w:rPr>
          <w:rFonts w:hint="eastAsia"/>
          <w:color w:val="auto"/>
          <w:highlight w:val="none"/>
          <w:lang w:val="en-US" w:eastAsia="zh-CN"/>
        </w:rPr>
        <w:t>2</w:t>
      </w:r>
      <w:r>
        <w:rPr>
          <w:color w:val="auto"/>
          <w:highlight w:val="none"/>
        </w:rPr>
        <w:t xml:space="preserve">  </w:t>
      </w:r>
      <w:r>
        <w:rPr>
          <w:rFonts w:hint="eastAsia"/>
          <w:color w:val="auto"/>
          <w:highlight w:val="none"/>
        </w:rPr>
        <w:t>合同文件的优先顺序</w:t>
      </w:r>
      <w:bookmarkEnd w:id="69"/>
      <w:bookmarkEnd w:id="70"/>
      <w:bookmarkEnd w:id="71"/>
      <w:bookmarkEnd w:id="72"/>
      <w:bookmarkEnd w:id="73"/>
      <w:bookmarkEnd w:id="74"/>
      <w:bookmarkEnd w:id="75"/>
      <w:bookmarkEnd w:id="76"/>
      <w:bookmarkEnd w:id="77"/>
      <w:bookmarkEnd w:id="78"/>
    </w:p>
    <w:p>
      <w:pPr>
        <w:spacing w:line="360" w:lineRule="auto"/>
        <w:ind w:firstLine="482"/>
        <w:rPr>
          <w:rFonts w:ascii="宋体" w:cs="Arial"/>
          <w:color w:val="auto"/>
          <w:szCs w:val="21"/>
          <w:highlight w:val="none"/>
        </w:rPr>
      </w:pPr>
      <w:bookmarkStart w:id="79" w:name="_Toc489280183"/>
      <w:bookmarkStart w:id="80" w:name="_Toc510037970"/>
      <w:bookmarkStart w:id="81" w:name="_Toc8381"/>
      <w:bookmarkStart w:id="82" w:name="_Toc485323151"/>
      <w:bookmarkStart w:id="83" w:name="_Toc486580377"/>
      <w:bookmarkStart w:id="84" w:name="_Toc497214046"/>
      <w:bookmarkStart w:id="85" w:name="_Toc490331668"/>
      <w:bookmarkStart w:id="86" w:name="_Toc985"/>
      <w:r>
        <w:rPr>
          <w:rFonts w:hint="eastAsia" w:ascii="宋体" w:hAnsi="宋体" w:cs="Arial"/>
          <w:color w:val="auto"/>
          <w:szCs w:val="21"/>
          <w:highlight w:val="none"/>
        </w:rPr>
        <w:t>合同文件的优先解释顺序如下：</w:t>
      </w:r>
    </w:p>
    <w:p>
      <w:pPr>
        <w:spacing w:line="360" w:lineRule="auto"/>
        <w:ind w:firstLine="482"/>
        <w:rPr>
          <w:rFonts w:ascii="宋体" w:cs="Arial"/>
          <w:color w:val="auto"/>
          <w:szCs w:val="21"/>
          <w:highlight w:val="none"/>
        </w:rPr>
      </w:pPr>
      <w:r>
        <w:rPr>
          <w:rFonts w:hint="eastAsia" w:ascii="宋体" w:hAnsi="宋体" w:cs="Arial"/>
          <w:color w:val="auto"/>
          <w:szCs w:val="21"/>
          <w:highlight w:val="none"/>
        </w:rPr>
        <w:t>（</w:t>
      </w:r>
      <w:r>
        <w:rPr>
          <w:rFonts w:ascii="宋体" w:hAnsi="宋体" w:cs="Arial"/>
          <w:color w:val="auto"/>
          <w:szCs w:val="21"/>
          <w:highlight w:val="none"/>
        </w:rPr>
        <w:t>1</w:t>
      </w:r>
      <w:r>
        <w:rPr>
          <w:rFonts w:hint="eastAsia" w:ascii="宋体" w:hAnsi="宋体" w:cs="Arial"/>
          <w:color w:val="auto"/>
          <w:szCs w:val="21"/>
          <w:highlight w:val="none"/>
        </w:rPr>
        <w:t>）合同协议书；</w:t>
      </w:r>
    </w:p>
    <w:p>
      <w:pPr>
        <w:spacing w:line="360" w:lineRule="auto"/>
        <w:ind w:firstLine="482"/>
        <w:rPr>
          <w:rFonts w:ascii="宋体" w:cs="Arial"/>
          <w:color w:val="auto"/>
          <w:szCs w:val="21"/>
          <w:highlight w:val="none"/>
        </w:rPr>
      </w:pPr>
      <w:r>
        <w:rPr>
          <w:rFonts w:hint="eastAsia" w:ascii="宋体" w:hAnsi="宋体" w:cs="Arial"/>
          <w:color w:val="auto"/>
          <w:szCs w:val="21"/>
          <w:highlight w:val="none"/>
        </w:rPr>
        <w:t>（</w:t>
      </w:r>
      <w:r>
        <w:rPr>
          <w:rFonts w:ascii="宋体" w:hAnsi="宋体" w:cs="Arial"/>
          <w:color w:val="auto"/>
          <w:szCs w:val="21"/>
          <w:highlight w:val="none"/>
        </w:rPr>
        <w:t>2</w:t>
      </w:r>
      <w:r>
        <w:rPr>
          <w:rFonts w:hint="eastAsia" w:ascii="宋体" w:hAnsi="宋体" w:cs="Arial"/>
          <w:color w:val="auto"/>
          <w:szCs w:val="21"/>
          <w:highlight w:val="none"/>
        </w:rPr>
        <w:t>）中标通知书；</w:t>
      </w:r>
    </w:p>
    <w:p>
      <w:pPr>
        <w:spacing w:line="360" w:lineRule="auto"/>
        <w:ind w:firstLine="482"/>
        <w:rPr>
          <w:rFonts w:ascii="宋体" w:cs="Arial"/>
          <w:color w:val="auto"/>
          <w:szCs w:val="21"/>
          <w:highlight w:val="none"/>
        </w:rPr>
      </w:pPr>
      <w:r>
        <w:rPr>
          <w:rFonts w:hint="eastAsia" w:ascii="宋体" w:hAnsi="宋体" w:cs="Arial"/>
          <w:color w:val="auto"/>
          <w:szCs w:val="21"/>
          <w:highlight w:val="none"/>
        </w:rPr>
        <w:t>（</w:t>
      </w:r>
      <w:r>
        <w:rPr>
          <w:rFonts w:ascii="宋体" w:hAnsi="宋体" w:cs="Arial"/>
          <w:color w:val="auto"/>
          <w:szCs w:val="21"/>
          <w:highlight w:val="none"/>
        </w:rPr>
        <w:t>3</w:t>
      </w:r>
      <w:r>
        <w:rPr>
          <w:rFonts w:hint="eastAsia" w:ascii="宋体" w:hAnsi="宋体" w:cs="Arial"/>
          <w:color w:val="auto"/>
          <w:szCs w:val="21"/>
          <w:highlight w:val="none"/>
        </w:rPr>
        <w:t>）报价函及报价函附录；</w:t>
      </w:r>
    </w:p>
    <w:p>
      <w:pPr>
        <w:spacing w:line="360" w:lineRule="auto"/>
        <w:ind w:firstLine="482"/>
        <w:rPr>
          <w:rFonts w:ascii="宋体" w:cs="Arial"/>
          <w:color w:val="auto"/>
          <w:szCs w:val="21"/>
          <w:highlight w:val="none"/>
        </w:rPr>
      </w:pPr>
      <w:r>
        <w:rPr>
          <w:rFonts w:hint="eastAsia" w:ascii="宋体" w:hAnsi="宋体" w:cs="Arial"/>
          <w:color w:val="auto"/>
          <w:szCs w:val="21"/>
          <w:highlight w:val="none"/>
        </w:rPr>
        <w:t>（</w:t>
      </w:r>
      <w:r>
        <w:rPr>
          <w:rFonts w:ascii="宋体" w:hAnsi="宋体" w:cs="Arial"/>
          <w:color w:val="auto"/>
          <w:szCs w:val="21"/>
          <w:highlight w:val="none"/>
        </w:rPr>
        <w:t>4</w:t>
      </w:r>
      <w:r>
        <w:rPr>
          <w:rFonts w:hint="eastAsia" w:ascii="宋体" w:hAnsi="宋体" w:cs="Arial"/>
          <w:color w:val="auto"/>
          <w:szCs w:val="21"/>
          <w:highlight w:val="none"/>
        </w:rPr>
        <w:t>）合同条款专用部分；</w:t>
      </w:r>
    </w:p>
    <w:p>
      <w:pPr>
        <w:spacing w:line="360" w:lineRule="auto"/>
        <w:ind w:firstLine="482"/>
        <w:rPr>
          <w:rFonts w:ascii="宋体" w:cs="Arial"/>
          <w:color w:val="auto"/>
          <w:szCs w:val="21"/>
          <w:highlight w:val="none"/>
        </w:rPr>
      </w:pPr>
      <w:r>
        <w:rPr>
          <w:rFonts w:hint="eastAsia" w:ascii="宋体" w:hAnsi="宋体" w:cs="Arial"/>
          <w:color w:val="auto"/>
          <w:szCs w:val="21"/>
          <w:highlight w:val="none"/>
        </w:rPr>
        <w:t>（</w:t>
      </w:r>
      <w:r>
        <w:rPr>
          <w:rFonts w:ascii="宋体" w:hAnsi="宋体" w:cs="Arial"/>
          <w:color w:val="auto"/>
          <w:szCs w:val="21"/>
          <w:highlight w:val="none"/>
        </w:rPr>
        <w:t>5</w:t>
      </w:r>
      <w:r>
        <w:rPr>
          <w:rFonts w:hint="eastAsia" w:ascii="宋体" w:hAnsi="宋体" w:cs="Arial"/>
          <w:color w:val="auto"/>
          <w:szCs w:val="21"/>
          <w:highlight w:val="none"/>
        </w:rPr>
        <w:t>）合同条款通用部分；</w:t>
      </w:r>
    </w:p>
    <w:p>
      <w:pPr>
        <w:spacing w:line="400" w:lineRule="exact"/>
        <w:ind w:firstLine="482"/>
        <w:rPr>
          <w:rFonts w:ascii="宋体" w:hAnsi="宋体" w:cs="Arial"/>
          <w:color w:val="auto"/>
          <w:szCs w:val="21"/>
          <w:highlight w:val="none"/>
        </w:rPr>
      </w:pPr>
      <w:r>
        <w:rPr>
          <w:rFonts w:hint="eastAsia" w:ascii="宋体" w:hAnsi="宋体" w:cs="Arial"/>
          <w:color w:val="auto"/>
          <w:szCs w:val="21"/>
          <w:highlight w:val="none"/>
        </w:rPr>
        <w:t>（6）</w:t>
      </w:r>
      <w:r>
        <w:rPr>
          <w:rFonts w:hint="eastAsia" w:ascii="宋体" w:hAnsi="宋体" w:cs="Arial"/>
          <w:color w:val="auto"/>
          <w:highlight w:val="none"/>
          <w:u w:val="single"/>
        </w:rPr>
        <w:t xml:space="preserve">已标价的工程量清单     </w:t>
      </w:r>
      <w:r>
        <w:rPr>
          <w:rFonts w:hint="eastAsia" w:ascii="宋体" w:hAnsi="宋体" w:cs="Arial"/>
          <w:color w:val="auto"/>
          <w:highlight w:val="none"/>
        </w:rPr>
        <w:t xml:space="preserve"> ；</w:t>
      </w:r>
    </w:p>
    <w:p>
      <w:pPr>
        <w:spacing w:line="400" w:lineRule="exact"/>
        <w:ind w:firstLine="482"/>
        <w:rPr>
          <w:rFonts w:ascii="宋体" w:hAnsi="宋体" w:cs="Arial"/>
          <w:color w:val="auto"/>
          <w:szCs w:val="21"/>
          <w:highlight w:val="none"/>
        </w:rPr>
      </w:pPr>
      <w:r>
        <w:rPr>
          <w:rFonts w:hint="eastAsia" w:ascii="宋体" w:hAnsi="宋体" w:cs="Arial"/>
          <w:color w:val="auto"/>
          <w:szCs w:val="21"/>
          <w:highlight w:val="none"/>
        </w:rPr>
        <w:t>（7）</w:t>
      </w:r>
      <w:r>
        <w:rPr>
          <w:rFonts w:hint="eastAsia" w:ascii="宋体" w:hAnsi="宋体" w:cs="Arial"/>
          <w:color w:val="auto"/>
          <w:szCs w:val="21"/>
          <w:highlight w:val="none"/>
          <w:u w:val="single"/>
        </w:rPr>
        <w:t>技术标准和要求</w:t>
      </w:r>
      <w:r>
        <w:rPr>
          <w:rFonts w:hint="eastAsia" w:ascii="宋体" w:hAnsi="宋体" w:cs="Arial"/>
          <w:color w:val="auto"/>
          <w:highlight w:val="none"/>
        </w:rPr>
        <w:t xml:space="preserve"> ；</w:t>
      </w:r>
    </w:p>
    <w:p>
      <w:pPr>
        <w:spacing w:line="400" w:lineRule="exact"/>
        <w:ind w:firstLine="482"/>
        <w:rPr>
          <w:rFonts w:ascii="宋体" w:hAnsi="宋体" w:cs="Arial"/>
          <w:color w:val="auto"/>
          <w:szCs w:val="21"/>
          <w:highlight w:val="none"/>
        </w:rPr>
      </w:pPr>
      <w:r>
        <w:rPr>
          <w:rFonts w:hint="eastAsia" w:ascii="宋体" w:hAnsi="宋体" w:cs="Arial"/>
          <w:color w:val="auto"/>
          <w:szCs w:val="21"/>
          <w:highlight w:val="none"/>
        </w:rPr>
        <w:t>（8）</w:t>
      </w:r>
      <w:r>
        <w:rPr>
          <w:rFonts w:hint="eastAsia" w:ascii="宋体" w:hAnsi="宋体" w:cs="Arial"/>
          <w:color w:val="auto"/>
          <w:highlight w:val="none"/>
          <w:u w:val="single"/>
        </w:rPr>
        <w:t xml:space="preserve">图纸    </w:t>
      </w:r>
      <w:r>
        <w:rPr>
          <w:rFonts w:hint="eastAsia" w:ascii="宋体" w:hAnsi="宋体" w:cs="Arial"/>
          <w:color w:val="auto"/>
          <w:highlight w:val="none"/>
        </w:rPr>
        <w:t xml:space="preserve"> ；</w:t>
      </w:r>
    </w:p>
    <w:p>
      <w:pPr>
        <w:spacing w:line="360" w:lineRule="auto"/>
        <w:ind w:firstLine="480"/>
        <w:rPr>
          <w:rFonts w:ascii="宋体" w:cs="Arial"/>
          <w:color w:val="auto"/>
          <w:szCs w:val="21"/>
          <w:highlight w:val="none"/>
        </w:rPr>
      </w:pPr>
      <w:r>
        <w:rPr>
          <w:rFonts w:hint="eastAsia" w:ascii="宋体" w:hAnsi="宋体" w:cs="Arial"/>
          <w:color w:val="auto"/>
          <w:szCs w:val="21"/>
          <w:highlight w:val="none"/>
        </w:rPr>
        <w:t>（9）其他合同文件：发承包双方签署的与工程有关的施工组织设计、施工方案、变更、</w:t>
      </w:r>
      <w:r>
        <w:rPr>
          <w:rFonts w:hint="eastAsia" w:ascii="宋体" w:hAnsi="宋体" w:cs="Arial"/>
          <w:color w:val="auto"/>
          <w:szCs w:val="21"/>
          <w:highlight w:val="none"/>
          <w:u w:val="single"/>
        </w:rPr>
        <w:t>洽商、协议、纪要、信函、备忘录等</w:t>
      </w:r>
      <w:r>
        <w:rPr>
          <w:rFonts w:hint="eastAsia" w:ascii="宋体" w:hAnsi="宋体" w:cs="Arial"/>
          <w:color w:val="auto"/>
          <w:szCs w:val="21"/>
          <w:highlight w:val="none"/>
        </w:rPr>
        <w:t>（说明：（</w:t>
      </w:r>
      <w:r>
        <w:rPr>
          <w:rFonts w:ascii="宋体" w:hAnsi="宋体" w:cs="Arial"/>
          <w:color w:val="auto"/>
          <w:szCs w:val="21"/>
          <w:highlight w:val="none"/>
        </w:rPr>
        <w:t>6</w:t>
      </w:r>
      <w:r>
        <w:rPr>
          <w:rFonts w:hint="eastAsia" w:ascii="宋体" w:hAnsi="宋体" w:cs="Arial"/>
          <w:color w:val="auto"/>
          <w:szCs w:val="21"/>
          <w:highlight w:val="none"/>
        </w:rPr>
        <w:t>）、（</w:t>
      </w:r>
      <w:r>
        <w:rPr>
          <w:rFonts w:ascii="宋体" w:hAnsi="宋体" w:cs="Arial"/>
          <w:color w:val="auto"/>
          <w:szCs w:val="21"/>
          <w:highlight w:val="none"/>
        </w:rPr>
        <w:t>7</w:t>
      </w:r>
      <w:r>
        <w:rPr>
          <w:rFonts w:hint="eastAsia" w:ascii="宋体" w:hAnsi="宋体" w:cs="Arial"/>
          <w:color w:val="auto"/>
          <w:szCs w:val="21"/>
          <w:highlight w:val="none"/>
        </w:rPr>
        <w:t>）、（</w:t>
      </w:r>
      <w:r>
        <w:rPr>
          <w:rFonts w:ascii="宋体" w:hAnsi="宋体" w:cs="Arial"/>
          <w:color w:val="auto"/>
          <w:szCs w:val="21"/>
          <w:highlight w:val="none"/>
        </w:rPr>
        <w:t>8</w:t>
      </w:r>
      <w:r>
        <w:rPr>
          <w:rFonts w:hint="eastAsia" w:ascii="宋体" w:hAnsi="宋体" w:cs="Arial"/>
          <w:color w:val="auto"/>
          <w:szCs w:val="21"/>
          <w:highlight w:val="none"/>
        </w:rPr>
        <w:t>）填空内容分别限于技术标准和要求、图纸、已标价工程量清单三者之一。）</w:t>
      </w:r>
    </w:p>
    <w:p>
      <w:pPr>
        <w:pStyle w:val="60"/>
        <w:spacing w:before="120" w:after="120"/>
        <w:outlineLvl w:val="1"/>
        <w:rPr>
          <w:color w:val="auto"/>
          <w:highlight w:val="none"/>
        </w:rPr>
      </w:pPr>
      <w:bookmarkStart w:id="87" w:name="_Toc69034477"/>
      <w:bookmarkStart w:id="88" w:name="_Toc79998235"/>
      <w:r>
        <w:rPr>
          <w:color w:val="auto"/>
          <w:highlight w:val="none"/>
        </w:rPr>
        <w:t>1.</w:t>
      </w:r>
      <w:r>
        <w:rPr>
          <w:rFonts w:hint="eastAsia"/>
          <w:color w:val="auto"/>
          <w:highlight w:val="none"/>
          <w:lang w:val="en-US" w:eastAsia="zh-CN"/>
        </w:rPr>
        <w:t>3</w:t>
      </w:r>
      <w:r>
        <w:rPr>
          <w:color w:val="auto"/>
          <w:highlight w:val="none"/>
        </w:rPr>
        <w:t xml:space="preserve">  </w:t>
      </w:r>
      <w:r>
        <w:rPr>
          <w:rFonts w:hint="eastAsia"/>
          <w:color w:val="auto"/>
          <w:highlight w:val="none"/>
        </w:rPr>
        <w:t>合同协议书</w:t>
      </w:r>
      <w:bookmarkEnd w:id="79"/>
      <w:bookmarkEnd w:id="80"/>
      <w:bookmarkEnd w:id="81"/>
      <w:bookmarkEnd w:id="82"/>
      <w:bookmarkEnd w:id="83"/>
      <w:bookmarkEnd w:id="84"/>
      <w:bookmarkEnd w:id="85"/>
      <w:bookmarkEnd w:id="86"/>
      <w:bookmarkEnd w:id="87"/>
      <w:bookmarkEnd w:id="88"/>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合同生效的条件：</w:t>
      </w:r>
      <w:r>
        <w:rPr>
          <w:rFonts w:hint="eastAsia" w:ascii="宋体" w:hAnsi="宋体"/>
          <w:color w:val="auto"/>
          <w:szCs w:val="21"/>
          <w:highlight w:val="none"/>
          <w:u w:val="single"/>
        </w:rPr>
        <w:t xml:space="preserve">        双方签字盖章              </w:t>
      </w:r>
      <w:r>
        <w:rPr>
          <w:rFonts w:hint="eastAsia" w:ascii="宋体" w:hAnsi="宋体"/>
          <w:color w:val="auto"/>
          <w:szCs w:val="21"/>
          <w:highlight w:val="none"/>
        </w:rPr>
        <w:t>。</w:t>
      </w:r>
    </w:p>
    <w:p>
      <w:pPr>
        <w:pStyle w:val="60"/>
        <w:spacing w:before="120" w:after="120"/>
        <w:outlineLvl w:val="1"/>
        <w:rPr>
          <w:color w:val="auto"/>
          <w:highlight w:val="none"/>
        </w:rPr>
      </w:pPr>
      <w:bookmarkStart w:id="89" w:name="_Toc489280184"/>
      <w:bookmarkStart w:id="90" w:name="_Toc497214047"/>
      <w:bookmarkStart w:id="91" w:name="_Toc485323152"/>
      <w:bookmarkStart w:id="92" w:name="_Toc79998236"/>
      <w:bookmarkStart w:id="93" w:name="_Toc5038"/>
      <w:bookmarkStart w:id="94" w:name="_Toc490331669"/>
      <w:bookmarkStart w:id="95" w:name="_Toc486580378"/>
      <w:bookmarkStart w:id="96" w:name="_Toc13616"/>
      <w:bookmarkStart w:id="97" w:name="_Toc510037971"/>
      <w:bookmarkStart w:id="98" w:name="_Toc69034478"/>
      <w:r>
        <w:rPr>
          <w:color w:val="auto"/>
          <w:highlight w:val="none"/>
        </w:rPr>
        <w:t>1.</w:t>
      </w:r>
      <w:r>
        <w:rPr>
          <w:rFonts w:hint="eastAsia"/>
          <w:color w:val="auto"/>
          <w:highlight w:val="none"/>
          <w:lang w:val="en-US" w:eastAsia="zh-CN"/>
        </w:rPr>
        <w:t>4</w:t>
      </w:r>
      <w:r>
        <w:rPr>
          <w:color w:val="auto"/>
          <w:highlight w:val="none"/>
        </w:rPr>
        <w:t xml:space="preserve">  </w:t>
      </w:r>
      <w:r>
        <w:rPr>
          <w:rFonts w:hint="eastAsia"/>
          <w:color w:val="auto"/>
          <w:highlight w:val="none"/>
        </w:rPr>
        <w:t>图纸和承包人文件</w:t>
      </w:r>
      <w:bookmarkEnd w:id="89"/>
      <w:bookmarkEnd w:id="90"/>
      <w:bookmarkEnd w:id="91"/>
      <w:bookmarkEnd w:id="92"/>
      <w:bookmarkEnd w:id="93"/>
      <w:bookmarkEnd w:id="94"/>
      <w:bookmarkEnd w:id="95"/>
      <w:bookmarkEnd w:id="96"/>
      <w:bookmarkEnd w:id="97"/>
      <w:bookmarkEnd w:id="98"/>
    </w:p>
    <w:p>
      <w:pPr>
        <w:spacing w:line="360" w:lineRule="auto"/>
        <w:ind w:firstLine="440" w:firstLineChars="200"/>
        <w:jc w:val="left"/>
        <w:rPr>
          <w:rFonts w:ascii="宋体"/>
          <w:color w:val="auto"/>
          <w:szCs w:val="21"/>
          <w:highlight w:val="none"/>
        </w:rPr>
      </w:pPr>
      <w:bookmarkStart w:id="99" w:name="_Toc497214048"/>
      <w:bookmarkStart w:id="100" w:name="_Toc22643"/>
      <w:bookmarkStart w:id="101" w:name="_Toc489280185"/>
      <w:bookmarkStart w:id="102" w:name="_Toc510037972"/>
      <w:bookmarkStart w:id="103" w:name="_Toc14822"/>
      <w:bookmarkStart w:id="104" w:name="_Toc490331670"/>
      <w:bookmarkStart w:id="105" w:name="_Toc486580379"/>
      <w:bookmarkStart w:id="106" w:name="_Toc485323153"/>
      <w:r>
        <w:rPr>
          <w:rFonts w:ascii="宋体" w:hAnsi="宋体"/>
          <w:color w:val="auto"/>
          <w:szCs w:val="21"/>
          <w:highlight w:val="none"/>
        </w:rPr>
        <w:t>1.</w:t>
      </w:r>
      <w:r>
        <w:rPr>
          <w:rFonts w:hint="eastAsia" w:ascii="宋体" w:hAnsi="宋体"/>
          <w:color w:val="auto"/>
          <w:szCs w:val="21"/>
          <w:highlight w:val="none"/>
          <w:lang w:val="en-US" w:eastAsia="zh-CN"/>
        </w:rPr>
        <w:t>4</w:t>
      </w:r>
      <w:r>
        <w:rPr>
          <w:rFonts w:ascii="宋体" w:hAnsi="宋体"/>
          <w:color w:val="auto"/>
          <w:szCs w:val="21"/>
          <w:highlight w:val="none"/>
        </w:rPr>
        <w:t xml:space="preserve">.1  </w:t>
      </w:r>
      <w:r>
        <w:rPr>
          <w:rFonts w:hint="eastAsia" w:ascii="宋体" w:hAnsi="宋体"/>
          <w:color w:val="auto"/>
          <w:szCs w:val="21"/>
          <w:highlight w:val="none"/>
        </w:rPr>
        <w:t>图纸的提供</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发包人提供图纸的期限：</w:t>
      </w:r>
      <w:r>
        <w:rPr>
          <w:rFonts w:hint="eastAsia" w:hAnsi="宋体" w:cs="Arial"/>
          <w:color w:val="auto"/>
          <w:szCs w:val="21"/>
          <w:highlight w:val="none"/>
          <w:u w:val="single"/>
        </w:rPr>
        <w:t>合同签订后</w:t>
      </w:r>
      <w:r>
        <w:rPr>
          <w:rFonts w:hAnsi="宋体" w:cs="Arial"/>
          <w:color w:val="auto"/>
          <w:szCs w:val="21"/>
          <w:highlight w:val="none"/>
          <w:u w:val="single"/>
        </w:rPr>
        <w:t>14</w:t>
      </w:r>
      <w:r>
        <w:rPr>
          <w:rFonts w:hint="eastAsia" w:hAnsi="宋体" w:cs="Arial"/>
          <w:color w:val="auto"/>
          <w:szCs w:val="21"/>
          <w:highlight w:val="none"/>
          <w:u w:val="single"/>
        </w:rPr>
        <w:t>天内</w:t>
      </w:r>
      <w:r>
        <w:rPr>
          <w:rFonts w:hint="eastAsia" w:ascii="宋体" w:hAnsi="宋体"/>
          <w:color w:val="auto"/>
          <w:szCs w:val="21"/>
          <w:highlight w:val="non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发包人提供图纸的数量：</w:t>
      </w:r>
      <w:r>
        <w:rPr>
          <w:rFonts w:hint="eastAsia" w:hAnsi="宋体" w:cs="Arial"/>
          <w:color w:val="auto"/>
          <w:szCs w:val="21"/>
          <w:highlight w:val="none"/>
          <w:u w:val="single"/>
          <w:lang w:val="en-US" w:eastAsia="zh-CN"/>
        </w:rPr>
        <w:t>5</w:t>
      </w:r>
      <w:r>
        <w:rPr>
          <w:rFonts w:hint="eastAsia" w:hAnsi="宋体" w:cs="Arial"/>
          <w:color w:val="auto"/>
          <w:szCs w:val="21"/>
          <w:highlight w:val="none"/>
          <w:u w:val="single"/>
        </w:rPr>
        <w:t>套</w:t>
      </w:r>
      <w:r>
        <w:rPr>
          <w:rFonts w:hint="eastAsia" w:hAnsi="宋体" w:cs="Arial"/>
          <w:color w:val="auto"/>
          <w:szCs w:val="21"/>
          <w:highlight w:val="none"/>
          <w:u w:val="single"/>
          <w:lang w:val="en-US" w:eastAsia="zh-CN"/>
        </w:rPr>
        <w:t xml:space="preserve">             </w:t>
      </w:r>
      <w:r>
        <w:rPr>
          <w:rFonts w:hint="eastAsia" w:ascii="宋体" w:hAnsi="宋体"/>
          <w:color w:val="auto"/>
          <w:szCs w:val="21"/>
          <w:highlight w:val="none"/>
        </w:rPr>
        <w:t>。</w:t>
      </w:r>
    </w:p>
    <w:p>
      <w:pPr>
        <w:spacing w:line="360" w:lineRule="auto"/>
        <w:ind w:firstLine="440" w:firstLineChars="200"/>
        <w:rPr>
          <w:rFonts w:ascii="宋体" w:hAnsi="宋体"/>
          <w:color w:val="auto"/>
          <w:szCs w:val="21"/>
          <w:highlight w:val="none"/>
          <w:u w:val="single"/>
        </w:rPr>
      </w:pPr>
      <w:r>
        <w:rPr>
          <w:rFonts w:hint="eastAsia" w:ascii="宋体" w:hAnsi="宋体"/>
          <w:color w:val="auto"/>
          <w:szCs w:val="21"/>
          <w:highlight w:val="none"/>
        </w:rPr>
        <w:t>其他约定：</w:t>
      </w:r>
      <w:r>
        <w:rPr>
          <w:rFonts w:hint="eastAsia" w:ascii="宋体" w:hAnsi="宋体"/>
          <w:color w:val="auto"/>
          <w:szCs w:val="21"/>
          <w:highlight w:val="none"/>
          <w:u w:val="single"/>
        </w:rPr>
        <w:t>承包人在收到包括图纸、技术规范及设计修改通知等任何性质的合同文件时，应仔细研读，如有任何错误、遗漏、矛盾或模糊，应立即书面通知监理、发包人，以便在相关合同或其中的任何部分付诸实施前依合同进行相应的更正或确认，一旦相关合同中的任何部分付诸实施，承包人将被认为已对其正确性和完整性进行了确认，由此引起的任何损失或损害责任由承包人承担。</w:t>
      </w:r>
    </w:p>
    <w:p>
      <w:pPr>
        <w:spacing w:line="360" w:lineRule="auto"/>
        <w:ind w:firstLine="44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承包人不得向第三方转让、泄露图纸、规范及其它构成合同的任何性质的或与合同相关的资料和信息。除非与本工程相关的材料采购、加工合同外，未经发包人书面许可，承包人不得缔结任何与本合同相关的其他合同。</w:t>
      </w:r>
    </w:p>
    <w:p>
      <w:pPr>
        <w:spacing w:line="360" w:lineRule="auto"/>
        <w:ind w:firstLine="440" w:firstLineChars="200"/>
        <w:jc w:val="left"/>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4</w:t>
      </w:r>
      <w:r>
        <w:rPr>
          <w:rFonts w:ascii="宋体" w:hAnsi="宋体"/>
          <w:color w:val="auto"/>
          <w:szCs w:val="21"/>
          <w:highlight w:val="none"/>
        </w:rPr>
        <w:t xml:space="preserve">.2  </w:t>
      </w:r>
      <w:r>
        <w:rPr>
          <w:rFonts w:hint="eastAsia" w:ascii="宋体" w:hAnsi="宋体"/>
          <w:color w:val="auto"/>
          <w:szCs w:val="21"/>
          <w:highlight w:val="none"/>
        </w:rPr>
        <w:t>承包人提供的文件</w:t>
      </w:r>
    </w:p>
    <w:p>
      <w:pPr>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ascii="宋体" w:hAnsi="宋体"/>
          <w:color w:val="auto"/>
          <w:szCs w:val="21"/>
          <w:highlight w:val="none"/>
        </w:rPr>
        <w:t>1</w:t>
      </w:r>
      <w:r>
        <w:rPr>
          <w:rFonts w:hint="eastAsia" w:ascii="宋体" w:hAnsi="宋体"/>
          <w:color w:val="auto"/>
          <w:szCs w:val="21"/>
          <w:highlight w:val="none"/>
        </w:rPr>
        <w:t>）由承包人提供的文件范围：</w:t>
      </w:r>
      <w:r>
        <w:rPr>
          <w:rFonts w:hint="eastAsia" w:ascii="宋体" w:hAnsi="宋体"/>
          <w:color w:val="auto"/>
          <w:szCs w:val="21"/>
          <w:highlight w:val="none"/>
          <w:u w:val="single"/>
        </w:rPr>
        <w:t xml:space="preserve">施工组织设计方案、施工进度计划（含分包招标、材料与设备采购进度计划）等监理、发包人认为必要的资料。其他应由承包人提供的文件包括：必要的加工图、大样图、施工节点图、安装图、协调配合图、在承包人承包范围内且专业性较强的专业工程深化设计图纸、竣工图（蓝图）、材料设备采购清单、图审交底文件资料、施工组织设计（施工方案）及进度计划等，该文件均为承包人的应当并免费义务，不纳入合同计量与支付的依据文件 </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 xml:space="preserve">    承包人提供文件的期限：</w:t>
      </w:r>
      <w:r>
        <w:rPr>
          <w:rFonts w:hint="eastAsia" w:ascii="宋体" w:hAnsi="宋体"/>
          <w:color w:val="auto"/>
          <w:szCs w:val="21"/>
          <w:highlight w:val="none"/>
          <w:u w:val="single"/>
        </w:rPr>
        <w:t>合同签订</w:t>
      </w:r>
      <w:r>
        <w:rPr>
          <w:rFonts w:hint="eastAsia" w:ascii="宋体" w:hAnsi="宋体"/>
          <w:color w:val="auto"/>
          <w:highlight w:val="none"/>
          <w:u w:val="single"/>
        </w:rPr>
        <w:t>后</w:t>
      </w:r>
      <w:r>
        <w:rPr>
          <w:rFonts w:ascii="宋体" w:hAnsi="宋体"/>
          <w:color w:val="auto"/>
          <w:highlight w:val="none"/>
          <w:u w:val="single"/>
        </w:rPr>
        <w:t>3</w:t>
      </w:r>
      <w:r>
        <w:rPr>
          <w:rFonts w:hint="eastAsia" w:ascii="宋体" w:hAnsi="宋体"/>
          <w:color w:val="auto"/>
          <w:highlight w:val="none"/>
          <w:u w:val="single"/>
        </w:rPr>
        <w:t>日内提供满足工程进度需要的工期计划；</w:t>
      </w:r>
      <w:r>
        <w:rPr>
          <w:rFonts w:hint="eastAsia" w:ascii="宋体" w:hAnsi="宋体"/>
          <w:color w:val="auto"/>
          <w:szCs w:val="21"/>
          <w:highlight w:val="none"/>
          <w:u w:val="single"/>
        </w:rPr>
        <w:t>施工组织设计方案在合同签订后</w:t>
      </w:r>
      <w:r>
        <w:rPr>
          <w:rFonts w:ascii="宋体" w:hAnsi="宋体"/>
          <w:color w:val="auto"/>
          <w:szCs w:val="21"/>
          <w:highlight w:val="none"/>
          <w:u w:val="single"/>
        </w:rPr>
        <w:t>3</w:t>
      </w:r>
      <w:r>
        <w:rPr>
          <w:rFonts w:hint="eastAsia" w:ascii="宋体" w:hAnsi="宋体"/>
          <w:color w:val="auto"/>
          <w:szCs w:val="21"/>
          <w:highlight w:val="none"/>
          <w:u w:val="single"/>
        </w:rPr>
        <w:t>个工作日内提交；周进度计划在每周监理例会前一日提交；月、季进度计划在每月、季开始的</w:t>
      </w:r>
      <w:r>
        <w:rPr>
          <w:rFonts w:ascii="宋体" w:hAnsi="宋体"/>
          <w:color w:val="auto"/>
          <w:szCs w:val="21"/>
          <w:highlight w:val="none"/>
          <w:u w:val="single"/>
        </w:rPr>
        <w:t>5</w:t>
      </w:r>
      <w:r>
        <w:rPr>
          <w:rFonts w:hint="eastAsia" w:ascii="宋体" w:hAnsi="宋体"/>
          <w:color w:val="auto"/>
          <w:szCs w:val="21"/>
          <w:highlight w:val="none"/>
          <w:u w:val="single"/>
        </w:rPr>
        <w:t>日前提交。</w:t>
      </w:r>
      <w:r>
        <w:rPr>
          <w:rFonts w:hint="eastAsia" w:ascii="宋体" w:hAnsi="宋体"/>
          <w:color w:val="auto"/>
          <w:highlight w:val="none"/>
          <w:u w:val="single"/>
        </w:rPr>
        <w:t>以上提交文件应向</w:t>
      </w:r>
      <w:r>
        <w:rPr>
          <w:rFonts w:hint="eastAsia" w:ascii="宋体" w:hAnsi="宋体"/>
          <w:color w:val="auto"/>
          <w:szCs w:val="21"/>
          <w:highlight w:val="none"/>
          <w:u w:val="single"/>
        </w:rPr>
        <w:t>监理人、发包人等提交，并</w:t>
      </w:r>
      <w:r>
        <w:rPr>
          <w:rFonts w:hint="eastAsia" w:ascii="宋体" w:hAnsi="宋体"/>
          <w:color w:val="auto"/>
          <w:highlight w:val="none"/>
          <w:u w:val="single"/>
        </w:rPr>
        <w:t>经发包人、监理人审批确认后方可实施</w:t>
      </w:r>
      <w:r>
        <w:rPr>
          <w:rFonts w:hint="eastAsia" w:ascii="宋体" w:hAnsi="宋体"/>
          <w:color w:val="auto"/>
          <w:szCs w:val="21"/>
          <w:highlight w:val="none"/>
        </w:rPr>
        <w:t>。</w:t>
      </w:r>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承包人提供文件的数量：</w:t>
      </w:r>
      <w:r>
        <w:rPr>
          <w:rFonts w:hint="eastAsia" w:ascii="宋体" w:hAnsi="宋体"/>
          <w:color w:val="auto"/>
          <w:szCs w:val="21"/>
          <w:highlight w:val="none"/>
          <w:u w:val="single"/>
        </w:rPr>
        <w:t>5份</w:t>
      </w:r>
    </w:p>
    <w:p>
      <w:pPr>
        <w:spacing w:line="360" w:lineRule="auto"/>
        <w:rPr>
          <w:rFonts w:ascii="宋体" w:hAnsi="宋体"/>
          <w:color w:val="auto"/>
          <w:szCs w:val="21"/>
          <w:highlight w:val="none"/>
        </w:rPr>
      </w:pPr>
      <w:r>
        <w:rPr>
          <w:rFonts w:hint="eastAsia" w:ascii="宋体" w:hAnsi="宋体"/>
          <w:color w:val="auto"/>
          <w:szCs w:val="21"/>
          <w:highlight w:val="none"/>
        </w:rPr>
        <w:t xml:space="preserve">    监理人批复承包人提供文件的期限：</w:t>
      </w:r>
      <w:r>
        <w:rPr>
          <w:rFonts w:hint="eastAsia" w:ascii="宋体" w:hAnsi="宋体"/>
          <w:color w:val="auto"/>
          <w:szCs w:val="21"/>
          <w:highlight w:val="none"/>
          <w:u w:val="single"/>
        </w:rPr>
        <w:t>收到承包人提供的文件后</w:t>
      </w:r>
      <w:r>
        <w:rPr>
          <w:rFonts w:ascii="宋体" w:hAnsi="宋体"/>
          <w:color w:val="auto"/>
          <w:szCs w:val="21"/>
          <w:highlight w:val="none"/>
          <w:u w:val="single"/>
        </w:rPr>
        <w:t>7</w:t>
      </w:r>
      <w:r>
        <w:rPr>
          <w:rFonts w:hint="eastAsia" w:ascii="宋体" w:hAnsi="宋体"/>
          <w:color w:val="auto"/>
          <w:szCs w:val="21"/>
          <w:highlight w:val="none"/>
          <w:u w:val="single"/>
        </w:rPr>
        <w:t>个工作日内提出书面批复意见；不同意的，应由承包人在监理人批复的日期内进行修正后再行提交监理人，直至批复同意</w:t>
      </w:r>
      <w:r>
        <w:rPr>
          <w:rFonts w:hint="eastAsia" w:ascii="宋体" w:hAnsi="宋体"/>
          <w:color w:val="auto"/>
          <w:szCs w:val="21"/>
          <w:highlight w:val="none"/>
        </w:rPr>
        <w:t>。</w:t>
      </w:r>
    </w:p>
    <w:p>
      <w:pPr>
        <w:spacing w:line="360" w:lineRule="auto"/>
        <w:ind w:firstLine="440" w:firstLineChars="200"/>
        <w:rPr>
          <w:rFonts w:ascii="宋体" w:hAnsi="宋体"/>
          <w:color w:val="auto"/>
          <w:szCs w:val="21"/>
          <w:highlight w:val="none"/>
          <w:u w:val="single"/>
        </w:rPr>
      </w:pPr>
      <w:r>
        <w:rPr>
          <w:rFonts w:hint="eastAsia" w:ascii="宋体" w:hAnsi="宋体"/>
          <w:color w:val="auto"/>
          <w:szCs w:val="21"/>
          <w:highlight w:val="none"/>
        </w:rPr>
        <w:t>其他约定：</w:t>
      </w:r>
      <w:r>
        <w:rPr>
          <w:rFonts w:hint="eastAsia" w:ascii="宋体" w:hAnsi="宋体"/>
          <w:color w:val="auto"/>
          <w:szCs w:val="21"/>
          <w:highlight w:val="none"/>
          <w:u w:val="single"/>
        </w:rPr>
        <w:t xml:space="preserve">监理人对施工组织设计和承包人制作的加工图、大样图、施工节点图、安装图、协调配合图等图纸和文件的批准并不能解除承包人根据本合同约定应当承担的责任。上述深化设计或加工图、大样图、安装图及协调配合图若存在缺陷造成的工期延误或返工，即使已经过发包人审批，承包人仍需承担相关责任及费用，工期不予顺延。承包人须在竣工后14天内提交一式三份竣工图纸、工程档案、竣工资料记录，电子竣工图一套及一切所需之文件给予发包人审批，该文件及图纸须符合国家有关规定及城建档案馆的要求。需经发包人审批的图纸文件，承包人须于发包人审批后14天内以发包人之名义向档案馆提交并获得其认可归档。竣工图及竣工档案的编制费用由承包人在投标时列入投标报价中，竣工后发包人不再另行支付。  </w:t>
      </w:r>
    </w:p>
    <w:p>
      <w:pPr>
        <w:pStyle w:val="60"/>
        <w:spacing w:before="120" w:after="120"/>
        <w:outlineLvl w:val="1"/>
        <w:rPr>
          <w:color w:val="auto"/>
          <w:highlight w:val="none"/>
        </w:rPr>
      </w:pPr>
      <w:bookmarkStart w:id="107" w:name="_Toc69034479"/>
      <w:bookmarkStart w:id="108" w:name="_Toc79998237"/>
      <w:r>
        <w:rPr>
          <w:color w:val="auto"/>
          <w:highlight w:val="none"/>
        </w:rPr>
        <w:t>1.</w:t>
      </w:r>
      <w:r>
        <w:rPr>
          <w:rFonts w:hint="eastAsia"/>
          <w:color w:val="auto"/>
          <w:highlight w:val="none"/>
          <w:lang w:val="en-US" w:eastAsia="zh-CN"/>
        </w:rPr>
        <w:t>5</w:t>
      </w:r>
      <w:r>
        <w:rPr>
          <w:color w:val="auto"/>
          <w:highlight w:val="none"/>
        </w:rPr>
        <w:t xml:space="preserve">  </w:t>
      </w:r>
      <w:r>
        <w:rPr>
          <w:rFonts w:hint="eastAsia"/>
          <w:color w:val="auto"/>
          <w:highlight w:val="none"/>
        </w:rPr>
        <w:t>联络</w:t>
      </w:r>
      <w:bookmarkEnd w:id="99"/>
      <w:bookmarkEnd w:id="100"/>
      <w:bookmarkEnd w:id="101"/>
      <w:bookmarkEnd w:id="102"/>
      <w:bookmarkEnd w:id="103"/>
      <w:bookmarkEnd w:id="104"/>
      <w:bookmarkEnd w:id="105"/>
      <w:bookmarkEnd w:id="106"/>
      <w:bookmarkEnd w:id="107"/>
      <w:bookmarkEnd w:id="108"/>
    </w:p>
    <w:p>
      <w:pPr>
        <w:spacing w:line="360" w:lineRule="auto"/>
        <w:ind w:firstLine="440" w:firstLineChars="200"/>
        <w:jc w:val="left"/>
        <w:rPr>
          <w:rFonts w:ascii="宋体" w:cs="Arial"/>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 xml:space="preserve">  </w:t>
      </w:r>
      <w:r>
        <w:rPr>
          <w:rFonts w:hint="eastAsia" w:ascii="宋体" w:hAnsi="宋体"/>
          <w:color w:val="auto"/>
          <w:szCs w:val="21"/>
          <w:highlight w:val="none"/>
        </w:rPr>
        <w:t>联络来往函件的送达和接收</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发包人指定的接收地点：</w:t>
      </w:r>
      <w:r>
        <w:rPr>
          <w:rFonts w:hint="eastAsia" w:ascii="宋体" w:hAnsi="宋体"/>
          <w:color w:val="auto"/>
          <w:szCs w:val="21"/>
          <w:highlight w:val="none"/>
          <w:u w:val="single"/>
        </w:rPr>
        <w:t xml:space="preserve">                 </w:t>
      </w:r>
    </w:p>
    <w:p>
      <w:pPr>
        <w:spacing w:line="360" w:lineRule="auto"/>
        <w:ind w:firstLine="440" w:firstLineChars="200"/>
        <w:jc w:val="left"/>
        <w:rPr>
          <w:rFonts w:hint="eastAsia"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40" w:firstLineChars="200"/>
        <w:jc w:val="left"/>
        <w:rPr>
          <w:rFonts w:ascii="宋体"/>
          <w:color w:val="auto"/>
          <w:szCs w:val="21"/>
          <w:highlight w:val="none"/>
        </w:rPr>
      </w:pPr>
      <w:r>
        <w:rPr>
          <w:rFonts w:hint="eastAsia" w:ascii="宋体" w:hAnsi="宋体"/>
          <w:color w:val="auto"/>
          <w:szCs w:val="21"/>
          <w:highlight w:val="none"/>
        </w:rPr>
        <w:t>监理人指定的接收地点：</w:t>
      </w:r>
      <w:r>
        <w:rPr>
          <w:rFonts w:hint="eastAsia" w:ascii="宋体" w:hAnsi="宋体"/>
          <w:color w:val="auto"/>
          <w:szCs w:val="21"/>
          <w:highlight w:val="none"/>
          <w:u w:val="single"/>
        </w:rPr>
        <w:t xml:space="preserve">                        </w:t>
      </w:r>
    </w:p>
    <w:p>
      <w:pPr>
        <w:spacing w:line="360" w:lineRule="auto"/>
        <w:ind w:firstLine="440" w:firstLineChars="200"/>
        <w:rPr>
          <w:rFonts w:hint="eastAsia"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40" w:firstLineChars="200"/>
        <w:jc w:val="left"/>
        <w:rPr>
          <w:rFonts w:ascii="宋体"/>
          <w:color w:val="auto"/>
          <w:highlight w:val="none"/>
        </w:rPr>
      </w:pPr>
      <w:r>
        <w:rPr>
          <w:rFonts w:hint="eastAsia" w:ascii="宋体" w:hAnsi="宋体"/>
          <w:color w:val="auto"/>
          <w:szCs w:val="21"/>
          <w:highlight w:val="none"/>
        </w:rPr>
        <w:t>承包人指定的接收地点：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59"/>
        <w:spacing w:before="120" w:after="120"/>
        <w:outlineLvl w:val="0"/>
        <w:rPr>
          <w:color w:val="auto"/>
          <w:highlight w:val="none"/>
        </w:rPr>
      </w:pPr>
      <w:bookmarkStart w:id="109" w:name="_Toc22853"/>
      <w:bookmarkStart w:id="110" w:name="_Toc486580380"/>
      <w:bookmarkStart w:id="111" w:name="_Toc490331671"/>
      <w:bookmarkStart w:id="112" w:name="_Toc510037973"/>
      <w:bookmarkStart w:id="113" w:name="_Toc79998238"/>
      <w:bookmarkStart w:id="114" w:name="_Toc489280186"/>
      <w:bookmarkStart w:id="115" w:name="_Toc485323154"/>
      <w:bookmarkStart w:id="116" w:name="_Toc497214049"/>
      <w:bookmarkStart w:id="117" w:name="_Toc17163"/>
      <w:bookmarkStart w:id="118" w:name="_Toc69034480"/>
      <w:r>
        <w:rPr>
          <w:color w:val="auto"/>
          <w:highlight w:val="none"/>
        </w:rPr>
        <w:t>2.</w:t>
      </w:r>
      <w:r>
        <w:rPr>
          <w:rFonts w:hint="eastAsia"/>
          <w:color w:val="auto"/>
          <w:highlight w:val="none"/>
        </w:rPr>
        <w:t>发包人义务</w:t>
      </w:r>
      <w:bookmarkEnd w:id="109"/>
      <w:bookmarkEnd w:id="110"/>
      <w:bookmarkEnd w:id="111"/>
      <w:bookmarkEnd w:id="112"/>
      <w:bookmarkEnd w:id="113"/>
      <w:bookmarkEnd w:id="114"/>
      <w:bookmarkEnd w:id="115"/>
      <w:bookmarkEnd w:id="116"/>
      <w:bookmarkEnd w:id="117"/>
      <w:bookmarkEnd w:id="118"/>
    </w:p>
    <w:p>
      <w:pPr>
        <w:pStyle w:val="60"/>
        <w:spacing w:before="120" w:after="120"/>
        <w:outlineLvl w:val="1"/>
        <w:rPr>
          <w:color w:val="auto"/>
          <w:highlight w:val="none"/>
        </w:rPr>
      </w:pPr>
      <w:bookmarkStart w:id="119" w:name="_Toc22753"/>
      <w:bookmarkStart w:id="120" w:name="_Toc490331672"/>
      <w:bookmarkStart w:id="121" w:name="_Toc489280187"/>
      <w:bookmarkStart w:id="122" w:name="_Toc79998239"/>
      <w:bookmarkStart w:id="123" w:name="_Toc497214050"/>
      <w:bookmarkStart w:id="124" w:name="_Toc485323155"/>
      <w:bookmarkStart w:id="125" w:name="_Toc486580381"/>
      <w:bookmarkStart w:id="126" w:name="_Toc69034481"/>
      <w:bookmarkStart w:id="127" w:name="_Toc489280190"/>
      <w:bookmarkStart w:id="128" w:name="_Toc29619"/>
      <w:bookmarkStart w:id="129" w:name="_Toc510037978"/>
      <w:bookmarkStart w:id="130" w:name="_Toc490331675"/>
      <w:bookmarkStart w:id="131" w:name="_Toc486580384"/>
      <w:bookmarkStart w:id="132" w:name="_Toc22591"/>
      <w:bookmarkStart w:id="133" w:name="_Toc497214053"/>
      <w:bookmarkStart w:id="134" w:name="_Toc485323158"/>
      <w:r>
        <w:rPr>
          <w:color w:val="auto"/>
          <w:highlight w:val="none"/>
        </w:rPr>
        <w:t>2.</w:t>
      </w:r>
      <w:r>
        <w:rPr>
          <w:rFonts w:hint="eastAsia"/>
          <w:color w:val="auto"/>
          <w:highlight w:val="none"/>
          <w:lang w:val="en-US" w:eastAsia="zh-CN"/>
        </w:rPr>
        <w:t>1</w:t>
      </w:r>
      <w:r>
        <w:rPr>
          <w:color w:val="auto"/>
          <w:highlight w:val="none"/>
        </w:rPr>
        <w:t xml:space="preserve">  </w:t>
      </w:r>
      <w:r>
        <w:rPr>
          <w:rFonts w:hint="eastAsia"/>
          <w:color w:val="auto"/>
          <w:highlight w:val="none"/>
        </w:rPr>
        <w:t>提供施工场地</w:t>
      </w:r>
      <w:bookmarkEnd w:id="119"/>
      <w:bookmarkEnd w:id="120"/>
      <w:bookmarkEnd w:id="121"/>
      <w:bookmarkEnd w:id="122"/>
      <w:bookmarkEnd w:id="123"/>
      <w:bookmarkEnd w:id="124"/>
      <w:bookmarkEnd w:id="125"/>
      <w:bookmarkEnd w:id="126"/>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发包人移交施工场地的期限：发包人应当将具备施工条件的施工场地，在监理人发出开工通知中载明的开工日期</w:t>
      </w:r>
      <w:r>
        <w:rPr>
          <w:rFonts w:hint="eastAsia" w:ascii="宋体" w:hAnsi="宋体"/>
          <w:color w:val="auto"/>
          <w:szCs w:val="21"/>
          <w:highlight w:val="none"/>
          <w:u w:val="single"/>
        </w:rPr>
        <w:t>7</w:t>
      </w:r>
      <w:r>
        <w:rPr>
          <w:rFonts w:hint="eastAsia" w:ascii="宋体" w:hAnsi="宋体"/>
          <w:color w:val="auto"/>
          <w:szCs w:val="21"/>
          <w:highlight w:val="none"/>
        </w:rPr>
        <w:t>天前移交给承包人。</w:t>
      </w:r>
    </w:p>
    <w:p>
      <w:pPr>
        <w:pStyle w:val="60"/>
        <w:spacing w:before="120" w:after="120"/>
        <w:outlineLvl w:val="1"/>
        <w:rPr>
          <w:color w:val="auto"/>
          <w:highlight w:val="none"/>
        </w:rPr>
      </w:pPr>
      <w:bookmarkStart w:id="135" w:name="_Toc497214051"/>
      <w:bookmarkStart w:id="136" w:name="_Toc489280188"/>
      <w:bookmarkStart w:id="137" w:name="_Toc31933"/>
      <w:bookmarkStart w:id="138" w:name="_Toc485323156"/>
      <w:bookmarkStart w:id="139" w:name="_Toc490331673"/>
      <w:bookmarkStart w:id="140" w:name="_Toc79998240"/>
      <w:bookmarkStart w:id="141" w:name="_Toc486580382"/>
      <w:bookmarkStart w:id="142" w:name="_Toc69034482"/>
      <w:r>
        <w:rPr>
          <w:color w:val="auto"/>
          <w:highlight w:val="none"/>
        </w:rPr>
        <w:t>2.</w:t>
      </w:r>
      <w:r>
        <w:rPr>
          <w:rFonts w:hint="eastAsia"/>
          <w:color w:val="auto"/>
          <w:highlight w:val="none"/>
          <w:lang w:val="en-US" w:eastAsia="zh-CN"/>
        </w:rPr>
        <w:t>2</w:t>
      </w:r>
      <w:r>
        <w:rPr>
          <w:color w:val="auto"/>
          <w:highlight w:val="none"/>
        </w:rPr>
        <w:t xml:space="preserve">  </w:t>
      </w:r>
      <w:r>
        <w:rPr>
          <w:rFonts w:hint="eastAsia"/>
          <w:color w:val="auto"/>
          <w:highlight w:val="none"/>
        </w:rPr>
        <w:t>向承包人提交支付担保</w:t>
      </w:r>
      <w:bookmarkEnd w:id="135"/>
      <w:bookmarkEnd w:id="136"/>
      <w:bookmarkEnd w:id="137"/>
      <w:bookmarkEnd w:id="138"/>
      <w:bookmarkEnd w:id="139"/>
      <w:bookmarkEnd w:id="140"/>
      <w:bookmarkEnd w:id="141"/>
      <w:bookmarkEnd w:id="142"/>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发包人向承包人提交支付担保的金额：</w:t>
      </w:r>
      <w:r>
        <w:rPr>
          <w:rFonts w:hint="eastAsia" w:ascii="宋体" w:hAnsi="宋体"/>
          <w:color w:val="auto"/>
          <w:szCs w:val="21"/>
          <w:highlight w:val="none"/>
          <w:u w:val="single"/>
        </w:rPr>
        <w:t>/</w:t>
      </w:r>
    </w:p>
    <w:p>
      <w:pPr>
        <w:pStyle w:val="60"/>
        <w:spacing w:before="120" w:after="120"/>
        <w:outlineLvl w:val="1"/>
        <w:rPr>
          <w:color w:val="auto"/>
          <w:highlight w:val="none"/>
        </w:rPr>
      </w:pPr>
      <w:bookmarkStart w:id="143" w:name="_Toc486580383"/>
      <w:bookmarkStart w:id="144" w:name="_Toc489280189"/>
      <w:bookmarkStart w:id="145" w:name="_Toc490331674"/>
      <w:bookmarkStart w:id="146" w:name="_Toc497214052"/>
      <w:bookmarkStart w:id="147" w:name="_Toc30742"/>
      <w:bookmarkStart w:id="148" w:name="_Toc79998241"/>
      <w:bookmarkStart w:id="149" w:name="_Toc485323157"/>
      <w:bookmarkStart w:id="150" w:name="_Toc69034483"/>
      <w:r>
        <w:rPr>
          <w:color w:val="auto"/>
          <w:highlight w:val="none"/>
        </w:rPr>
        <w:t>2.</w:t>
      </w:r>
      <w:r>
        <w:rPr>
          <w:rFonts w:hint="eastAsia"/>
          <w:color w:val="auto"/>
          <w:highlight w:val="none"/>
          <w:lang w:val="en-US" w:eastAsia="zh-CN"/>
        </w:rPr>
        <w:t>3</w:t>
      </w:r>
      <w:r>
        <w:rPr>
          <w:color w:val="auto"/>
          <w:highlight w:val="none"/>
        </w:rPr>
        <w:t xml:space="preserve">  </w:t>
      </w:r>
      <w:r>
        <w:rPr>
          <w:rFonts w:hint="eastAsia"/>
          <w:color w:val="auto"/>
          <w:highlight w:val="none"/>
        </w:rPr>
        <w:t>其他义务</w:t>
      </w:r>
      <w:bookmarkEnd w:id="143"/>
      <w:bookmarkEnd w:id="144"/>
      <w:bookmarkEnd w:id="145"/>
      <w:bookmarkEnd w:id="146"/>
      <w:bookmarkEnd w:id="147"/>
      <w:bookmarkEnd w:id="148"/>
      <w:bookmarkEnd w:id="149"/>
      <w:bookmarkEnd w:id="150"/>
    </w:p>
    <w:p>
      <w:pPr>
        <w:spacing w:line="360" w:lineRule="auto"/>
        <w:ind w:firstLine="440" w:firstLineChars="200"/>
        <w:rPr>
          <w:rFonts w:ascii="宋体" w:cs="Arial"/>
          <w:color w:val="auto"/>
          <w:szCs w:val="21"/>
          <w:highlight w:val="none"/>
        </w:rPr>
      </w:pPr>
      <w:r>
        <w:rPr>
          <w:rFonts w:hint="eastAsia" w:ascii="宋体" w:hAnsi="宋体"/>
          <w:color w:val="auto"/>
          <w:szCs w:val="21"/>
          <w:highlight w:val="none"/>
        </w:rPr>
        <w:t>发包人应当履行的其他义务</w:t>
      </w:r>
      <w:r>
        <w:rPr>
          <w:rFonts w:hint="eastAsia" w:ascii="宋体" w:hAnsi="宋体" w:cs="Arial"/>
          <w:color w:val="auto"/>
          <w:highlight w:val="none"/>
        </w:rPr>
        <w:t>：</w:t>
      </w:r>
      <w:r>
        <w:rPr>
          <w:rFonts w:hint="eastAsia" w:ascii="宋体" w:hAnsi="宋体" w:cs="Arial"/>
          <w:color w:val="auto"/>
          <w:highlight w:val="none"/>
          <w:u w:val="single"/>
        </w:rPr>
        <w:t>/</w:t>
      </w:r>
    </w:p>
    <w:p>
      <w:pPr>
        <w:pStyle w:val="59"/>
        <w:spacing w:before="120" w:after="120"/>
        <w:outlineLvl w:val="0"/>
        <w:rPr>
          <w:color w:val="auto"/>
          <w:highlight w:val="none"/>
        </w:rPr>
      </w:pPr>
      <w:bookmarkStart w:id="151" w:name="_Toc79998242"/>
      <w:bookmarkStart w:id="152" w:name="_Toc69034484"/>
      <w:r>
        <w:rPr>
          <w:color w:val="auto"/>
          <w:highlight w:val="none"/>
        </w:rPr>
        <w:t>3.</w:t>
      </w:r>
      <w:r>
        <w:rPr>
          <w:rFonts w:hint="eastAsia"/>
          <w:color w:val="auto"/>
          <w:highlight w:val="none"/>
        </w:rPr>
        <w:t>监理人</w:t>
      </w:r>
      <w:bookmarkEnd w:id="127"/>
      <w:bookmarkEnd w:id="128"/>
      <w:bookmarkEnd w:id="129"/>
      <w:bookmarkEnd w:id="130"/>
      <w:bookmarkEnd w:id="131"/>
      <w:bookmarkEnd w:id="132"/>
      <w:bookmarkEnd w:id="133"/>
      <w:bookmarkEnd w:id="134"/>
      <w:bookmarkEnd w:id="151"/>
      <w:bookmarkEnd w:id="152"/>
    </w:p>
    <w:p>
      <w:pPr>
        <w:pStyle w:val="60"/>
        <w:spacing w:before="120" w:after="120"/>
        <w:ind w:firstLine="560" w:firstLineChars="200"/>
        <w:outlineLvl w:val="1"/>
        <w:rPr>
          <w:color w:val="auto"/>
          <w:highlight w:val="none"/>
        </w:rPr>
      </w:pPr>
      <w:bookmarkStart w:id="153" w:name="_Toc489280191"/>
      <w:bookmarkStart w:id="154" w:name="_Toc79998243"/>
      <w:bookmarkStart w:id="155" w:name="_Toc69034485"/>
      <w:bookmarkStart w:id="156" w:name="_Toc486580385"/>
      <w:bookmarkStart w:id="157" w:name="_Toc490331676"/>
      <w:bookmarkStart w:id="158" w:name="_Toc485323159"/>
      <w:bookmarkStart w:id="159" w:name="_Toc497214054"/>
      <w:bookmarkStart w:id="160" w:name="_Toc32405"/>
      <w:bookmarkStart w:id="161" w:name="_Toc489280192"/>
      <w:bookmarkStart w:id="162" w:name="_Toc497214055"/>
      <w:bookmarkStart w:id="163" w:name="_Toc510037980"/>
      <w:bookmarkStart w:id="164" w:name="_Toc485323160"/>
      <w:bookmarkStart w:id="165" w:name="_Toc486580386"/>
      <w:bookmarkStart w:id="166" w:name="_Toc18548"/>
      <w:bookmarkStart w:id="167" w:name="_Toc11895"/>
      <w:bookmarkStart w:id="168" w:name="_Toc490331677"/>
      <w:r>
        <w:rPr>
          <w:rFonts w:hint="eastAsia"/>
          <w:color w:val="auto"/>
          <w:highlight w:val="none"/>
        </w:rPr>
        <w:t>监理人的职责和权力</w:t>
      </w:r>
      <w:bookmarkEnd w:id="153"/>
      <w:bookmarkEnd w:id="154"/>
      <w:bookmarkEnd w:id="155"/>
      <w:bookmarkEnd w:id="156"/>
      <w:bookmarkEnd w:id="157"/>
      <w:bookmarkEnd w:id="158"/>
      <w:bookmarkEnd w:id="159"/>
      <w:bookmarkEnd w:id="160"/>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发包人需批准明确行使的权力：</w:t>
      </w:r>
      <w:r>
        <w:rPr>
          <w:rFonts w:hint="eastAsia" w:ascii="宋体" w:hAnsi="宋体"/>
          <w:color w:val="auto"/>
          <w:szCs w:val="21"/>
          <w:highlight w:val="none"/>
          <w:u w:val="single"/>
        </w:rPr>
        <w:t>依据监理合同文件的约定，具体包括但不限于：发出开工通知；监理人按照合同约定发出的变更指示；对于施工场地管理机构人员现场的管理行使考核、撤换；材料和工程设备的检验；审批合同进度计划；工程质量的跟踪检查；审查暂估价的专业工程、材料和工程设备招标管理，如招标文件、工程量清单及控制价等文件的审核以及招标采购过程所需的询价、考察等工作；变更价款的审核；工程量报表的复核；付款申请的核查；索赔的处理等</w:t>
      </w:r>
      <w:r>
        <w:rPr>
          <w:rFonts w:hint="eastAsia" w:ascii="宋体" w:hAnsi="宋体"/>
          <w:color w:val="auto"/>
          <w:szCs w:val="21"/>
          <w:highlight w:val="none"/>
        </w:rPr>
        <w:t>。</w:t>
      </w:r>
    </w:p>
    <w:p>
      <w:pPr>
        <w:pStyle w:val="59"/>
        <w:spacing w:before="120" w:after="120"/>
        <w:outlineLvl w:val="0"/>
        <w:rPr>
          <w:color w:val="auto"/>
          <w:highlight w:val="none"/>
        </w:rPr>
      </w:pPr>
      <w:bookmarkStart w:id="169" w:name="_Toc79998244"/>
      <w:bookmarkStart w:id="170" w:name="_Toc69034486"/>
      <w:r>
        <w:rPr>
          <w:color w:val="auto"/>
          <w:highlight w:val="none"/>
        </w:rPr>
        <w:t>4.</w:t>
      </w:r>
      <w:r>
        <w:rPr>
          <w:rFonts w:hint="eastAsia"/>
          <w:color w:val="auto"/>
          <w:highlight w:val="none"/>
        </w:rPr>
        <w:t>承包人</w:t>
      </w:r>
      <w:bookmarkEnd w:id="161"/>
      <w:bookmarkEnd w:id="162"/>
      <w:bookmarkEnd w:id="163"/>
      <w:bookmarkEnd w:id="164"/>
      <w:bookmarkEnd w:id="165"/>
      <w:bookmarkEnd w:id="166"/>
      <w:bookmarkEnd w:id="167"/>
      <w:bookmarkEnd w:id="168"/>
      <w:bookmarkEnd w:id="169"/>
      <w:bookmarkEnd w:id="170"/>
    </w:p>
    <w:p>
      <w:pPr>
        <w:pStyle w:val="60"/>
        <w:spacing w:before="120" w:after="120"/>
        <w:outlineLvl w:val="1"/>
        <w:rPr>
          <w:color w:val="auto"/>
          <w:highlight w:val="none"/>
        </w:rPr>
      </w:pPr>
      <w:bookmarkStart w:id="171" w:name="_Toc490331678"/>
      <w:bookmarkStart w:id="172" w:name="_Toc489280193"/>
      <w:bookmarkStart w:id="173" w:name="_Toc79998245"/>
      <w:bookmarkStart w:id="174" w:name="_Toc69034487"/>
      <w:bookmarkStart w:id="175" w:name="_Toc497214056"/>
      <w:bookmarkStart w:id="176" w:name="_Toc486580387"/>
      <w:bookmarkStart w:id="177" w:name="_Toc18483"/>
      <w:bookmarkStart w:id="178" w:name="_Toc485323161"/>
      <w:r>
        <w:rPr>
          <w:color w:val="auto"/>
          <w:highlight w:val="none"/>
        </w:rPr>
        <w:t xml:space="preserve">4.1  </w:t>
      </w:r>
      <w:r>
        <w:rPr>
          <w:rFonts w:hint="eastAsia"/>
          <w:color w:val="auto"/>
          <w:highlight w:val="none"/>
        </w:rPr>
        <w:t>承包人的一般义务</w:t>
      </w:r>
      <w:bookmarkEnd w:id="171"/>
      <w:bookmarkEnd w:id="172"/>
      <w:bookmarkEnd w:id="173"/>
      <w:bookmarkEnd w:id="174"/>
      <w:bookmarkEnd w:id="175"/>
      <w:bookmarkEnd w:id="176"/>
      <w:bookmarkEnd w:id="177"/>
      <w:bookmarkEnd w:id="178"/>
    </w:p>
    <w:p>
      <w:pPr>
        <w:spacing w:line="360" w:lineRule="auto"/>
        <w:ind w:firstLine="440" w:firstLineChars="200"/>
        <w:rPr>
          <w:rFonts w:ascii="宋体"/>
          <w:color w:val="auto"/>
          <w:szCs w:val="21"/>
          <w:highlight w:val="none"/>
        </w:rPr>
      </w:pPr>
      <w:r>
        <w:rPr>
          <w:rFonts w:ascii="宋体" w:hAnsi="宋体"/>
          <w:color w:val="auto"/>
          <w:szCs w:val="21"/>
          <w:highlight w:val="none"/>
        </w:rPr>
        <w:t>4.1.</w:t>
      </w:r>
      <w:r>
        <w:rPr>
          <w:rFonts w:hint="eastAsia" w:ascii="宋体" w:hAnsi="宋体"/>
          <w:color w:val="auto"/>
          <w:szCs w:val="21"/>
          <w:highlight w:val="none"/>
          <w:lang w:val="en-US" w:eastAsia="zh-CN"/>
        </w:rPr>
        <w:t>1</w:t>
      </w:r>
      <w:r>
        <w:rPr>
          <w:rFonts w:ascii="宋体" w:hAnsi="宋体"/>
          <w:color w:val="auto"/>
          <w:szCs w:val="21"/>
          <w:highlight w:val="none"/>
        </w:rPr>
        <w:t xml:space="preserve">  </w:t>
      </w:r>
      <w:r>
        <w:rPr>
          <w:rFonts w:hint="eastAsia" w:ascii="宋体" w:hAnsi="宋体"/>
          <w:color w:val="auto"/>
          <w:szCs w:val="21"/>
          <w:highlight w:val="none"/>
        </w:rPr>
        <w:t>为他人提供方便</w:t>
      </w:r>
    </w:p>
    <w:p>
      <w:pPr>
        <w:spacing w:line="360"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）承包人应当对在施工场地或者附近实施与合同工程有关的其他工作的独立承包人履行管理、协调、配合、照管和服务义务的具体工作内容和要求：</w:t>
      </w:r>
    </w:p>
    <w:p>
      <w:pPr>
        <w:spacing w:line="360" w:lineRule="auto"/>
        <w:ind w:firstLine="440" w:firstLineChars="200"/>
        <w:rPr>
          <w:rFonts w:ascii="宋体" w:hAnsi="宋体"/>
          <w:color w:val="auto"/>
          <w:szCs w:val="21"/>
          <w:highlight w:val="none"/>
          <w:u w:val="single"/>
        </w:rPr>
      </w:pPr>
      <w:r>
        <w:rPr>
          <w:rFonts w:hint="eastAsia" w:ascii="宋体" w:hAnsi="宋体"/>
          <w:color w:val="auto"/>
          <w:szCs w:val="21"/>
          <w:highlight w:val="none"/>
          <w:u w:val="single"/>
        </w:rPr>
        <w:t>1）为其他独立承包人在使用施工用地、道路和其他公用设施等方面提供方便。</w:t>
      </w:r>
    </w:p>
    <w:p>
      <w:pPr>
        <w:tabs>
          <w:tab w:val="left" w:pos="1220"/>
        </w:tabs>
        <w:spacing w:line="360" w:lineRule="auto"/>
        <w:ind w:firstLine="440" w:firstLineChars="200"/>
        <w:rPr>
          <w:color w:val="auto"/>
          <w:szCs w:val="21"/>
          <w:highlight w:val="none"/>
          <w:u w:val="single"/>
        </w:rPr>
      </w:pPr>
      <w:r>
        <w:rPr>
          <w:color w:val="auto"/>
          <w:szCs w:val="21"/>
          <w:highlight w:val="none"/>
          <w:u w:val="single"/>
        </w:rPr>
        <w:t>2</w:t>
      </w:r>
      <w:r>
        <w:rPr>
          <w:rFonts w:hint="eastAsia"/>
          <w:color w:val="auto"/>
          <w:szCs w:val="21"/>
          <w:highlight w:val="none"/>
          <w:u w:val="single"/>
        </w:rPr>
        <w:t>）承包人对本工程现场的使用仅限于为完成本工程施工的目的，不允许承包人将现场用于非本合同或与本合同不相关的工作</w:t>
      </w:r>
      <w:r>
        <w:rPr>
          <w:rFonts w:hint="eastAsia"/>
          <w:color w:val="auto"/>
          <w:szCs w:val="21"/>
          <w:highlight w:val="none"/>
        </w:rPr>
        <w:t>。</w:t>
      </w:r>
    </w:p>
    <w:p>
      <w:pPr>
        <w:tabs>
          <w:tab w:val="left" w:pos="1220"/>
        </w:tabs>
        <w:spacing w:line="360" w:lineRule="auto"/>
        <w:ind w:firstLine="440" w:firstLineChars="200"/>
        <w:rPr>
          <w:color w:val="auto"/>
          <w:szCs w:val="21"/>
          <w:highlight w:val="none"/>
          <w:u w:val="single"/>
        </w:rPr>
      </w:pPr>
      <w:r>
        <w:rPr>
          <w:color w:val="auto"/>
          <w:szCs w:val="21"/>
          <w:highlight w:val="none"/>
          <w:u w:val="single"/>
        </w:rPr>
        <w:t>3</w:t>
      </w:r>
      <w:r>
        <w:rPr>
          <w:rFonts w:hint="eastAsia"/>
          <w:color w:val="auto"/>
          <w:szCs w:val="21"/>
          <w:highlight w:val="none"/>
          <w:u w:val="single"/>
        </w:rPr>
        <w:t>）除为室外工程施工外，承包人的工作和使用空间只限于现场规划红线或临时边界线范围内</w:t>
      </w:r>
      <w:r>
        <w:rPr>
          <w:rFonts w:hint="eastAsia"/>
          <w:color w:val="auto"/>
          <w:szCs w:val="21"/>
          <w:highlight w:val="none"/>
        </w:rPr>
        <w:t>。</w:t>
      </w:r>
    </w:p>
    <w:p>
      <w:pPr>
        <w:tabs>
          <w:tab w:val="left" w:pos="1220"/>
        </w:tabs>
        <w:spacing w:line="360" w:lineRule="auto"/>
        <w:ind w:firstLine="440" w:firstLineChars="200"/>
        <w:rPr>
          <w:color w:val="auto"/>
          <w:szCs w:val="21"/>
          <w:highlight w:val="none"/>
          <w:u w:val="single"/>
        </w:rPr>
      </w:pPr>
      <w:r>
        <w:rPr>
          <w:color w:val="auto"/>
          <w:szCs w:val="21"/>
          <w:highlight w:val="none"/>
          <w:u w:val="single"/>
        </w:rPr>
        <w:t>4</w:t>
      </w:r>
      <w:r>
        <w:rPr>
          <w:rFonts w:hint="eastAsia"/>
          <w:color w:val="auto"/>
          <w:szCs w:val="21"/>
          <w:highlight w:val="none"/>
          <w:u w:val="single"/>
        </w:rPr>
        <w:t>）需承包人办理的有关施工场地交通、环卫等手续</w:t>
      </w:r>
      <w:r>
        <w:rPr>
          <w:rFonts w:hint="eastAsia"/>
          <w:color w:val="auto"/>
          <w:szCs w:val="21"/>
          <w:highlight w:val="none"/>
        </w:rPr>
        <w:t>；</w:t>
      </w:r>
    </w:p>
    <w:p>
      <w:pPr>
        <w:tabs>
          <w:tab w:val="left" w:pos="1220"/>
        </w:tabs>
        <w:spacing w:line="360" w:lineRule="auto"/>
        <w:ind w:firstLine="440" w:firstLineChars="200"/>
        <w:rPr>
          <w:color w:val="auto"/>
          <w:szCs w:val="21"/>
          <w:highlight w:val="none"/>
          <w:u w:val="single"/>
        </w:rPr>
      </w:pPr>
      <w:r>
        <w:rPr>
          <w:rFonts w:hint="eastAsia"/>
          <w:color w:val="auto"/>
          <w:szCs w:val="21"/>
          <w:highlight w:val="none"/>
          <w:u w:val="single"/>
        </w:rPr>
        <w:t>①需要办理特别通行证时，由承包人负责办证，发包人协助</w:t>
      </w:r>
      <w:r>
        <w:rPr>
          <w:rFonts w:hint="eastAsia"/>
          <w:color w:val="auto"/>
          <w:szCs w:val="21"/>
          <w:highlight w:val="none"/>
        </w:rPr>
        <w:t>；</w:t>
      </w:r>
    </w:p>
    <w:p>
      <w:pPr>
        <w:tabs>
          <w:tab w:val="left" w:pos="1220"/>
        </w:tabs>
        <w:spacing w:line="360" w:lineRule="auto"/>
        <w:ind w:firstLine="440" w:firstLineChars="200"/>
        <w:rPr>
          <w:color w:val="auto"/>
          <w:szCs w:val="21"/>
          <w:highlight w:val="none"/>
          <w:u w:val="single"/>
        </w:rPr>
      </w:pPr>
      <w:r>
        <w:rPr>
          <w:rFonts w:hint="eastAsia"/>
          <w:color w:val="auto"/>
          <w:szCs w:val="21"/>
          <w:highlight w:val="none"/>
          <w:u w:val="single"/>
        </w:rPr>
        <w:t>②施工现场需要排放有害物质及污水时，由承包人办理有关手续</w:t>
      </w:r>
      <w:r>
        <w:rPr>
          <w:rFonts w:hint="eastAsia"/>
          <w:color w:val="auto"/>
          <w:szCs w:val="21"/>
          <w:highlight w:val="none"/>
        </w:rPr>
        <w:t>；</w:t>
      </w:r>
    </w:p>
    <w:p>
      <w:pPr>
        <w:tabs>
          <w:tab w:val="left" w:pos="1220"/>
        </w:tabs>
        <w:spacing w:line="360" w:lineRule="auto"/>
        <w:ind w:firstLine="440" w:firstLineChars="200"/>
        <w:rPr>
          <w:color w:val="auto"/>
          <w:szCs w:val="21"/>
          <w:highlight w:val="none"/>
          <w:u w:val="single"/>
        </w:rPr>
      </w:pPr>
      <w:r>
        <w:rPr>
          <w:rFonts w:hint="eastAsia"/>
          <w:color w:val="auto"/>
          <w:szCs w:val="21"/>
          <w:highlight w:val="none"/>
          <w:u w:val="single"/>
        </w:rPr>
        <w:t>③施工噪音超过当地主管部门的规定时，由承包人提出措施</w:t>
      </w:r>
      <w:r>
        <w:rPr>
          <w:rFonts w:hint="eastAsia"/>
          <w:color w:val="auto"/>
          <w:szCs w:val="21"/>
          <w:highlight w:val="none"/>
        </w:rPr>
        <w:t>；</w:t>
      </w:r>
    </w:p>
    <w:p>
      <w:pPr>
        <w:tabs>
          <w:tab w:val="left" w:pos="1220"/>
        </w:tabs>
        <w:spacing w:line="360" w:lineRule="auto"/>
        <w:ind w:firstLine="440" w:firstLineChars="200"/>
        <w:rPr>
          <w:color w:val="auto"/>
          <w:szCs w:val="21"/>
          <w:highlight w:val="none"/>
          <w:u w:val="single"/>
        </w:rPr>
      </w:pPr>
      <w:r>
        <w:rPr>
          <w:color w:val="auto"/>
          <w:szCs w:val="21"/>
          <w:highlight w:val="none"/>
          <w:u w:val="single"/>
        </w:rPr>
        <w:t>5</w:t>
      </w:r>
      <w:r>
        <w:rPr>
          <w:rFonts w:hint="eastAsia"/>
          <w:color w:val="auto"/>
          <w:szCs w:val="21"/>
          <w:highlight w:val="none"/>
          <w:u w:val="single"/>
        </w:rPr>
        <w:t>）承包人在施工前，须对施工地段下的电缆、水管、障碍物等地下物进行认真调查，查明其准确位置、高程和尺寸</w:t>
      </w:r>
      <w:r>
        <w:rPr>
          <w:rFonts w:hint="eastAsia"/>
          <w:color w:val="auto"/>
          <w:szCs w:val="21"/>
          <w:highlight w:val="none"/>
        </w:rPr>
        <w:t>。</w:t>
      </w:r>
    </w:p>
    <w:p>
      <w:pPr>
        <w:spacing w:line="360" w:lineRule="auto"/>
        <w:ind w:firstLine="440" w:firstLineChars="200"/>
        <w:rPr>
          <w:rFonts w:ascii="宋体"/>
          <w:color w:val="auto"/>
          <w:szCs w:val="21"/>
          <w:highlight w:val="none"/>
        </w:rPr>
      </w:pPr>
      <w:r>
        <w:rPr>
          <w:rFonts w:ascii="宋体" w:hAnsi="宋体"/>
          <w:color w:val="auto"/>
          <w:szCs w:val="21"/>
          <w:highlight w:val="none"/>
        </w:rPr>
        <w:t>4.1.</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承包人的设计工作</w:t>
      </w:r>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承包人承担的施工图设计或与工程配套的设计工作内容：</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ascii="宋体" w:hAnsi="宋体"/>
          <w:color w:val="auto"/>
          <w:szCs w:val="21"/>
          <w:highlight w:val="none"/>
        </w:rPr>
        <w:t>4.1.</w:t>
      </w:r>
      <w:r>
        <w:rPr>
          <w:rFonts w:hint="eastAsia" w:ascii="宋体" w:hAnsi="宋体"/>
          <w:color w:val="auto"/>
          <w:szCs w:val="21"/>
          <w:highlight w:val="none"/>
          <w:lang w:val="en-US" w:eastAsia="zh-CN"/>
        </w:rPr>
        <w:t>3</w:t>
      </w:r>
      <w:r>
        <w:rPr>
          <w:rFonts w:ascii="宋体" w:hAnsi="宋体"/>
          <w:color w:val="auto"/>
          <w:szCs w:val="21"/>
          <w:highlight w:val="none"/>
        </w:rPr>
        <w:t xml:space="preserve">  </w:t>
      </w:r>
      <w:r>
        <w:rPr>
          <w:rFonts w:hint="eastAsia" w:ascii="宋体" w:hAnsi="宋体"/>
          <w:color w:val="auto"/>
          <w:szCs w:val="21"/>
          <w:highlight w:val="none"/>
        </w:rPr>
        <w:t>其他义务</w:t>
      </w:r>
    </w:p>
    <w:p>
      <w:pPr>
        <w:spacing w:line="360" w:lineRule="auto"/>
        <w:rPr>
          <w:rFonts w:ascii="宋体" w:hAnsi="宋体" w:cs="Arial"/>
          <w:color w:val="auto"/>
          <w:highlight w:val="none"/>
        </w:rPr>
      </w:pPr>
      <w:r>
        <w:rPr>
          <w:rFonts w:hint="eastAsia" w:ascii="宋体" w:hAnsi="宋体"/>
          <w:color w:val="auto"/>
          <w:szCs w:val="21"/>
          <w:highlight w:val="none"/>
        </w:rPr>
        <w:t>承包人应履行的其他义务</w:t>
      </w:r>
      <w:r>
        <w:rPr>
          <w:rFonts w:hint="eastAsia" w:ascii="宋体" w:hAnsi="宋体" w:cs="Arial"/>
          <w:color w:val="auto"/>
          <w:highlight w:val="none"/>
        </w:rPr>
        <w:t>：</w:t>
      </w:r>
      <w:bookmarkStart w:id="179" w:name="_Toc485323162"/>
      <w:bookmarkStart w:id="180" w:name="_Toc486580388"/>
      <w:bookmarkStart w:id="181" w:name="_Toc497214057"/>
      <w:bookmarkStart w:id="182" w:name="_Toc489280194"/>
      <w:bookmarkStart w:id="183" w:name="_Toc490331679"/>
    </w:p>
    <w:p>
      <w:pPr>
        <w:spacing w:line="360" w:lineRule="auto"/>
        <w:ind w:firstLine="660" w:firstLineChars="300"/>
        <w:rPr>
          <w:rFonts w:ascii="Arial" w:hAnsi="Arial" w:cs="Arial"/>
          <w:color w:val="auto"/>
          <w:szCs w:val="21"/>
          <w:highlight w:val="none"/>
          <w:u w:val="single"/>
        </w:rPr>
      </w:pPr>
      <w:r>
        <w:rPr>
          <w:rFonts w:ascii="Arial" w:hAnsi="Arial" w:cs="Arial"/>
          <w:color w:val="auto"/>
          <w:szCs w:val="21"/>
          <w:highlight w:val="none"/>
        </w:rPr>
        <w:t>1）</w:t>
      </w:r>
      <w:r>
        <w:rPr>
          <w:rFonts w:ascii="Arial" w:hAnsi="Arial" w:cs="Arial"/>
          <w:color w:val="auto"/>
          <w:szCs w:val="21"/>
          <w:highlight w:val="none"/>
          <w:u w:val="single"/>
        </w:rPr>
        <w:t>根据工程需要，提供和维修非夜间施工使用的照明、围栏设施，并负责安全保卫；</w:t>
      </w:r>
    </w:p>
    <w:p>
      <w:pPr>
        <w:pStyle w:val="6"/>
        <w:keepNext w:val="0"/>
        <w:keepLines w:val="0"/>
        <w:spacing w:before="0" w:after="0" w:line="360" w:lineRule="auto"/>
        <w:ind w:firstLine="630" w:firstLineChars="300"/>
        <w:rPr>
          <w:rFonts w:cs="Arial"/>
          <w:b w:val="0"/>
          <w:color w:val="auto"/>
          <w:sz w:val="21"/>
          <w:szCs w:val="21"/>
          <w:highlight w:val="none"/>
          <w:u w:val="single"/>
        </w:rPr>
      </w:pPr>
      <w:r>
        <w:rPr>
          <w:rFonts w:cs="Arial"/>
          <w:b w:val="0"/>
          <w:color w:val="auto"/>
          <w:sz w:val="21"/>
          <w:szCs w:val="21"/>
          <w:highlight w:val="none"/>
        </w:rPr>
        <w:t>2）</w:t>
      </w:r>
      <w:r>
        <w:rPr>
          <w:rFonts w:cs="Arial"/>
          <w:b w:val="0"/>
          <w:color w:val="auto"/>
          <w:sz w:val="21"/>
          <w:szCs w:val="21"/>
          <w:highlight w:val="none"/>
          <w:u w:val="single"/>
        </w:rPr>
        <w:t>做好施工场地地下管线和邻近建筑物、构筑物的保护工作；</w:t>
      </w:r>
    </w:p>
    <w:p>
      <w:pPr>
        <w:spacing w:line="360" w:lineRule="auto"/>
        <w:ind w:left="1100" w:leftChars="300" w:hanging="440" w:hangingChars="200"/>
        <w:rPr>
          <w:rFonts w:ascii="Arial" w:hAnsi="Arial" w:eastAsia="宋体" w:cs="Arial"/>
          <w:color w:val="auto"/>
          <w:szCs w:val="21"/>
          <w:highlight w:val="none"/>
          <w:u w:val="single"/>
        </w:rPr>
      </w:pPr>
      <w:r>
        <w:rPr>
          <w:rFonts w:hint="eastAsia" w:ascii="Arial" w:hAnsi="Arial" w:eastAsia="宋体" w:cs="Arial"/>
          <w:color w:val="auto"/>
          <w:szCs w:val="21"/>
          <w:highlight w:val="none"/>
          <w:lang w:val="en-US" w:eastAsia="zh-CN"/>
        </w:rPr>
        <w:t>3）</w:t>
      </w:r>
      <w:r>
        <w:rPr>
          <w:rFonts w:hint="eastAsia" w:ascii="Arial" w:hAnsi="Arial" w:eastAsia="宋体" w:cs="Arial"/>
          <w:color w:val="auto"/>
          <w:szCs w:val="21"/>
          <w:highlight w:val="none"/>
          <w:u w:val="single"/>
        </w:rPr>
        <w:t>承包人不得将本合同项下的工程内容非法转包分包给第三人，不得以联营、合作、挂靠等任何形式让第三人实施本合同项下的工程内容，否则，发包人有权要求承包人承担本合同工程款总额</w:t>
      </w:r>
      <w:r>
        <w:rPr>
          <w:rFonts w:hint="eastAsia" w:ascii="Arial" w:hAnsi="Arial" w:eastAsia="宋体" w:cs="Arial"/>
          <w:color w:val="auto"/>
          <w:szCs w:val="21"/>
          <w:highlight w:val="none"/>
          <w:u w:val="single"/>
          <w:lang w:val="en-US" w:eastAsia="zh-CN"/>
        </w:rPr>
        <w:t>5</w:t>
      </w:r>
      <w:r>
        <w:rPr>
          <w:rFonts w:hint="eastAsia" w:ascii="Arial" w:hAnsi="Arial" w:eastAsia="宋体" w:cs="Arial"/>
          <w:color w:val="auto"/>
          <w:szCs w:val="21"/>
          <w:highlight w:val="none"/>
          <w:u w:val="single"/>
        </w:rPr>
        <w:t>%的违约金，同时发包人有权解除本合同，并有权要求承包人在7个工作日内撒场完毕，承包人撤场完毕后再进行已完工的工程总结算；因承包人违反本条款造成的全部损失由承包人承担全部责任。</w:t>
      </w:r>
    </w:p>
    <w:p>
      <w:pPr>
        <w:spacing w:line="360" w:lineRule="auto"/>
        <w:ind w:left="990" w:leftChars="300" w:hanging="330" w:hangingChars="150"/>
        <w:rPr>
          <w:rFonts w:ascii="Arial" w:hAnsi="Arial" w:cs="Arial"/>
          <w:color w:val="auto"/>
          <w:szCs w:val="21"/>
          <w:highlight w:val="none"/>
          <w:u w:val="single"/>
        </w:rPr>
      </w:pPr>
      <w:r>
        <w:rPr>
          <w:rFonts w:hint="eastAsia" w:ascii="Arial" w:hAnsi="Arial" w:cs="Arial"/>
          <w:color w:val="auto"/>
          <w:szCs w:val="21"/>
          <w:highlight w:val="none"/>
          <w:lang w:val="en-US" w:eastAsia="zh-CN"/>
        </w:rPr>
        <w:t>4</w:t>
      </w:r>
      <w:r>
        <w:rPr>
          <w:rFonts w:ascii="Arial" w:hAnsi="Arial" w:cs="Arial"/>
          <w:color w:val="auto"/>
          <w:szCs w:val="21"/>
          <w:highlight w:val="none"/>
        </w:rPr>
        <w:t>）</w:t>
      </w:r>
      <w:r>
        <w:rPr>
          <w:rFonts w:ascii="Arial" w:hAnsi="Arial" w:cs="Arial"/>
          <w:color w:val="auto"/>
          <w:szCs w:val="21"/>
          <w:highlight w:val="none"/>
          <w:u w:val="single"/>
        </w:rPr>
        <w:t>承包人负责各专业管线勾头接入的手续办理和具体实施，且有义务协调各专业管线主管部门，确保各专业管线</w:t>
      </w:r>
      <w:r>
        <w:rPr>
          <w:rFonts w:hint="eastAsia" w:ascii="Arial" w:hAnsi="Arial" w:cs="Arial"/>
          <w:color w:val="auto"/>
          <w:szCs w:val="21"/>
          <w:highlight w:val="none"/>
          <w:u w:val="single"/>
        </w:rPr>
        <w:t>按时</w:t>
      </w:r>
      <w:r>
        <w:rPr>
          <w:rFonts w:ascii="Arial" w:hAnsi="Arial" w:cs="Arial"/>
          <w:color w:val="auto"/>
          <w:szCs w:val="21"/>
          <w:highlight w:val="none"/>
          <w:u w:val="single"/>
        </w:rPr>
        <w:t>施工、验收、移交、开通使用；</w:t>
      </w:r>
      <w:r>
        <w:rPr>
          <w:rFonts w:hint="eastAsia" w:ascii="Arial" w:hAnsi="Arial" w:cs="Arial"/>
          <w:color w:val="auto"/>
          <w:szCs w:val="21"/>
          <w:highlight w:val="none"/>
          <w:u w:val="single"/>
        </w:rPr>
        <w:t>因承包人协调不力导致的工期延误，发包人不予顺延工期；</w:t>
      </w:r>
    </w:p>
    <w:p>
      <w:pPr>
        <w:snapToGrid w:val="0"/>
        <w:spacing w:line="360" w:lineRule="auto"/>
        <w:ind w:left="1038" w:leftChars="300" w:hanging="378" w:hangingChars="172"/>
        <w:rPr>
          <w:rFonts w:ascii="Arial" w:hAnsi="Arial" w:cs="Arial"/>
          <w:color w:val="auto"/>
          <w:szCs w:val="21"/>
          <w:highlight w:val="none"/>
        </w:rPr>
      </w:pPr>
      <w:r>
        <w:rPr>
          <w:rFonts w:hint="eastAsia" w:ascii="Arial" w:hAnsi="Arial" w:cs="Arial"/>
          <w:color w:val="auto"/>
          <w:szCs w:val="21"/>
          <w:highlight w:val="none"/>
          <w:lang w:val="en-US" w:eastAsia="zh-CN"/>
        </w:rPr>
        <w:t>5</w:t>
      </w:r>
      <w:r>
        <w:rPr>
          <w:rFonts w:hint="eastAsia" w:ascii="Arial" w:hAnsi="Arial" w:cs="Arial"/>
          <w:color w:val="auto"/>
          <w:szCs w:val="21"/>
          <w:highlight w:val="none"/>
        </w:rPr>
        <w:t>）</w:t>
      </w:r>
      <w:r>
        <w:rPr>
          <w:rFonts w:ascii="Arial" w:hAnsi="宋体" w:cs="Arial"/>
          <w:color w:val="auto"/>
          <w:szCs w:val="21"/>
          <w:highlight w:val="none"/>
          <w:u w:val="single"/>
        </w:rPr>
        <w:t>施工期间：</w:t>
      </w:r>
      <w:r>
        <w:rPr>
          <w:rFonts w:hint="eastAsia" w:ascii="宋体" w:hAnsi="宋体"/>
          <w:color w:val="auto"/>
          <w:highlight w:val="none"/>
          <w:u w:val="single"/>
        </w:rPr>
        <w:t>按照要求做好现场的安全和文明施工工作</w:t>
      </w:r>
      <w:r>
        <w:rPr>
          <w:rFonts w:hint="eastAsia" w:ascii="Arial" w:hAnsi="宋体" w:cs="Arial"/>
          <w:color w:val="auto"/>
          <w:szCs w:val="21"/>
          <w:highlight w:val="none"/>
          <w:u w:val="single"/>
        </w:rPr>
        <w:t>，</w:t>
      </w:r>
      <w:r>
        <w:rPr>
          <w:rFonts w:ascii="Arial" w:hAnsi="宋体" w:cs="Arial"/>
          <w:color w:val="auto"/>
          <w:szCs w:val="21"/>
          <w:highlight w:val="none"/>
          <w:u w:val="single"/>
        </w:rPr>
        <w:t>施工现场要有</w:t>
      </w:r>
      <w:r>
        <w:rPr>
          <w:rFonts w:hint="eastAsia" w:ascii="Arial" w:hAnsi="宋体" w:cs="Arial"/>
          <w:color w:val="auto"/>
          <w:szCs w:val="21"/>
          <w:highlight w:val="none"/>
          <w:u w:val="single"/>
        </w:rPr>
        <w:t>符合相关规范要求的</w:t>
      </w:r>
      <w:r>
        <w:rPr>
          <w:rFonts w:ascii="Arial" w:hAnsi="宋体" w:cs="Arial"/>
          <w:color w:val="auto"/>
          <w:szCs w:val="21"/>
          <w:highlight w:val="none"/>
          <w:u w:val="single"/>
        </w:rPr>
        <w:t>环保措施并承担相应费用</w:t>
      </w:r>
      <w:r>
        <w:rPr>
          <w:rFonts w:hint="eastAsia" w:ascii="Arial" w:hAnsi="宋体" w:cs="Arial"/>
          <w:color w:val="auto"/>
          <w:szCs w:val="21"/>
          <w:highlight w:val="none"/>
          <w:u w:val="single"/>
        </w:rPr>
        <w:t>,发包人有权制止承包人不安全或不文明的施工项目，对于承包人因不执行发包人指令造成的损失，发包人有权从其工程款中扣除</w:t>
      </w:r>
      <w:r>
        <w:rPr>
          <w:rFonts w:ascii="Arial" w:hAnsi="宋体" w:cs="Arial"/>
          <w:color w:val="auto"/>
          <w:szCs w:val="21"/>
          <w:highlight w:val="none"/>
          <w:u w:val="single"/>
        </w:rPr>
        <w:t>；</w:t>
      </w:r>
    </w:p>
    <w:p>
      <w:pPr>
        <w:spacing w:line="360" w:lineRule="auto"/>
        <w:ind w:left="990" w:leftChars="300" w:hanging="330" w:hangingChars="150"/>
        <w:rPr>
          <w:rFonts w:hint="eastAsia" w:ascii="Arial" w:hAnsi="Arial" w:cs="Arial"/>
          <w:color w:val="auto"/>
          <w:szCs w:val="21"/>
          <w:highlight w:val="none"/>
          <w:u w:val="single"/>
        </w:rPr>
      </w:pPr>
      <w:r>
        <w:rPr>
          <w:rFonts w:hint="eastAsia" w:ascii="Arial" w:hAnsi="Arial" w:cs="Arial"/>
          <w:color w:val="auto"/>
          <w:szCs w:val="21"/>
          <w:highlight w:val="none"/>
          <w:lang w:val="en-US" w:eastAsia="zh-CN"/>
        </w:rPr>
        <w:t>6</w:t>
      </w:r>
      <w:r>
        <w:rPr>
          <w:rFonts w:hint="eastAsia" w:ascii="Arial" w:hAnsi="Arial" w:cs="Arial"/>
          <w:color w:val="auto"/>
          <w:szCs w:val="21"/>
          <w:highlight w:val="none"/>
        </w:rPr>
        <w:t>）</w:t>
      </w:r>
      <w:r>
        <w:rPr>
          <w:rFonts w:hint="eastAsia" w:ascii="Arial" w:hAnsi="Arial" w:cs="Arial"/>
          <w:color w:val="auto"/>
          <w:szCs w:val="21"/>
          <w:highlight w:val="none"/>
          <w:u w:val="single"/>
        </w:rPr>
        <w:t>施工过程中承包人应积极配合规委、建委、消防、街道、城管、环卫等部门的检查工作，按发包人要求的标准进行施工部署提供便利条件；</w:t>
      </w:r>
    </w:p>
    <w:p>
      <w:pPr>
        <w:spacing w:line="360" w:lineRule="auto"/>
        <w:ind w:left="1100" w:leftChars="300" w:hanging="440" w:hangingChars="200"/>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7)</w:t>
      </w:r>
      <w:r>
        <w:rPr>
          <w:rFonts w:hint="eastAsia" w:ascii="Arial" w:hAnsi="Arial" w:eastAsia="宋体" w:cs="Arial"/>
          <w:color w:val="auto"/>
          <w:szCs w:val="21"/>
          <w:highlight w:val="none"/>
          <w:lang w:val="en-US" w:eastAsia="zh-CN"/>
        </w:rPr>
        <w:tab/>
      </w:r>
      <w:r>
        <w:rPr>
          <w:rFonts w:hint="eastAsia" w:ascii="Arial" w:hAnsi="Arial" w:eastAsia="宋体" w:cs="Arial"/>
          <w:color w:val="auto"/>
          <w:szCs w:val="21"/>
          <w:highlight w:val="none"/>
          <w:u w:val="single"/>
          <w:lang w:val="en-US" w:eastAsia="zh-CN"/>
        </w:rPr>
        <w:t>承包人须做好施工记录，隐蔽工程记录，汇集施工技术资料，包括摄影、录像资料。负责做好施工现场安全保卫和施工现场的组织管理工作，创建文明施工工地及标准化管</w:t>
      </w:r>
      <w:r>
        <w:rPr>
          <w:rFonts w:hint="eastAsia" w:ascii="Arial" w:hAnsi="Arial" w:eastAsia="宋体" w:cs="Arial"/>
          <w:color w:val="auto"/>
          <w:szCs w:val="21"/>
          <w:highlight w:val="none"/>
          <w:lang w:val="en-US" w:eastAsia="zh-CN"/>
        </w:rPr>
        <w:t>理。</w:t>
      </w:r>
    </w:p>
    <w:p>
      <w:pPr>
        <w:spacing w:line="360" w:lineRule="auto"/>
        <w:ind w:left="990" w:leftChars="300" w:hanging="330" w:hangingChars="150"/>
        <w:rPr>
          <w:rFonts w:hint="eastAsia" w:ascii="Arial" w:hAnsi="Arial" w:eastAsia="宋体" w:cs="Arial"/>
          <w:color w:val="auto"/>
          <w:szCs w:val="21"/>
          <w:highlight w:val="none"/>
          <w:u w:val="single"/>
          <w:lang w:val="en-US" w:eastAsia="zh-CN"/>
        </w:rPr>
      </w:pPr>
      <w:r>
        <w:rPr>
          <w:rFonts w:hint="eastAsia" w:ascii="Arial" w:hAnsi="Arial" w:eastAsia="宋体" w:cs="Arial"/>
          <w:color w:val="auto"/>
          <w:szCs w:val="21"/>
          <w:highlight w:val="none"/>
          <w:u w:val="none"/>
          <w:lang w:val="en-US" w:eastAsia="zh-CN"/>
        </w:rPr>
        <w:t>8)</w:t>
      </w:r>
      <w:r>
        <w:rPr>
          <w:rFonts w:hint="eastAsia" w:ascii="Arial" w:hAnsi="Arial" w:eastAsia="宋体" w:cs="Arial"/>
          <w:color w:val="auto"/>
          <w:szCs w:val="21"/>
          <w:highlight w:val="none"/>
          <w:u w:val="none"/>
          <w:lang w:val="en-US" w:eastAsia="zh-CN"/>
        </w:rPr>
        <w:tab/>
      </w:r>
      <w:r>
        <w:rPr>
          <w:rFonts w:hint="eastAsia" w:ascii="Arial" w:hAnsi="Arial" w:eastAsia="宋体" w:cs="Arial"/>
          <w:color w:val="auto"/>
          <w:szCs w:val="21"/>
          <w:highlight w:val="none"/>
          <w:u w:val="single"/>
          <w:lang w:val="en-US" w:eastAsia="zh-CN"/>
        </w:rPr>
        <w:t>承包人在工程项目全面落实实名制管理，按月收集并确认《工资表》《考勤表》和《施工人员变更情况周统计表》。承包人应保障本项目工资及时、准确发放，负责解决因乙方拖欠工资产生的一切问题，承包人应提供《保障农民工工资支付工作承诺书》，保障农民工工资按照国务院《保障农民工工资支付条例》的规定及时支付。承包人应及时按有关规定支付工人（包括但不限于农民工的工人）工资不得拖欠或克扣，否则，由此引起的工人工资纠纷由承包人负责，且发包人有权从应付给承包人的工程款中扣除相应款项后作为工资直接支付给工人。如因承包人原因发生拖欠工人工资的，每发生一次，承包人应向发包人支付违约金人民币2000元；承包人拖欠工人工资导致工人追究发包人责任，给发包人造成损失的，由承包人另行向发包人进行赔偿（包括但不限于发包人垫付的工资、处理该纠纷的相关费用以及发包人遭受的名誉损害及其他损失）。承包人因非法转包或分包导致拖欠工人工资，或出现聚集、上访等事件，视为承包人违约，发包人有权解除合同，同时保留追究承包人赔偿损失的权利。</w:t>
      </w:r>
    </w:p>
    <w:p>
      <w:pPr>
        <w:spacing w:line="360" w:lineRule="auto"/>
        <w:ind w:left="990" w:leftChars="300" w:hanging="330" w:hangingChars="150"/>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9）竣工清理：工程完工后，对施工现场的垃圾、渣土的清运，拆除临设等工程并清运干净。</w:t>
      </w:r>
    </w:p>
    <w:p>
      <w:pPr>
        <w:spacing w:line="360" w:lineRule="auto"/>
        <w:ind w:left="990" w:leftChars="400" w:hanging="110" w:hangingChars="50"/>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上述工作所涉及的费用已包含在合同价款中。</w:t>
      </w:r>
    </w:p>
    <w:p>
      <w:pPr>
        <w:spacing w:line="360" w:lineRule="auto"/>
        <w:rPr>
          <w:rFonts w:ascii="宋体" w:hAnsi="宋体"/>
          <w:color w:val="auto"/>
          <w:kern w:val="0"/>
          <w:sz w:val="24"/>
          <w:szCs w:val="20"/>
          <w:highlight w:val="none"/>
        </w:rPr>
      </w:pPr>
      <w:r>
        <w:rPr>
          <w:rFonts w:ascii="宋体" w:hAnsi="宋体"/>
          <w:color w:val="auto"/>
          <w:kern w:val="0"/>
          <w:sz w:val="24"/>
          <w:szCs w:val="20"/>
          <w:highlight w:val="none"/>
        </w:rPr>
        <w:t xml:space="preserve">4.2  </w:t>
      </w:r>
      <w:r>
        <w:rPr>
          <w:rFonts w:hint="eastAsia" w:ascii="宋体" w:hAnsi="宋体"/>
          <w:color w:val="auto"/>
          <w:kern w:val="0"/>
          <w:sz w:val="24"/>
          <w:szCs w:val="20"/>
          <w:highlight w:val="none"/>
        </w:rPr>
        <w:t>履约担保</w:t>
      </w:r>
      <w:bookmarkEnd w:id="179"/>
      <w:bookmarkEnd w:id="180"/>
      <w:bookmarkEnd w:id="181"/>
      <w:bookmarkEnd w:id="182"/>
      <w:bookmarkEnd w:id="183"/>
    </w:p>
    <w:p>
      <w:pPr>
        <w:spacing w:line="360" w:lineRule="auto"/>
        <w:ind w:firstLine="440" w:firstLineChars="200"/>
        <w:rPr>
          <w:rFonts w:ascii="宋体"/>
          <w:color w:val="auto"/>
          <w:szCs w:val="21"/>
          <w:highlight w:val="none"/>
        </w:rPr>
      </w:pPr>
      <w:r>
        <w:rPr>
          <w:rFonts w:hint="eastAsia" w:ascii="宋体" w:hAnsi="宋体"/>
          <w:color w:val="auto"/>
          <w:szCs w:val="21"/>
          <w:highlight w:val="none"/>
        </w:rPr>
        <w:t>承包人履约担保的格式和金额</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w:t>
      </w:r>
      <w:r>
        <w:rPr>
          <w:rFonts w:hint="eastAsia" w:ascii="宋体" w:hAnsi="宋体"/>
          <w:color w:val="auto"/>
          <w:szCs w:val="21"/>
          <w:highlight w:val="none"/>
          <w:u w:val="single"/>
        </w:rPr>
        <w:t>不要求</w:t>
      </w:r>
      <w:r>
        <w:rPr>
          <w:rFonts w:hint="eastAsia" w:ascii="宋体" w:hAnsi="宋体"/>
          <w:color w:val="auto"/>
          <w:szCs w:val="21"/>
          <w:highlight w:val="none"/>
        </w:rPr>
        <w:t>（要求</w:t>
      </w:r>
      <w:r>
        <w:rPr>
          <w:rFonts w:ascii="宋体" w:hAnsi="宋体"/>
          <w:color w:val="auto"/>
          <w:szCs w:val="21"/>
          <w:highlight w:val="none"/>
        </w:rPr>
        <w:t>/</w:t>
      </w:r>
      <w:r>
        <w:rPr>
          <w:rFonts w:hint="eastAsia" w:ascii="宋体" w:hAnsi="宋体"/>
          <w:color w:val="auto"/>
          <w:szCs w:val="21"/>
          <w:highlight w:val="none"/>
        </w:rPr>
        <w:t>不要求）承包人提供承包人履约担保。</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承包人履约担保的金额为</w:t>
      </w:r>
    </w:p>
    <w:p>
      <w:pPr>
        <w:pStyle w:val="59"/>
        <w:spacing w:before="120" w:after="120"/>
        <w:outlineLvl w:val="0"/>
        <w:rPr>
          <w:rFonts w:ascii="宋体" w:hAnsi="Times New Roman" w:eastAsia="宋体" w:cs="宋体"/>
          <w:color w:val="auto"/>
          <w:highlight w:val="none"/>
        </w:rPr>
      </w:pPr>
      <w:bookmarkStart w:id="184" w:name="_Toc1410"/>
      <w:bookmarkStart w:id="185" w:name="_Toc485323164"/>
      <w:bookmarkStart w:id="186" w:name="_Toc79998247"/>
      <w:bookmarkStart w:id="187" w:name="_Toc490331681"/>
      <w:bookmarkStart w:id="188" w:name="_Toc489280196"/>
      <w:bookmarkStart w:id="189" w:name="_Toc69034489"/>
      <w:bookmarkStart w:id="190" w:name="_Toc9464"/>
      <w:bookmarkStart w:id="191" w:name="_Toc486580390"/>
      <w:bookmarkStart w:id="192" w:name="_Toc497214059"/>
      <w:bookmarkStart w:id="193" w:name="_Toc510037984"/>
      <w:r>
        <w:rPr>
          <w:rFonts w:ascii="宋体" w:hAnsi="Times New Roman" w:eastAsia="宋体" w:cs="宋体"/>
          <w:color w:val="auto"/>
          <w:highlight w:val="none"/>
        </w:rPr>
        <w:t>5.</w:t>
      </w:r>
      <w:r>
        <w:rPr>
          <w:rFonts w:hint="eastAsia" w:ascii="宋体" w:hAnsi="Times New Roman" w:eastAsia="宋体" w:cs="宋体"/>
          <w:color w:val="auto"/>
          <w:highlight w:val="none"/>
        </w:rPr>
        <w:t>材料和工程设备</w:t>
      </w:r>
      <w:bookmarkEnd w:id="184"/>
      <w:bookmarkEnd w:id="185"/>
      <w:bookmarkEnd w:id="186"/>
      <w:bookmarkEnd w:id="187"/>
      <w:bookmarkEnd w:id="188"/>
      <w:bookmarkEnd w:id="189"/>
      <w:bookmarkEnd w:id="190"/>
      <w:bookmarkEnd w:id="191"/>
      <w:bookmarkEnd w:id="192"/>
      <w:bookmarkEnd w:id="193"/>
    </w:p>
    <w:p>
      <w:pPr>
        <w:pStyle w:val="60"/>
        <w:spacing w:before="120" w:after="120"/>
        <w:outlineLvl w:val="1"/>
        <w:rPr>
          <w:color w:val="auto"/>
          <w:highlight w:val="none"/>
        </w:rPr>
      </w:pPr>
      <w:bookmarkStart w:id="194" w:name="_Toc79998248"/>
      <w:bookmarkStart w:id="195" w:name="_Toc489280197"/>
      <w:bookmarkStart w:id="196" w:name="_Toc497214060"/>
      <w:bookmarkStart w:id="197" w:name="_Toc6124"/>
      <w:bookmarkStart w:id="198" w:name="_Toc69034490"/>
      <w:bookmarkStart w:id="199" w:name="_Toc485323165"/>
      <w:bookmarkStart w:id="200" w:name="_Toc486580391"/>
      <w:bookmarkStart w:id="201" w:name="_Toc490331682"/>
      <w:bookmarkStart w:id="202" w:name="_Toc485323166"/>
      <w:bookmarkStart w:id="203" w:name="_Toc497214061"/>
      <w:bookmarkStart w:id="204" w:name="_Toc486580392"/>
      <w:bookmarkStart w:id="205" w:name="_Toc4534"/>
      <w:bookmarkStart w:id="206" w:name="_Toc510037986"/>
      <w:bookmarkStart w:id="207" w:name="_Toc10903"/>
      <w:bookmarkStart w:id="208" w:name="_Toc489280198"/>
      <w:bookmarkStart w:id="209" w:name="_Toc490331683"/>
      <w:r>
        <w:rPr>
          <w:color w:val="auto"/>
          <w:highlight w:val="none"/>
        </w:rPr>
        <w:t xml:space="preserve">5.1  </w:t>
      </w:r>
      <w:r>
        <w:rPr>
          <w:rFonts w:hint="eastAsia"/>
          <w:color w:val="auto"/>
          <w:highlight w:val="none"/>
        </w:rPr>
        <w:t>承包人提供的材料和工程设备</w:t>
      </w:r>
      <w:bookmarkEnd w:id="194"/>
      <w:bookmarkEnd w:id="195"/>
      <w:bookmarkEnd w:id="196"/>
      <w:bookmarkEnd w:id="197"/>
      <w:bookmarkEnd w:id="198"/>
      <w:bookmarkEnd w:id="199"/>
      <w:bookmarkEnd w:id="200"/>
      <w:bookmarkEnd w:id="201"/>
    </w:p>
    <w:p>
      <w:pPr>
        <w:spacing w:line="360" w:lineRule="auto"/>
        <w:ind w:firstLine="440" w:firstLineChars="200"/>
        <w:rPr>
          <w:rFonts w:ascii="宋体" w:cs="Arial"/>
          <w:color w:val="auto"/>
          <w:highlight w:val="none"/>
        </w:rPr>
      </w:pPr>
      <w:r>
        <w:rPr>
          <w:rFonts w:hint="eastAsia" w:ascii="宋体" w:hAnsi="宋体"/>
          <w:color w:val="auto"/>
          <w:szCs w:val="21"/>
          <w:highlight w:val="none"/>
        </w:rPr>
        <w:t>承包人将由其提供的材料和工程设备的供货人和品种、规格、数量及供货时间等报送监理人审批的期限：</w:t>
      </w:r>
      <w:r>
        <w:rPr>
          <w:rFonts w:hint="eastAsia" w:ascii="宋体" w:hAnsi="宋体"/>
          <w:color w:val="auto"/>
          <w:kern w:val="0"/>
          <w:szCs w:val="21"/>
          <w:highlight w:val="none"/>
          <w:u w:val="single"/>
        </w:rPr>
        <w:t>材料和工程设备进场前10日</w:t>
      </w:r>
      <w:r>
        <w:rPr>
          <w:rFonts w:hint="eastAsia" w:ascii="宋体" w:hAnsi="宋体"/>
          <w:color w:val="auto"/>
          <w:szCs w:val="21"/>
          <w:highlight w:val="none"/>
        </w:rPr>
        <w:t>。</w:t>
      </w:r>
    </w:p>
    <w:p>
      <w:pPr>
        <w:pStyle w:val="59"/>
        <w:spacing w:before="120" w:after="120"/>
        <w:outlineLvl w:val="0"/>
        <w:rPr>
          <w:rFonts w:ascii="宋体" w:hAnsi="Times New Roman" w:eastAsia="宋体" w:cs="宋体"/>
          <w:color w:val="auto"/>
          <w:highlight w:val="none"/>
        </w:rPr>
      </w:pPr>
      <w:bookmarkStart w:id="210" w:name="_Toc69034491"/>
      <w:bookmarkStart w:id="211" w:name="_Toc79998249"/>
      <w:r>
        <w:rPr>
          <w:rFonts w:hint="eastAsia" w:cs="宋体"/>
          <w:color w:val="auto"/>
          <w:highlight w:val="none"/>
          <w:lang w:val="en-US" w:eastAsia="zh-CN"/>
        </w:rPr>
        <w:t xml:space="preserve">   </w:t>
      </w:r>
      <w:r>
        <w:rPr>
          <w:rFonts w:ascii="宋体" w:hAnsi="Times New Roman" w:eastAsia="宋体" w:cs="宋体"/>
          <w:color w:val="auto"/>
          <w:highlight w:val="none"/>
        </w:rPr>
        <w:t>6.</w:t>
      </w:r>
      <w:r>
        <w:rPr>
          <w:rFonts w:hint="eastAsia" w:ascii="宋体" w:hAnsi="Times New Roman" w:eastAsia="宋体" w:cs="宋体"/>
          <w:color w:val="auto"/>
          <w:highlight w:val="none"/>
        </w:rPr>
        <w:t>施工设备和临时设施</w:t>
      </w:r>
      <w:bookmarkEnd w:id="202"/>
      <w:bookmarkEnd w:id="203"/>
      <w:bookmarkEnd w:id="204"/>
      <w:bookmarkEnd w:id="205"/>
      <w:bookmarkEnd w:id="206"/>
      <w:bookmarkEnd w:id="207"/>
      <w:bookmarkEnd w:id="208"/>
      <w:bookmarkEnd w:id="209"/>
      <w:bookmarkEnd w:id="210"/>
      <w:bookmarkEnd w:id="211"/>
    </w:p>
    <w:p>
      <w:pPr>
        <w:pStyle w:val="60"/>
        <w:spacing w:before="120" w:after="120"/>
        <w:outlineLvl w:val="1"/>
        <w:rPr>
          <w:color w:val="auto"/>
          <w:highlight w:val="none"/>
        </w:rPr>
      </w:pPr>
      <w:bookmarkStart w:id="212" w:name="_Toc485323167"/>
      <w:bookmarkStart w:id="213" w:name="_Toc79998250"/>
      <w:bookmarkStart w:id="214" w:name="_Toc69034492"/>
      <w:bookmarkStart w:id="215" w:name="_Toc28256"/>
      <w:bookmarkStart w:id="216" w:name="_Toc497214062"/>
      <w:bookmarkStart w:id="217" w:name="_Toc490331684"/>
      <w:bookmarkStart w:id="218" w:name="_Toc489280199"/>
      <w:bookmarkStart w:id="219" w:name="_Toc486580393"/>
      <w:bookmarkStart w:id="220" w:name="_Toc486580395"/>
      <w:bookmarkStart w:id="221" w:name="_Toc490331686"/>
      <w:bookmarkStart w:id="222" w:name="_Toc510037989"/>
      <w:bookmarkStart w:id="223" w:name="_Toc24993"/>
      <w:bookmarkStart w:id="224" w:name="_Toc485323169"/>
      <w:bookmarkStart w:id="225" w:name="_Toc6285"/>
      <w:bookmarkStart w:id="226" w:name="_Toc489280201"/>
      <w:bookmarkStart w:id="227" w:name="_Toc497214064"/>
      <w:r>
        <w:rPr>
          <w:color w:val="auto"/>
          <w:highlight w:val="none"/>
        </w:rPr>
        <w:t xml:space="preserve">6.1  </w:t>
      </w:r>
      <w:r>
        <w:rPr>
          <w:rFonts w:hint="eastAsia"/>
          <w:color w:val="auto"/>
          <w:highlight w:val="none"/>
        </w:rPr>
        <w:t>承包人提供的施工设备和临时设施</w:t>
      </w:r>
      <w:bookmarkEnd w:id="212"/>
      <w:bookmarkEnd w:id="213"/>
      <w:bookmarkEnd w:id="214"/>
      <w:bookmarkEnd w:id="215"/>
      <w:bookmarkEnd w:id="216"/>
      <w:bookmarkEnd w:id="217"/>
      <w:bookmarkEnd w:id="218"/>
      <w:bookmarkEnd w:id="219"/>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发包人承担自行修建临时设施费用的范围：</w:t>
      </w:r>
      <w:r>
        <w:rPr>
          <w:rFonts w:hint="eastAsia" w:ascii="宋体" w:hAnsi="宋体"/>
          <w:color w:val="auto"/>
          <w:szCs w:val="21"/>
          <w:highlight w:val="none"/>
          <w:u w:val="single"/>
        </w:rPr>
        <w:t>/</w:t>
      </w:r>
    </w:p>
    <w:p>
      <w:pPr>
        <w:spacing w:line="360" w:lineRule="auto"/>
        <w:ind w:firstLine="440" w:firstLineChars="200"/>
        <w:rPr>
          <w:rFonts w:ascii="宋体"/>
          <w:color w:val="auto"/>
          <w:highlight w:val="none"/>
          <w:u w:val="single"/>
        </w:rPr>
      </w:pPr>
      <w:r>
        <w:rPr>
          <w:rFonts w:hint="eastAsia" w:ascii="宋体" w:hAnsi="宋体"/>
          <w:color w:val="auto"/>
          <w:highlight w:val="none"/>
        </w:rPr>
        <w:t>发包人办理申请手续并承担相关费用的临时占地：</w:t>
      </w:r>
      <w:r>
        <w:rPr>
          <w:rFonts w:hint="eastAsia" w:ascii="宋体" w:hAnsi="宋体"/>
          <w:color w:val="auto"/>
          <w:highlight w:val="none"/>
          <w:u w:val="single"/>
        </w:rPr>
        <w:t>/</w:t>
      </w:r>
    </w:p>
    <w:p>
      <w:pPr>
        <w:pStyle w:val="60"/>
        <w:spacing w:before="120" w:after="120"/>
        <w:outlineLvl w:val="1"/>
        <w:rPr>
          <w:color w:val="auto"/>
          <w:highlight w:val="none"/>
        </w:rPr>
      </w:pPr>
      <w:bookmarkStart w:id="228" w:name="_Toc497214063"/>
      <w:bookmarkStart w:id="229" w:name="_Toc79998251"/>
      <w:bookmarkStart w:id="230" w:name="_Toc486580394"/>
      <w:bookmarkStart w:id="231" w:name="_Toc485323168"/>
      <w:bookmarkStart w:id="232" w:name="_Toc490331685"/>
      <w:bookmarkStart w:id="233" w:name="_Toc489280200"/>
      <w:bookmarkStart w:id="234" w:name="_Toc69034493"/>
      <w:bookmarkStart w:id="235" w:name="_Toc1657"/>
      <w:r>
        <w:rPr>
          <w:color w:val="auto"/>
          <w:highlight w:val="none"/>
        </w:rPr>
        <w:t xml:space="preserve">6.2  </w:t>
      </w:r>
      <w:r>
        <w:rPr>
          <w:rFonts w:hint="eastAsia"/>
          <w:color w:val="auto"/>
          <w:highlight w:val="none"/>
        </w:rPr>
        <w:t>发包人提供的施工设备和临时设施</w:t>
      </w:r>
      <w:bookmarkEnd w:id="228"/>
      <w:bookmarkEnd w:id="229"/>
      <w:bookmarkEnd w:id="230"/>
      <w:bookmarkEnd w:id="231"/>
      <w:bookmarkEnd w:id="232"/>
      <w:bookmarkEnd w:id="233"/>
      <w:bookmarkEnd w:id="234"/>
      <w:bookmarkEnd w:id="235"/>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发包人提供的施工设备和临时设施：</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承包人</w:t>
      </w:r>
    </w:p>
    <w:p>
      <w:pPr>
        <w:pStyle w:val="59"/>
        <w:spacing w:before="120" w:after="120"/>
        <w:outlineLvl w:val="0"/>
        <w:rPr>
          <w:rFonts w:ascii="宋体" w:hAnsi="Times New Roman" w:eastAsia="宋体" w:cs="宋体"/>
          <w:color w:val="auto"/>
          <w:highlight w:val="none"/>
        </w:rPr>
      </w:pPr>
      <w:bookmarkStart w:id="236" w:name="_Toc69034494"/>
      <w:bookmarkStart w:id="237" w:name="_Toc79998252"/>
      <w:r>
        <w:rPr>
          <w:rFonts w:ascii="宋体" w:hAnsi="Times New Roman" w:eastAsia="宋体" w:cs="宋体"/>
          <w:color w:val="auto"/>
          <w:highlight w:val="none"/>
        </w:rPr>
        <w:t>7.</w:t>
      </w:r>
      <w:r>
        <w:rPr>
          <w:rFonts w:hint="eastAsia" w:ascii="宋体" w:hAnsi="Times New Roman" w:eastAsia="宋体" w:cs="宋体"/>
          <w:color w:val="auto"/>
          <w:highlight w:val="none"/>
        </w:rPr>
        <w:t>交通运输</w:t>
      </w:r>
      <w:bookmarkEnd w:id="220"/>
      <w:bookmarkEnd w:id="221"/>
      <w:bookmarkEnd w:id="222"/>
      <w:bookmarkEnd w:id="223"/>
      <w:bookmarkEnd w:id="224"/>
      <w:bookmarkEnd w:id="225"/>
      <w:bookmarkEnd w:id="226"/>
      <w:bookmarkEnd w:id="227"/>
      <w:bookmarkEnd w:id="236"/>
      <w:bookmarkEnd w:id="237"/>
    </w:p>
    <w:p>
      <w:pPr>
        <w:pStyle w:val="60"/>
        <w:spacing w:before="120" w:after="120"/>
        <w:outlineLvl w:val="1"/>
        <w:rPr>
          <w:color w:val="auto"/>
          <w:highlight w:val="none"/>
        </w:rPr>
      </w:pPr>
      <w:bookmarkStart w:id="238" w:name="_Toc79998253"/>
      <w:bookmarkStart w:id="239" w:name="_Toc489280202"/>
      <w:bookmarkStart w:id="240" w:name="_Toc490331687"/>
      <w:bookmarkStart w:id="241" w:name="_Toc486580396"/>
      <w:bookmarkStart w:id="242" w:name="_Toc69034495"/>
      <w:bookmarkStart w:id="243" w:name="_Toc485323170"/>
      <w:bookmarkStart w:id="244" w:name="_Toc18822"/>
      <w:bookmarkStart w:id="245" w:name="_Toc497214065"/>
      <w:bookmarkStart w:id="246" w:name="_Toc490331690"/>
      <w:bookmarkStart w:id="247" w:name="_Toc5098"/>
      <w:bookmarkStart w:id="248" w:name="_Toc3174"/>
      <w:bookmarkStart w:id="249" w:name="_Toc510037993"/>
      <w:bookmarkStart w:id="250" w:name="_Toc497214068"/>
      <w:bookmarkStart w:id="251" w:name="_Toc489280205"/>
      <w:bookmarkStart w:id="252" w:name="_Toc486580399"/>
      <w:bookmarkStart w:id="253" w:name="_Toc485323173"/>
      <w:r>
        <w:rPr>
          <w:color w:val="auto"/>
          <w:highlight w:val="none"/>
        </w:rPr>
        <w:t xml:space="preserve">7.1  </w:t>
      </w:r>
      <w:r>
        <w:rPr>
          <w:rFonts w:hint="eastAsia"/>
          <w:color w:val="auto"/>
          <w:highlight w:val="none"/>
        </w:rPr>
        <w:t>道路通行权和场外设施</w:t>
      </w:r>
      <w:bookmarkEnd w:id="238"/>
      <w:bookmarkEnd w:id="239"/>
      <w:bookmarkEnd w:id="240"/>
      <w:bookmarkEnd w:id="241"/>
      <w:bookmarkEnd w:id="242"/>
      <w:bookmarkEnd w:id="243"/>
      <w:bookmarkEnd w:id="244"/>
      <w:bookmarkEnd w:id="245"/>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负责取得道路通行权、场外设施修建权的办理人</w:t>
      </w:r>
      <w:r>
        <w:rPr>
          <w:rFonts w:ascii="宋体" w:hAnsi="宋体"/>
          <w:color w:val="auto"/>
          <w:szCs w:val="21"/>
          <w:highlight w:val="none"/>
        </w:rPr>
        <w:t>:</w:t>
      </w:r>
      <w:r>
        <w:rPr>
          <w:rFonts w:hint="eastAsia" w:ascii="宋体" w:hAnsi="宋体"/>
          <w:color w:val="auto"/>
          <w:kern w:val="0"/>
          <w:szCs w:val="21"/>
          <w:highlight w:val="none"/>
          <w:u w:val="single"/>
        </w:rPr>
        <w:t>发包人。</w:t>
      </w:r>
      <w:r>
        <w:rPr>
          <w:rFonts w:hint="eastAsia" w:ascii="宋体" w:hAnsi="宋体"/>
          <w:color w:val="auto"/>
          <w:szCs w:val="21"/>
          <w:highlight w:val="none"/>
        </w:rPr>
        <w:t>其相关费用由发包人承担。</w:t>
      </w:r>
    </w:p>
    <w:p>
      <w:pPr>
        <w:pStyle w:val="60"/>
        <w:spacing w:before="120" w:after="120"/>
        <w:outlineLvl w:val="1"/>
        <w:rPr>
          <w:color w:val="auto"/>
          <w:highlight w:val="none"/>
        </w:rPr>
      </w:pPr>
      <w:bookmarkStart w:id="254" w:name="_Toc497214066"/>
      <w:bookmarkStart w:id="255" w:name="_Toc1044"/>
      <w:bookmarkStart w:id="256" w:name="_Toc485323171"/>
      <w:bookmarkStart w:id="257" w:name="_Toc489280203"/>
      <w:bookmarkStart w:id="258" w:name="_Toc486580397"/>
      <w:bookmarkStart w:id="259" w:name="_Toc490331688"/>
      <w:bookmarkStart w:id="260" w:name="_Toc79998254"/>
      <w:bookmarkStart w:id="261" w:name="_Toc69034496"/>
      <w:r>
        <w:rPr>
          <w:color w:val="auto"/>
          <w:highlight w:val="none"/>
        </w:rPr>
        <w:t xml:space="preserve">7.2  </w:t>
      </w:r>
      <w:r>
        <w:rPr>
          <w:rFonts w:hint="eastAsia"/>
          <w:color w:val="auto"/>
          <w:highlight w:val="none"/>
        </w:rPr>
        <w:t>场内施工道路</w:t>
      </w:r>
      <w:bookmarkEnd w:id="254"/>
      <w:bookmarkEnd w:id="255"/>
      <w:bookmarkEnd w:id="256"/>
      <w:bookmarkEnd w:id="257"/>
      <w:bookmarkEnd w:id="258"/>
      <w:bookmarkEnd w:id="259"/>
      <w:bookmarkEnd w:id="260"/>
      <w:bookmarkEnd w:id="261"/>
    </w:p>
    <w:p>
      <w:pPr>
        <w:spacing w:line="360" w:lineRule="auto"/>
        <w:ind w:firstLine="440" w:firstLineChars="200"/>
        <w:rPr>
          <w:rFonts w:ascii="宋体"/>
          <w:color w:val="auto"/>
          <w:szCs w:val="21"/>
          <w:highlight w:val="none"/>
        </w:rPr>
      </w:pPr>
      <w:r>
        <w:rPr>
          <w:rFonts w:ascii="宋体" w:hAnsi="宋体"/>
          <w:color w:val="auto"/>
          <w:szCs w:val="21"/>
          <w:highlight w:val="none"/>
        </w:rPr>
        <w:t xml:space="preserve">7.2.1  </w:t>
      </w:r>
      <w:r>
        <w:rPr>
          <w:rFonts w:hint="eastAsia" w:ascii="宋体" w:hAnsi="宋体"/>
          <w:color w:val="auto"/>
          <w:szCs w:val="21"/>
          <w:highlight w:val="none"/>
        </w:rPr>
        <w:t>施工所需的场内临时道路和交通设施的修建、维护、养护和管理人：</w:t>
      </w:r>
      <w:r>
        <w:rPr>
          <w:rFonts w:hint="eastAsia" w:ascii="宋体" w:hAnsi="宋体"/>
          <w:color w:val="auto"/>
          <w:szCs w:val="21"/>
          <w:highlight w:val="none"/>
          <w:u w:val="single"/>
        </w:rPr>
        <w:t>承包人</w:t>
      </w:r>
      <w:r>
        <w:rPr>
          <w:rFonts w:hint="eastAsia" w:ascii="宋体" w:hAnsi="宋体"/>
          <w:color w:val="auto"/>
          <w:szCs w:val="21"/>
          <w:highlight w:val="none"/>
        </w:rPr>
        <w:t>，相关费用由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pStyle w:val="60"/>
        <w:spacing w:before="120" w:after="120"/>
        <w:outlineLvl w:val="1"/>
        <w:rPr>
          <w:color w:val="auto"/>
          <w:highlight w:val="none"/>
        </w:rPr>
      </w:pPr>
      <w:bookmarkStart w:id="262" w:name="_Toc497214067"/>
      <w:bookmarkStart w:id="263" w:name="_Toc69034497"/>
      <w:bookmarkStart w:id="264" w:name="_Toc489280204"/>
      <w:bookmarkStart w:id="265" w:name="_Toc8870"/>
      <w:bookmarkStart w:id="266" w:name="_Toc486580398"/>
      <w:bookmarkStart w:id="267" w:name="_Toc79998255"/>
      <w:bookmarkStart w:id="268" w:name="_Toc490331689"/>
      <w:bookmarkStart w:id="269" w:name="_Toc485323172"/>
      <w:r>
        <w:rPr>
          <w:color w:val="auto"/>
          <w:highlight w:val="none"/>
        </w:rPr>
        <w:t>7.</w:t>
      </w:r>
      <w:r>
        <w:rPr>
          <w:rFonts w:hint="eastAsia"/>
          <w:color w:val="auto"/>
          <w:highlight w:val="none"/>
          <w:lang w:val="en-US" w:eastAsia="zh-CN"/>
        </w:rPr>
        <w:t>3</w:t>
      </w:r>
      <w:r>
        <w:rPr>
          <w:color w:val="auto"/>
          <w:highlight w:val="none"/>
        </w:rPr>
        <w:t xml:space="preserve">  </w:t>
      </w:r>
      <w:r>
        <w:rPr>
          <w:rFonts w:hint="eastAsia"/>
          <w:color w:val="auto"/>
          <w:highlight w:val="none"/>
        </w:rPr>
        <w:t>超大件和超重件的运输</w:t>
      </w:r>
      <w:bookmarkEnd w:id="262"/>
      <w:bookmarkEnd w:id="263"/>
      <w:bookmarkEnd w:id="264"/>
      <w:bookmarkEnd w:id="265"/>
      <w:bookmarkEnd w:id="266"/>
      <w:bookmarkEnd w:id="267"/>
      <w:bookmarkEnd w:id="268"/>
      <w:bookmarkEnd w:id="269"/>
    </w:p>
    <w:p>
      <w:pPr>
        <w:spacing w:line="360" w:lineRule="auto"/>
        <w:ind w:firstLine="440" w:firstLineChars="200"/>
        <w:rPr>
          <w:rFonts w:ascii="宋体"/>
          <w:color w:val="auto"/>
          <w:szCs w:val="21"/>
          <w:highlight w:val="none"/>
        </w:rPr>
      </w:pPr>
      <w:r>
        <w:rPr>
          <w:rFonts w:hint="eastAsia" w:ascii="宋体" w:hAnsi="宋体"/>
          <w:color w:val="auto"/>
          <w:szCs w:val="21"/>
          <w:highlight w:val="none"/>
        </w:rPr>
        <w:t>运输超大件或超重件所需的道路和桥梁临时加固改造等费用的承担人：</w:t>
      </w:r>
      <w:r>
        <w:rPr>
          <w:rFonts w:hint="eastAsia" w:ascii="宋体" w:hAnsi="宋体"/>
          <w:color w:val="auto"/>
          <w:szCs w:val="21"/>
          <w:highlight w:val="none"/>
          <w:u w:val="single"/>
        </w:rPr>
        <w:t>承包人</w:t>
      </w:r>
    </w:p>
    <w:p>
      <w:pPr>
        <w:pStyle w:val="59"/>
        <w:spacing w:before="120" w:after="120"/>
        <w:outlineLvl w:val="0"/>
        <w:rPr>
          <w:color w:val="auto"/>
          <w:highlight w:val="none"/>
        </w:rPr>
      </w:pPr>
      <w:bookmarkStart w:id="270" w:name="_Toc69034498"/>
      <w:bookmarkStart w:id="271" w:name="_Toc79998256"/>
      <w:r>
        <w:rPr>
          <w:color w:val="auto"/>
          <w:highlight w:val="none"/>
        </w:rPr>
        <w:t>8.</w:t>
      </w:r>
      <w:r>
        <w:rPr>
          <w:rFonts w:hint="eastAsia"/>
          <w:color w:val="auto"/>
          <w:highlight w:val="none"/>
        </w:rPr>
        <w:t>测量放线</w:t>
      </w:r>
      <w:bookmarkEnd w:id="246"/>
      <w:bookmarkEnd w:id="247"/>
      <w:bookmarkEnd w:id="248"/>
      <w:bookmarkEnd w:id="249"/>
      <w:bookmarkEnd w:id="250"/>
      <w:bookmarkEnd w:id="251"/>
      <w:bookmarkEnd w:id="252"/>
      <w:bookmarkEnd w:id="253"/>
      <w:bookmarkEnd w:id="270"/>
      <w:bookmarkEnd w:id="271"/>
    </w:p>
    <w:p>
      <w:pPr>
        <w:pStyle w:val="60"/>
        <w:spacing w:before="120" w:after="120"/>
        <w:outlineLvl w:val="1"/>
        <w:rPr>
          <w:color w:val="auto"/>
          <w:highlight w:val="none"/>
        </w:rPr>
      </w:pPr>
      <w:bookmarkStart w:id="272" w:name="_Toc497214069"/>
      <w:bookmarkStart w:id="273" w:name="_Toc6165"/>
      <w:bookmarkStart w:id="274" w:name="_Toc485323174"/>
      <w:bookmarkStart w:id="275" w:name="_Toc486580400"/>
      <w:bookmarkStart w:id="276" w:name="_Toc69034499"/>
      <w:bookmarkStart w:id="277" w:name="_Toc489280206"/>
      <w:bookmarkStart w:id="278" w:name="_Toc79998257"/>
      <w:bookmarkStart w:id="279" w:name="_Toc490331691"/>
      <w:bookmarkStart w:id="280" w:name="_Toc510037995"/>
      <w:bookmarkStart w:id="281" w:name="_Toc490331692"/>
      <w:bookmarkStart w:id="282" w:name="_Toc497214070"/>
      <w:bookmarkStart w:id="283" w:name="_Toc4498"/>
      <w:bookmarkStart w:id="284" w:name="_Toc489280207"/>
      <w:bookmarkStart w:id="285" w:name="_Toc485323175"/>
      <w:bookmarkStart w:id="286" w:name="_Toc28851"/>
      <w:bookmarkStart w:id="287" w:name="_Toc486580401"/>
      <w:r>
        <w:rPr>
          <w:color w:val="auto"/>
          <w:highlight w:val="none"/>
        </w:rPr>
        <w:t xml:space="preserve">8.1  </w:t>
      </w:r>
      <w:r>
        <w:rPr>
          <w:rFonts w:hint="eastAsia"/>
          <w:color w:val="auto"/>
          <w:highlight w:val="none"/>
        </w:rPr>
        <w:t>施工控制网</w:t>
      </w:r>
      <w:bookmarkEnd w:id="272"/>
      <w:bookmarkEnd w:id="273"/>
      <w:bookmarkEnd w:id="274"/>
      <w:bookmarkEnd w:id="275"/>
      <w:bookmarkEnd w:id="276"/>
      <w:bookmarkEnd w:id="277"/>
      <w:bookmarkEnd w:id="278"/>
      <w:bookmarkEnd w:id="279"/>
    </w:p>
    <w:p>
      <w:pPr>
        <w:spacing w:line="360" w:lineRule="auto"/>
        <w:ind w:firstLine="440" w:firstLineChars="200"/>
        <w:rPr>
          <w:rFonts w:ascii="宋体" w:hAnsi="宋体"/>
          <w:color w:val="auto"/>
          <w:szCs w:val="21"/>
          <w:highlight w:val="none"/>
        </w:rPr>
      </w:pPr>
      <w:r>
        <w:rPr>
          <w:rFonts w:ascii="宋体" w:hAnsi="宋体"/>
          <w:color w:val="auto"/>
          <w:szCs w:val="21"/>
          <w:highlight w:val="none"/>
        </w:rPr>
        <w:t xml:space="preserve">8.1.1  </w:t>
      </w:r>
      <w:r>
        <w:rPr>
          <w:rFonts w:hint="eastAsia" w:ascii="宋体" w:hAnsi="宋体"/>
          <w:color w:val="auto"/>
          <w:szCs w:val="21"/>
          <w:highlight w:val="none"/>
        </w:rPr>
        <w:t>发包人通过监理人提供测量基准点、基准线和水准点及其书面资料的期限：</w:t>
      </w:r>
      <w:r>
        <w:rPr>
          <w:rFonts w:hint="eastAsia" w:ascii="宋体" w:hAnsi="宋体"/>
          <w:color w:val="auto"/>
          <w:kern w:val="0"/>
          <w:szCs w:val="21"/>
          <w:highlight w:val="none"/>
          <w:u w:val="single"/>
        </w:rPr>
        <w:t>合同签订后</w:t>
      </w:r>
      <w:r>
        <w:rPr>
          <w:rFonts w:ascii="宋体" w:hAnsi="宋体"/>
          <w:color w:val="auto"/>
          <w:kern w:val="0"/>
          <w:szCs w:val="21"/>
          <w:highlight w:val="none"/>
          <w:u w:val="single"/>
        </w:rPr>
        <w:t>7</w:t>
      </w:r>
      <w:r>
        <w:rPr>
          <w:rFonts w:hint="eastAsia" w:ascii="宋体" w:hAnsi="宋体"/>
          <w:color w:val="auto"/>
          <w:kern w:val="0"/>
          <w:szCs w:val="21"/>
          <w:highlight w:val="none"/>
          <w:u w:val="single"/>
        </w:rPr>
        <w:t>天内</w:t>
      </w:r>
      <w:r>
        <w:rPr>
          <w:rFonts w:hint="eastAsia"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ascii="宋体" w:hAnsi="宋体"/>
          <w:color w:val="auto"/>
          <w:szCs w:val="21"/>
          <w:highlight w:val="none"/>
        </w:rPr>
        <w:t xml:space="preserve">8.1.2  </w:t>
      </w:r>
      <w:r>
        <w:rPr>
          <w:rFonts w:hint="eastAsia" w:ascii="宋体" w:hAnsi="宋体"/>
          <w:color w:val="auto"/>
          <w:szCs w:val="21"/>
          <w:highlight w:val="none"/>
        </w:rPr>
        <w:t>承包人测设施工控制网的其他要求：</w:t>
      </w:r>
      <w:r>
        <w:rPr>
          <w:rFonts w:hint="eastAsia" w:ascii="宋体" w:hAnsi="宋体"/>
          <w:color w:val="auto"/>
          <w:kern w:val="0"/>
          <w:szCs w:val="21"/>
          <w:highlight w:val="none"/>
          <w:u w:val="single"/>
        </w:rPr>
        <w:t>承包人应以监理人提供的测量基准点、基准线和水准点为依据，测量的工程精度应满足国家的工程测量技术规范的相关要求</w:t>
      </w:r>
      <w:r>
        <w:rPr>
          <w:rFonts w:hint="eastAsia" w:ascii="宋体" w:hAnsi="宋体"/>
          <w:color w:val="auto"/>
          <w:szCs w:val="21"/>
          <w:highlight w:val="none"/>
        </w:rPr>
        <w:t xml:space="preserve">。 </w:t>
      </w:r>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承包人将施工控制网资料报送监理人审批的期限：</w:t>
      </w:r>
      <w:r>
        <w:rPr>
          <w:rFonts w:hint="eastAsia" w:ascii="宋体" w:hAnsi="宋体"/>
          <w:color w:val="auto"/>
          <w:kern w:val="0"/>
          <w:szCs w:val="21"/>
          <w:highlight w:val="none"/>
          <w:u w:val="single"/>
        </w:rPr>
        <w:t>合同签订后</w:t>
      </w:r>
      <w:r>
        <w:rPr>
          <w:rFonts w:ascii="宋体" w:hAnsi="宋体"/>
          <w:color w:val="auto"/>
          <w:kern w:val="0"/>
          <w:szCs w:val="21"/>
          <w:highlight w:val="none"/>
          <w:u w:val="single"/>
        </w:rPr>
        <w:t>7</w:t>
      </w:r>
      <w:r>
        <w:rPr>
          <w:rFonts w:hint="eastAsia" w:ascii="宋体" w:hAnsi="宋体"/>
          <w:color w:val="auto"/>
          <w:kern w:val="0"/>
          <w:szCs w:val="21"/>
          <w:highlight w:val="none"/>
          <w:u w:val="single"/>
        </w:rPr>
        <w:t>天内。</w:t>
      </w:r>
    </w:p>
    <w:p>
      <w:pPr>
        <w:pStyle w:val="59"/>
        <w:spacing w:before="120" w:after="120"/>
        <w:outlineLvl w:val="0"/>
        <w:rPr>
          <w:color w:val="auto"/>
          <w:highlight w:val="none"/>
        </w:rPr>
      </w:pPr>
      <w:bookmarkStart w:id="288" w:name="_Toc69034500"/>
      <w:bookmarkStart w:id="289" w:name="_Toc79998258"/>
      <w:r>
        <w:rPr>
          <w:color w:val="auto"/>
          <w:highlight w:val="none"/>
        </w:rPr>
        <w:t>9.</w:t>
      </w:r>
      <w:r>
        <w:rPr>
          <w:rFonts w:hint="eastAsia"/>
          <w:color w:val="auto"/>
          <w:highlight w:val="none"/>
        </w:rPr>
        <w:t>施工安全、治安保卫和环境保护</w:t>
      </w:r>
      <w:bookmarkEnd w:id="280"/>
      <w:bookmarkEnd w:id="281"/>
      <w:bookmarkEnd w:id="282"/>
      <w:bookmarkEnd w:id="283"/>
      <w:bookmarkEnd w:id="284"/>
      <w:bookmarkEnd w:id="285"/>
      <w:bookmarkEnd w:id="286"/>
      <w:bookmarkEnd w:id="287"/>
      <w:bookmarkEnd w:id="288"/>
      <w:bookmarkEnd w:id="289"/>
    </w:p>
    <w:p>
      <w:pPr>
        <w:pStyle w:val="60"/>
        <w:spacing w:before="120" w:after="120"/>
        <w:outlineLvl w:val="1"/>
        <w:rPr>
          <w:color w:val="auto"/>
          <w:highlight w:val="none"/>
        </w:rPr>
      </w:pPr>
      <w:bookmarkStart w:id="290" w:name="_Toc79998259"/>
      <w:bookmarkStart w:id="291" w:name="_Toc489280208"/>
      <w:bookmarkStart w:id="292" w:name="_Toc486580402"/>
      <w:bookmarkStart w:id="293" w:name="_Toc485323176"/>
      <w:bookmarkStart w:id="294" w:name="_Toc21324"/>
      <w:bookmarkStart w:id="295" w:name="_Toc490331693"/>
      <w:bookmarkStart w:id="296" w:name="_Toc497214071"/>
      <w:bookmarkStart w:id="297" w:name="_Toc69034501"/>
      <w:bookmarkStart w:id="298" w:name="_Toc510037999"/>
      <w:bookmarkStart w:id="299" w:name="_Toc486580405"/>
      <w:bookmarkStart w:id="300" w:name="_Toc485323179"/>
      <w:bookmarkStart w:id="301" w:name="_Toc490331696"/>
      <w:bookmarkStart w:id="302" w:name="_Toc8459"/>
      <w:bookmarkStart w:id="303" w:name="_Toc497214074"/>
      <w:bookmarkStart w:id="304" w:name="_Toc5863"/>
      <w:bookmarkStart w:id="305" w:name="_Toc489280211"/>
      <w:r>
        <w:rPr>
          <w:color w:val="auto"/>
          <w:highlight w:val="none"/>
        </w:rPr>
        <w:t>9.</w:t>
      </w:r>
      <w:r>
        <w:rPr>
          <w:rFonts w:hint="eastAsia"/>
          <w:color w:val="auto"/>
          <w:highlight w:val="none"/>
          <w:lang w:val="en-US" w:eastAsia="zh-CN"/>
        </w:rPr>
        <w:t>1</w:t>
      </w:r>
      <w:r>
        <w:rPr>
          <w:color w:val="auto"/>
          <w:highlight w:val="none"/>
        </w:rPr>
        <w:t xml:space="preserve">  </w:t>
      </w:r>
      <w:r>
        <w:rPr>
          <w:rFonts w:hint="eastAsia"/>
          <w:color w:val="auto"/>
          <w:highlight w:val="none"/>
        </w:rPr>
        <w:t>承包人的施工安全责任</w:t>
      </w:r>
      <w:bookmarkEnd w:id="290"/>
      <w:bookmarkEnd w:id="291"/>
      <w:bookmarkEnd w:id="292"/>
      <w:bookmarkEnd w:id="293"/>
      <w:bookmarkEnd w:id="294"/>
      <w:bookmarkEnd w:id="295"/>
      <w:bookmarkEnd w:id="296"/>
      <w:bookmarkEnd w:id="297"/>
    </w:p>
    <w:p>
      <w:pPr>
        <w:spacing w:line="360" w:lineRule="auto"/>
        <w:ind w:left="440" w:leftChars="200"/>
        <w:rPr>
          <w:rFonts w:ascii="宋体"/>
          <w:color w:val="auto"/>
          <w:kern w:val="0"/>
          <w:szCs w:val="21"/>
          <w:highlight w:val="none"/>
        </w:rPr>
      </w:pPr>
      <w:bookmarkStart w:id="306" w:name="_Toc486580403"/>
      <w:bookmarkStart w:id="307" w:name="_Toc485323177"/>
      <w:bookmarkStart w:id="308" w:name="_Toc489280209"/>
      <w:r>
        <w:rPr>
          <w:rFonts w:hint="eastAsia" w:ascii="宋体" w:hAnsi="宋体"/>
          <w:color w:val="auto"/>
          <w:kern w:val="0"/>
          <w:szCs w:val="21"/>
          <w:highlight w:val="none"/>
        </w:rPr>
        <w:t>承包人向监理人报送施工安全措施计划的期限：</w:t>
      </w:r>
      <w:r>
        <w:rPr>
          <w:rFonts w:hint="eastAsia" w:ascii="宋体" w:hAnsi="宋体"/>
          <w:color w:val="auto"/>
          <w:kern w:val="0"/>
          <w:szCs w:val="21"/>
          <w:highlight w:val="none"/>
          <w:u w:val="single"/>
        </w:rPr>
        <w:t>合同签订后</w:t>
      </w:r>
      <w:r>
        <w:rPr>
          <w:rFonts w:ascii="宋体" w:hAnsi="宋体"/>
          <w:color w:val="auto"/>
          <w:kern w:val="0"/>
          <w:szCs w:val="21"/>
          <w:highlight w:val="none"/>
          <w:u w:val="single"/>
        </w:rPr>
        <w:t>7</w:t>
      </w:r>
      <w:r>
        <w:rPr>
          <w:rFonts w:hint="eastAsia" w:ascii="宋体" w:hAnsi="宋体"/>
          <w:color w:val="auto"/>
          <w:kern w:val="0"/>
          <w:szCs w:val="21"/>
          <w:highlight w:val="none"/>
          <w:u w:val="single"/>
        </w:rPr>
        <w:t>天内</w:t>
      </w:r>
    </w:p>
    <w:p>
      <w:pPr>
        <w:spacing w:line="360" w:lineRule="auto"/>
        <w:ind w:left="440" w:leftChars="200"/>
        <w:rPr>
          <w:rFonts w:ascii="宋体"/>
          <w:color w:val="auto"/>
          <w:kern w:val="0"/>
          <w:szCs w:val="21"/>
          <w:highlight w:val="none"/>
        </w:rPr>
      </w:pPr>
      <w:r>
        <w:rPr>
          <w:rFonts w:hint="eastAsia" w:ascii="宋体" w:hAnsi="宋体"/>
          <w:color w:val="auto"/>
          <w:kern w:val="0"/>
          <w:szCs w:val="21"/>
          <w:highlight w:val="none"/>
        </w:rPr>
        <w:t>监理人收到承包人报送的施工安全措施计划后应当在</w:t>
      </w:r>
      <w:r>
        <w:rPr>
          <w:rFonts w:hint="eastAsia" w:ascii="宋体" w:hAnsi="宋体"/>
          <w:color w:val="auto"/>
          <w:kern w:val="0"/>
          <w:szCs w:val="21"/>
          <w:highlight w:val="none"/>
          <w:u w:val="single"/>
        </w:rPr>
        <w:t>7</w:t>
      </w:r>
      <w:r>
        <w:rPr>
          <w:rFonts w:hint="eastAsia" w:ascii="宋体" w:hAnsi="宋体"/>
          <w:color w:val="auto"/>
          <w:kern w:val="0"/>
          <w:szCs w:val="21"/>
          <w:highlight w:val="none"/>
        </w:rPr>
        <w:t>天内给予批复。</w:t>
      </w:r>
    </w:p>
    <w:p>
      <w:pPr>
        <w:pStyle w:val="60"/>
        <w:spacing w:before="120" w:after="120"/>
        <w:outlineLvl w:val="1"/>
        <w:rPr>
          <w:color w:val="auto"/>
          <w:highlight w:val="none"/>
        </w:rPr>
      </w:pPr>
      <w:bookmarkStart w:id="309" w:name="_Toc497214072"/>
      <w:bookmarkStart w:id="310" w:name="_Toc490331694"/>
      <w:bookmarkStart w:id="311" w:name="_Toc79998260"/>
      <w:bookmarkStart w:id="312" w:name="_Toc4397"/>
      <w:bookmarkStart w:id="313" w:name="_Toc69034502"/>
      <w:r>
        <w:rPr>
          <w:color w:val="auto"/>
          <w:highlight w:val="none"/>
        </w:rPr>
        <w:t>9.</w:t>
      </w:r>
      <w:r>
        <w:rPr>
          <w:rFonts w:hint="eastAsia"/>
          <w:color w:val="auto"/>
          <w:highlight w:val="none"/>
          <w:lang w:val="en-US" w:eastAsia="zh-CN"/>
        </w:rPr>
        <w:t>2</w:t>
      </w:r>
      <w:r>
        <w:rPr>
          <w:color w:val="auto"/>
          <w:highlight w:val="none"/>
        </w:rPr>
        <w:t xml:space="preserve">  </w:t>
      </w:r>
      <w:r>
        <w:rPr>
          <w:rFonts w:hint="eastAsia"/>
          <w:color w:val="auto"/>
          <w:highlight w:val="none"/>
        </w:rPr>
        <w:t>治安保卫</w:t>
      </w:r>
      <w:bookmarkEnd w:id="306"/>
      <w:bookmarkEnd w:id="307"/>
      <w:bookmarkEnd w:id="308"/>
      <w:bookmarkEnd w:id="309"/>
      <w:bookmarkEnd w:id="310"/>
      <w:bookmarkEnd w:id="311"/>
      <w:bookmarkEnd w:id="312"/>
      <w:bookmarkEnd w:id="313"/>
    </w:p>
    <w:p>
      <w:pPr>
        <w:spacing w:line="360" w:lineRule="auto"/>
        <w:ind w:left="440" w:leftChars="200"/>
        <w:rPr>
          <w:rFonts w:ascii="宋体"/>
          <w:color w:val="auto"/>
          <w:kern w:val="0"/>
          <w:szCs w:val="21"/>
          <w:highlight w:val="none"/>
        </w:rPr>
      </w:pPr>
      <w:bookmarkStart w:id="314" w:name="_Toc489280210"/>
      <w:bookmarkStart w:id="315" w:name="_Toc485323178"/>
      <w:bookmarkStart w:id="316" w:name="_Toc486580404"/>
      <w:r>
        <w:rPr>
          <w:rFonts w:hint="eastAsia" w:ascii="宋体" w:hAnsi="宋体"/>
          <w:color w:val="auto"/>
          <w:kern w:val="0"/>
          <w:szCs w:val="21"/>
          <w:highlight w:val="none"/>
        </w:rPr>
        <w:t>制定施工场地治安管理计划和突发治安事件紧急预案的责任人</w:t>
      </w:r>
      <w:r>
        <w:rPr>
          <w:rFonts w:hint="eastAsia" w:ascii="宋体" w:hAnsi="宋体"/>
          <w:color w:val="auto"/>
          <w:szCs w:val="21"/>
          <w:highlight w:val="none"/>
        </w:rPr>
        <w:t>：</w:t>
      </w:r>
      <w:r>
        <w:rPr>
          <w:rFonts w:hint="eastAsia" w:ascii="宋体" w:hAnsi="宋体"/>
          <w:color w:val="auto"/>
          <w:szCs w:val="21"/>
          <w:highlight w:val="none"/>
          <w:u w:val="single"/>
        </w:rPr>
        <w:t xml:space="preserve">   承包人     </w:t>
      </w:r>
    </w:p>
    <w:p>
      <w:pPr>
        <w:pStyle w:val="60"/>
        <w:spacing w:before="120" w:after="120"/>
        <w:outlineLvl w:val="1"/>
        <w:rPr>
          <w:color w:val="auto"/>
          <w:highlight w:val="none"/>
        </w:rPr>
      </w:pPr>
      <w:bookmarkStart w:id="317" w:name="_Toc490331695"/>
      <w:bookmarkStart w:id="318" w:name="_Toc69034503"/>
      <w:bookmarkStart w:id="319" w:name="_Toc25981"/>
      <w:bookmarkStart w:id="320" w:name="_Toc79998261"/>
      <w:bookmarkStart w:id="321" w:name="_Toc497214073"/>
      <w:r>
        <w:rPr>
          <w:color w:val="auto"/>
          <w:highlight w:val="none"/>
        </w:rPr>
        <w:t>9.</w:t>
      </w:r>
      <w:r>
        <w:rPr>
          <w:rFonts w:hint="eastAsia"/>
          <w:color w:val="auto"/>
          <w:highlight w:val="none"/>
          <w:lang w:val="en-US" w:eastAsia="zh-CN"/>
        </w:rPr>
        <w:t>3</w:t>
      </w:r>
      <w:r>
        <w:rPr>
          <w:color w:val="auto"/>
          <w:highlight w:val="none"/>
        </w:rPr>
        <w:t xml:space="preserve">  </w:t>
      </w:r>
      <w:r>
        <w:rPr>
          <w:rFonts w:hint="eastAsia"/>
          <w:color w:val="auto"/>
          <w:highlight w:val="none"/>
        </w:rPr>
        <w:t>环境保护</w:t>
      </w:r>
      <w:bookmarkEnd w:id="314"/>
      <w:bookmarkEnd w:id="315"/>
      <w:bookmarkEnd w:id="316"/>
      <w:bookmarkEnd w:id="317"/>
      <w:bookmarkEnd w:id="318"/>
      <w:bookmarkEnd w:id="319"/>
      <w:bookmarkEnd w:id="320"/>
      <w:bookmarkEnd w:id="321"/>
    </w:p>
    <w:p>
      <w:pPr>
        <w:spacing w:line="360" w:lineRule="auto"/>
        <w:ind w:left="440" w:leftChars="200"/>
        <w:rPr>
          <w:rFonts w:ascii="宋体"/>
          <w:color w:val="auto"/>
          <w:kern w:val="0"/>
          <w:szCs w:val="21"/>
          <w:highlight w:val="none"/>
        </w:rPr>
      </w:pPr>
      <w:r>
        <w:rPr>
          <w:rFonts w:hint="eastAsia" w:ascii="宋体" w:hAnsi="宋体"/>
          <w:color w:val="auto"/>
          <w:kern w:val="0"/>
          <w:szCs w:val="21"/>
          <w:highlight w:val="none"/>
        </w:rPr>
        <w:t>施工环保措施计划报送监理人审批的时间</w:t>
      </w:r>
      <w:r>
        <w:rPr>
          <w:rFonts w:hint="eastAsia" w:ascii="宋体" w:hAnsi="宋体"/>
          <w:color w:val="auto"/>
          <w:szCs w:val="21"/>
          <w:highlight w:val="none"/>
        </w:rPr>
        <w:t>：</w:t>
      </w:r>
      <w:r>
        <w:rPr>
          <w:rFonts w:hint="eastAsia" w:ascii="宋体" w:hAnsi="宋体"/>
          <w:color w:val="auto"/>
          <w:kern w:val="0"/>
          <w:szCs w:val="21"/>
          <w:highlight w:val="none"/>
          <w:u w:val="single"/>
        </w:rPr>
        <w:t>合同签订后</w:t>
      </w:r>
      <w:r>
        <w:rPr>
          <w:rFonts w:ascii="宋体" w:hAnsi="宋体"/>
          <w:color w:val="auto"/>
          <w:kern w:val="0"/>
          <w:szCs w:val="21"/>
          <w:highlight w:val="none"/>
          <w:u w:val="single"/>
        </w:rPr>
        <w:t>7</w:t>
      </w:r>
      <w:r>
        <w:rPr>
          <w:rFonts w:hint="eastAsia" w:ascii="宋体" w:hAnsi="宋体"/>
          <w:color w:val="auto"/>
          <w:kern w:val="0"/>
          <w:szCs w:val="21"/>
          <w:highlight w:val="none"/>
          <w:u w:val="single"/>
        </w:rPr>
        <w:t>天内</w:t>
      </w:r>
    </w:p>
    <w:p>
      <w:pPr>
        <w:spacing w:line="360" w:lineRule="auto"/>
        <w:ind w:left="440" w:leftChars="200"/>
        <w:rPr>
          <w:rFonts w:ascii="宋体"/>
          <w:color w:val="auto"/>
          <w:kern w:val="0"/>
          <w:szCs w:val="21"/>
          <w:highlight w:val="none"/>
        </w:rPr>
      </w:pPr>
      <w:r>
        <w:rPr>
          <w:rFonts w:hint="eastAsia" w:ascii="宋体" w:hAnsi="宋体"/>
          <w:color w:val="auto"/>
          <w:kern w:val="0"/>
          <w:szCs w:val="21"/>
          <w:highlight w:val="none"/>
        </w:rPr>
        <w:t>监理人收到承包人报送的施工环保措施计划后应当在</w:t>
      </w:r>
      <w:r>
        <w:rPr>
          <w:rFonts w:hint="eastAsia" w:ascii="宋体" w:hAnsi="宋体"/>
          <w:color w:val="auto"/>
          <w:kern w:val="0"/>
          <w:szCs w:val="21"/>
          <w:highlight w:val="none"/>
          <w:u w:val="single"/>
        </w:rPr>
        <w:t xml:space="preserve">    7   </w:t>
      </w:r>
      <w:r>
        <w:rPr>
          <w:rFonts w:hint="eastAsia" w:ascii="宋体" w:hAnsi="宋体"/>
          <w:color w:val="auto"/>
          <w:kern w:val="0"/>
          <w:szCs w:val="21"/>
          <w:highlight w:val="none"/>
        </w:rPr>
        <w:t>天内给予批复。</w:t>
      </w:r>
    </w:p>
    <w:p>
      <w:pPr>
        <w:pStyle w:val="59"/>
        <w:spacing w:before="120" w:after="120"/>
        <w:outlineLvl w:val="0"/>
        <w:rPr>
          <w:color w:val="auto"/>
          <w:highlight w:val="none"/>
        </w:rPr>
      </w:pPr>
      <w:bookmarkStart w:id="322" w:name="_Toc79998262"/>
      <w:bookmarkStart w:id="323" w:name="_Toc69034504"/>
      <w:r>
        <w:rPr>
          <w:color w:val="auto"/>
          <w:highlight w:val="none"/>
        </w:rPr>
        <w:t>10.</w:t>
      </w:r>
      <w:r>
        <w:rPr>
          <w:rFonts w:hint="eastAsia"/>
          <w:color w:val="auto"/>
          <w:highlight w:val="none"/>
        </w:rPr>
        <w:t>进度计划</w:t>
      </w:r>
      <w:bookmarkEnd w:id="298"/>
      <w:bookmarkEnd w:id="299"/>
      <w:bookmarkEnd w:id="300"/>
      <w:bookmarkEnd w:id="301"/>
      <w:bookmarkEnd w:id="302"/>
      <w:bookmarkEnd w:id="303"/>
      <w:bookmarkEnd w:id="304"/>
      <w:bookmarkEnd w:id="305"/>
      <w:bookmarkEnd w:id="322"/>
      <w:bookmarkEnd w:id="323"/>
    </w:p>
    <w:p>
      <w:pPr>
        <w:pStyle w:val="60"/>
        <w:spacing w:before="120" w:after="120"/>
        <w:outlineLvl w:val="1"/>
        <w:rPr>
          <w:color w:val="auto"/>
          <w:highlight w:val="none"/>
        </w:rPr>
      </w:pPr>
      <w:bookmarkStart w:id="324" w:name="_Toc1270"/>
      <w:bookmarkStart w:id="325" w:name="_Toc79998263"/>
      <w:bookmarkStart w:id="326" w:name="_Toc486580406"/>
      <w:bookmarkStart w:id="327" w:name="_Toc69034505"/>
      <w:bookmarkStart w:id="328" w:name="_Toc497214075"/>
      <w:bookmarkStart w:id="329" w:name="_Toc489280212"/>
      <w:bookmarkStart w:id="330" w:name="_Toc490331697"/>
      <w:bookmarkStart w:id="331" w:name="_Toc485323180"/>
      <w:bookmarkStart w:id="332" w:name="_Toc490331699"/>
      <w:bookmarkStart w:id="333" w:name="_Toc486580408"/>
      <w:bookmarkStart w:id="334" w:name="_Toc485323182"/>
      <w:bookmarkStart w:id="335" w:name="_Toc3494"/>
      <w:bookmarkStart w:id="336" w:name="_Toc510038002"/>
      <w:bookmarkStart w:id="337" w:name="_Toc19830"/>
      <w:bookmarkStart w:id="338" w:name="_Toc497214077"/>
      <w:bookmarkStart w:id="339" w:name="_Toc489280214"/>
      <w:r>
        <w:rPr>
          <w:color w:val="auto"/>
          <w:highlight w:val="none"/>
        </w:rPr>
        <w:t xml:space="preserve">10.1  </w:t>
      </w:r>
      <w:r>
        <w:rPr>
          <w:rFonts w:hint="eastAsia"/>
          <w:color w:val="auto"/>
          <w:highlight w:val="none"/>
        </w:rPr>
        <w:t>合同进度计划</w:t>
      </w:r>
      <w:bookmarkEnd w:id="324"/>
      <w:bookmarkEnd w:id="325"/>
      <w:bookmarkEnd w:id="326"/>
      <w:bookmarkEnd w:id="327"/>
      <w:bookmarkEnd w:id="328"/>
      <w:bookmarkEnd w:id="329"/>
      <w:bookmarkEnd w:id="330"/>
      <w:bookmarkEnd w:id="331"/>
    </w:p>
    <w:p>
      <w:pPr>
        <w:wordWrap w:val="0"/>
        <w:spacing w:line="360" w:lineRule="auto"/>
        <w:ind w:left="440" w:leftChars="200"/>
        <w:rPr>
          <w:rFonts w:ascii="宋体"/>
          <w:color w:val="auto"/>
          <w:kern w:val="0"/>
          <w:szCs w:val="21"/>
          <w:highlight w:val="none"/>
        </w:rPr>
      </w:pPr>
      <w:bookmarkStart w:id="340" w:name="_Toc486580407"/>
      <w:bookmarkStart w:id="341" w:name="_Toc489280213"/>
      <w:bookmarkStart w:id="342" w:name="_Toc485323181"/>
      <w:r>
        <w:rPr>
          <w:rFonts w:ascii="宋体" w:hAnsi="宋体"/>
          <w:color w:val="auto"/>
          <w:kern w:val="0"/>
          <w:szCs w:val="21"/>
          <w:highlight w:val="none"/>
        </w:rPr>
        <w:t xml:space="preserve">10.1.1  </w:t>
      </w:r>
      <w:r>
        <w:rPr>
          <w:rFonts w:hint="eastAsia" w:ascii="宋体" w:hAnsi="宋体"/>
          <w:color w:val="auto"/>
          <w:kern w:val="0"/>
          <w:szCs w:val="21"/>
          <w:highlight w:val="none"/>
        </w:rPr>
        <w:t>承包人编制施工进度计划和施工方案说明的内容</w:t>
      </w:r>
      <w:r>
        <w:rPr>
          <w:rFonts w:hint="eastAsia" w:ascii="宋体" w:hAnsi="宋体"/>
          <w:color w:val="auto"/>
          <w:szCs w:val="21"/>
          <w:highlight w:val="none"/>
        </w:rPr>
        <w:t>：</w:t>
      </w:r>
      <w:r>
        <w:rPr>
          <w:rFonts w:hint="eastAsia" w:ascii="宋体" w:hAnsi="宋体"/>
          <w:color w:val="auto"/>
          <w:kern w:val="0"/>
          <w:szCs w:val="21"/>
          <w:highlight w:val="none"/>
          <w:u w:val="single"/>
        </w:rPr>
        <w:t>按照国家相关规定，满足施工要求</w:t>
      </w:r>
    </w:p>
    <w:p>
      <w:pPr>
        <w:wordWrap w:val="0"/>
        <w:spacing w:line="360" w:lineRule="auto"/>
        <w:ind w:left="440" w:leftChars="200"/>
        <w:rPr>
          <w:rFonts w:ascii="宋体"/>
          <w:color w:val="auto"/>
          <w:kern w:val="0"/>
          <w:szCs w:val="21"/>
          <w:highlight w:val="none"/>
        </w:rPr>
      </w:pPr>
      <w:r>
        <w:rPr>
          <w:rFonts w:ascii="宋体" w:hAnsi="宋体"/>
          <w:color w:val="auto"/>
          <w:kern w:val="0"/>
          <w:szCs w:val="21"/>
          <w:highlight w:val="none"/>
        </w:rPr>
        <w:t xml:space="preserve">10.1.2  </w:t>
      </w:r>
      <w:r>
        <w:rPr>
          <w:rFonts w:hint="eastAsia" w:ascii="宋体" w:hAnsi="宋体"/>
          <w:color w:val="auto"/>
          <w:kern w:val="0"/>
          <w:szCs w:val="21"/>
          <w:highlight w:val="none"/>
        </w:rPr>
        <w:t>承包人编制分阶段或分项施工进度计划和施工方案说明的内容及时限要求</w:t>
      </w:r>
      <w:r>
        <w:rPr>
          <w:rFonts w:hint="eastAsia" w:ascii="宋体" w:hAnsi="宋体"/>
          <w:color w:val="auto"/>
          <w:szCs w:val="21"/>
          <w:highlight w:val="none"/>
        </w:rPr>
        <w:t>：：</w:t>
      </w:r>
      <w:r>
        <w:rPr>
          <w:rFonts w:hint="eastAsia" w:ascii="宋体" w:hAnsi="宋体"/>
          <w:color w:val="auto"/>
          <w:szCs w:val="21"/>
          <w:highlight w:val="none"/>
          <w:u w:val="single"/>
        </w:rPr>
        <w:t>当前阶段施工前14日内</w:t>
      </w:r>
      <w:r>
        <w:rPr>
          <w:rFonts w:hint="eastAsia" w:ascii="宋体" w:hAnsi="宋体"/>
          <w:color w:val="auto"/>
          <w:szCs w:val="21"/>
          <w:highlight w:val="none"/>
        </w:rPr>
        <w:t>。</w:t>
      </w:r>
    </w:p>
    <w:p>
      <w:pPr>
        <w:spacing w:line="360" w:lineRule="auto"/>
        <w:ind w:left="440" w:leftChars="200"/>
        <w:rPr>
          <w:rFonts w:ascii="宋体"/>
          <w:color w:val="auto"/>
          <w:kern w:val="0"/>
          <w:szCs w:val="21"/>
          <w:highlight w:val="none"/>
        </w:rPr>
      </w:pPr>
      <w:r>
        <w:rPr>
          <w:rFonts w:ascii="宋体" w:hAnsi="宋体"/>
          <w:color w:val="auto"/>
          <w:kern w:val="0"/>
          <w:szCs w:val="21"/>
          <w:highlight w:val="none"/>
        </w:rPr>
        <w:t xml:space="preserve">10.1.3  </w:t>
      </w:r>
      <w:r>
        <w:rPr>
          <w:rFonts w:hint="eastAsia" w:ascii="宋体" w:hAnsi="宋体"/>
          <w:color w:val="auto"/>
          <w:kern w:val="0"/>
          <w:szCs w:val="21"/>
          <w:highlight w:val="none"/>
        </w:rPr>
        <w:t>群体工程中有关编制进度计划和施工方案说明的要求</w:t>
      </w:r>
      <w:r>
        <w:rPr>
          <w:rFonts w:hint="eastAsia" w:ascii="宋体" w:hAnsi="宋体"/>
          <w:color w:val="auto"/>
          <w:szCs w:val="21"/>
          <w:highlight w:val="none"/>
        </w:rPr>
        <w:t>：</w:t>
      </w:r>
      <w:r>
        <w:rPr>
          <w:rFonts w:hint="eastAsia" w:ascii="宋体" w:hAnsi="宋体"/>
          <w:color w:val="auto"/>
          <w:szCs w:val="21"/>
          <w:highlight w:val="none"/>
          <w:u w:val="single"/>
        </w:rPr>
        <w:t xml:space="preserve">     /   </w:t>
      </w:r>
    </w:p>
    <w:p>
      <w:pPr>
        <w:pStyle w:val="60"/>
        <w:spacing w:before="120" w:after="120"/>
        <w:outlineLvl w:val="1"/>
        <w:rPr>
          <w:color w:val="auto"/>
          <w:highlight w:val="none"/>
        </w:rPr>
      </w:pPr>
      <w:bookmarkStart w:id="343" w:name="_Toc79998264"/>
      <w:bookmarkStart w:id="344" w:name="_Toc497214076"/>
      <w:bookmarkStart w:id="345" w:name="_Toc490331698"/>
      <w:bookmarkStart w:id="346" w:name="_Toc69034506"/>
      <w:bookmarkStart w:id="347" w:name="_Toc11522"/>
      <w:r>
        <w:rPr>
          <w:color w:val="auto"/>
          <w:highlight w:val="none"/>
        </w:rPr>
        <w:t xml:space="preserve">10.2  </w:t>
      </w:r>
      <w:r>
        <w:rPr>
          <w:rFonts w:hint="eastAsia"/>
          <w:color w:val="auto"/>
          <w:highlight w:val="none"/>
        </w:rPr>
        <w:t>合同进度计划的修订</w:t>
      </w:r>
      <w:bookmarkEnd w:id="340"/>
      <w:bookmarkEnd w:id="341"/>
      <w:bookmarkEnd w:id="342"/>
      <w:bookmarkEnd w:id="343"/>
      <w:bookmarkEnd w:id="344"/>
      <w:bookmarkEnd w:id="345"/>
      <w:bookmarkEnd w:id="346"/>
      <w:bookmarkEnd w:id="347"/>
    </w:p>
    <w:p>
      <w:pPr>
        <w:spacing w:line="360" w:lineRule="auto"/>
        <w:ind w:left="440" w:leftChars="200"/>
        <w:rPr>
          <w:rFonts w:ascii="宋体"/>
          <w:color w:val="auto"/>
          <w:kern w:val="0"/>
          <w:szCs w:val="21"/>
          <w:highlight w:val="none"/>
        </w:rPr>
      </w:pPr>
      <w:r>
        <w:rPr>
          <w:rFonts w:ascii="宋体"/>
          <w:color w:val="auto"/>
          <w:kern w:val="0"/>
          <w:szCs w:val="21"/>
          <w:highlight w:val="none"/>
        </w:rPr>
        <w:t xml:space="preserve">10.2.1  </w:t>
      </w:r>
      <w:r>
        <w:rPr>
          <w:rFonts w:hint="eastAsia" w:ascii="宋体"/>
          <w:color w:val="auto"/>
          <w:kern w:val="0"/>
          <w:szCs w:val="21"/>
          <w:highlight w:val="none"/>
        </w:rPr>
        <w:t>承包人报送修订合同进度计划申请报告和相关资料的期限：</w:t>
      </w:r>
      <w:r>
        <w:rPr>
          <w:rFonts w:hint="eastAsia" w:ascii="宋体"/>
          <w:color w:val="auto"/>
          <w:kern w:val="0"/>
          <w:szCs w:val="21"/>
          <w:highlight w:val="none"/>
          <w:u w:val="single"/>
        </w:rPr>
        <w:t>需要修订前</w:t>
      </w:r>
      <w:r>
        <w:rPr>
          <w:rFonts w:ascii="宋体"/>
          <w:color w:val="auto"/>
          <w:kern w:val="0"/>
          <w:szCs w:val="21"/>
          <w:highlight w:val="none"/>
          <w:u w:val="single"/>
        </w:rPr>
        <w:t>7</w:t>
      </w:r>
      <w:r>
        <w:rPr>
          <w:rFonts w:hint="eastAsia" w:ascii="宋体"/>
          <w:color w:val="auto"/>
          <w:kern w:val="0"/>
          <w:szCs w:val="21"/>
          <w:highlight w:val="none"/>
          <w:u w:val="single"/>
        </w:rPr>
        <w:t>天内。</w:t>
      </w:r>
    </w:p>
    <w:p>
      <w:pPr>
        <w:spacing w:line="360" w:lineRule="auto"/>
        <w:ind w:left="440" w:leftChars="200"/>
        <w:rPr>
          <w:rFonts w:ascii="宋体"/>
          <w:color w:val="auto"/>
          <w:kern w:val="0"/>
          <w:szCs w:val="21"/>
          <w:highlight w:val="none"/>
        </w:rPr>
      </w:pPr>
      <w:r>
        <w:rPr>
          <w:rFonts w:hint="eastAsia" w:ascii="宋体" w:hAnsi="宋体"/>
          <w:color w:val="auto"/>
          <w:kern w:val="0"/>
          <w:szCs w:val="21"/>
          <w:highlight w:val="none"/>
        </w:rPr>
        <w:t>监理人批复修订合同进度计划申请报告的期限</w:t>
      </w:r>
      <w:r>
        <w:rPr>
          <w:rFonts w:hint="eastAsia" w:ascii="宋体" w:hAnsi="宋体"/>
          <w:color w:val="auto"/>
          <w:szCs w:val="21"/>
          <w:highlight w:val="none"/>
        </w:rPr>
        <w:t>：</w:t>
      </w:r>
      <w:r>
        <w:rPr>
          <w:rFonts w:hint="eastAsia" w:ascii="宋体"/>
          <w:color w:val="auto"/>
          <w:kern w:val="0"/>
          <w:szCs w:val="21"/>
          <w:highlight w:val="none"/>
          <w:u w:val="single"/>
        </w:rPr>
        <w:t>收到承包人报送的修订合同进度计划申请报告和相关资料后</w:t>
      </w:r>
      <w:r>
        <w:rPr>
          <w:rFonts w:ascii="宋体"/>
          <w:color w:val="auto"/>
          <w:kern w:val="0"/>
          <w:szCs w:val="21"/>
          <w:highlight w:val="none"/>
          <w:u w:val="single"/>
        </w:rPr>
        <w:t>7</w:t>
      </w:r>
      <w:r>
        <w:rPr>
          <w:rFonts w:hint="eastAsia" w:ascii="宋体"/>
          <w:color w:val="auto"/>
          <w:kern w:val="0"/>
          <w:szCs w:val="21"/>
          <w:highlight w:val="none"/>
          <w:u w:val="single"/>
        </w:rPr>
        <w:t>天内。</w:t>
      </w:r>
    </w:p>
    <w:p>
      <w:pPr>
        <w:spacing w:line="360" w:lineRule="auto"/>
        <w:ind w:left="440" w:leftChars="200"/>
        <w:rPr>
          <w:rFonts w:ascii="宋体" w:hAnsi="宋体"/>
          <w:color w:val="auto"/>
          <w:kern w:val="0"/>
          <w:szCs w:val="21"/>
          <w:highlight w:val="none"/>
          <w:u w:val="single"/>
        </w:rPr>
      </w:pPr>
      <w:r>
        <w:rPr>
          <w:rFonts w:ascii="宋体" w:hAnsi="宋体"/>
          <w:color w:val="auto"/>
          <w:kern w:val="0"/>
          <w:szCs w:val="21"/>
          <w:highlight w:val="none"/>
        </w:rPr>
        <w:t xml:space="preserve">10.2.2  </w:t>
      </w:r>
      <w:r>
        <w:rPr>
          <w:rFonts w:hint="eastAsia" w:ascii="宋体" w:hAnsi="宋体"/>
          <w:color w:val="auto"/>
          <w:kern w:val="0"/>
          <w:szCs w:val="21"/>
          <w:highlight w:val="none"/>
        </w:rPr>
        <w:t>监理人批复修订合同进度计划的期限：</w:t>
      </w:r>
      <w:r>
        <w:rPr>
          <w:rFonts w:hint="eastAsia" w:ascii="宋体" w:hAnsi="宋体"/>
          <w:color w:val="auto"/>
          <w:kern w:val="0"/>
          <w:szCs w:val="21"/>
          <w:highlight w:val="none"/>
          <w:u w:val="single"/>
        </w:rPr>
        <w:t>收到承包人报送的修订合同进度计划和相关资料后</w:t>
      </w:r>
      <w:r>
        <w:rPr>
          <w:rFonts w:ascii="宋体" w:hAnsi="宋体"/>
          <w:color w:val="auto"/>
          <w:kern w:val="0"/>
          <w:szCs w:val="21"/>
          <w:highlight w:val="none"/>
          <w:u w:val="single"/>
        </w:rPr>
        <w:t>7</w:t>
      </w:r>
      <w:r>
        <w:rPr>
          <w:rFonts w:hint="eastAsia" w:ascii="宋体" w:hAnsi="宋体"/>
          <w:color w:val="auto"/>
          <w:kern w:val="0"/>
          <w:szCs w:val="21"/>
          <w:highlight w:val="none"/>
          <w:u w:val="single"/>
        </w:rPr>
        <w:t>天内。</w:t>
      </w:r>
    </w:p>
    <w:p>
      <w:pPr>
        <w:pStyle w:val="59"/>
        <w:spacing w:before="120" w:after="120"/>
        <w:outlineLvl w:val="0"/>
        <w:rPr>
          <w:color w:val="auto"/>
          <w:highlight w:val="none"/>
        </w:rPr>
      </w:pPr>
      <w:bookmarkStart w:id="348" w:name="_Toc79998265"/>
      <w:bookmarkStart w:id="349" w:name="_Toc69034507"/>
      <w:r>
        <w:rPr>
          <w:color w:val="auto"/>
          <w:highlight w:val="none"/>
        </w:rPr>
        <w:t>11.</w:t>
      </w:r>
      <w:r>
        <w:rPr>
          <w:rFonts w:hint="eastAsia"/>
          <w:color w:val="auto"/>
          <w:highlight w:val="none"/>
        </w:rPr>
        <w:t>开工和竣工</w:t>
      </w:r>
      <w:bookmarkEnd w:id="332"/>
      <w:bookmarkEnd w:id="333"/>
      <w:bookmarkEnd w:id="334"/>
      <w:bookmarkEnd w:id="335"/>
      <w:bookmarkEnd w:id="336"/>
      <w:bookmarkEnd w:id="337"/>
      <w:bookmarkEnd w:id="338"/>
      <w:bookmarkEnd w:id="339"/>
      <w:bookmarkEnd w:id="348"/>
      <w:bookmarkEnd w:id="349"/>
    </w:p>
    <w:p>
      <w:pPr>
        <w:pStyle w:val="60"/>
        <w:spacing w:before="120" w:after="120"/>
        <w:outlineLvl w:val="1"/>
        <w:rPr>
          <w:color w:val="auto"/>
          <w:highlight w:val="none"/>
        </w:rPr>
      </w:pPr>
      <w:bookmarkStart w:id="350" w:name="_Toc79998266"/>
      <w:bookmarkStart w:id="351" w:name="_Toc486580409"/>
      <w:bookmarkStart w:id="352" w:name="_Toc485323183"/>
      <w:bookmarkStart w:id="353" w:name="_Toc497214078"/>
      <w:bookmarkStart w:id="354" w:name="_Toc490331700"/>
      <w:bookmarkStart w:id="355" w:name="_Toc489280215"/>
      <w:bookmarkStart w:id="356" w:name="_Toc69034508"/>
      <w:bookmarkStart w:id="357" w:name="_Toc6227"/>
      <w:bookmarkStart w:id="358" w:name="_Toc13412"/>
      <w:bookmarkStart w:id="359" w:name="_Toc4947"/>
      <w:bookmarkStart w:id="360" w:name="_Toc485323187"/>
      <w:bookmarkStart w:id="361" w:name="_Toc490331704"/>
      <w:bookmarkStart w:id="362" w:name="_Toc510038007"/>
      <w:bookmarkStart w:id="363" w:name="_Toc489280219"/>
      <w:bookmarkStart w:id="364" w:name="_Toc486580413"/>
      <w:bookmarkStart w:id="365" w:name="_Toc497214082"/>
      <w:r>
        <w:rPr>
          <w:color w:val="auto"/>
          <w:highlight w:val="none"/>
        </w:rPr>
        <w:t>11.</w:t>
      </w:r>
      <w:r>
        <w:rPr>
          <w:rFonts w:hint="eastAsia"/>
          <w:color w:val="auto"/>
          <w:highlight w:val="none"/>
          <w:lang w:val="en-US" w:eastAsia="zh-CN"/>
        </w:rPr>
        <w:t>1</w:t>
      </w:r>
      <w:r>
        <w:rPr>
          <w:color w:val="auto"/>
          <w:highlight w:val="none"/>
        </w:rPr>
        <w:t xml:space="preserve">  </w:t>
      </w:r>
      <w:r>
        <w:rPr>
          <w:rFonts w:hint="eastAsia"/>
          <w:color w:val="auto"/>
          <w:highlight w:val="none"/>
        </w:rPr>
        <w:t>发包人的工期延误</w:t>
      </w:r>
      <w:bookmarkEnd w:id="350"/>
      <w:bookmarkEnd w:id="351"/>
      <w:bookmarkEnd w:id="352"/>
      <w:bookmarkEnd w:id="353"/>
      <w:bookmarkEnd w:id="354"/>
      <w:bookmarkEnd w:id="355"/>
      <w:bookmarkEnd w:id="356"/>
      <w:bookmarkEnd w:id="357"/>
    </w:p>
    <w:p>
      <w:pPr>
        <w:wordWrap w:val="0"/>
        <w:spacing w:line="360" w:lineRule="auto"/>
        <w:ind w:left="440" w:leftChars="200"/>
        <w:rPr>
          <w:rFonts w:ascii="宋体"/>
          <w:color w:val="auto"/>
          <w:kern w:val="0"/>
          <w:szCs w:val="21"/>
          <w:highlight w:val="none"/>
        </w:rPr>
      </w:pPr>
      <w:bookmarkStart w:id="366" w:name="_Toc486580410"/>
      <w:bookmarkStart w:id="367" w:name="_Toc485323184"/>
      <w:bookmarkStart w:id="368" w:name="_Toc489280216"/>
      <w:r>
        <w:rPr>
          <w:rFonts w:hint="eastAsia" w:ascii="宋体" w:hAnsi="宋体"/>
          <w:color w:val="auto"/>
          <w:kern w:val="0"/>
          <w:szCs w:val="21"/>
          <w:highlight w:val="none"/>
        </w:rPr>
        <w:t>发包人造成工期延误的其他原因</w:t>
      </w:r>
      <w:r>
        <w:rPr>
          <w:rFonts w:hint="eastAsia" w:ascii="宋体" w:hAnsi="宋体"/>
          <w:color w:val="auto"/>
          <w:szCs w:val="21"/>
          <w:highlight w:val="none"/>
        </w:rPr>
        <w:t>：</w:t>
      </w:r>
      <w:r>
        <w:rPr>
          <w:rFonts w:hint="eastAsia" w:ascii="宋体" w:hAnsi="宋体"/>
          <w:color w:val="auto"/>
          <w:szCs w:val="21"/>
          <w:highlight w:val="none"/>
          <w:u w:val="single"/>
        </w:rPr>
        <w:t xml:space="preserve">                /       </w:t>
      </w:r>
    </w:p>
    <w:p>
      <w:pPr>
        <w:pStyle w:val="60"/>
        <w:spacing w:before="120" w:after="120"/>
        <w:outlineLvl w:val="1"/>
        <w:rPr>
          <w:color w:val="auto"/>
          <w:highlight w:val="none"/>
        </w:rPr>
      </w:pPr>
      <w:bookmarkStart w:id="369" w:name="_Toc490331701"/>
      <w:bookmarkStart w:id="370" w:name="_Toc79998267"/>
      <w:bookmarkStart w:id="371" w:name="_Toc29157"/>
      <w:bookmarkStart w:id="372" w:name="_Toc69034509"/>
      <w:bookmarkStart w:id="373" w:name="_Toc497214079"/>
      <w:r>
        <w:rPr>
          <w:color w:val="auto"/>
          <w:highlight w:val="none"/>
        </w:rPr>
        <w:t>11.</w:t>
      </w:r>
      <w:r>
        <w:rPr>
          <w:rFonts w:hint="eastAsia"/>
          <w:color w:val="auto"/>
          <w:highlight w:val="none"/>
          <w:lang w:val="en-US" w:eastAsia="zh-CN"/>
        </w:rPr>
        <w:t>2</w:t>
      </w:r>
      <w:r>
        <w:rPr>
          <w:color w:val="auto"/>
          <w:highlight w:val="none"/>
        </w:rPr>
        <w:t xml:space="preserve">  </w:t>
      </w:r>
      <w:r>
        <w:rPr>
          <w:rFonts w:hint="eastAsia"/>
          <w:color w:val="auto"/>
          <w:highlight w:val="none"/>
        </w:rPr>
        <w:t>异常恶劣的气候条件</w:t>
      </w:r>
      <w:bookmarkEnd w:id="366"/>
      <w:bookmarkEnd w:id="367"/>
      <w:bookmarkEnd w:id="368"/>
      <w:bookmarkEnd w:id="369"/>
      <w:bookmarkEnd w:id="370"/>
      <w:bookmarkEnd w:id="371"/>
      <w:bookmarkEnd w:id="372"/>
      <w:bookmarkEnd w:id="373"/>
    </w:p>
    <w:p>
      <w:pPr>
        <w:wordWrap w:val="0"/>
        <w:spacing w:line="360" w:lineRule="auto"/>
        <w:ind w:left="440" w:leftChars="200"/>
        <w:rPr>
          <w:rFonts w:ascii="宋体"/>
          <w:color w:val="auto"/>
          <w:kern w:val="0"/>
          <w:szCs w:val="21"/>
          <w:highlight w:val="none"/>
        </w:rPr>
      </w:pPr>
      <w:bookmarkStart w:id="374" w:name="_Toc486580411"/>
      <w:bookmarkStart w:id="375" w:name="_Toc489280217"/>
      <w:bookmarkStart w:id="376" w:name="_Toc485323185"/>
      <w:r>
        <w:rPr>
          <w:rFonts w:hint="eastAsia" w:ascii="宋体" w:hAnsi="宋体"/>
          <w:color w:val="auto"/>
          <w:kern w:val="0"/>
          <w:szCs w:val="21"/>
          <w:highlight w:val="none"/>
        </w:rPr>
        <w:t>异常恶劣的气候条件的范围和标准</w:t>
      </w:r>
      <w:r>
        <w:rPr>
          <w:rFonts w:hint="eastAsia" w:ascii="宋体" w:hAnsi="宋体"/>
          <w:color w:val="auto"/>
          <w:szCs w:val="21"/>
          <w:highlight w:val="none"/>
        </w:rPr>
        <w:t>：</w:t>
      </w:r>
      <w:r>
        <w:rPr>
          <w:rFonts w:hint="eastAsia" w:ascii="宋体" w:hAnsi="宋体"/>
          <w:color w:val="auto"/>
          <w:kern w:val="0"/>
          <w:szCs w:val="21"/>
          <w:highlight w:val="none"/>
          <w:u w:val="single"/>
        </w:rPr>
        <w:t>2</w:t>
      </w:r>
      <w:r>
        <w:rPr>
          <w:rFonts w:ascii="宋体" w:hAnsi="宋体"/>
          <w:color w:val="auto"/>
          <w:kern w:val="0"/>
          <w:szCs w:val="21"/>
          <w:highlight w:val="none"/>
          <w:u w:val="single"/>
        </w:rPr>
        <w:t>0</w:t>
      </w:r>
      <w:r>
        <w:rPr>
          <w:rFonts w:hint="eastAsia" w:ascii="宋体" w:hAnsi="宋体"/>
          <w:color w:val="auto"/>
          <w:kern w:val="0"/>
          <w:szCs w:val="21"/>
          <w:highlight w:val="none"/>
          <w:u w:val="single"/>
        </w:rPr>
        <w:t>年一遇的最大降水（雪）量、最高（低）温度</w:t>
      </w:r>
      <w:r>
        <w:rPr>
          <w:rFonts w:hint="eastAsia" w:ascii="宋体" w:hAnsi="宋体"/>
          <w:color w:val="auto"/>
          <w:szCs w:val="21"/>
          <w:highlight w:val="none"/>
        </w:rPr>
        <w:t>。</w:t>
      </w:r>
    </w:p>
    <w:p>
      <w:pPr>
        <w:pStyle w:val="60"/>
        <w:spacing w:before="120" w:after="120"/>
        <w:outlineLvl w:val="1"/>
        <w:rPr>
          <w:color w:val="auto"/>
          <w:highlight w:val="none"/>
        </w:rPr>
      </w:pPr>
      <w:bookmarkStart w:id="377" w:name="_Toc497214080"/>
      <w:bookmarkStart w:id="378" w:name="_Toc14906"/>
      <w:bookmarkStart w:id="379" w:name="_Toc69034510"/>
      <w:bookmarkStart w:id="380" w:name="_Toc490331702"/>
      <w:bookmarkStart w:id="381" w:name="_Toc79998268"/>
      <w:r>
        <w:rPr>
          <w:color w:val="auto"/>
          <w:highlight w:val="none"/>
        </w:rPr>
        <w:t>11.</w:t>
      </w:r>
      <w:r>
        <w:rPr>
          <w:rFonts w:hint="eastAsia"/>
          <w:color w:val="auto"/>
          <w:highlight w:val="none"/>
          <w:lang w:val="en-US" w:eastAsia="zh-CN"/>
        </w:rPr>
        <w:t>3</w:t>
      </w:r>
      <w:r>
        <w:rPr>
          <w:color w:val="auto"/>
          <w:highlight w:val="none"/>
        </w:rPr>
        <w:t xml:space="preserve">  </w:t>
      </w:r>
      <w:r>
        <w:rPr>
          <w:rFonts w:hint="eastAsia"/>
          <w:color w:val="auto"/>
          <w:highlight w:val="none"/>
        </w:rPr>
        <w:t>承包人的工期延误</w:t>
      </w:r>
      <w:bookmarkEnd w:id="374"/>
      <w:bookmarkEnd w:id="375"/>
      <w:bookmarkEnd w:id="376"/>
      <w:bookmarkEnd w:id="377"/>
      <w:bookmarkEnd w:id="378"/>
      <w:bookmarkEnd w:id="379"/>
      <w:bookmarkEnd w:id="380"/>
      <w:bookmarkEnd w:id="381"/>
    </w:p>
    <w:p>
      <w:pPr>
        <w:wordWrap w:val="0"/>
        <w:spacing w:line="360" w:lineRule="auto"/>
        <w:ind w:left="440" w:leftChars="200"/>
        <w:rPr>
          <w:rFonts w:ascii="宋体" w:hAnsi="宋体"/>
          <w:color w:val="auto"/>
          <w:kern w:val="0"/>
          <w:szCs w:val="21"/>
          <w:highlight w:val="none"/>
        </w:rPr>
      </w:pPr>
      <w:bookmarkStart w:id="382" w:name="_Toc489280218"/>
      <w:bookmarkStart w:id="383" w:name="_Toc486580412"/>
      <w:bookmarkStart w:id="384" w:name="_Toc485323186"/>
      <w:r>
        <w:rPr>
          <w:rFonts w:ascii="宋体" w:hAnsi="宋体"/>
          <w:color w:val="auto"/>
          <w:kern w:val="0"/>
          <w:szCs w:val="21"/>
          <w:highlight w:val="none"/>
        </w:rPr>
        <w:t xml:space="preserve"> </w:t>
      </w:r>
      <w:r>
        <w:rPr>
          <w:rFonts w:hint="eastAsia" w:ascii="宋体" w:hAnsi="宋体"/>
          <w:color w:val="auto"/>
          <w:kern w:val="0"/>
          <w:szCs w:val="21"/>
          <w:highlight w:val="none"/>
        </w:rPr>
        <w:t>逾期竣工违约金的计算标准和计算方法：</w:t>
      </w:r>
      <w:bookmarkStart w:id="385" w:name="_Toc490331703"/>
      <w:bookmarkStart w:id="386" w:name="_Toc497214081"/>
    </w:p>
    <w:p>
      <w:pPr>
        <w:wordWrap w:val="0"/>
        <w:spacing w:line="360" w:lineRule="auto"/>
        <w:ind w:left="440" w:leftChars="200"/>
        <w:rPr>
          <w:rFonts w:ascii="宋体" w:hAnsi="宋体"/>
          <w:color w:val="auto"/>
          <w:kern w:val="0"/>
          <w:szCs w:val="21"/>
          <w:highlight w:val="none"/>
          <w:u w:val="single"/>
        </w:rPr>
      </w:pPr>
      <w:r>
        <w:rPr>
          <w:rFonts w:hint="eastAsia" w:ascii="宋体" w:hAnsi="宋体"/>
          <w:color w:val="auto"/>
          <w:kern w:val="0"/>
          <w:szCs w:val="21"/>
          <w:highlight w:val="none"/>
        </w:rPr>
        <w:t>逾期竣工违约金的计算标准</w:t>
      </w:r>
      <w:r>
        <w:rPr>
          <w:rFonts w:hint="eastAsia" w:ascii="宋体" w:hAnsi="宋体"/>
          <w:color w:val="auto"/>
          <w:kern w:val="0"/>
          <w:szCs w:val="21"/>
          <w:highlight w:val="none"/>
          <w:lang w:val="en-US" w:eastAsia="zh-CN"/>
        </w:rPr>
        <w:t>和</w:t>
      </w:r>
      <w:r>
        <w:rPr>
          <w:rFonts w:hint="eastAsia" w:ascii="宋体" w:hAnsi="宋体"/>
          <w:color w:val="auto"/>
          <w:kern w:val="0"/>
          <w:szCs w:val="21"/>
          <w:highlight w:val="none"/>
        </w:rPr>
        <w:t>计算方法：</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工期每延误一天，承包人需向发包人赔偿签约合同价款的0.02%（万分之贰），不足一天按一天计，赔偿金额从结算款中扣除</w:t>
      </w:r>
      <w:r>
        <w:rPr>
          <w:rFonts w:hint="eastAsia" w:ascii="宋体" w:hAnsi="宋体"/>
          <w:color w:val="auto"/>
          <w:kern w:val="0"/>
          <w:szCs w:val="21"/>
          <w:highlight w:val="none"/>
          <w:u w:val="single"/>
        </w:rPr>
        <w:t xml:space="preserve"> 。</w:t>
      </w:r>
    </w:p>
    <w:p>
      <w:pPr>
        <w:wordWrap w:val="0"/>
        <w:spacing w:line="360" w:lineRule="auto"/>
        <w:ind w:left="440" w:leftChars="200"/>
        <w:rPr>
          <w:rFonts w:ascii="宋体" w:hAnsi="宋体"/>
          <w:color w:val="auto"/>
          <w:kern w:val="0"/>
          <w:szCs w:val="21"/>
          <w:highlight w:val="none"/>
        </w:rPr>
      </w:pPr>
      <w:r>
        <w:rPr>
          <w:rFonts w:hint="eastAsia" w:ascii="宋体" w:hAnsi="宋体"/>
          <w:color w:val="auto"/>
          <w:kern w:val="0"/>
          <w:szCs w:val="21"/>
          <w:highlight w:val="none"/>
        </w:rPr>
        <w:t>逾期竣工</w:t>
      </w:r>
      <w:r>
        <w:rPr>
          <w:rFonts w:ascii="宋体" w:hAnsi="宋体"/>
          <w:color w:val="auto"/>
          <w:kern w:val="0"/>
          <w:szCs w:val="21"/>
          <w:highlight w:val="none"/>
        </w:rPr>
        <w:t>违约</w:t>
      </w:r>
      <w:r>
        <w:rPr>
          <w:rFonts w:hint="eastAsia" w:ascii="宋体" w:hAnsi="宋体"/>
          <w:color w:val="auto"/>
          <w:kern w:val="0"/>
          <w:szCs w:val="21"/>
          <w:highlight w:val="none"/>
        </w:rPr>
        <w:t>金</w:t>
      </w:r>
      <w:r>
        <w:rPr>
          <w:rFonts w:ascii="宋体" w:hAnsi="宋体"/>
          <w:color w:val="auto"/>
          <w:kern w:val="0"/>
          <w:szCs w:val="21"/>
          <w:highlight w:val="none"/>
        </w:rPr>
        <w:t>最高限额</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签约合同价金额的3%，赔偿金额从结算款中扣除</w:t>
      </w:r>
      <w:r>
        <w:rPr>
          <w:rFonts w:hint="eastAsia" w:ascii="宋体" w:hAnsi="宋体"/>
          <w:color w:val="auto"/>
          <w:kern w:val="0"/>
          <w:szCs w:val="21"/>
          <w:highlight w:val="none"/>
          <w:u w:val="single"/>
        </w:rPr>
        <w:t xml:space="preserve">   。</w:t>
      </w:r>
    </w:p>
    <w:p>
      <w:pPr>
        <w:pStyle w:val="60"/>
        <w:spacing w:before="120" w:after="120"/>
        <w:outlineLvl w:val="1"/>
        <w:rPr>
          <w:color w:val="auto"/>
          <w:highlight w:val="none"/>
        </w:rPr>
      </w:pPr>
      <w:bookmarkStart w:id="387" w:name="_Toc79998269"/>
      <w:bookmarkStart w:id="388" w:name="_Toc69034511"/>
      <w:r>
        <w:rPr>
          <w:color w:val="auto"/>
          <w:highlight w:val="none"/>
        </w:rPr>
        <w:t>11.</w:t>
      </w:r>
      <w:r>
        <w:rPr>
          <w:rFonts w:hint="eastAsia"/>
          <w:color w:val="auto"/>
          <w:highlight w:val="none"/>
          <w:lang w:val="en-US" w:eastAsia="zh-CN"/>
        </w:rPr>
        <w:t>4</w:t>
      </w:r>
      <w:r>
        <w:rPr>
          <w:color w:val="auto"/>
          <w:highlight w:val="none"/>
        </w:rPr>
        <w:t xml:space="preserve">  </w:t>
      </w:r>
      <w:r>
        <w:rPr>
          <w:rFonts w:hint="eastAsia"/>
          <w:color w:val="auto"/>
          <w:highlight w:val="none"/>
        </w:rPr>
        <w:t>工期提前</w:t>
      </w:r>
      <w:bookmarkEnd w:id="382"/>
      <w:bookmarkEnd w:id="383"/>
      <w:bookmarkEnd w:id="384"/>
      <w:bookmarkEnd w:id="385"/>
      <w:bookmarkEnd w:id="386"/>
      <w:bookmarkEnd w:id="387"/>
      <w:bookmarkEnd w:id="388"/>
    </w:p>
    <w:p>
      <w:pPr>
        <w:wordWrap w:val="0"/>
        <w:spacing w:line="360" w:lineRule="auto"/>
        <w:ind w:left="440" w:leftChars="200"/>
        <w:rPr>
          <w:rFonts w:ascii="宋体"/>
          <w:color w:val="auto"/>
          <w:kern w:val="0"/>
          <w:szCs w:val="21"/>
          <w:highlight w:val="none"/>
        </w:rPr>
      </w:pPr>
      <w:r>
        <w:rPr>
          <w:rFonts w:hint="eastAsia" w:ascii="宋体" w:hAnsi="宋体"/>
          <w:color w:val="auto"/>
          <w:kern w:val="0"/>
          <w:szCs w:val="21"/>
          <w:highlight w:val="none"/>
        </w:rPr>
        <w:t>提前竣工的奖励办法</w:t>
      </w:r>
      <w:r>
        <w:rPr>
          <w:rFonts w:hint="eastAsia" w:ascii="宋体" w:hAnsi="宋体"/>
          <w:color w:val="auto"/>
          <w:szCs w:val="21"/>
          <w:highlight w:val="none"/>
        </w:rPr>
        <w:t>：</w:t>
      </w:r>
      <w:r>
        <w:rPr>
          <w:rFonts w:hint="eastAsia" w:ascii="宋体" w:hAnsi="宋体"/>
          <w:color w:val="auto"/>
          <w:szCs w:val="21"/>
          <w:highlight w:val="none"/>
          <w:u w:val="single"/>
        </w:rPr>
        <w:t xml:space="preserve">               /               </w:t>
      </w:r>
    </w:p>
    <w:p>
      <w:pPr>
        <w:pStyle w:val="59"/>
        <w:spacing w:before="120" w:after="120"/>
        <w:outlineLvl w:val="0"/>
        <w:rPr>
          <w:color w:val="auto"/>
          <w:highlight w:val="none"/>
        </w:rPr>
      </w:pPr>
      <w:bookmarkStart w:id="389" w:name="_Toc79998270"/>
      <w:bookmarkStart w:id="390" w:name="_Toc69034512"/>
      <w:r>
        <w:rPr>
          <w:color w:val="auto"/>
          <w:highlight w:val="none"/>
        </w:rPr>
        <w:t>12.</w:t>
      </w:r>
      <w:r>
        <w:rPr>
          <w:rFonts w:hint="eastAsia"/>
          <w:color w:val="auto"/>
          <w:highlight w:val="none"/>
        </w:rPr>
        <w:t>暂停施工</w:t>
      </w:r>
      <w:bookmarkEnd w:id="358"/>
      <w:bookmarkEnd w:id="359"/>
      <w:bookmarkEnd w:id="360"/>
      <w:bookmarkEnd w:id="361"/>
      <w:bookmarkEnd w:id="362"/>
      <w:bookmarkEnd w:id="363"/>
      <w:bookmarkEnd w:id="364"/>
      <w:bookmarkEnd w:id="365"/>
      <w:bookmarkEnd w:id="389"/>
      <w:bookmarkEnd w:id="390"/>
    </w:p>
    <w:p>
      <w:pPr>
        <w:pStyle w:val="60"/>
        <w:spacing w:before="120" w:after="120"/>
        <w:outlineLvl w:val="1"/>
        <w:rPr>
          <w:color w:val="auto"/>
          <w:highlight w:val="none"/>
        </w:rPr>
      </w:pPr>
      <w:bookmarkStart w:id="391" w:name="_Toc497214083"/>
      <w:bookmarkStart w:id="392" w:name="_Toc69034513"/>
      <w:bookmarkStart w:id="393" w:name="_Toc485323188"/>
      <w:bookmarkStart w:id="394" w:name="_Toc79998271"/>
      <w:bookmarkStart w:id="395" w:name="_Toc486580414"/>
      <w:bookmarkStart w:id="396" w:name="_Toc489280220"/>
      <w:bookmarkStart w:id="397" w:name="_Toc490331705"/>
      <w:bookmarkStart w:id="398" w:name="_Toc510038008"/>
      <w:bookmarkStart w:id="399" w:name="_Toc15140"/>
      <w:bookmarkStart w:id="400" w:name="_Toc9522"/>
      <w:r>
        <w:rPr>
          <w:color w:val="auto"/>
          <w:highlight w:val="none"/>
        </w:rPr>
        <w:t xml:space="preserve">12.1  </w:t>
      </w:r>
      <w:r>
        <w:rPr>
          <w:rFonts w:hint="eastAsia"/>
          <w:color w:val="auto"/>
          <w:highlight w:val="none"/>
        </w:rPr>
        <w:t>承包人暂停施工的责任</w:t>
      </w:r>
      <w:bookmarkEnd w:id="391"/>
      <w:bookmarkEnd w:id="392"/>
      <w:bookmarkEnd w:id="393"/>
      <w:bookmarkEnd w:id="394"/>
      <w:bookmarkEnd w:id="395"/>
      <w:bookmarkEnd w:id="396"/>
      <w:bookmarkEnd w:id="397"/>
      <w:bookmarkEnd w:id="398"/>
      <w:bookmarkEnd w:id="399"/>
      <w:bookmarkEnd w:id="400"/>
    </w:p>
    <w:p>
      <w:pPr>
        <w:pStyle w:val="17"/>
        <w:wordWrap w:val="0"/>
        <w:spacing w:after="0" w:line="360" w:lineRule="auto"/>
        <w:ind w:left="0" w:leftChars="0" w:firstLine="420" w:firstLineChars="200"/>
        <w:rPr>
          <w:rFonts w:hint="eastAsia" w:ascii="宋体" w:hAnsi="宋体" w:eastAsia="宋体" w:cs="宋体"/>
          <w:color w:val="auto"/>
          <w:sz w:val="21"/>
          <w:szCs w:val="21"/>
          <w:highlight w:val="none"/>
        </w:rPr>
      </w:pPr>
      <w:bookmarkStart w:id="401" w:name="_Toc489280221"/>
      <w:bookmarkStart w:id="402" w:name="_Toc486580415"/>
      <w:bookmarkStart w:id="403" w:name="_Toc485323189"/>
      <w:r>
        <w:rPr>
          <w:rFonts w:hint="eastAsia" w:ascii="宋体" w:hAnsi="宋体" w:eastAsia="宋体" w:cs="宋体"/>
          <w:color w:val="auto"/>
          <w:sz w:val="21"/>
          <w:szCs w:val="21"/>
          <w:highlight w:val="none"/>
        </w:rPr>
        <w:t>承包人承担暂停施工责任的其他情形：</w:t>
      </w:r>
      <w:r>
        <w:rPr>
          <w:rFonts w:hint="eastAsia" w:ascii="宋体" w:hAnsi="宋体" w:eastAsia="宋体" w:cs="宋体"/>
          <w:color w:val="auto"/>
          <w:sz w:val="21"/>
          <w:szCs w:val="21"/>
          <w:highlight w:val="none"/>
          <w:u w:val="single"/>
        </w:rPr>
        <w:t xml:space="preserve"> 1）质量事故；2)安全生产事故；3)拒绝监理人管理；4)施工组织计划（方案）未获总监理工程师批准而进行施工；5）未经监理人检验而进行下一道工序作业；6)擅自采用未经监理人及发包人认可获批准的材料，或者使用的原材料、构配件不合格或未经检查确认，或者擅自采用未经认可的代用材料的；7)擅自变更实际图纸的要求；8)转包工程； 9)存在安全隐患，未按监理人要求及时进行整改；10)未按双方约定的资料上报要求上报所需资料；13）承包人组织施工管理不利，如资质等级不够、施工队伍实力不足、技术设备无法满足施工要求等；14) 因承包人违反规范或任何工程质量不合格而进行返工、重建、修建的工期；15)违法施工，致使工程被责令停止，如未遵守文明施工规定等；16)施工质量不符合法律规定或合同约定，发包人或监理人要求暂停施工进行整改的；17）未按设计要求进行施工或因施工组织方案不可行导致发包人未能按时审批而影响工期的；18）工程验收不合格发现存在质量问题或技术问题需要整改的；19）承包人自身原因的怠工怠料的。发生以上情形工期不予顺延，责任由承包人自负。</w:t>
      </w:r>
    </w:p>
    <w:p>
      <w:pPr>
        <w:pStyle w:val="59"/>
        <w:spacing w:before="120" w:after="120"/>
        <w:outlineLvl w:val="0"/>
        <w:rPr>
          <w:color w:val="auto"/>
          <w:highlight w:val="none"/>
        </w:rPr>
      </w:pPr>
      <w:bookmarkStart w:id="404" w:name="_Toc24642"/>
      <w:bookmarkStart w:id="405" w:name="_Toc490331706"/>
      <w:bookmarkStart w:id="406" w:name="_Toc22783"/>
      <w:bookmarkStart w:id="407" w:name="_Toc497214084"/>
      <w:bookmarkStart w:id="408" w:name="_Toc510038009"/>
      <w:bookmarkStart w:id="409" w:name="_Toc69034514"/>
      <w:bookmarkStart w:id="410" w:name="_Toc79998272"/>
      <w:r>
        <w:rPr>
          <w:color w:val="auto"/>
          <w:highlight w:val="none"/>
        </w:rPr>
        <w:t>13.</w:t>
      </w:r>
      <w:r>
        <w:rPr>
          <w:rFonts w:hint="eastAsia"/>
          <w:color w:val="auto"/>
          <w:highlight w:val="none"/>
        </w:rPr>
        <w:t>工程质量</w:t>
      </w:r>
      <w:bookmarkEnd w:id="401"/>
      <w:bookmarkEnd w:id="402"/>
      <w:bookmarkEnd w:id="403"/>
      <w:bookmarkEnd w:id="404"/>
      <w:bookmarkEnd w:id="405"/>
      <w:bookmarkEnd w:id="406"/>
      <w:bookmarkEnd w:id="407"/>
      <w:bookmarkEnd w:id="408"/>
      <w:bookmarkEnd w:id="409"/>
      <w:bookmarkEnd w:id="410"/>
    </w:p>
    <w:p>
      <w:pPr>
        <w:pStyle w:val="60"/>
        <w:spacing w:before="120" w:after="120"/>
        <w:outlineLvl w:val="1"/>
        <w:rPr>
          <w:color w:val="auto"/>
          <w:highlight w:val="none"/>
        </w:rPr>
      </w:pPr>
      <w:bookmarkStart w:id="411" w:name="_Toc69034515"/>
      <w:bookmarkStart w:id="412" w:name="_Toc79998273"/>
      <w:bookmarkStart w:id="413" w:name="_Toc489280222"/>
      <w:bookmarkStart w:id="414" w:name="_Toc497214085"/>
      <w:bookmarkStart w:id="415" w:name="_Toc486580416"/>
      <w:bookmarkStart w:id="416" w:name="_Toc490331707"/>
      <w:bookmarkStart w:id="417" w:name="_Toc485323190"/>
      <w:bookmarkStart w:id="418" w:name="_Toc31072"/>
      <w:bookmarkStart w:id="419" w:name="_Toc29206"/>
      <w:bookmarkStart w:id="420" w:name="_Toc490331711"/>
      <w:bookmarkStart w:id="421" w:name="_Toc485323194"/>
      <w:bookmarkStart w:id="422" w:name="_Toc510038014"/>
      <w:bookmarkStart w:id="423" w:name="_Toc497214089"/>
      <w:bookmarkStart w:id="424" w:name="_Toc10304"/>
      <w:bookmarkStart w:id="425" w:name="_Toc486580420"/>
      <w:bookmarkStart w:id="426" w:name="_Toc489280226"/>
      <w:r>
        <w:rPr>
          <w:color w:val="auto"/>
          <w:highlight w:val="none"/>
        </w:rPr>
        <w:t>13.</w:t>
      </w:r>
      <w:r>
        <w:rPr>
          <w:rFonts w:hint="eastAsia"/>
          <w:color w:val="auto"/>
          <w:highlight w:val="none"/>
          <w:lang w:val="en-US" w:eastAsia="zh-CN"/>
        </w:rPr>
        <w:t>1</w:t>
      </w:r>
      <w:r>
        <w:rPr>
          <w:color w:val="auto"/>
          <w:highlight w:val="none"/>
        </w:rPr>
        <w:t xml:space="preserve">  </w:t>
      </w:r>
      <w:r>
        <w:rPr>
          <w:rFonts w:hint="eastAsia"/>
          <w:color w:val="auto"/>
          <w:highlight w:val="none"/>
        </w:rPr>
        <w:t>承包人的质量管理</w:t>
      </w:r>
      <w:bookmarkEnd w:id="411"/>
      <w:bookmarkEnd w:id="412"/>
      <w:bookmarkEnd w:id="413"/>
      <w:bookmarkEnd w:id="414"/>
      <w:bookmarkEnd w:id="415"/>
      <w:bookmarkEnd w:id="416"/>
      <w:bookmarkEnd w:id="417"/>
      <w:bookmarkEnd w:id="418"/>
    </w:p>
    <w:p>
      <w:pPr>
        <w:spacing w:line="360" w:lineRule="auto"/>
        <w:ind w:firstLine="440" w:firstLineChars="200"/>
        <w:rPr>
          <w:rFonts w:ascii="宋体" w:cs="Arial"/>
          <w:color w:val="auto"/>
          <w:highlight w:val="none"/>
        </w:rPr>
      </w:pPr>
      <w:r>
        <w:rPr>
          <w:rFonts w:hint="eastAsia" w:ascii="宋体" w:hAnsi="宋体"/>
          <w:color w:val="auto"/>
          <w:szCs w:val="21"/>
          <w:highlight w:val="none"/>
        </w:rPr>
        <w:t>承包人向监理人提交工程质量保证措施文件的期限：</w:t>
      </w:r>
      <w:r>
        <w:rPr>
          <w:rFonts w:hint="eastAsia" w:ascii="宋体" w:hAnsi="宋体"/>
          <w:color w:val="auto"/>
          <w:kern w:val="0"/>
          <w:szCs w:val="21"/>
          <w:highlight w:val="none"/>
          <w:u w:val="single"/>
        </w:rPr>
        <w:t>签订合同后</w:t>
      </w:r>
      <w:r>
        <w:rPr>
          <w:rFonts w:ascii="宋体" w:hAnsi="宋体"/>
          <w:color w:val="auto"/>
          <w:kern w:val="0"/>
          <w:szCs w:val="21"/>
          <w:highlight w:val="none"/>
          <w:u w:val="single"/>
        </w:rPr>
        <w:t>7</w:t>
      </w:r>
      <w:r>
        <w:rPr>
          <w:rFonts w:hint="eastAsia" w:ascii="宋体" w:hAnsi="宋体"/>
          <w:color w:val="auto"/>
          <w:kern w:val="0"/>
          <w:szCs w:val="21"/>
          <w:highlight w:val="none"/>
          <w:u w:val="single"/>
        </w:rPr>
        <w:t>天内</w:t>
      </w:r>
      <w:r>
        <w:rPr>
          <w:rFonts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监理人审批工程质量保证措施文件的期限：</w:t>
      </w:r>
      <w:bookmarkStart w:id="427" w:name="_Toc489280223"/>
      <w:bookmarkStart w:id="428" w:name="_Toc497214086"/>
      <w:bookmarkStart w:id="429" w:name="_Toc485323191"/>
      <w:bookmarkStart w:id="430" w:name="_Toc490331708"/>
      <w:bookmarkStart w:id="431" w:name="_Toc486580417"/>
      <w:r>
        <w:rPr>
          <w:rFonts w:hint="eastAsia" w:ascii="宋体" w:hAnsi="宋体"/>
          <w:color w:val="auto"/>
          <w:szCs w:val="21"/>
          <w:highlight w:val="none"/>
          <w:u w:val="single"/>
        </w:rPr>
        <w:t>监理人在收到相关资料后3天内</w:t>
      </w:r>
      <w:r>
        <w:rPr>
          <w:rFonts w:ascii="宋体" w:hAnsi="宋体"/>
          <w:color w:val="auto"/>
          <w:szCs w:val="21"/>
          <w:highlight w:val="none"/>
        </w:rPr>
        <w:t>。</w:t>
      </w:r>
    </w:p>
    <w:p>
      <w:pPr>
        <w:pStyle w:val="60"/>
        <w:spacing w:before="120" w:after="120"/>
        <w:outlineLvl w:val="1"/>
        <w:rPr>
          <w:color w:val="auto"/>
          <w:highlight w:val="none"/>
        </w:rPr>
      </w:pPr>
      <w:bookmarkStart w:id="432" w:name="_Toc79998274"/>
      <w:bookmarkStart w:id="433" w:name="_Toc69034516"/>
      <w:r>
        <w:rPr>
          <w:color w:val="auto"/>
          <w:highlight w:val="none"/>
        </w:rPr>
        <w:t>13.</w:t>
      </w:r>
      <w:r>
        <w:rPr>
          <w:rFonts w:hint="eastAsia"/>
          <w:color w:val="auto"/>
          <w:highlight w:val="none"/>
          <w:lang w:val="en-US" w:eastAsia="zh-CN"/>
        </w:rPr>
        <w:t>2</w:t>
      </w:r>
      <w:r>
        <w:rPr>
          <w:color w:val="auto"/>
          <w:highlight w:val="none"/>
        </w:rPr>
        <w:t xml:space="preserve">  </w:t>
      </w:r>
      <w:r>
        <w:rPr>
          <w:rFonts w:hint="eastAsia"/>
          <w:color w:val="auto"/>
          <w:highlight w:val="none"/>
        </w:rPr>
        <w:t>承包人的质量检查</w:t>
      </w:r>
      <w:bookmarkEnd w:id="427"/>
      <w:bookmarkEnd w:id="428"/>
      <w:bookmarkEnd w:id="429"/>
      <w:bookmarkEnd w:id="430"/>
      <w:bookmarkEnd w:id="431"/>
      <w:bookmarkEnd w:id="432"/>
      <w:bookmarkEnd w:id="433"/>
    </w:p>
    <w:p>
      <w:pPr>
        <w:spacing w:line="360" w:lineRule="auto"/>
        <w:ind w:firstLine="440" w:firstLineChars="200"/>
        <w:rPr>
          <w:rFonts w:ascii="宋体" w:cs="Arial"/>
          <w:color w:val="auto"/>
          <w:highlight w:val="none"/>
        </w:rPr>
      </w:pPr>
      <w:r>
        <w:rPr>
          <w:rFonts w:hint="eastAsia" w:ascii="宋体" w:hAnsi="宋体"/>
          <w:color w:val="auto"/>
          <w:szCs w:val="21"/>
          <w:highlight w:val="none"/>
        </w:rPr>
        <w:t>承包人向监理人报送工程质量报表的期限：</w:t>
      </w:r>
      <w:r>
        <w:rPr>
          <w:rFonts w:hint="eastAsia" w:ascii="宋体" w:hAnsi="宋体"/>
          <w:color w:val="auto"/>
          <w:kern w:val="0"/>
          <w:szCs w:val="21"/>
          <w:highlight w:val="none"/>
          <w:u w:val="single"/>
        </w:rPr>
        <w:t>每月的</w:t>
      </w:r>
      <w:r>
        <w:rPr>
          <w:rFonts w:ascii="宋体" w:hAnsi="宋体"/>
          <w:color w:val="auto"/>
          <w:kern w:val="0"/>
          <w:szCs w:val="21"/>
          <w:highlight w:val="none"/>
          <w:u w:val="single"/>
        </w:rPr>
        <w:t>2</w:t>
      </w:r>
      <w:r>
        <w:rPr>
          <w:rFonts w:hint="eastAsia" w:ascii="宋体" w:hAnsi="宋体"/>
          <w:color w:val="auto"/>
          <w:kern w:val="0"/>
          <w:szCs w:val="21"/>
          <w:highlight w:val="none"/>
          <w:u w:val="single"/>
        </w:rPr>
        <w:t>5日前</w:t>
      </w:r>
      <w:r>
        <w:rPr>
          <w:rFonts w:ascii="宋体" w:hAnsi="宋体"/>
          <w:color w:val="auto"/>
          <w:szCs w:val="21"/>
          <w:highlight w:val="non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承包人向监理人报送工程质量报表的要求：</w:t>
      </w:r>
      <w:r>
        <w:rPr>
          <w:rFonts w:hint="eastAsia" w:ascii="宋体" w:hAnsi="宋体"/>
          <w:color w:val="auto"/>
          <w:kern w:val="0"/>
          <w:szCs w:val="21"/>
          <w:highlight w:val="none"/>
          <w:u w:val="single"/>
        </w:rPr>
        <w:t>满足施工要求</w:t>
      </w:r>
      <w:r>
        <w:rPr>
          <w:rFonts w:hint="eastAsia"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监理人审查工程质量报表的期限：</w:t>
      </w:r>
      <w:bookmarkStart w:id="434" w:name="_Toc486580418"/>
      <w:bookmarkStart w:id="435" w:name="_Toc489280224"/>
      <w:bookmarkStart w:id="436" w:name="_Toc497214087"/>
      <w:bookmarkStart w:id="437" w:name="_Toc485323192"/>
      <w:bookmarkStart w:id="438" w:name="_Toc490331709"/>
      <w:r>
        <w:rPr>
          <w:rFonts w:hint="eastAsia" w:ascii="宋体" w:hAnsi="宋体"/>
          <w:color w:val="auto"/>
          <w:szCs w:val="21"/>
          <w:highlight w:val="none"/>
          <w:u w:val="single"/>
        </w:rPr>
        <w:t>收到承包人提交的工程质量报表7天内</w:t>
      </w:r>
      <w:r>
        <w:rPr>
          <w:rFonts w:ascii="宋体" w:hAnsi="宋体"/>
          <w:color w:val="auto"/>
          <w:szCs w:val="21"/>
          <w:highlight w:val="none"/>
        </w:rPr>
        <w:t>。</w:t>
      </w:r>
    </w:p>
    <w:p>
      <w:pPr>
        <w:pStyle w:val="60"/>
        <w:spacing w:before="120" w:after="120"/>
        <w:outlineLvl w:val="1"/>
        <w:rPr>
          <w:color w:val="auto"/>
          <w:highlight w:val="none"/>
        </w:rPr>
      </w:pPr>
      <w:bookmarkStart w:id="439" w:name="_Toc79998275"/>
      <w:bookmarkStart w:id="440" w:name="_Toc69034517"/>
      <w:r>
        <w:rPr>
          <w:color w:val="auto"/>
          <w:highlight w:val="none"/>
        </w:rPr>
        <w:t>13.</w:t>
      </w:r>
      <w:r>
        <w:rPr>
          <w:rFonts w:hint="eastAsia"/>
          <w:color w:val="auto"/>
          <w:highlight w:val="none"/>
          <w:lang w:val="en-US" w:eastAsia="zh-CN"/>
        </w:rPr>
        <w:t>3</w:t>
      </w:r>
      <w:r>
        <w:rPr>
          <w:color w:val="auto"/>
          <w:highlight w:val="none"/>
        </w:rPr>
        <w:t xml:space="preserve">  </w:t>
      </w:r>
      <w:r>
        <w:rPr>
          <w:rFonts w:hint="eastAsia"/>
          <w:color w:val="auto"/>
          <w:highlight w:val="none"/>
        </w:rPr>
        <w:t>监理人的质量检查</w:t>
      </w:r>
      <w:bookmarkEnd w:id="434"/>
      <w:bookmarkEnd w:id="435"/>
      <w:bookmarkEnd w:id="436"/>
      <w:bookmarkEnd w:id="437"/>
      <w:bookmarkEnd w:id="438"/>
      <w:bookmarkEnd w:id="439"/>
      <w:bookmarkEnd w:id="440"/>
    </w:p>
    <w:p>
      <w:pPr>
        <w:spacing w:line="360" w:lineRule="auto"/>
        <w:ind w:firstLine="440" w:firstLineChars="200"/>
        <w:rPr>
          <w:rFonts w:ascii="宋体"/>
          <w:color w:val="auto"/>
          <w:szCs w:val="21"/>
          <w:highlight w:val="none"/>
        </w:rPr>
      </w:pPr>
      <w:r>
        <w:rPr>
          <w:rFonts w:hint="eastAsia" w:ascii="宋体" w:hAnsi="宋体"/>
          <w:color w:val="auto"/>
          <w:szCs w:val="21"/>
          <w:highlight w:val="none"/>
        </w:rPr>
        <w:t>承包人应当为监理人的检查和检验提供方便，监理人可以进行察看和查阅施工原始记录的其他地方包括：</w:t>
      </w:r>
      <w:r>
        <w:rPr>
          <w:rFonts w:hint="eastAsia" w:ascii="宋体" w:hAnsi="宋体"/>
          <w:color w:val="auto"/>
          <w:szCs w:val="21"/>
          <w:highlight w:val="none"/>
          <w:u w:val="single"/>
        </w:rPr>
        <w:t>/</w:t>
      </w:r>
    </w:p>
    <w:p>
      <w:pPr>
        <w:pStyle w:val="60"/>
        <w:spacing w:before="120" w:after="120"/>
        <w:outlineLvl w:val="1"/>
        <w:rPr>
          <w:color w:val="auto"/>
          <w:highlight w:val="none"/>
        </w:rPr>
      </w:pPr>
      <w:bookmarkStart w:id="441" w:name="_Toc79998276"/>
      <w:bookmarkStart w:id="442" w:name="_Toc497214088"/>
      <w:bookmarkStart w:id="443" w:name="_Toc485323193"/>
      <w:bookmarkStart w:id="444" w:name="_Toc490331710"/>
      <w:bookmarkStart w:id="445" w:name="_Toc486580419"/>
      <w:bookmarkStart w:id="446" w:name="_Toc489280225"/>
      <w:bookmarkStart w:id="447" w:name="_Toc69034518"/>
      <w:bookmarkStart w:id="448" w:name="_Toc12422"/>
      <w:r>
        <w:rPr>
          <w:color w:val="auto"/>
          <w:highlight w:val="none"/>
        </w:rPr>
        <w:t>13.</w:t>
      </w:r>
      <w:r>
        <w:rPr>
          <w:rFonts w:hint="eastAsia"/>
          <w:color w:val="auto"/>
          <w:highlight w:val="none"/>
          <w:lang w:val="en-US" w:eastAsia="zh-CN"/>
        </w:rPr>
        <w:t>4</w:t>
      </w:r>
      <w:r>
        <w:rPr>
          <w:color w:val="auto"/>
          <w:highlight w:val="none"/>
        </w:rPr>
        <w:t xml:space="preserve">  </w:t>
      </w:r>
      <w:r>
        <w:rPr>
          <w:rFonts w:hint="eastAsia"/>
          <w:color w:val="auto"/>
          <w:highlight w:val="none"/>
        </w:rPr>
        <w:t>工程隐蔽部位覆盖前的检查</w:t>
      </w:r>
      <w:bookmarkEnd w:id="441"/>
      <w:bookmarkEnd w:id="442"/>
      <w:bookmarkEnd w:id="443"/>
      <w:bookmarkEnd w:id="444"/>
      <w:bookmarkEnd w:id="445"/>
      <w:bookmarkEnd w:id="446"/>
      <w:bookmarkEnd w:id="447"/>
      <w:bookmarkEnd w:id="448"/>
    </w:p>
    <w:p>
      <w:pPr>
        <w:spacing w:line="400" w:lineRule="exact"/>
        <w:ind w:firstLine="440" w:firstLineChars="200"/>
        <w:rPr>
          <w:rFonts w:ascii="宋体" w:hAnsi="宋体" w:cs="Arial"/>
          <w:color w:val="auto"/>
          <w:highlight w:val="none"/>
        </w:rPr>
      </w:pPr>
      <w:r>
        <w:rPr>
          <w:rFonts w:hint="eastAsia" w:ascii="宋体" w:hAnsi="宋体"/>
          <w:color w:val="auto"/>
          <w:szCs w:val="21"/>
          <w:highlight w:val="none"/>
        </w:rPr>
        <w:t>监理人对工程隐蔽部位进行检查的期限：</w:t>
      </w:r>
      <w:r>
        <w:rPr>
          <w:rFonts w:hint="eastAsia" w:ascii="宋体" w:hAnsi="宋体"/>
          <w:color w:val="auto"/>
          <w:kern w:val="0"/>
          <w:szCs w:val="21"/>
          <w:highlight w:val="none"/>
          <w:u w:val="single"/>
        </w:rPr>
        <w:t>共同检查前12小时书面通知监理人检查</w:t>
      </w:r>
      <w:r>
        <w:rPr>
          <w:rFonts w:hint="eastAsia" w:ascii="宋体" w:hAnsi="宋体"/>
          <w:color w:val="auto"/>
          <w:szCs w:val="21"/>
          <w:highlight w:val="none"/>
        </w:rPr>
        <w:t>。</w:t>
      </w:r>
    </w:p>
    <w:p>
      <w:pPr>
        <w:pStyle w:val="59"/>
        <w:spacing w:before="120" w:after="120"/>
        <w:outlineLvl w:val="0"/>
        <w:rPr>
          <w:color w:val="auto"/>
          <w:highlight w:val="none"/>
        </w:rPr>
      </w:pPr>
      <w:bookmarkStart w:id="449" w:name="_Toc79998277"/>
      <w:bookmarkStart w:id="450" w:name="_Toc69034519"/>
      <w:r>
        <w:rPr>
          <w:color w:val="auto"/>
          <w:highlight w:val="none"/>
        </w:rPr>
        <w:t>1</w:t>
      </w:r>
      <w:r>
        <w:rPr>
          <w:rFonts w:hint="eastAsia"/>
          <w:color w:val="auto"/>
          <w:highlight w:val="none"/>
          <w:lang w:val="en-US" w:eastAsia="zh-CN"/>
        </w:rPr>
        <w:t>4</w:t>
      </w:r>
      <w:r>
        <w:rPr>
          <w:color w:val="auto"/>
          <w:highlight w:val="none"/>
        </w:rPr>
        <w:t>.</w:t>
      </w:r>
      <w:r>
        <w:rPr>
          <w:rFonts w:hint="eastAsia"/>
          <w:color w:val="auto"/>
          <w:highlight w:val="none"/>
        </w:rPr>
        <w:t>变更</w:t>
      </w:r>
      <w:bookmarkEnd w:id="419"/>
      <w:bookmarkEnd w:id="420"/>
      <w:bookmarkEnd w:id="421"/>
      <w:bookmarkEnd w:id="422"/>
      <w:bookmarkEnd w:id="423"/>
      <w:bookmarkEnd w:id="424"/>
      <w:bookmarkEnd w:id="425"/>
      <w:bookmarkEnd w:id="426"/>
      <w:bookmarkEnd w:id="449"/>
      <w:bookmarkEnd w:id="450"/>
    </w:p>
    <w:p>
      <w:pPr>
        <w:pStyle w:val="60"/>
        <w:spacing w:before="120" w:after="120"/>
        <w:outlineLvl w:val="1"/>
        <w:rPr>
          <w:color w:val="auto"/>
          <w:highlight w:val="none"/>
        </w:rPr>
      </w:pPr>
      <w:bookmarkStart w:id="451" w:name="_Toc489280227"/>
      <w:bookmarkStart w:id="452" w:name="_Toc486580421"/>
      <w:bookmarkStart w:id="453" w:name="_Toc497214090"/>
      <w:bookmarkStart w:id="454" w:name="_Toc485323195"/>
      <w:bookmarkStart w:id="455" w:name="_Toc490331712"/>
      <w:bookmarkStart w:id="456" w:name="_Toc9504"/>
      <w:bookmarkStart w:id="457" w:name="_Toc69034520"/>
      <w:bookmarkStart w:id="458" w:name="_Toc79998278"/>
      <w:bookmarkStart w:id="459" w:name="_Toc15182"/>
      <w:bookmarkStart w:id="460" w:name="_Toc485323200"/>
      <w:bookmarkStart w:id="461" w:name="_Toc489280232"/>
      <w:bookmarkStart w:id="462" w:name="_Toc5264"/>
      <w:bookmarkStart w:id="463" w:name="_Toc490331717"/>
      <w:bookmarkStart w:id="464" w:name="_Toc510038020"/>
      <w:bookmarkStart w:id="465" w:name="_Toc497214095"/>
      <w:bookmarkStart w:id="466" w:name="_Toc486580426"/>
      <w:r>
        <w:rPr>
          <w:color w:val="auto"/>
          <w:highlight w:val="none"/>
        </w:rPr>
        <w:t>1</w:t>
      </w:r>
      <w:r>
        <w:rPr>
          <w:rFonts w:hint="eastAsia"/>
          <w:color w:val="auto"/>
          <w:highlight w:val="none"/>
          <w:lang w:val="en-US" w:eastAsia="zh-CN"/>
        </w:rPr>
        <w:t>4</w:t>
      </w:r>
      <w:r>
        <w:rPr>
          <w:color w:val="auto"/>
          <w:highlight w:val="none"/>
        </w:rPr>
        <w:t xml:space="preserve">.1  </w:t>
      </w:r>
      <w:r>
        <w:rPr>
          <w:rFonts w:hint="eastAsia"/>
          <w:color w:val="auto"/>
          <w:highlight w:val="none"/>
        </w:rPr>
        <w:t>变更的范围和内容</w:t>
      </w:r>
      <w:bookmarkEnd w:id="451"/>
      <w:bookmarkEnd w:id="452"/>
      <w:bookmarkEnd w:id="453"/>
      <w:bookmarkEnd w:id="454"/>
      <w:bookmarkEnd w:id="455"/>
      <w:bookmarkEnd w:id="456"/>
      <w:bookmarkEnd w:id="457"/>
      <w:bookmarkEnd w:id="458"/>
    </w:p>
    <w:p>
      <w:pPr>
        <w:spacing w:line="360" w:lineRule="auto"/>
        <w:ind w:firstLine="440" w:firstLineChars="200"/>
        <w:rPr>
          <w:rFonts w:hint="eastAsia" w:ascii="宋体" w:hAnsi="宋体"/>
          <w:color w:val="auto"/>
          <w:highlight w:val="none"/>
        </w:rPr>
      </w:pPr>
      <w:r>
        <w:rPr>
          <w:rFonts w:hint="eastAsia" w:ascii="宋体" w:hAnsi="宋体"/>
          <w:color w:val="auto"/>
          <w:highlight w:val="none"/>
          <w:lang w:val="en-US" w:eastAsia="zh-CN"/>
        </w:rPr>
        <w:t>14.1.1</w:t>
      </w:r>
      <w:r>
        <w:rPr>
          <w:rFonts w:hint="eastAsia" w:ascii="宋体" w:hAnsi="宋体"/>
          <w:color w:val="auto"/>
          <w:highlight w:val="none"/>
        </w:rPr>
        <w:t>在履行合同中发生</w:t>
      </w:r>
      <w:r>
        <w:rPr>
          <w:rFonts w:hint="eastAsia" w:ascii="宋体" w:hAnsi="宋体"/>
          <w:color w:val="auto"/>
          <w:kern w:val="0"/>
          <w:szCs w:val="21"/>
          <w:highlight w:val="none"/>
          <w:u w:val="single"/>
        </w:rPr>
        <w:t>因政策、发包人原因而引起的施工内容和范围的变更</w:t>
      </w:r>
      <w:r>
        <w:rPr>
          <w:rFonts w:hint="eastAsia" w:ascii="宋体" w:hAnsi="宋体"/>
          <w:color w:val="auto"/>
          <w:highlight w:val="none"/>
        </w:rPr>
        <w:t>，应按照本条规定进行变更。</w:t>
      </w:r>
      <w:bookmarkStart w:id="467" w:name="_Toc79998279"/>
      <w:bookmarkStart w:id="468" w:name="_Toc489280228"/>
      <w:bookmarkStart w:id="469" w:name="_Toc486580422"/>
      <w:bookmarkStart w:id="470" w:name="_Toc497214091"/>
      <w:bookmarkStart w:id="471" w:name="_Toc69034521"/>
      <w:bookmarkStart w:id="472" w:name="_Toc490331713"/>
      <w:bookmarkStart w:id="473" w:name="_Toc485323196"/>
      <w:bookmarkStart w:id="474" w:name="_Toc14440"/>
    </w:p>
    <w:p>
      <w:pPr>
        <w:numPr>
          <w:ilvl w:val="0"/>
          <w:numId w:val="0"/>
        </w:numPr>
        <w:spacing w:line="360" w:lineRule="auto"/>
        <w:ind w:firstLine="440" w:firstLineChars="200"/>
        <w:rPr>
          <w:rFonts w:ascii="宋体" w:cs="Arial"/>
          <w:color w:val="auto"/>
          <w:highlight w:val="none"/>
        </w:rPr>
      </w:pPr>
      <w:r>
        <w:rPr>
          <w:rFonts w:hint="eastAsia"/>
          <w:color w:val="auto"/>
          <w:highlight w:val="none"/>
          <w:lang w:val="en-US" w:eastAsia="zh-CN"/>
        </w:rPr>
        <w:t>14.1. 2</w:t>
      </w:r>
      <w:r>
        <w:rPr>
          <w:color w:val="auto"/>
          <w:highlight w:val="none"/>
        </w:rPr>
        <w:t xml:space="preserve"> </w:t>
      </w:r>
      <w:bookmarkEnd w:id="467"/>
      <w:bookmarkEnd w:id="468"/>
      <w:bookmarkEnd w:id="469"/>
      <w:bookmarkEnd w:id="470"/>
      <w:bookmarkEnd w:id="471"/>
      <w:bookmarkEnd w:id="472"/>
      <w:bookmarkEnd w:id="473"/>
      <w:bookmarkEnd w:id="474"/>
      <w:r>
        <w:rPr>
          <w:rFonts w:hint="eastAsia" w:ascii="宋体" w:hAnsi="宋体" w:cs="Arial"/>
          <w:color w:val="auto"/>
          <w:highlight w:val="none"/>
        </w:rPr>
        <w:t>变更估价</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）承包人提交变更报价书的期限：</w:t>
      </w:r>
      <w:r>
        <w:rPr>
          <w:rFonts w:hint="eastAsia" w:ascii="宋体" w:hAnsi="宋体"/>
          <w:color w:val="auto"/>
          <w:kern w:val="0"/>
          <w:szCs w:val="21"/>
          <w:highlight w:val="none"/>
          <w:u w:val="single"/>
        </w:rPr>
        <w:t>承包人收到变更指示或变更意向书后的</w:t>
      </w:r>
      <w:r>
        <w:rPr>
          <w:rFonts w:ascii="宋体" w:hAnsi="宋体"/>
          <w:color w:val="auto"/>
          <w:kern w:val="0"/>
          <w:szCs w:val="21"/>
          <w:highlight w:val="none"/>
          <w:u w:val="single"/>
        </w:rPr>
        <w:t>14</w:t>
      </w:r>
      <w:r>
        <w:rPr>
          <w:rFonts w:hint="eastAsia" w:ascii="宋体" w:hAnsi="宋体"/>
          <w:color w:val="auto"/>
          <w:kern w:val="0"/>
          <w:szCs w:val="21"/>
          <w:highlight w:val="none"/>
          <w:u w:val="single"/>
        </w:rPr>
        <w:t>天内</w:t>
      </w:r>
      <w:r>
        <w:rPr>
          <w:rFonts w:hint="eastAsia"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）监理人商定或确定变更价格的期限：</w:t>
      </w:r>
      <w:r>
        <w:rPr>
          <w:rFonts w:hint="eastAsia" w:ascii="宋体" w:hAnsi="宋体"/>
          <w:color w:val="auto"/>
          <w:kern w:val="0"/>
          <w:szCs w:val="21"/>
          <w:highlight w:val="none"/>
          <w:u w:val="single"/>
        </w:rPr>
        <w:t>监理人收到承包人变更报价书后的</w:t>
      </w:r>
      <w:r>
        <w:rPr>
          <w:rFonts w:ascii="宋体" w:hAnsi="宋体"/>
          <w:color w:val="auto"/>
          <w:kern w:val="0"/>
          <w:szCs w:val="21"/>
          <w:highlight w:val="none"/>
          <w:u w:val="single"/>
        </w:rPr>
        <w:t>14</w:t>
      </w:r>
      <w:r>
        <w:rPr>
          <w:rFonts w:hint="eastAsia" w:ascii="宋体" w:hAnsi="宋体"/>
          <w:color w:val="auto"/>
          <w:kern w:val="0"/>
          <w:szCs w:val="21"/>
          <w:highlight w:val="none"/>
          <w:u w:val="single"/>
        </w:rPr>
        <w:t>天内</w:t>
      </w:r>
      <w:r>
        <w:rPr>
          <w:rFonts w:hint="eastAsia" w:ascii="宋体" w:hAnsi="宋体"/>
          <w:color w:val="auto"/>
          <w:szCs w:val="21"/>
          <w:highlight w:val="none"/>
        </w:rPr>
        <w:t>。</w:t>
      </w:r>
    </w:p>
    <w:p>
      <w:pPr>
        <w:pStyle w:val="60"/>
        <w:spacing w:before="120" w:after="120"/>
        <w:outlineLvl w:val="1"/>
        <w:rPr>
          <w:color w:val="auto"/>
          <w:highlight w:val="none"/>
        </w:rPr>
      </w:pPr>
      <w:bookmarkStart w:id="475" w:name="_Toc497214092"/>
      <w:bookmarkStart w:id="476" w:name="_Toc490331714"/>
      <w:bookmarkStart w:id="477" w:name="_Toc32426"/>
      <w:bookmarkStart w:id="478" w:name="_Toc489280229"/>
      <w:bookmarkStart w:id="479" w:name="_Toc486580423"/>
      <w:bookmarkStart w:id="480" w:name="_Toc485323197"/>
      <w:bookmarkStart w:id="481" w:name="_Toc79998280"/>
      <w:bookmarkStart w:id="482" w:name="_Toc69034522"/>
      <w:r>
        <w:rPr>
          <w:rFonts w:hint="eastAsia"/>
          <w:color w:val="auto"/>
          <w:highlight w:val="none"/>
          <w:lang w:val="en-US" w:eastAsia="zh-CN"/>
        </w:rPr>
        <w:t>14.2</w:t>
      </w:r>
      <w:r>
        <w:rPr>
          <w:rFonts w:hint="eastAsia"/>
          <w:color w:val="auto"/>
          <w:highlight w:val="none"/>
        </w:rPr>
        <w:t>变更的估价原则</w:t>
      </w:r>
      <w:bookmarkEnd w:id="475"/>
      <w:bookmarkEnd w:id="476"/>
      <w:bookmarkEnd w:id="477"/>
      <w:bookmarkEnd w:id="478"/>
      <w:bookmarkEnd w:id="479"/>
      <w:bookmarkEnd w:id="480"/>
      <w:bookmarkEnd w:id="481"/>
      <w:bookmarkEnd w:id="482"/>
    </w:p>
    <w:p>
      <w:pPr>
        <w:spacing w:line="360" w:lineRule="auto"/>
        <w:ind w:firstLine="440" w:firstLineChars="200"/>
        <w:rPr>
          <w:rFonts w:ascii="宋体"/>
          <w:color w:val="auto"/>
          <w:szCs w:val="21"/>
          <w:highlight w:val="none"/>
        </w:rPr>
      </w:pPr>
      <w:r>
        <w:rPr>
          <w:rFonts w:hint="eastAsia" w:ascii="宋体" w:hAnsi="宋体"/>
          <w:color w:val="auto"/>
          <w:szCs w:val="21"/>
          <w:highlight w:val="none"/>
          <w:lang w:val="en-US" w:eastAsia="zh-CN"/>
        </w:rPr>
        <w:t>14.2.1</w:t>
      </w:r>
      <w:r>
        <w:rPr>
          <w:rFonts w:ascii="宋体" w:hAnsi="宋体"/>
          <w:color w:val="auto"/>
          <w:szCs w:val="21"/>
          <w:highlight w:val="none"/>
        </w:rPr>
        <w:t xml:space="preserve">  </w:t>
      </w:r>
      <w:r>
        <w:rPr>
          <w:rFonts w:hint="eastAsia" w:ascii="宋体" w:hAnsi="宋体"/>
          <w:color w:val="auto"/>
          <w:szCs w:val="21"/>
          <w:highlight w:val="none"/>
        </w:rPr>
        <w:t>合同协议书约定采用单价合同形式时，因非承包人原因引起已标价工程量清单中列明的工程量发生增减，且单个子目工程量变化幅度在</w:t>
      </w:r>
      <w:r>
        <w:rPr>
          <w:rFonts w:hint="eastAsia" w:ascii="宋体" w:hAnsi="宋体"/>
          <w:color w:val="auto"/>
          <w:szCs w:val="21"/>
          <w:highlight w:val="none"/>
          <w:u w:val="single"/>
        </w:rPr>
        <w:t>15</w:t>
      </w:r>
      <w:r>
        <w:rPr>
          <w:rFonts w:ascii="宋体" w:hAnsi="宋体"/>
          <w:color w:val="auto"/>
          <w:szCs w:val="21"/>
          <w:highlight w:val="none"/>
        </w:rPr>
        <w:t>%</w:t>
      </w:r>
      <w:r>
        <w:rPr>
          <w:rFonts w:hint="eastAsia" w:ascii="宋体" w:hAnsi="宋体"/>
          <w:color w:val="auto"/>
          <w:szCs w:val="21"/>
          <w:highlight w:val="none"/>
        </w:rPr>
        <w:t>以内（含）时，应执行已标价工程量清单中列明的该子目的单价；单个子目工程量变化幅度在</w:t>
      </w:r>
      <w:r>
        <w:rPr>
          <w:rFonts w:hint="eastAsia" w:ascii="宋体" w:hAnsi="宋体"/>
          <w:color w:val="auto"/>
          <w:szCs w:val="21"/>
          <w:highlight w:val="none"/>
          <w:u w:val="single"/>
        </w:rPr>
        <w:t>15</w:t>
      </w:r>
      <w:r>
        <w:rPr>
          <w:rFonts w:ascii="宋体" w:hAnsi="宋体"/>
          <w:color w:val="auto"/>
          <w:szCs w:val="21"/>
          <w:highlight w:val="none"/>
        </w:rPr>
        <w:t>%</w:t>
      </w:r>
      <w:r>
        <w:rPr>
          <w:rFonts w:hint="eastAsia" w:ascii="宋体" w:hAnsi="宋体"/>
          <w:color w:val="auto"/>
          <w:szCs w:val="21"/>
          <w:highlight w:val="none"/>
        </w:rPr>
        <w:t>以外（不含），且导致分部分项工程费总额变化幅度超过</w:t>
      </w:r>
      <w:r>
        <w:rPr>
          <w:rFonts w:hint="eastAsia" w:ascii="宋体" w:hAnsi="宋体"/>
          <w:color w:val="auto"/>
          <w:kern w:val="0"/>
          <w:szCs w:val="21"/>
          <w:highlight w:val="none"/>
          <w:u w:val="single"/>
        </w:rPr>
        <w:t xml:space="preserve">   1 </w:t>
      </w:r>
      <w:r>
        <w:rPr>
          <w:rFonts w:ascii="宋体" w:hAnsi="宋体"/>
          <w:color w:val="auto"/>
          <w:kern w:val="0"/>
          <w:szCs w:val="21"/>
          <w:highlight w:val="none"/>
        </w:rPr>
        <w:t>%</w:t>
      </w:r>
      <w:r>
        <w:rPr>
          <w:rFonts w:hint="eastAsia" w:ascii="宋体" w:hAnsi="宋体"/>
          <w:color w:val="auto"/>
          <w:kern w:val="0"/>
          <w:szCs w:val="21"/>
          <w:highlight w:val="none"/>
        </w:rPr>
        <w:t xml:space="preserve"> 时，</w:t>
      </w:r>
      <w:r>
        <w:rPr>
          <w:rFonts w:hint="eastAsia" w:ascii="宋体" w:hAnsi="宋体"/>
          <w:color w:val="auto"/>
          <w:szCs w:val="21"/>
          <w:highlight w:val="none"/>
        </w:rPr>
        <w:t>由承包人提出并由监理人按第</w:t>
      </w:r>
      <w:r>
        <w:rPr>
          <w:rFonts w:ascii="宋体" w:hAnsi="宋体"/>
          <w:color w:val="auto"/>
          <w:szCs w:val="21"/>
          <w:highlight w:val="none"/>
        </w:rPr>
        <w:t>3.5</w:t>
      </w:r>
      <w:r>
        <w:rPr>
          <w:rFonts w:hint="eastAsia" w:ascii="宋体" w:hAnsi="宋体"/>
          <w:color w:val="auto"/>
          <w:szCs w:val="21"/>
          <w:highlight w:val="none"/>
        </w:rPr>
        <w:t>款商定或确定新的单价，该子目按修正后的新的单价计价。</w:t>
      </w:r>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lang w:val="en-US" w:eastAsia="zh-CN"/>
        </w:rPr>
        <w:t>14.2.2</w:t>
      </w:r>
      <w:r>
        <w:rPr>
          <w:rFonts w:ascii="宋体" w:hAnsi="宋体"/>
          <w:color w:val="auto"/>
          <w:szCs w:val="21"/>
          <w:highlight w:val="none"/>
        </w:rPr>
        <w:t xml:space="preserve"> </w:t>
      </w:r>
      <w:r>
        <w:rPr>
          <w:rFonts w:hint="eastAsia" w:ascii="宋体" w:hAnsi="宋体"/>
          <w:color w:val="auto"/>
          <w:szCs w:val="21"/>
          <w:highlight w:val="none"/>
        </w:rPr>
        <w:t>因变更引起价格调整的其他处理方式：</w:t>
      </w:r>
      <w:r>
        <w:rPr>
          <w:rFonts w:hint="eastAsia" w:ascii="宋体" w:hAnsi="宋体"/>
          <w:color w:val="auto"/>
          <w:szCs w:val="21"/>
          <w:highlight w:val="none"/>
          <w:u w:val="single"/>
        </w:rPr>
        <w:t>/</w:t>
      </w:r>
    </w:p>
    <w:p>
      <w:pPr>
        <w:pStyle w:val="60"/>
        <w:spacing w:before="120" w:after="120"/>
        <w:outlineLvl w:val="1"/>
        <w:rPr>
          <w:color w:val="auto"/>
          <w:highlight w:val="none"/>
        </w:rPr>
      </w:pPr>
      <w:bookmarkStart w:id="483" w:name="_Toc497214093"/>
      <w:bookmarkStart w:id="484" w:name="_Toc489280230"/>
      <w:bookmarkStart w:id="485" w:name="_Toc485323198"/>
      <w:bookmarkStart w:id="486" w:name="_Toc21763"/>
      <w:bookmarkStart w:id="487" w:name="_Toc486580424"/>
      <w:bookmarkStart w:id="488" w:name="_Toc69034523"/>
      <w:bookmarkStart w:id="489" w:name="_Toc490331715"/>
      <w:bookmarkStart w:id="490" w:name="_Toc79998281"/>
      <w:r>
        <w:rPr>
          <w:rFonts w:hint="eastAsia"/>
          <w:color w:val="auto"/>
          <w:highlight w:val="none"/>
          <w:lang w:val="en-US" w:eastAsia="zh-CN"/>
        </w:rPr>
        <w:t>14.3</w:t>
      </w:r>
      <w:r>
        <w:rPr>
          <w:color w:val="auto"/>
          <w:highlight w:val="none"/>
        </w:rPr>
        <w:t xml:space="preserve">  </w:t>
      </w:r>
      <w:r>
        <w:rPr>
          <w:rFonts w:hint="eastAsia"/>
          <w:color w:val="auto"/>
          <w:highlight w:val="none"/>
        </w:rPr>
        <w:t>承包人的合理化建议</w:t>
      </w:r>
      <w:bookmarkEnd w:id="483"/>
      <w:bookmarkEnd w:id="484"/>
      <w:bookmarkEnd w:id="485"/>
      <w:bookmarkEnd w:id="486"/>
      <w:bookmarkEnd w:id="487"/>
      <w:bookmarkEnd w:id="488"/>
      <w:bookmarkEnd w:id="489"/>
      <w:bookmarkEnd w:id="490"/>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对承包人提出合理化建议的奖励方法：</w:t>
      </w:r>
      <w:r>
        <w:rPr>
          <w:rFonts w:hint="eastAsia" w:ascii="宋体" w:hAnsi="宋体"/>
          <w:color w:val="auto"/>
          <w:szCs w:val="21"/>
          <w:highlight w:val="none"/>
          <w:u w:val="single"/>
        </w:rPr>
        <w:t>/</w:t>
      </w:r>
    </w:p>
    <w:p>
      <w:pPr>
        <w:pStyle w:val="60"/>
        <w:spacing w:before="120" w:after="120"/>
        <w:outlineLvl w:val="1"/>
        <w:rPr>
          <w:color w:val="auto"/>
          <w:highlight w:val="none"/>
        </w:rPr>
      </w:pPr>
      <w:bookmarkStart w:id="491" w:name="_Toc486580425"/>
      <w:bookmarkStart w:id="492" w:name="_Toc485323199"/>
      <w:bookmarkStart w:id="493" w:name="_Toc489280231"/>
      <w:bookmarkStart w:id="494" w:name="_Toc497214094"/>
      <w:bookmarkStart w:id="495" w:name="_Toc490331716"/>
      <w:bookmarkStart w:id="496" w:name="_Toc6736"/>
      <w:bookmarkStart w:id="497" w:name="_Toc69034524"/>
      <w:bookmarkStart w:id="498" w:name="_Toc79998282"/>
      <w:r>
        <w:rPr>
          <w:rFonts w:hint="eastAsia"/>
          <w:color w:val="auto"/>
          <w:highlight w:val="none"/>
          <w:lang w:val="en-US" w:eastAsia="zh-CN"/>
        </w:rPr>
        <w:t>14.4</w:t>
      </w:r>
      <w:r>
        <w:rPr>
          <w:color w:val="auto"/>
          <w:highlight w:val="none"/>
        </w:rPr>
        <w:t xml:space="preserve">  </w:t>
      </w:r>
      <w:r>
        <w:rPr>
          <w:rFonts w:hint="eastAsia"/>
          <w:color w:val="auto"/>
          <w:highlight w:val="none"/>
        </w:rPr>
        <w:t>暂估价</w:t>
      </w:r>
      <w:bookmarkEnd w:id="491"/>
      <w:bookmarkEnd w:id="492"/>
      <w:bookmarkEnd w:id="493"/>
      <w:bookmarkEnd w:id="494"/>
      <w:bookmarkEnd w:id="495"/>
      <w:r>
        <w:rPr>
          <w:rFonts w:hint="eastAsia"/>
          <w:color w:val="auto"/>
          <w:highlight w:val="none"/>
        </w:rPr>
        <w:t>（不适用）</w:t>
      </w:r>
      <w:bookmarkEnd w:id="496"/>
      <w:bookmarkEnd w:id="497"/>
      <w:bookmarkEnd w:id="498"/>
    </w:p>
    <w:p>
      <w:pPr>
        <w:spacing w:line="360" w:lineRule="auto"/>
        <w:ind w:firstLine="44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 xml:space="preserve">.1  </w:t>
      </w:r>
      <w:r>
        <w:rPr>
          <w:rFonts w:hint="eastAsia" w:ascii="宋体" w:hAnsi="宋体"/>
          <w:color w:val="auto"/>
          <w:szCs w:val="21"/>
          <w:highlight w:val="none"/>
        </w:rPr>
        <w:t>按合同约定应当由发包人和承包人采用招标方式选择专项供应商或专业分包人的：</w:t>
      </w:r>
    </w:p>
    <w:p>
      <w:pPr>
        <w:spacing w:line="360" w:lineRule="auto"/>
        <w:ind w:firstLine="440" w:firstLineChars="200"/>
        <w:rPr>
          <w:rFonts w:hint="default" w:ascii="宋体" w:eastAsia="宋体"/>
          <w:color w:val="auto"/>
          <w:szCs w:val="21"/>
          <w:highlight w:val="none"/>
          <w:u w:val="singl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）承包人报送招标计划期限：</w:t>
      </w:r>
      <w:r>
        <w:rPr>
          <w:rFonts w:hint="eastAsia" w:ascii="宋体" w:hAnsi="宋体"/>
          <w:color w:val="auto"/>
          <w:szCs w:val="21"/>
          <w:highlight w:val="none"/>
          <w:u w:val="single"/>
        </w:rPr>
        <w:t>/</w:t>
      </w:r>
    </w:p>
    <w:p>
      <w:pPr>
        <w:spacing w:line="360" w:lineRule="auto"/>
        <w:ind w:firstLine="444" w:firstLineChars="202"/>
        <w:rPr>
          <w:rFonts w:hint="default" w:ascii="宋体" w:eastAsia="宋体"/>
          <w:color w:val="auto"/>
          <w:szCs w:val="21"/>
          <w:highlight w:val="none"/>
          <w:u w:val="single"/>
          <w:lang w:val="en-US" w:eastAsia="zh-CN"/>
        </w:rPr>
      </w:pPr>
      <w:r>
        <w:rPr>
          <w:rFonts w:hint="eastAsia" w:ascii="宋体" w:hAnsi="宋体"/>
          <w:color w:val="auto"/>
          <w:szCs w:val="21"/>
          <w:highlight w:val="none"/>
        </w:rPr>
        <w:t>发包人审批招标工作计划时限：</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）承包人报送相关文件时限：</w:t>
      </w:r>
      <w:r>
        <w:rPr>
          <w:rFonts w:hint="eastAsia" w:ascii="宋体" w:hAnsi="宋体"/>
          <w:color w:val="auto"/>
          <w:szCs w:val="21"/>
          <w:highlight w:val="none"/>
          <w:u w:val="single"/>
        </w:rPr>
        <w:t>/</w:t>
      </w:r>
    </w:p>
    <w:p>
      <w:pPr>
        <w:spacing w:line="360" w:lineRule="auto"/>
        <w:ind w:firstLine="444" w:firstLineChars="202"/>
        <w:rPr>
          <w:rFonts w:ascii="宋体"/>
          <w:color w:val="auto"/>
          <w:szCs w:val="21"/>
          <w:highlight w:val="none"/>
        </w:rPr>
      </w:pPr>
      <w:r>
        <w:rPr>
          <w:rFonts w:hint="eastAsia" w:ascii="宋体" w:hAnsi="宋体"/>
          <w:color w:val="auto"/>
          <w:szCs w:val="21"/>
          <w:highlight w:val="none"/>
        </w:rPr>
        <w:t>发包人审批相关文件时限：</w:t>
      </w:r>
      <w:r>
        <w:rPr>
          <w:rFonts w:hint="eastAsia" w:ascii="宋体" w:hAnsi="宋体"/>
          <w:color w:val="auto"/>
          <w:szCs w:val="21"/>
          <w:highlight w:val="none"/>
          <w:u w:val="single"/>
        </w:rPr>
        <w:t>/</w:t>
      </w:r>
    </w:p>
    <w:p>
      <w:pPr>
        <w:spacing w:line="360" w:lineRule="auto"/>
        <w:ind w:left="440" w:leftChars="200"/>
        <w:rPr>
          <w:rFonts w:asci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）承包人申报合同文件时限：</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发包人审批合同文件时限：</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承包人报送正式签订合同副本时限：</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发包人在工程量清单中给定暂估价的专业工程不属于依法必须招标的范围或者未达到依法必须招标的规模标准的，其最终价格的估价人为：</w:t>
      </w:r>
      <w:r>
        <w:rPr>
          <w:rFonts w:hint="eastAsia" w:ascii="宋体" w:hAnsi="宋体"/>
          <w:color w:val="auto"/>
          <w:szCs w:val="21"/>
          <w:highlight w:val="none"/>
          <w:u w:val="single"/>
        </w:rPr>
        <w:t>/</w:t>
      </w:r>
      <w:r>
        <w:rPr>
          <w:rFonts w:hint="eastAsia" w:ascii="宋体" w:hAnsi="宋体"/>
          <w:color w:val="auto"/>
          <w:szCs w:val="21"/>
          <w:highlight w:val="none"/>
        </w:rPr>
        <w:t>或者按照下列约定：</w:t>
      </w:r>
      <w:r>
        <w:rPr>
          <w:rFonts w:hint="eastAsia" w:ascii="宋体" w:hAnsi="宋体"/>
          <w:color w:val="auto"/>
          <w:szCs w:val="21"/>
          <w:highlight w:val="none"/>
          <w:u w:val="single"/>
        </w:rPr>
        <w:t>/</w:t>
      </w:r>
    </w:p>
    <w:p>
      <w:pPr>
        <w:pStyle w:val="59"/>
        <w:spacing w:before="120" w:after="120"/>
        <w:outlineLvl w:val="0"/>
        <w:rPr>
          <w:color w:val="auto"/>
          <w:highlight w:val="none"/>
        </w:rPr>
      </w:pPr>
      <w:bookmarkStart w:id="499" w:name="_Toc79998283"/>
      <w:bookmarkStart w:id="500" w:name="_Toc69034525"/>
      <w:r>
        <w:rPr>
          <w:color w:val="auto"/>
          <w:highlight w:val="none"/>
        </w:rPr>
        <w:t>16.</w:t>
      </w:r>
      <w:r>
        <w:rPr>
          <w:rFonts w:hint="eastAsia"/>
          <w:color w:val="auto"/>
          <w:highlight w:val="none"/>
        </w:rPr>
        <w:t>价格调整</w:t>
      </w:r>
      <w:bookmarkEnd w:id="459"/>
      <w:bookmarkEnd w:id="460"/>
      <w:bookmarkEnd w:id="461"/>
      <w:bookmarkEnd w:id="462"/>
      <w:bookmarkEnd w:id="463"/>
      <w:bookmarkEnd w:id="464"/>
      <w:bookmarkEnd w:id="465"/>
      <w:bookmarkEnd w:id="466"/>
      <w:bookmarkEnd w:id="499"/>
      <w:bookmarkEnd w:id="500"/>
    </w:p>
    <w:p>
      <w:pPr>
        <w:pStyle w:val="60"/>
        <w:spacing w:before="120" w:after="120"/>
        <w:outlineLvl w:val="1"/>
        <w:rPr>
          <w:color w:val="auto"/>
          <w:highlight w:val="none"/>
        </w:rPr>
      </w:pPr>
      <w:bookmarkStart w:id="501" w:name="_Toc490331718"/>
      <w:bookmarkStart w:id="502" w:name="_Toc519087572"/>
      <w:bookmarkStart w:id="503" w:name="_Toc485323201"/>
      <w:bookmarkStart w:id="504" w:name="_Toc489280233"/>
      <w:bookmarkStart w:id="505" w:name="_Toc79998284"/>
      <w:bookmarkStart w:id="506" w:name="_Toc497214096"/>
      <w:bookmarkStart w:id="507" w:name="_Toc486580427"/>
      <w:bookmarkStart w:id="508" w:name="_Toc69034526"/>
      <w:bookmarkStart w:id="509" w:name="_Toc510038022"/>
      <w:bookmarkStart w:id="510" w:name="_Toc486580428"/>
      <w:bookmarkStart w:id="511" w:name="_Toc277"/>
      <w:bookmarkStart w:id="512" w:name="_Toc489280234"/>
      <w:bookmarkStart w:id="513" w:name="_Toc485323202"/>
      <w:bookmarkStart w:id="514" w:name="_Toc497214097"/>
      <w:bookmarkStart w:id="515" w:name="_Toc490331719"/>
      <w:bookmarkStart w:id="516" w:name="_Toc27956"/>
      <w:r>
        <w:rPr>
          <w:color w:val="auto"/>
          <w:highlight w:val="none"/>
        </w:rPr>
        <w:t xml:space="preserve">16.1  </w:t>
      </w:r>
      <w:r>
        <w:rPr>
          <w:rFonts w:hint="eastAsia"/>
          <w:color w:val="auto"/>
          <w:highlight w:val="none"/>
        </w:rPr>
        <w:t>物价波动引起的价格调整</w:t>
      </w:r>
      <w:bookmarkEnd w:id="501"/>
      <w:bookmarkEnd w:id="502"/>
      <w:bookmarkEnd w:id="503"/>
      <w:bookmarkEnd w:id="504"/>
      <w:bookmarkEnd w:id="505"/>
      <w:bookmarkEnd w:id="506"/>
      <w:bookmarkEnd w:id="507"/>
      <w:bookmarkEnd w:id="508"/>
    </w:p>
    <w:p>
      <w:pPr>
        <w:spacing w:line="360" w:lineRule="auto"/>
        <w:ind w:firstLine="440" w:firstLineChars="200"/>
        <w:rPr>
          <w:rFonts w:ascii="宋体"/>
          <w:color w:val="auto"/>
          <w:szCs w:val="21"/>
          <w:highlight w:val="none"/>
        </w:rPr>
      </w:pPr>
      <w:r>
        <w:rPr>
          <w:rFonts w:hint="eastAsia" w:ascii="宋体" w:hAnsi="宋体"/>
          <w:color w:val="auto"/>
          <w:szCs w:val="21"/>
          <w:highlight w:val="none"/>
        </w:rPr>
        <w:t>物价波动引起价格调整方法：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采用北京市造价信息调整价格差额。</w:t>
      </w:r>
      <w:r>
        <w:rPr>
          <w:rFonts w:ascii="宋体" w:hAnsi="宋体"/>
          <w:color w:val="auto"/>
          <w:szCs w:val="21"/>
          <w:highlight w:val="none"/>
          <w:u w:val="single"/>
        </w:rPr>
        <w:t xml:space="preserve"> </w:t>
      </w:r>
    </w:p>
    <w:p>
      <w:pPr>
        <w:spacing w:line="360" w:lineRule="auto"/>
        <w:ind w:firstLine="440" w:firstLineChars="200"/>
        <w:rPr>
          <w:rFonts w:ascii="宋体"/>
          <w:color w:val="auto"/>
          <w:highlight w:val="none"/>
        </w:rPr>
      </w:pPr>
      <w:r>
        <w:rPr>
          <w:rFonts w:ascii="宋体" w:hAnsi="宋体"/>
          <w:color w:val="auto"/>
          <w:szCs w:val="21"/>
          <w:highlight w:val="none"/>
        </w:rPr>
        <w:t>16.1.</w:t>
      </w:r>
      <w:r>
        <w:rPr>
          <w:rFonts w:hint="eastAsia" w:ascii="宋体" w:hAnsi="宋体"/>
          <w:color w:val="auto"/>
          <w:szCs w:val="21"/>
          <w:highlight w:val="none"/>
          <w:lang w:val="en-US" w:eastAsia="zh-CN"/>
        </w:rPr>
        <w:t>1</w:t>
      </w:r>
      <w:r>
        <w:rPr>
          <w:rFonts w:ascii="宋体" w:hAnsi="宋体"/>
          <w:color w:val="auto"/>
          <w:szCs w:val="21"/>
          <w:highlight w:val="none"/>
        </w:rPr>
        <w:t xml:space="preserve">  </w:t>
      </w:r>
      <w:r>
        <w:rPr>
          <w:rFonts w:hint="eastAsia" w:ascii="宋体" w:hAnsi="宋体"/>
          <w:color w:val="auto"/>
          <w:highlight w:val="none"/>
        </w:rPr>
        <w:t>采用造价信息调整价格差额</w:t>
      </w:r>
    </w:p>
    <w:p>
      <w:pPr>
        <w:spacing w:line="360" w:lineRule="auto"/>
        <w:ind w:firstLine="660" w:firstLineChars="300"/>
        <w:rPr>
          <w:rFonts w:ascii="宋体"/>
          <w:color w:val="auto"/>
          <w:szCs w:val="21"/>
          <w:highlight w:val="none"/>
        </w:rPr>
      </w:pPr>
      <w:r>
        <w:rPr>
          <w:rFonts w:ascii="宋体" w:hAnsi="宋体"/>
          <w:color w:val="auto"/>
          <w:szCs w:val="21"/>
          <w:highlight w:val="none"/>
        </w:rPr>
        <w:t>16.1.</w:t>
      </w:r>
      <w:r>
        <w:rPr>
          <w:rFonts w:hint="eastAsia" w:ascii="宋体" w:hAnsi="宋体"/>
          <w:color w:val="auto"/>
          <w:szCs w:val="21"/>
          <w:highlight w:val="none"/>
          <w:lang w:val="en-US" w:eastAsia="zh-CN"/>
        </w:rPr>
        <w:t>1</w:t>
      </w:r>
      <w:r>
        <w:rPr>
          <w:rFonts w:ascii="宋体" w:hAnsi="宋体"/>
          <w:color w:val="auto"/>
          <w:szCs w:val="21"/>
          <w:highlight w:val="none"/>
        </w:rPr>
        <w:t xml:space="preserve">.1  </w:t>
      </w:r>
      <w:r>
        <w:rPr>
          <w:rFonts w:hint="eastAsia" w:ascii="宋体" w:hAnsi="宋体"/>
          <w:color w:val="auto"/>
          <w:highlight w:val="none"/>
        </w:rPr>
        <w:t>引起价格调整的物价波动风险范围及幅度</w:t>
      </w:r>
    </w:p>
    <w:p>
      <w:pPr>
        <w:spacing w:line="400" w:lineRule="exact"/>
        <w:ind w:firstLine="44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引起</w:t>
      </w:r>
      <w:r>
        <w:rPr>
          <w:rFonts w:hint="eastAsia" w:ascii="宋体" w:hAnsi="宋体"/>
          <w:color w:val="auto"/>
          <w:highlight w:val="none"/>
        </w:rPr>
        <w:t>价格调整的</w:t>
      </w:r>
      <w:r>
        <w:rPr>
          <w:rFonts w:hint="eastAsia" w:ascii="宋体" w:hAnsi="宋体"/>
          <w:color w:val="auto"/>
          <w:szCs w:val="21"/>
          <w:highlight w:val="none"/>
        </w:rPr>
        <w:t>物价波动</w:t>
      </w:r>
      <w:r>
        <w:rPr>
          <w:rFonts w:hint="eastAsia" w:ascii="宋体" w:hAnsi="宋体"/>
          <w:color w:val="auto"/>
          <w:highlight w:val="none"/>
        </w:rPr>
        <w:t>风险范围</w:t>
      </w:r>
      <w:r>
        <w:rPr>
          <w:rFonts w:hint="eastAsia" w:ascii="宋体" w:hAnsi="宋体"/>
          <w:color w:val="auto"/>
          <w:szCs w:val="21"/>
          <w:highlight w:val="none"/>
        </w:rPr>
        <w:t>：</w:t>
      </w:r>
      <w:r>
        <w:rPr>
          <w:rFonts w:hint="eastAsia" w:ascii="宋体" w:hAnsi="宋体" w:cs="宋体"/>
          <w:color w:val="auto"/>
          <w:szCs w:val="21"/>
          <w:highlight w:val="none"/>
          <w:u w:val="single"/>
        </w:rPr>
        <w:t>混凝土、钢材、电线、电缆</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管材等对工程造价影响较大的主要材料、人工和机械</w:t>
      </w:r>
      <w:r>
        <w:rPr>
          <w:rFonts w:hint="eastAsia" w:ascii="宋体" w:hAnsi="宋体"/>
          <w:color w:val="auto"/>
          <w:szCs w:val="21"/>
          <w:highlight w:val="none"/>
          <w:u w:val="single"/>
          <w:lang w:eastAsia="zh-CN"/>
        </w:rPr>
        <w:t>。</w:t>
      </w:r>
    </w:p>
    <w:p>
      <w:pPr>
        <w:spacing w:line="360" w:lineRule="auto"/>
        <w:ind w:firstLine="660" w:firstLineChars="300"/>
        <w:rPr>
          <w:rFonts w:hint="eastAsia" w:ascii="宋体" w:hAnsi="宋体"/>
          <w:color w:val="auto"/>
          <w:highlight w:val="none"/>
        </w:rPr>
      </w:pPr>
      <w:r>
        <w:rPr>
          <w:rFonts w:hint="eastAsia" w:ascii="宋体" w:hAnsi="宋体"/>
          <w:color w:val="auto"/>
          <w:highlight w:val="none"/>
        </w:rPr>
        <w:t>引起价格调整的物价波动风险幅度：超过</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b/>
          <w:bCs/>
          <w:color w:val="auto"/>
          <w:highlight w:val="none"/>
        </w:rPr>
        <w:t xml:space="preserve"> </w:t>
      </w:r>
    </w:p>
    <w:p>
      <w:pPr>
        <w:spacing w:line="360" w:lineRule="auto"/>
        <w:ind w:firstLine="660" w:firstLineChars="300"/>
        <w:rPr>
          <w:rFonts w:ascii="宋体" w:hAnsi="宋体"/>
          <w:color w:val="auto"/>
          <w:highlight w:val="none"/>
        </w:rPr>
      </w:pPr>
      <w:r>
        <w:rPr>
          <w:rFonts w:ascii="宋体" w:hAnsi="宋体"/>
          <w:color w:val="auto"/>
          <w:highlight w:val="none"/>
        </w:rPr>
        <w:t>16.1.</w:t>
      </w:r>
      <w:r>
        <w:rPr>
          <w:rFonts w:hint="eastAsia" w:ascii="宋体" w:hAnsi="宋体"/>
          <w:color w:val="auto"/>
          <w:highlight w:val="none"/>
          <w:lang w:val="en-US" w:eastAsia="zh-CN"/>
        </w:rPr>
        <w:t>1</w:t>
      </w:r>
      <w:r>
        <w:rPr>
          <w:rFonts w:ascii="宋体" w:hAnsi="宋体"/>
          <w:color w:val="auto"/>
          <w:highlight w:val="none"/>
        </w:rPr>
        <w:t xml:space="preserve">.2   </w:t>
      </w:r>
      <w:r>
        <w:rPr>
          <w:rFonts w:hint="eastAsia" w:ascii="宋体" w:hAnsi="宋体"/>
          <w:color w:val="auto"/>
          <w:highlight w:val="none"/>
        </w:rPr>
        <w:t>物价波动引起价格调整的风险幅度的计算方法</w:t>
      </w:r>
    </w:p>
    <w:p>
      <w:pPr>
        <w:spacing w:line="360" w:lineRule="auto"/>
        <w:ind w:firstLine="660" w:firstLineChars="300"/>
        <w:rPr>
          <w:rFonts w:ascii="宋体"/>
          <w:color w:val="auto"/>
          <w:szCs w:val="21"/>
          <w:highlight w:val="none"/>
          <w:u w:val="singl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）投标报价基准期：</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w:t>
      </w:r>
      <w:r>
        <w:rPr>
          <w:rFonts w:hint="eastAsia"/>
          <w:color w:val="auto"/>
          <w:szCs w:val="21"/>
          <w:highlight w:val="none"/>
          <w:u w:val="single"/>
          <w:lang w:val="en-US" w:eastAsia="zh-CN"/>
        </w:rPr>
        <w:t>10</w:t>
      </w:r>
      <w:bookmarkStart w:id="791" w:name="_GoBack"/>
      <w:bookmarkEnd w:id="791"/>
      <w:r>
        <w:rPr>
          <w:rFonts w:hint="eastAsia"/>
          <w:color w:val="auto"/>
          <w:szCs w:val="21"/>
          <w:highlight w:val="none"/>
          <w:u w:val="single"/>
          <w:lang w:val="en-US" w:eastAsia="zh-CN"/>
        </w:rPr>
        <w:t>月</w:t>
      </w:r>
      <w:r>
        <w:rPr>
          <w:rFonts w:hint="eastAsia" w:ascii="宋体" w:hAnsi="宋体"/>
          <w:color w:val="auto"/>
          <w:szCs w:val="21"/>
          <w:highlight w:val="none"/>
          <w:u w:val="single"/>
        </w:rPr>
        <w:t xml:space="preserve">          </w:t>
      </w:r>
    </w:p>
    <w:p>
      <w:pPr>
        <w:spacing w:line="360" w:lineRule="auto"/>
        <w:ind w:firstLine="660" w:firstLineChars="300"/>
        <w:rPr>
          <w:rFonts w:ascii="宋体" w:hAnsi="宋体"/>
          <w:color w:val="auto"/>
          <w:szCs w:val="21"/>
          <w:highlight w:val="none"/>
          <w:u w:val="singl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）《北京工程造价信息》市场价格信息中没有的，基准价的确定方法：</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以实际发生的市场价格为依据确定。</w:t>
      </w:r>
    </w:p>
    <w:p>
      <w:pPr>
        <w:spacing w:line="360" w:lineRule="auto"/>
        <w:ind w:firstLine="660" w:firstLineChars="300"/>
        <w:rPr>
          <w:rFonts w:ascii="宋体" w:hAnsi="宋体"/>
          <w:color w:val="auto"/>
          <w:szCs w:val="21"/>
          <w:highlight w:val="none"/>
          <w:u w:val="singl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）合同施工期市场价格的确定方法：</w:t>
      </w:r>
      <w:r>
        <w:rPr>
          <w:rFonts w:hint="eastAsia" w:ascii="宋体" w:hAnsi="宋体"/>
          <w:color w:val="auto"/>
          <w:szCs w:val="21"/>
          <w:highlight w:val="none"/>
          <w:u w:val="single"/>
        </w:rPr>
        <w:t>施工期市场价执行施工期的造价信息价格。</w:t>
      </w:r>
    </w:p>
    <w:p>
      <w:pPr>
        <w:spacing w:line="360" w:lineRule="auto"/>
        <w:ind w:firstLine="660" w:firstLineChars="300"/>
        <w:rPr>
          <w:rFonts w:ascii="宋体"/>
          <w:color w:val="auto"/>
          <w:szCs w:val="21"/>
          <w:highlight w:val="none"/>
        </w:rPr>
      </w:pPr>
      <w:r>
        <w:rPr>
          <w:rFonts w:ascii="宋体" w:hAnsi="宋体"/>
          <w:color w:val="auto"/>
          <w:highlight w:val="none"/>
        </w:rPr>
        <w:t>16.1.</w:t>
      </w:r>
      <w:r>
        <w:rPr>
          <w:rFonts w:hint="eastAsia" w:ascii="宋体" w:hAnsi="宋体"/>
          <w:color w:val="auto"/>
          <w:highlight w:val="none"/>
          <w:lang w:val="en-US" w:eastAsia="zh-CN"/>
        </w:rPr>
        <w:t>1</w:t>
      </w:r>
      <w:r>
        <w:rPr>
          <w:rFonts w:ascii="宋体" w:hAnsi="宋体"/>
          <w:color w:val="auto"/>
          <w:highlight w:val="none"/>
        </w:rPr>
        <w:t xml:space="preserve">.3  </w:t>
      </w:r>
      <w:r>
        <w:rPr>
          <w:rFonts w:hint="eastAsia" w:ascii="宋体" w:hAnsi="宋体"/>
          <w:color w:val="auto"/>
          <w:highlight w:val="none"/>
        </w:rPr>
        <w:t>物价波动引起价格调整的方法</w:t>
      </w:r>
    </w:p>
    <w:p>
      <w:pPr>
        <w:spacing w:line="360" w:lineRule="auto"/>
        <w:ind w:firstLine="660" w:firstLineChars="3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）本工程单价调整方法采用</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highlight w:val="none"/>
        </w:rPr>
        <w:t xml:space="preserve"> （加权平均法</w:t>
      </w:r>
      <w:r>
        <w:rPr>
          <w:rFonts w:ascii="宋体" w:hAnsi="宋体"/>
          <w:color w:val="auto"/>
          <w:highlight w:val="none"/>
        </w:rPr>
        <w:t>/</w:t>
      </w:r>
      <w:r>
        <w:rPr>
          <w:rFonts w:hint="eastAsia" w:ascii="宋体" w:hAnsi="宋体"/>
          <w:color w:val="auto"/>
          <w:highlight w:val="none"/>
        </w:rPr>
        <w:t>算数平均法</w:t>
      </w:r>
      <w:r>
        <w:rPr>
          <w:rFonts w:ascii="宋体" w:hAnsi="宋体"/>
          <w:color w:val="auto"/>
          <w:highlight w:val="none"/>
        </w:rPr>
        <w:t>/</w:t>
      </w:r>
      <w:r>
        <w:rPr>
          <w:rFonts w:hint="eastAsia" w:ascii="宋体" w:hAnsi="宋体"/>
          <w:color w:val="auto"/>
          <w:highlight w:val="none"/>
        </w:rPr>
        <w:t>其他计算方法）。</w:t>
      </w:r>
    </w:p>
    <w:p>
      <w:pPr>
        <w:spacing w:line="360" w:lineRule="auto"/>
        <w:ind w:firstLine="660" w:firstLineChars="300"/>
        <w:rPr>
          <w:rFonts w:ascii="宋体" w:hAnsi="宋体"/>
          <w:color w:val="auto"/>
          <w:highlight w:val="none"/>
        </w:rPr>
      </w:pPr>
      <w:r>
        <w:rPr>
          <w:rFonts w:hint="eastAsia" w:ascii="宋体" w:hAnsi="宋体"/>
          <w:color w:val="auto"/>
          <w:highlight w:val="none"/>
        </w:rPr>
        <w:t>采用加权平均法：</w:t>
      </w:r>
      <w:r>
        <w:rPr>
          <w:rFonts w:ascii="宋体" w:hAnsi="宋体"/>
          <w:color w:val="auto"/>
          <w:highlight w:val="none"/>
          <w:u w:val="single"/>
        </w:rPr>
        <w:t xml:space="preserve">               /           </w:t>
      </w:r>
      <w:r>
        <w:rPr>
          <w:rFonts w:ascii="宋体" w:hAnsi="宋体"/>
          <w:color w:val="auto"/>
          <w:highlight w:val="none"/>
        </w:rPr>
        <w:t xml:space="preserve">                              </w:t>
      </w:r>
    </w:p>
    <w:p>
      <w:pPr>
        <w:spacing w:line="360" w:lineRule="auto"/>
        <w:ind w:firstLine="660" w:firstLineChars="300"/>
        <w:rPr>
          <w:rFonts w:ascii="宋体"/>
          <w:b/>
          <w:bCs/>
          <w:color w:val="auto"/>
          <w:szCs w:val="21"/>
          <w:highlight w:val="none"/>
        </w:rPr>
      </w:pPr>
      <w:r>
        <w:rPr>
          <w:rFonts w:hint="eastAsia" w:ascii="宋体" w:hAnsi="宋体"/>
          <w:color w:val="auto"/>
          <w:highlight w:val="none"/>
        </w:rPr>
        <w:t>采用算数平均法：</w:t>
      </w:r>
      <w:r>
        <w:rPr>
          <w:rFonts w:hint="eastAsia" w:ascii="宋体" w:hAnsi="宋体"/>
          <w:color w:val="auto"/>
          <w:highlight w:val="none"/>
          <w:u w:val="single"/>
        </w:rPr>
        <w:t xml:space="preserve">                      /     </w:t>
      </w:r>
    </w:p>
    <w:p>
      <w:pPr>
        <w:spacing w:line="360" w:lineRule="auto"/>
        <w:ind w:firstLine="660" w:firstLineChars="300"/>
        <w:rPr>
          <w:rFonts w:ascii="宋体"/>
          <w:b/>
          <w:bCs/>
          <w:color w:val="auto"/>
          <w:szCs w:val="21"/>
          <w:highlight w:val="none"/>
        </w:rPr>
      </w:pPr>
      <w:r>
        <w:rPr>
          <w:rFonts w:hint="eastAsia" w:ascii="宋体" w:hAnsi="宋体"/>
          <w:color w:val="auto"/>
          <w:highlight w:val="none"/>
        </w:rPr>
        <w:t>采用其他计算方法：</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spacing w:line="360" w:lineRule="auto"/>
        <w:ind w:firstLine="660" w:firstLineChars="300"/>
        <w:rPr>
          <w:rFonts w:ascii="宋体"/>
          <w:color w:val="auto"/>
          <w:szCs w:val="21"/>
          <w:highlight w:val="none"/>
          <w:u w:val="single"/>
        </w:rPr>
      </w:pPr>
      <w:r>
        <w:rPr>
          <w:rFonts w:ascii="宋体" w:hAnsi="宋体"/>
          <w:color w:val="auto"/>
          <w:szCs w:val="21"/>
          <w:highlight w:val="none"/>
        </w:rPr>
        <w:t>16.1.</w:t>
      </w:r>
      <w:r>
        <w:rPr>
          <w:rFonts w:hint="eastAsia" w:ascii="宋体" w:hAnsi="宋体"/>
          <w:color w:val="auto"/>
          <w:szCs w:val="21"/>
          <w:highlight w:val="none"/>
          <w:lang w:val="en-US" w:eastAsia="zh-CN"/>
        </w:rPr>
        <w:t>1</w:t>
      </w:r>
      <w:r>
        <w:rPr>
          <w:rFonts w:ascii="宋体"/>
          <w:color w:val="auto"/>
          <w:szCs w:val="21"/>
          <w:highlight w:val="none"/>
        </w:rPr>
        <w:t>.</w:t>
      </w:r>
      <w:r>
        <w:rPr>
          <w:rFonts w:ascii="宋体" w:hAnsi="宋体"/>
          <w:color w:val="auto"/>
          <w:szCs w:val="21"/>
          <w:highlight w:val="none"/>
        </w:rPr>
        <w:t xml:space="preserve">4  </w:t>
      </w:r>
      <w:r>
        <w:rPr>
          <w:rFonts w:hint="eastAsia" w:ascii="宋体" w:hAnsi="宋体"/>
          <w:color w:val="auto"/>
          <w:szCs w:val="21"/>
          <w:highlight w:val="none"/>
        </w:rPr>
        <w:t>其他约定：</w:t>
      </w:r>
      <w:r>
        <w:rPr>
          <w:rFonts w:ascii="宋体" w:hAnsi="宋体"/>
          <w:color w:val="auto"/>
          <w:szCs w:val="21"/>
          <w:highlight w:val="none"/>
          <w:u w:val="single"/>
        </w:rPr>
        <w:t xml:space="preserve">          /                               </w:t>
      </w:r>
    </w:p>
    <w:p>
      <w:pPr>
        <w:spacing w:line="360" w:lineRule="auto"/>
        <w:ind w:firstLine="440" w:firstLineChars="200"/>
        <w:rPr>
          <w:rFonts w:ascii="宋体"/>
          <w:color w:val="auto"/>
          <w:szCs w:val="21"/>
          <w:highlight w:val="none"/>
        </w:rPr>
      </w:pPr>
      <w:r>
        <w:rPr>
          <w:rFonts w:ascii="宋体" w:hAnsi="宋体"/>
          <w:color w:val="auto"/>
          <w:szCs w:val="21"/>
          <w:highlight w:val="none"/>
        </w:rPr>
        <w:t>16.1.</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其他价格调整方法</w:t>
      </w:r>
    </w:p>
    <w:p>
      <w:pPr>
        <w:spacing w:line="360" w:lineRule="auto"/>
        <w:ind w:left="444" w:leftChars="202"/>
        <w:rPr>
          <w:rFonts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pStyle w:val="59"/>
        <w:spacing w:before="120" w:after="120"/>
        <w:outlineLvl w:val="0"/>
        <w:rPr>
          <w:color w:val="auto"/>
          <w:highlight w:val="none"/>
        </w:rPr>
      </w:pPr>
      <w:bookmarkStart w:id="517" w:name="_Toc69034527"/>
      <w:bookmarkStart w:id="518" w:name="_Toc79998285"/>
      <w:r>
        <w:rPr>
          <w:color w:val="auto"/>
          <w:highlight w:val="none"/>
        </w:rPr>
        <w:t>17.</w:t>
      </w:r>
      <w:r>
        <w:rPr>
          <w:rFonts w:hint="eastAsia"/>
          <w:color w:val="auto"/>
          <w:highlight w:val="none"/>
        </w:rPr>
        <w:t>计量与支付</w:t>
      </w:r>
      <w:bookmarkEnd w:id="509"/>
      <w:bookmarkEnd w:id="510"/>
      <w:bookmarkEnd w:id="511"/>
      <w:bookmarkEnd w:id="512"/>
      <w:bookmarkEnd w:id="513"/>
      <w:bookmarkEnd w:id="514"/>
      <w:bookmarkEnd w:id="515"/>
      <w:bookmarkEnd w:id="516"/>
      <w:bookmarkEnd w:id="517"/>
      <w:bookmarkEnd w:id="518"/>
    </w:p>
    <w:p>
      <w:pPr>
        <w:pStyle w:val="60"/>
        <w:spacing w:before="120" w:after="120"/>
        <w:outlineLvl w:val="1"/>
        <w:rPr>
          <w:color w:val="auto"/>
          <w:highlight w:val="none"/>
        </w:rPr>
      </w:pPr>
      <w:bookmarkStart w:id="519" w:name="_Toc490331720"/>
      <w:bookmarkStart w:id="520" w:name="_Toc12218"/>
      <w:bookmarkStart w:id="521" w:name="_Toc69034528"/>
      <w:bookmarkStart w:id="522" w:name="_Toc79998286"/>
      <w:bookmarkStart w:id="523" w:name="_Toc485323203"/>
      <w:bookmarkStart w:id="524" w:name="_Toc489280235"/>
      <w:bookmarkStart w:id="525" w:name="_Toc486580429"/>
      <w:bookmarkStart w:id="526" w:name="_Toc497214098"/>
      <w:bookmarkStart w:id="527" w:name="_Toc9928"/>
      <w:bookmarkStart w:id="528" w:name="_Toc486580435"/>
      <w:bookmarkStart w:id="529" w:name="_Toc14084"/>
      <w:bookmarkStart w:id="530" w:name="_Toc490331726"/>
      <w:bookmarkStart w:id="531" w:name="_Toc510038029"/>
      <w:bookmarkStart w:id="532" w:name="_Toc497214104"/>
      <w:bookmarkStart w:id="533" w:name="_Toc485323209"/>
      <w:bookmarkStart w:id="534" w:name="_Toc489280241"/>
      <w:r>
        <w:rPr>
          <w:color w:val="auto"/>
          <w:highlight w:val="none"/>
        </w:rPr>
        <w:t xml:space="preserve">17.1  </w:t>
      </w:r>
      <w:r>
        <w:rPr>
          <w:rFonts w:hint="eastAsia"/>
          <w:color w:val="auto"/>
          <w:highlight w:val="none"/>
        </w:rPr>
        <w:t>计量</w:t>
      </w:r>
      <w:bookmarkEnd w:id="519"/>
      <w:bookmarkEnd w:id="520"/>
      <w:bookmarkEnd w:id="521"/>
      <w:bookmarkEnd w:id="522"/>
      <w:bookmarkEnd w:id="523"/>
      <w:bookmarkEnd w:id="524"/>
      <w:bookmarkEnd w:id="525"/>
      <w:bookmarkEnd w:id="526"/>
    </w:p>
    <w:p>
      <w:pPr>
        <w:spacing w:line="360" w:lineRule="auto"/>
        <w:ind w:firstLine="440" w:firstLineChars="200"/>
        <w:rPr>
          <w:rFonts w:ascii="宋体" w:cs="Arial"/>
          <w:color w:val="auto"/>
          <w:highlight w:val="none"/>
        </w:rPr>
      </w:pPr>
      <w:r>
        <w:rPr>
          <w:rFonts w:ascii="宋体" w:hAnsi="宋体" w:cs="Arial"/>
          <w:color w:val="auto"/>
          <w:highlight w:val="none"/>
        </w:rPr>
        <w:t>17.1.</w:t>
      </w:r>
      <w:r>
        <w:rPr>
          <w:rFonts w:hint="eastAsia" w:ascii="宋体" w:hAnsi="宋体" w:cs="Arial"/>
          <w:color w:val="auto"/>
          <w:highlight w:val="none"/>
          <w:lang w:val="en-US" w:eastAsia="zh-CN"/>
        </w:rPr>
        <w:t>1</w:t>
      </w:r>
      <w:r>
        <w:rPr>
          <w:rFonts w:ascii="宋体" w:hAnsi="宋体" w:cs="Arial"/>
          <w:color w:val="auto"/>
          <w:highlight w:val="none"/>
        </w:rPr>
        <w:t xml:space="preserve"> </w:t>
      </w:r>
      <w:r>
        <w:rPr>
          <w:rFonts w:hint="eastAsia" w:ascii="宋体" w:hAnsi="宋体" w:cs="Arial"/>
          <w:color w:val="auto"/>
          <w:highlight w:val="none"/>
        </w:rPr>
        <w:t>计量周期</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）每月</w:t>
      </w:r>
      <w:r>
        <w:rPr>
          <w:rFonts w:hint="eastAsia" w:ascii="宋体" w:hAnsi="宋体"/>
          <w:color w:val="auto"/>
          <w:szCs w:val="21"/>
          <w:highlight w:val="none"/>
          <w:u w:val="single"/>
        </w:rPr>
        <w:t>25</w:t>
      </w:r>
      <w:r>
        <w:rPr>
          <w:rFonts w:hint="eastAsia" w:ascii="宋体" w:hAnsi="宋体"/>
          <w:color w:val="auto"/>
          <w:szCs w:val="21"/>
          <w:highlight w:val="none"/>
        </w:rPr>
        <w:t>日为当月计量截止日期（不含当日）和下月计量起始日期（含当日）。</w:t>
      </w:r>
    </w:p>
    <w:p>
      <w:pPr>
        <w:spacing w:line="360" w:lineRule="auto"/>
        <w:ind w:left="110" w:leftChars="50" w:firstLine="330" w:firstLineChars="150"/>
        <w:rPr>
          <w:rFonts w:ascii="宋体" w:cs="Arial"/>
          <w:color w:val="auto"/>
          <w:highlight w:val="none"/>
        </w:rPr>
      </w:pPr>
      <w:r>
        <w:rPr>
          <w:rFonts w:hint="eastAsia" w:ascii="宋体" w:hAnsi="宋体" w:cs="Arial"/>
          <w:color w:val="auto"/>
          <w:highlight w:val="none"/>
        </w:rPr>
        <w:t>（</w:t>
      </w:r>
      <w:r>
        <w:rPr>
          <w:rFonts w:ascii="宋体" w:hAnsi="宋体" w:cs="Arial"/>
          <w:color w:val="auto"/>
          <w:highlight w:val="none"/>
        </w:rPr>
        <w:t>2</w:t>
      </w:r>
      <w:r>
        <w:rPr>
          <w:rFonts w:hint="eastAsia" w:ascii="宋体" w:hAnsi="宋体" w:cs="Arial"/>
          <w:color w:val="auto"/>
          <w:highlight w:val="none"/>
        </w:rPr>
        <w:t>）本合同</w:t>
      </w:r>
      <w:r>
        <w:rPr>
          <w:rFonts w:hint="eastAsia" w:ascii="宋体" w:hAnsi="宋体" w:cs="Arial"/>
          <w:color w:val="auto"/>
          <w:highlight w:val="none"/>
          <w:u w:val="single"/>
        </w:rPr>
        <w:t>执行（采用总价合同形式）</w:t>
      </w:r>
      <w:r>
        <w:rPr>
          <w:rFonts w:hint="eastAsia" w:ascii="宋体" w:hAnsi="宋体" w:cs="Arial"/>
          <w:color w:val="auto"/>
          <w:highlight w:val="none"/>
        </w:rPr>
        <w:t>（（采用单价合同形式时）（</w:t>
      </w:r>
      <w:bookmarkStart w:id="535" w:name="OLE_LINK5"/>
      <w:r>
        <w:rPr>
          <w:rFonts w:hint="eastAsia" w:ascii="宋体" w:hAnsi="宋体" w:cs="Arial"/>
          <w:color w:val="auto"/>
          <w:highlight w:val="none"/>
        </w:rPr>
        <w:t>采用总价合同形式</w:t>
      </w:r>
      <w:bookmarkEnd w:id="535"/>
      <w:r>
        <w:rPr>
          <w:rFonts w:hint="eastAsia" w:ascii="宋体" w:hAnsi="宋体" w:cs="Arial"/>
          <w:color w:val="auto"/>
          <w:highlight w:val="none"/>
        </w:rPr>
        <w:t>时））</w:t>
      </w:r>
      <w:r>
        <w:rPr>
          <w:rFonts w:hint="eastAsia"/>
          <w:color w:val="auto"/>
          <w:highlight w:val="none"/>
        </w:rPr>
        <w:t>单价子目已完成工程量按月计量</w:t>
      </w:r>
      <w:r>
        <w:rPr>
          <w:rFonts w:hint="eastAsia" w:ascii="宋体" w:hAnsi="宋体" w:cs="Arial"/>
          <w:color w:val="auto"/>
          <w:highlight w:val="none"/>
        </w:rPr>
        <w:t>。</w:t>
      </w:r>
    </w:p>
    <w:p>
      <w:pPr>
        <w:spacing w:line="360" w:lineRule="auto"/>
        <w:ind w:left="110" w:leftChars="50" w:firstLine="330" w:firstLineChars="150"/>
        <w:rPr>
          <w:rFonts w:ascii="宋体" w:cs="Arial"/>
          <w:color w:val="auto"/>
          <w:highlight w:val="none"/>
        </w:rPr>
      </w:pPr>
      <w:r>
        <w:rPr>
          <w:rFonts w:hint="eastAsia" w:ascii="宋体" w:hAnsi="宋体" w:cs="Arial"/>
          <w:color w:val="auto"/>
          <w:highlight w:val="none"/>
        </w:rPr>
        <w:t>（</w:t>
      </w:r>
      <w:r>
        <w:rPr>
          <w:rFonts w:ascii="宋体" w:hAnsi="宋体" w:cs="Arial"/>
          <w:color w:val="auto"/>
          <w:highlight w:val="none"/>
        </w:rPr>
        <w:t>3</w:t>
      </w:r>
      <w:r>
        <w:rPr>
          <w:rFonts w:hint="eastAsia" w:ascii="宋体" w:hAnsi="宋体" w:cs="Arial"/>
          <w:color w:val="auto"/>
          <w:highlight w:val="none"/>
        </w:rPr>
        <w:t>）</w:t>
      </w:r>
      <w:r>
        <w:rPr>
          <w:rFonts w:hint="eastAsia" w:ascii="宋体" w:hAnsi="宋体"/>
          <w:color w:val="auto"/>
          <w:szCs w:val="21"/>
          <w:highlight w:val="none"/>
        </w:rPr>
        <w:t xml:space="preserve">总价子目计量方式采用 </w:t>
      </w:r>
      <w:r>
        <w:rPr>
          <w:rFonts w:hint="eastAsia" w:ascii="宋体" w:hAnsi="宋体" w:cs="Arial"/>
          <w:color w:val="auto"/>
          <w:szCs w:val="21"/>
          <w:highlight w:val="none"/>
          <w:u w:val="single"/>
        </w:rPr>
        <w:t>按实际完成工程量计量</w:t>
      </w:r>
      <w:r>
        <w:rPr>
          <w:rFonts w:hint="eastAsia" w:ascii="宋体" w:hAnsi="宋体" w:cs="Arial"/>
          <w:color w:val="auto"/>
          <w:szCs w:val="21"/>
          <w:highlight w:val="none"/>
        </w:rPr>
        <w:t>（支付分解报告</w:t>
      </w:r>
      <w:r>
        <w:rPr>
          <w:rFonts w:ascii="宋体" w:hAnsi="宋体" w:cs="Arial"/>
          <w:color w:val="auto"/>
          <w:szCs w:val="21"/>
          <w:highlight w:val="none"/>
        </w:rPr>
        <w:t>/</w:t>
      </w:r>
      <w:r>
        <w:rPr>
          <w:rFonts w:hint="eastAsia" w:ascii="宋体" w:hAnsi="宋体" w:cs="Arial"/>
          <w:color w:val="auto"/>
          <w:szCs w:val="21"/>
          <w:highlight w:val="none"/>
        </w:rPr>
        <w:t>按实际完成工程量计量）</w:t>
      </w:r>
      <w:r>
        <w:rPr>
          <w:rFonts w:hint="eastAsia" w:ascii="宋体" w:hAnsi="宋体" w:cs="Arial"/>
          <w:color w:val="auto"/>
          <w:highlight w:val="none"/>
        </w:rPr>
        <w:t>。</w:t>
      </w:r>
    </w:p>
    <w:p>
      <w:pPr>
        <w:spacing w:line="360" w:lineRule="auto"/>
        <w:ind w:firstLine="440" w:firstLineChars="200"/>
        <w:rPr>
          <w:rFonts w:ascii="宋体"/>
          <w:color w:val="auto"/>
          <w:highlight w:val="none"/>
        </w:rPr>
      </w:pPr>
      <w:r>
        <w:rPr>
          <w:rFonts w:ascii="宋体" w:hAnsi="宋体" w:cs="Arial"/>
          <w:color w:val="auto"/>
          <w:highlight w:val="none"/>
        </w:rPr>
        <w:t>17.1.</w:t>
      </w:r>
      <w:r>
        <w:rPr>
          <w:rFonts w:hint="eastAsia" w:ascii="宋体" w:hAnsi="宋体" w:cs="Arial"/>
          <w:color w:val="auto"/>
          <w:highlight w:val="none"/>
          <w:lang w:val="en-US" w:eastAsia="zh-CN"/>
        </w:rPr>
        <w:t>2</w:t>
      </w:r>
      <w:r>
        <w:rPr>
          <w:rFonts w:ascii="宋体" w:hAnsi="宋体" w:cs="Arial"/>
          <w:color w:val="auto"/>
          <w:highlight w:val="none"/>
        </w:rPr>
        <w:t xml:space="preserve">  </w:t>
      </w:r>
      <w:r>
        <w:rPr>
          <w:rFonts w:hint="eastAsia" w:ascii="宋体" w:hAnsi="宋体" w:cs="Arial"/>
          <w:color w:val="auto"/>
          <w:highlight w:val="none"/>
        </w:rPr>
        <w:t>总价子目的计量</w:t>
      </w:r>
      <w:r>
        <w:rPr>
          <w:rFonts w:hint="eastAsia" w:ascii="宋体" w:hAnsi="宋体"/>
          <w:color w:val="auto"/>
          <w:highlight w:val="none"/>
        </w:rPr>
        <w:t>（适用于采用支付分解报告）</w:t>
      </w:r>
    </w:p>
    <w:p>
      <w:pPr>
        <w:spacing w:line="360" w:lineRule="auto"/>
        <w:ind w:firstLine="440" w:firstLineChars="200"/>
        <w:rPr>
          <w:rFonts w:ascii="宋体" w:cs="Arial"/>
          <w:color w:val="auto"/>
          <w:highlight w:val="none"/>
          <w:u w:val="single"/>
        </w:rPr>
      </w:pPr>
      <w:r>
        <w:rPr>
          <w:rFonts w:hint="eastAsia" w:ascii="宋体" w:hAnsi="宋体"/>
          <w:color w:val="auto"/>
          <w:highlight w:val="none"/>
        </w:rPr>
        <w:t>采用支付分解报告计量方式的，</w:t>
      </w:r>
      <w:r>
        <w:rPr>
          <w:rFonts w:hint="eastAsia" w:ascii="宋体" w:hAnsi="宋体" w:cs="Arial"/>
          <w:color w:val="auto"/>
          <w:highlight w:val="none"/>
        </w:rPr>
        <w:t>总价</w:t>
      </w:r>
      <w:r>
        <w:rPr>
          <w:rFonts w:hint="eastAsia" w:ascii="宋体" w:hAnsi="宋体"/>
          <w:color w:val="auto"/>
          <w:szCs w:val="21"/>
          <w:highlight w:val="none"/>
        </w:rPr>
        <w:t>子目</w:t>
      </w:r>
      <w:r>
        <w:rPr>
          <w:rFonts w:hint="eastAsia" w:ascii="宋体" w:hAnsi="宋体" w:cs="Arial"/>
          <w:color w:val="auto"/>
          <w:highlight w:val="none"/>
        </w:rPr>
        <w:t>的价格调整方法：</w:t>
      </w:r>
    </w:p>
    <w:p>
      <w:pPr>
        <w:spacing w:line="360" w:lineRule="auto"/>
        <w:ind w:firstLine="440" w:firstLineChars="200"/>
        <w:rPr>
          <w:rFonts w:ascii="宋体" w:cs="Arial"/>
          <w:color w:val="auto"/>
          <w:highlight w:val="none"/>
        </w:rPr>
      </w:pPr>
      <w:r>
        <w:rPr>
          <w:rFonts w:ascii="宋体" w:hAnsi="宋体" w:cs="Arial"/>
          <w:color w:val="auto"/>
          <w:highlight w:val="none"/>
        </w:rPr>
        <w:t>17.1.</w:t>
      </w:r>
      <w:r>
        <w:rPr>
          <w:rFonts w:hint="eastAsia" w:ascii="宋体" w:hAnsi="宋体" w:cs="Arial"/>
          <w:color w:val="auto"/>
          <w:highlight w:val="none"/>
          <w:lang w:val="en-US" w:eastAsia="zh-CN"/>
        </w:rPr>
        <w:t>3</w:t>
      </w:r>
      <w:r>
        <w:rPr>
          <w:rFonts w:ascii="宋体" w:hAnsi="宋体" w:cs="Arial"/>
          <w:color w:val="auto"/>
          <w:highlight w:val="none"/>
        </w:rPr>
        <w:t xml:space="preserve">  </w:t>
      </w:r>
      <w:r>
        <w:rPr>
          <w:rFonts w:hint="eastAsia" w:ascii="宋体" w:hAnsi="宋体" w:cs="Arial"/>
          <w:color w:val="auto"/>
          <w:highlight w:val="none"/>
        </w:rPr>
        <w:t>总价</w:t>
      </w:r>
      <w:r>
        <w:rPr>
          <w:rFonts w:hint="eastAsia" w:ascii="宋体" w:hAnsi="宋体"/>
          <w:color w:val="auto"/>
          <w:szCs w:val="21"/>
          <w:highlight w:val="none"/>
        </w:rPr>
        <w:t>子目</w:t>
      </w:r>
      <w:r>
        <w:rPr>
          <w:rFonts w:hint="eastAsia" w:ascii="宋体" w:hAnsi="宋体" w:cs="Arial"/>
          <w:color w:val="auto"/>
          <w:highlight w:val="none"/>
        </w:rPr>
        <w:t>的计量（适用于采用按实际完成工程量计量）</w:t>
      </w:r>
    </w:p>
    <w:p>
      <w:pPr>
        <w:spacing w:line="360" w:lineRule="auto"/>
        <w:ind w:firstLine="440" w:firstLineChars="200"/>
        <w:rPr>
          <w:rFonts w:ascii="宋体" w:cs="Arial"/>
          <w:color w:val="auto"/>
          <w:highlight w:val="none"/>
        </w:rPr>
      </w:pPr>
      <w:r>
        <w:rPr>
          <w:rFonts w:hint="eastAsia" w:ascii="宋体" w:hAnsi="宋体" w:cs="Arial"/>
          <w:color w:val="auto"/>
          <w:highlight w:val="none"/>
        </w:rPr>
        <w:t>采用按实际完成工程量计量方式的</w:t>
      </w:r>
      <w:r>
        <w:rPr>
          <w:rFonts w:ascii="宋体" w:cs="Arial"/>
          <w:color w:val="auto"/>
          <w:highlight w:val="none"/>
        </w:rPr>
        <w:t>,</w:t>
      </w:r>
      <w:r>
        <w:rPr>
          <w:rFonts w:hint="eastAsia" w:ascii="宋体" w:hAnsi="宋体" w:cs="Arial"/>
          <w:color w:val="auto"/>
          <w:highlight w:val="none"/>
        </w:rPr>
        <w:t>总价</w:t>
      </w:r>
      <w:r>
        <w:rPr>
          <w:rFonts w:hint="eastAsia" w:ascii="宋体" w:hAnsi="宋体"/>
          <w:color w:val="auto"/>
          <w:szCs w:val="21"/>
          <w:highlight w:val="none"/>
        </w:rPr>
        <w:t>子目</w:t>
      </w:r>
      <w:r>
        <w:rPr>
          <w:rFonts w:hint="eastAsia" w:ascii="宋体" w:hAnsi="宋体" w:cs="Arial"/>
          <w:color w:val="auto"/>
          <w:highlight w:val="none"/>
        </w:rPr>
        <w:t>的价格调整方法：</w:t>
      </w:r>
      <w:r>
        <w:rPr>
          <w:rFonts w:hint="eastAsia" w:ascii="宋体" w:hAnsi="宋体" w:cs="宋体"/>
          <w:color w:val="auto"/>
          <w:highlight w:val="none"/>
          <w:u w:val="single"/>
        </w:rPr>
        <w:t>按15.4.5条款执行</w:t>
      </w:r>
    </w:p>
    <w:p>
      <w:pPr>
        <w:pStyle w:val="60"/>
        <w:spacing w:before="120" w:after="120"/>
        <w:outlineLvl w:val="1"/>
        <w:rPr>
          <w:color w:val="auto"/>
          <w:highlight w:val="none"/>
        </w:rPr>
      </w:pPr>
      <w:bookmarkStart w:id="536" w:name="_Toc490331721"/>
      <w:bookmarkStart w:id="537" w:name="_Toc486580430"/>
      <w:bookmarkStart w:id="538" w:name="_Toc69034529"/>
      <w:bookmarkStart w:id="539" w:name="_Toc2553"/>
      <w:bookmarkStart w:id="540" w:name="_Toc79998287"/>
      <w:bookmarkStart w:id="541" w:name="_Toc497214099"/>
      <w:bookmarkStart w:id="542" w:name="_Toc485323204"/>
      <w:bookmarkStart w:id="543" w:name="_Toc489280236"/>
      <w:r>
        <w:rPr>
          <w:color w:val="auto"/>
          <w:highlight w:val="none"/>
        </w:rPr>
        <w:t xml:space="preserve">17.2  </w:t>
      </w:r>
      <w:r>
        <w:rPr>
          <w:rFonts w:hint="eastAsia"/>
          <w:color w:val="auto"/>
          <w:highlight w:val="none"/>
        </w:rPr>
        <w:t>预付款</w:t>
      </w:r>
      <w:bookmarkEnd w:id="536"/>
      <w:bookmarkEnd w:id="537"/>
      <w:bookmarkEnd w:id="538"/>
      <w:bookmarkEnd w:id="539"/>
      <w:bookmarkEnd w:id="540"/>
      <w:bookmarkEnd w:id="541"/>
      <w:bookmarkEnd w:id="542"/>
      <w:bookmarkEnd w:id="543"/>
    </w:p>
    <w:p>
      <w:pPr>
        <w:spacing w:line="360" w:lineRule="auto"/>
        <w:ind w:firstLine="440" w:firstLineChars="200"/>
        <w:rPr>
          <w:rFonts w:ascii="宋体" w:cs="Arial"/>
          <w:color w:val="auto"/>
          <w:highlight w:val="none"/>
        </w:rPr>
      </w:pPr>
      <w:r>
        <w:rPr>
          <w:rFonts w:ascii="宋体" w:hAnsi="宋体" w:cs="Arial"/>
          <w:color w:val="auto"/>
          <w:highlight w:val="none"/>
        </w:rPr>
        <w:t xml:space="preserve">17.2.1  </w:t>
      </w:r>
      <w:r>
        <w:rPr>
          <w:rFonts w:hint="eastAsia" w:ascii="宋体" w:hAnsi="宋体" w:cs="Arial"/>
          <w:color w:val="auto"/>
          <w:highlight w:val="none"/>
        </w:rPr>
        <w:t>预付款</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）预付款额度</w:t>
      </w:r>
    </w:p>
    <w:p>
      <w:pPr>
        <w:spacing w:line="360" w:lineRule="auto"/>
        <w:ind w:firstLine="660" w:firstLineChars="300"/>
        <w:rPr>
          <w:rFonts w:ascii="宋体"/>
          <w:color w:val="auto"/>
          <w:szCs w:val="21"/>
          <w:highlight w:val="none"/>
        </w:rPr>
      </w:pPr>
      <w:r>
        <w:rPr>
          <w:rFonts w:hint="eastAsia" w:ascii="宋体" w:hAnsi="宋体"/>
          <w:color w:val="auto"/>
          <w:szCs w:val="21"/>
          <w:highlight w:val="none"/>
        </w:rPr>
        <w:t>预付款额度：</w:t>
      </w:r>
      <w:r>
        <w:rPr>
          <w:rFonts w:hint="eastAsia" w:ascii="宋体" w:hAnsi="宋体"/>
          <w:color w:val="auto"/>
          <w:szCs w:val="21"/>
          <w:highlight w:val="none"/>
          <w:u w:val="single"/>
        </w:rPr>
        <w:t>合同总价的</w:t>
      </w:r>
      <w:r>
        <w:rPr>
          <w:rFonts w:hint="eastAsia" w:ascii="宋体" w:hAnsi="宋体"/>
          <w:color w:val="auto"/>
          <w:szCs w:val="21"/>
          <w:highlight w:val="none"/>
          <w:u w:val="single"/>
          <w:lang w:val="en-US" w:eastAsia="zh-CN"/>
        </w:rPr>
        <w:t>45</w:t>
      </w:r>
      <w:r>
        <w:rPr>
          <w:rFonts w:hint="eastAsia" w:ascii="宋体" w:hAnsi="宋体"/>
          <w:color w:val="auto"/>
          <w:szCs w:val="21"/>
          <w:highlight w:val="none"/>
          <w:u w:val="single"/>
        </w:rPr>
        <w:t>%</w:t>
      </w:r>
    </w:p>
    <w:p>
      <w:pPr>
        <w:spacing w:line="360" w:lineRule="auto"/>
        <w:ind w:firstLine="660" w:firstLineChars="300"/>
        <w:rPr>
          <w:rFonts w:ascii="宋体"/>
          <w:color w:val="auto"/>
          <w:szCs w:val="21"/>
          <w:highlight w:val="none"/>
        </w:rPr>
      </w:pPr>
      <w:r>
        <w:rPr>
          <w:rFonts w:hint="eastAsia" w:ascii="宋体" w:hAnsi="宋体"/>
          <w:color w:val="auto"/>
          <w:szCs w:val="21"/>
          <w:highlight w:val="none"/>
        </w:rPr>
        <w:t>其中：安全文明施工费用预付额度：</w:t>
      </w:r>
      <w:r>
        <w:rPr>
          <w:rFonts w:hint="eastAsia" w:ascii="宋体" w:hAnsi="宋体"/>
          <w:color w:val="auto"/>
          <w:szCs w:val="21"/>
          <w:highlight w:val="none"/>
          <w:u w:val="single"/>
        </w:rPr>
        <w:t>此部分价款的100%</w:t>
      </w:r>
    </w:p>
    <w:p>
      <w:pPr>
        <w:spacing w:line="360" w:lineRule="auto"/>
        <w:ind w:firstLine="1320" w:firstLineChars="600"/>
        <w:rPr>
          <w:rFonts w:ascii="宋体"/>
          <w:color w:val="auto"/>
          <w:szCs w:val="21"/>
          <w:highlight w:val="none"/>
        </w:rPr>
      </w:pPr>
      <w:r>
        <w:rPr>
          <w:rFonts w:hint="eastAsia" w:ascii="宋体" w:hAnsi="宋体"/>
          <w:color w:val="auto"/>
          <w:szCs w:val="21"/>
          <w:highlight w:val="none"/>
        </w:rPr>
        <w:t>其他预付款额度：</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）预付办法</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预付款预付办法：</w:t>
      </w:r>
      <w:bookmarkStart w:id="544" w:name="OLE_LINK1"/>
      <w:r>
        <w:rPr>
          <w:rFonts w:hint="eastAsia" w:ascii="宋体" w:hAnsi="宋体"/>
          <w:color w:val="auto"/>
          <w:szCs w:val="21"/>
          <w:highlight w:val="none"/>
        </w:rPr>
        <w:t>承包人按发包人要求提交正式发票、支付印鉴等材料且财政资金到位后，30日内发包人采用转账支票或电汇的方式向承包人支付预付款</w:t>
      </w:r>
      <w:bookmarkEnd w:id="544"/>
      <w:r>
        <w:rPr>
          <w:rFonts w:hint="eastAsia" w:ascii="宋体" w:hAnsi="宋体"/>
          <w:color w:val="auto"/>
          <w:szCs w:val="21"/>
          <w:highlight w:val="none"/>
        </w:rPr>
        <w:t xml:space="preserve">。 </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预付款的支付时间：</w:t>
      </w:r>
      <w:r>
        <w:rPr>
          <w:rFonts w:hint="eastAsia" w:ascii="宋体" w:hAnsi="宋体"/>
          <w:color w:val="auto"/>
          <w:szCs w:val="21"/>
          <w:highlight w:val="none"/>
          <w:u w:val="single"/>
        </w:rPr>
        <w:t xml:space="preserve"> 依据财政资金到位情况双方协商解决</w:t>
      </w:r>
      <w:r>
        <w:rPr>
          <w:rFonts w:hint="eastAsia" w:ascii="宋体" w:hAnsi="宋体"/>
          <w:color w:val="auto"/>
          <w:szCs w:val="21"/>
          <w:highlight w:val="none"/>
        </w:rPr>
        <w:t>。</w:t>
      </w:r>
    </w:p>
    <w:p>
      <w:pPr>
        <w:spacing w:line="360" w:lineRule="auto"/>
        <w:ind w:firstLine="440" w:firstLineChars="200"/>
        <w:rPr>
          <w:rFonts w:ascii="宋体" w:cs="Arial"/>
          <w:color w:val="auto"/>
          <w:highlight w:val="none"/>
        </w:rPr>
      </w:pPr>
      <w:r>
        <w:rPr>
          <w:rFonts w:ascii="宋体" w:hAnsi="宋体" w:cs="Arial"/>
          <w:color w:val="auto"/>
          <w:highlight w:val="none"/>
        </w:rPr>
        <w:t xml:space="preserve">17.2.2  </w:t>
      </w:r>
      <w:r>
        <w:rPr>
          <w:rFonts w:hint="eastAsia" w:ascii="宋体" w:hAnsi="宋体" w:cs="Arial"/>
          <w:color w:val="auto"/>
          <w:highlight w:val="none"/>
        </w:rPr>
        <w:t>预付款的扣回与还清</w:t>
      </w:r>
    </w:p>
    <w:p>
      <w:pPr>
        <w:spacing w:line="400" w:lineRule="exact"/>
        <w:ind w:firstLine="440" w:firstLineChars="200"/>
        <w:rPr>
          <w:rFonts w:hint="eastAsia" w:ascii="宋体" w:cs="Arial"/>
          <w:color w:val="auto"/>
          <w:highlight w:val="none"/>
        </w:rPr>
      </w:pPr>
      <w:r>
        <w:rPr>
          <w:rFonts w:hint="eastAsia" w:ascii="宋体" w:hAnsi="宋体"/>
          <w:color w:val="auto"/>
          <w:szCs w:val="21"/>
          <w:highlight w:val="none"/>
        </w:rPr>
        <w:t>预付款的扣回办法：</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不抵扣，直接转为工程进度款  </w:t>
      </w:r>
    </w:p>
    <w:p>
      <w:pPr>
        <w:pStyle w:val="60"/>
        <w:spacing w:before="120" w:after="120"/>
        <w:outlineLvl w:val="1"/>
        <w:rPr>
          <w:color w:val="auto"/>
          <w:highlight w:val="none"/>
        </w:rPr>
      </w:pPr>
      <w:bookmarkStart w:id="545" w:name="_Toc485323205"/>
      <w:bookmarkStart w:id="546" w:name="_Toc497214100"/>
      <w:bookmarkStart w:id="547" w:name="_Toc16470"/>
      <w:bookmarkStart w:id="548" w:name="_Toc490331722"/>
      <w:bookmarkStart w:id="549" w:name="_Toc69034530"/>
      <w:bookmarkStart w:id="550" w:name="_Toc489280237"/>
      <w:bookmarkStart w:id="551" w:name="_Toc486580431"/>
      <w:bookmarkStart w:id="552" w:name="_Toc79998288"/>
      <w:r>
        <w:rPr>
          <w:color w:val="auto"/>
          <w:highlight w:val="none"/>
        </w:rPr>
        <w:t xml:space="preserve">17.3  </w:t>
      </w:r>
      <w:r>
        <w:rPr>
          <w:rFonts w:hint="eastAsia"/>
          <w:color w:val="auto"/>
          <w:highlight w:val="none"/>
        </w:rPr>
        <w:t>工程进度付款</w:t>
      </w:r>
      <w:bookmarkEnd w:id="545"/>
      <w:bookmarkEnd w:id="546"/>
      <w:bookmarkEnd w:id="547"/>
      <w:bookmarkEnd w:id="548"/>
      <w:bookmarkEnd w:id="549"/>
      <w:bookmarkEnd w:id="550"/>
      <w:bookmarkEnd w:id="551"/>
      <w:bookmarkEnd w:id="552"/>
    </w:p>
    <w:p>
      <w:pPr>
        <w:spacing w:line="360" w:lineRule="auto"/>
        <w:ind w:firstLine="440" w:firstLineChars="200"/>
        <w:rPr>
          <w:rFonts w:ascii="宋体"/>
          <w:color w:val="auto"/>
          <w:szCs w:val="21"/>
          <w:highlight w:val="none"/>
        </w:rPr>
      </w:pPr>
      <w:r>
        <w:rPr>
          <w:rFonts w:ascii="宋体" w:hAnsi="宋体"/>
          <w:color w:val="auto"/>
          <w:szCs w:val="21"/>
          <w:highlight w:val="none"/>
        </w:rPr>
        <w:t>17.3.</w:t>
      </w:r>
      <w:r>
        <w:rPr>
          <w:rFonts w:hint="eastAsia" w:ascii="宋体" w:hAnsi="宋体"/>
          <w:color w:val="auto"/>
          <w:szCs w:val="21"/>
          <w:highlight w:val="none"/>
          <w:lang w:val="en-US" w:eastAsia="zh-CN"/>
        </w:rPr>
        <w:t>1</w:t>
      </w:r>
      <w:r>
        <w:rPr>
          <w:rFonts w:ascii="宋体" w:hAnsi="宋体"/>
          <w:color w:val="auto"/>
          <w:szCs w:val="21"/>
          <w:highlight w:val="none"/>
        </w:rPr>
        <w:t xml:space="preserve">  </w:t>
      </w:r>
      <w:r>
        <w:rPr>
          <w:rFonts w:hint="eastAsia" w:ascii="宋体" w:hAnsi="宋体"/>
          <w:color w:val="auto"/>
          <w:szCs w:val="21"/>
          <w:highlight w:val="none"/>
        </w:rPr>
        <w:t>进度付款申请单</w:t>
      </w:r>
    </w:p>
    <w:p>
      <w:pPr>
        <w:spacing w:line="400" w:lineRule="exact"/>
        <w:ind w:firstLine="440" w:firstLineChars="200"/>
        <w:rPr>
          <w:rFonts w:ascii="宋体" w:hAnsi="宋体"/>
          <w:color w:val="auto"/>
          <w:szCs w:val="21"/>
          <w:highlight w:val="none"/>
        </w:rPr>
      </w:pPr>
      <w:r>
        <w:rPr>
          <w:rFonts w:hint="eastAsia" w:ascii="宋体" w:hAnsi="宋体"/>
          <w:color w:val="auto"/>
          <w:szCs w:val="21"/>
          <w:highlight w:val="none"/>
        </w:rPr>
        <w:t>进度付款申请单的份数：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三</w:t>
      </w:r>
      <w:r>
        <w:rPr>
          <w:rFonts w:hint="eastAsia" w:ascii="宋体" w:hAnsi="宋体"/>
          <w:color w:val="auto"/>
          <w:szCs w:val="21"/>
          <w:highlight w:val="none"/>
          <w:u w:val="single"/>
        </w:rPr>
        <w:t xml:space="preserve">份  </w:t>
      </w:r>
      <w:r>
        <w:rPr>
          <w:rFonts w:hint="eastAsia" w:ascii="宋体" w:hAnsi="宋体"/>
          <w:color w:val="auto"/>
          <w:szCs w:val="21"/>
          <w:highlight w:val="none"/>
        </w:rPr>
        <w:t>。</w:t>
      </w:r>
    </w:p>
    <w:p>
      <w:pPr>
        <w:spacing w:line="360" w:lineRule="auto"/>
        <w:ind w:firstLine="440" w:firstLineChars="200"/>
        <w:rPr>
          <w:rFonts w:hint="eastAsia" w:ascii="宋体" w:hAnsi="宋体"/>
          <w:color w:val="auto"/>
          <w:szCs w:val="21"/>
          <w:highlight w:val="none"/>
          <w:u w:val="single"/>
        </w:rPr>
      </w:pPr>
      <w:r>
        <w:rPr>
          <w:rFonts w:hint="eastAsia" w:ascii="宋体" w:hAnsi="宋体"/>
          <w:color w:val="auto"/>
          <w:szCs w:val="21"/>
          <w:highlight w:val="none"/>
        </w:rPr>
        <w:t>进度付款申请单的内容：</w:t>
      </w:r>
      <w:r>
        <w:rPr>
          <w:rFonts w:hint="eastAsia" w:ascii="宋体" w:hAnsi="宋体"/>
          <w:color w:val="auto"/>
          <w:szCs w:val="21"/>
          <w:highlight w:val="none"/>
          <w:u w:val="single"/>
        </w:rPr>
        <w:t>付款次数或编号；截止本次付款周期末已实施工程的价款；变更金额；索赔金额；本次应支付的预付款和（或）应扣减的返还预付款；本次扣减的质量保证金；根据合同应增加和扣减的其他金额；对已签发的进度款支付证书中出现错误的修正，应在本次进度付款中支付或扣除的金额。</w:t>
      </w:r>
    </w:p>
    <w:p>
      <w:pPr>
        <w:spacing w:line="360" w:lineRule="auto"/>
        <w:ind w:firstLine="440" w:firstLineChars="200"/>
        <w:rPr>
          <w:rFonts w:hint="eastAsia" w:ascii="宋体" w:hAnsi="宋体"/>
          <w:color w:val="auto"/>
          <w:szCs w:val="21"/>
          <w:highlight w:val="none"/>
          <w:u w:val="single"/>
        </w:rPr>
      </w:pPr>
      <w:r>
        <w:rPr>
          <w:rFonts w:hint="eastAsia" w:ascii="宋体" w:hAnsi="宋体"/>
          <w:color w:val="auto"/>
          <w:highlight w:val="none"/>
        </w:rPr>
        <w:t>根据合同应增加和（或）扣减的其他内容金额</w:t>
      </w:r>
      <w:r>
        <w:rPr>
          <w:rFonts w:hint="eastAsia" w:ascii="宋体" w:hAnsi="宋体"/>
          <w:color w:val="auto"/>
          <w:szCs w:val="21"/>
          <w:highlight w:val="none"/>
        </w:rPr>
        <w:t>：</w:t>
      </w:r>
      <w:r>
        <w:rPr>
          <w:rFonts w:hint="eastAsia" w:ascii="宋体" w:hAnsi="宋体"/>
          <w:color w:val="auto"/>
          <w:szCs w:val="21"/>
          <w:highlight w:val="none"/>
          <w:u w:val="single"/>
        </w:rPr>
        <w:t xml:space="preserve"> 无</w:t>
      </w:r>
    </w:p>
    <w:p>
      <w:pPr>
        <w:spacing w:line="360" w:lineRule="auto"/>
        <w:ind w:firstLine="44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发包人确认的当期应当支付工程进度款，按照下述要求向承包人支付相应的工程进度款： </w:t>
      </w:r>
    </w:p>
    <w:p>
      <w:pPr>
        <w:spacing w:line="360" w:lineRule="auto"/>
        <w:ind w:firstLine="44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工程进度款支付比例：</w:t>
      </w:r>
      <w:r>
        <w:rPr>
          <w:rFonts w:hint="eastAsia" w:ascii="宋体" w:hAnsi="宋体" w:eastAsia="宋体" w:cs="宋体"/>
          <w:color w:val="auto"/>
          <w:szCs w:val="21"/>
          <w:highlight w:val="none"/>
          <w:u w:val="single"/>
        </w:rPr>
        <w:t>按财政资金到位情况双方另行协商，</w:t>
      </w:r>
      <w:r>
        <w:rPr>
          <w:rFonts w:hint="eastAsia" w:ascii="宋体" w:hAnsi="宋体" w:eastAsia="宋体" w:cs="宋体"/>
          <w:bCs/>
          <w:color w:val="auto"/>
          <w:szCs w:val="21"/>
          <w:highlight w:val="none"/>
          <w:u w:val="single"/>
        </w:rPr>
        <w:t>工程进度款最高拨付至签约合同价的</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0%</w:t>
      </w:r>
      <w:r>
        <w:rPr>
          <w:rFonts w:hint="eastAsia" w:ascii="宋体" w:hAnsi="宋体" w:eastAsia="宋体" w:cs="宋体"/>
          <w:color w:val="auto"/>
          <w:szCs w:val="21"/>
          <w:highlight w:val="none"/>
          <w:u w:val="single"/>
        </w:rPr>
        <w:t>，</w:t>
      </w:r>
      <w:r>
        <w:rPr>
          <w:rFonts w:hint="eastAsia" w:ascii="宋体" w:hAnsi="宋体" w:eastAsia="宋体" w:cs="宋体"/>
          <w:bCs/>
          <w:color w:val="auto"/>
          <w:szCs w:val="21"/>
          <w:highlight w:val="none"/>
          <w:u w:val="single"/>
        </w:rPr>
        <w:t>合同约定的最高拨付比例与法律、法规及北京市、区相关政策不一致时，以约定或规定之拨付比例较低的为准。</w:t>
      </w:r>
    </w:p>
    <w:p>
      <w:pPr>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szCs w:val="21"/>
          <w:highlight w:val="none"/>
          <w:u w:val="single"/>
        </w:rPr>
        <w:t>发生付款时，承包人应提供合规的增值税专用发票后才进行相应款项的支付。如开具发票不规范、不合法或涉嫌虚开，承包人不仅要承担赔偿责任，且不能免除开具合法发票的义务。</w:t>
      </w:r>
    </w:p>
    <w:p>
      <w:pPr>
        <w:spacing w:line="360" w:lineRule="auto"/>
        <w:ind w:firstLine="440" w:firstLineChars="200"/>
        <w:rPr>
          <w:rFonts w:ascii="宋体"/>
          <w:color w:val="auto"/>
          <w:szCs w:val="21"/>
          <w:highlight w:val="none"/>
        </w:rPr>
      </w:pPr>
      <w:r>
        <w:rPr>
          <w:rFonts w:ascii="宋体" w:hAnsi="宋体"/>
          <w:color w:val="auto"/>
          <w:szCs w:val="21"/>
          <w:highlight w:val="none"/>
        </w:rPr>
        <w:t>17.3.</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进度付款证书和支付时间</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）逾期付款违约金的计算标准：</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逾期付款违约金的计算方法：</w:t>
      </w:r>
      <w:r>
        <w:rPr>
          <w:rFonts w:hint="eastAsia" w:ascii="宋体" w:hAnsi="宋体"/>
          <w:color w:val="auto"/>
          <w:szCs w:val="21"/>
          <w:highlight w:val="none"/>
          <w:u w:val="single"/>
        </w:rPr>
        <w:t>/</w:t>
      </w:r>
    </w:p>
    <w:p>
      <w:pPr>
        <w:numPr>
          <w:ilvl w:val="0"/>
          <w:numId w:val="0"/>
        </w:numPr>
        <w:spacing w:line="400" w:lineRule="exact"/>
        <w:ind w:firstLine="440" w:firstLineChars="200"/>
        <w:rPr>
          <w:rFonts w:hint="eastAsia" w:ascii="宋体" w:hAnsi="宋体"/>
          <w:color w:val="auto"/>
          <w:szCs w:val="21"/>
          <w:highlight w:val="none"/>
          <w:u w:val="singl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进度付款涉及政府性资金的支付方法：</w:t>
      </w:r>
      <w:r>
        <w:rPr>
          <w:rFonts w:hint="eastAsia" w:ascii="宋体" w:hAnsi="宋体"/>
          <w:color w:val="auto"/>
          <w:szCs w:val="21"/>
          <w:highlight w:val="none"/>
          <w:u w:val="single"/>
        </w:rPr>
        <w:t>工程竣工</w:t>
      </w:r>
      <w:r>
        <w:rPr>
          <w:rFonts w:hint="eastAsia" w:ascii="宋体" w:hAnsi="宋体"/>
          <w:color w:val="auto"/>
          <w:szCs w:val="21"/>
          <w:highlight w:val="none"/>
          <w:u w:val="single"/>
          <w:lang w:val="en-US" w:eastAsia="zh-CN"/>
        </w:rPr>
        <w:t>验收完成,</w:t>
      </w:r>
      <w:r>
        <w:rPr>
          <w:rFonts w:hint="eastAsia" w:ascii="宋体" w:hAnsi="宋体"/>
          <w:color w:val="auto"/>
          <w:szCs w:val="21"/>
          <w:highlight w:val="none"/>
          <w:u w:val="single"/>
        </w:rPr>
        <w:t>竣工资料上报区</w:t>
      </w:r>
      <w:r>
        <w:rPr>
          <w:rFonts w:hint="eastAsia" w:ascii="宋体" w:hAnsi="宋体"/>
          <w:color w:val="auto"/>
          <w:szCs w:val="21"/>
          <w:highlight w:val="none"/>
          <w:u w:val="single"/>
          <w:lang w:val="en-US" w:eastAsia="zh-CN"/>
        </w:rPr>
        <w:t>财政进行结算</w:t>
      </w:r>
      <w:r>
        <w:rPr>
          <w:rFonts w:hint="eastAsia" w:ascii="宋体" w:hAnsi="宋体"/>
          <w:color w:val="auto"/>
          <w:szCs w:val="21"/>
          <w:highlight w:val="none"/>
          <w:u w:val="single"/>
        </w:rPr>
        <w:t>评审，</w:t>
      </w:r>
      <w:r>
        <w:rPr>
          <w:rFonts w:hint="eastAsia" w:ascii="宋体" w:hAnsi="宋体"/>
          <w:color w:val="auto"/>
          <w:szCs w:val="21"/>
          <w:highlight w:val="none"/>
          <w:u w:val="single"/>
          <w:lang w:eastAsia="zh-CN"/>
        </w:rPr>
        <w:t>且区财政拨款资金到位后，</w:t>
      </w:r>
      <w:r>
        <w:rPr>
          <w:rFonts w:hint="eastAsia" w:ascii="宋体" w:hAnsi="宋体"/>
          <w:color w:val="auto"/>
          <w:szCs w:val="21"/>
          <w:highlight w:val="none"/>
          <w:u w:val="single"/>
        </w:rPr>
        <w:t>承包人按发包人要求提交正式发票、支付印鉴等材料后，</w:t>
      </w:r>
      <w:r>
        <w:rPr>
          <w:rFonts w:hint="eastAsia" w:ascii="宋体" w:hAnsi="宋体"/>
          <w:color w:val="auto"/>
          <w:szCs w:val="21"/>
          <w:highlight w:val="none"/>
          <w:u w:val="single"/>
          <w:lang w:val="en-US" w:eastAsia="zh-CN"/>
        </w:rPr>
        <w:t>30日内发包人拨付至</w:t>
      </w:r>
      <w:r>
        <w:rPr>
          <w:rFonts w:hint="eastAsia" w:ascii="宋体" w:hAnsi="宋体"/>
          <w:color w:val="auto"/>
          <w:szCs w:val="21"/>
          <w:highlight w:val="none"/>
          <w:u w:val="single"/>
        </w:rPr>
        <w:t>签约合同价的</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0%</w:t>
      </w:r>
      <w:r>
        <w:rPr>
          <w:rFonts w:hint="eastAsia" w:ascii="宋体" w:hAnsi="宋体"/>
          <w:color w:val="auto"/>
          <w:szCs w:val="21"/>
          <w:highlight w:val="none"/>
          <w:u w:val="single"/>
          <w:lang w:eastAsia="zh-CN"/>
        </w:rPr>
        <w:t>；</w:t>
      </w:r>
    </w:p>
    <w:p>
      <w:pPr>
        <w:numPr>
          <w:ilvl w:val="0"/>
          <w:numId w:val="7"/>
        </w:numPr>
        <w:spacing w:line="400" w:lineRule="exact"/>
        <w:ind w:firstLine="440" w:firstLineChars="200"/>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最终结算款支付方法：</w:t>
      </w:r>
      <w:r>
        <w:rPr>
          <w:rFonts w:hint="eastAsia" w:ascii="宋体" w:hAnsi="宋体"/>
          <w:color w:val="auto"/>
          <w:szCs w:val="21"/>
          <w:highlight w:val="none"/>
          <w:u w:val="single"/>
        </w:rPr>
        <w:t>待区决算评审单位出具评审报告且区财政</w:t>
      </w:r>
      <w:r>
        <w:rPr>
          <w:rFonts w:hint="eastAsia" w:ascii="宋体" w:hAnsi="宋体"/>
          <w:color w:val="auto"/>
          <w:szCs w:val="21"/>
          <w:highlight w:val="none"/>
          <w:u w:val="single"/>
          <w:lang w:val="en-US" w:eastAsia="zh-CN"/>
        </w:rPr>
        <w:t>后续</w:t>
      </w:r>
      <w:r>
        <w:rPr>
          <w:rFonts w:hint="eastAsia" w:ascii="宋体" w:hAnsi="宋体"/>
          <w:color w:val="auto"/>
          <w:szCs w:val="21"/>
          <w:highlight w:val="none"/>
          <w:u w:val="single"/>
        </w:rPr>
        <w:t>拨款资金到位</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承包人按发包人要求提交正式发票、支付印鉴等材料</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同时承包人</w:t>
      </w:r>
      <w:r>
        <w:rPr>
          <w:rFonts w:hint="eastAsia" w:ascii="宋体" w:hAnsi="宋体"/>
          <w:color w:val="auto"/>
          <w:szCs w:val="21"/>
          <w:highlight w:val="none"/>
          <w:u w:val="single"/>
        </w:rPr>
        <w:t>依据</w:t>
      </w:r>
      <w:r>
        <w:rPr>
          <w:rFonts w:hint="eastAsia" w:ascii="宋体" w:hAnsi="宋体"/>
          <w:color w:val="auto"/>
          <w:szCs w:val="21"/>
          <w:highlight w:val="none"/>
          <w:u w:val="single"/>
          <w:lang w:val="en-US" w:eastAsia="zh-CN"/>
        </w:rPr>
        <w:t>最终财政</w:t>
      </w:r>
      <w:r>
        <w:rPr>
          <w:rFonts w:hint="eastAsia" w:ascii="宋体" w:hAnsi="宋体"/>
          <w:color w:val="auto"/>
          <w:szCs w:val="21"/>
          <w:highlight w:val="none"/>
          <w:u w:val="single"/>
        </w:rPr>
        <w:t>评审金额</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按照本合同约定向发包人支付质量保证金后，发包人应于30日内向承包人拨付剩余全额工程款</w:t>
      </w:r>
      <w:r>
        <w:rPr>
          <w:rFonts w:hint="eastAsia" w:ascii="宋体" w:hAnsi="宋体"/>
          <w:color w:val="auto"/>
          <w:szCs w:val="21"/>
          <w:highlight w:val="none"/>
          <w:u w:val="single"/>
        </w:rPr>
        <w:t>。</w:t>
      </w:r>
    </w:p>
    <w:p>
      <w:pPr>
        <w:numPr>
          <w:ilvl w:val="0"/>
          <w:numId w:val="7"/>
        </w:numPr>
        <w:spacing w:line="400" w:lineRule="exact"/>
        <w:ind w:firstLine="440" w:firstLineChars="200"/>
        <w:rPr>
          <w:rFonts w:hint="eastAsia" w:ascii="宋体" w:hAnsi="宋体"/>
          <w:color w:val="auto"/>
          <w:szCs w:val="21"/>
          <w:highlight w:val="none"/>
          <w:u w:val="single"/>
        </w:rPr>
      </w:pPr>
      <w:r>
        <w:rPr>
          <w:rFonts w:hint="eastAsia" w:ascii="宋体" w:hAnsi="宋体"/>
          <w:color w:val="auto"/>
          <w:szCs w:val="21"/>
          <w:highlight w:val="none"/>
          <w:u w:val="single"/>
        </w:rPr>
        <w:t>双方一致同意，本合同履行期间，合同总金额最高拨付比例严格按照合同约定执行。合同约定的最高拨付比例与法律、法规及北京市、区相关政策不一致时，以约定或规定之拨付比例较低的为准。发包人向承包人不支付未拨款项产生的利息。依据工程建设进度及财政资金到位情况，发包人按期支付，若因财政资金拨付延迟而导致发包人不能按期拨付预付款、工程进度款以及竣工结算款的，不构成发包人的违约，承包人不得因此追究发包人的违约责任。发承包双方均有配合区</w:t>
      </w:r>
      <w:r>
        <w:rPr>
          <w:rFonts w:hint="eastAsia" w:ascii="宋体" w:hAnsi="宋体"/>
          <w:color w:val="auto"/>
          <w:szCs w:val="21"/>
          <w:highlight w:val="none"/>
          <w:u w:val="single"/>
          <w:lang w:val="en-US" w:eastAsia="zh-CN"/>
        </w:rPr>
        <w:t>结算</w:t>
      </w:r>
      <w:r>
        <w:rPr>
          <w:rFonts w:hint="eastAsia" w:ascii="宋体" w:hAnsi="宋体"/>
          <w:color w:val="auto"/>
          <w:szCs w:val="21"/>
          <w:highlight w:val="none"/>
          <w:u w:val="single"/>
        </w:rPr>
        <w:t>评审单位进行审计的义务，结算以</w:t>
      </w:r>
      <w:r>
        <w:rPr>
          <w:rFonts w:hint="eastAsia" w:ascii="宋体" w:hAnsi="宋体"/>
          <w:color w:val="auto"/>
          <w:szCs w:val="21"/>
          <w:highlight w:val="none"/>
          <w:u w:val="single"/>
          <w:lang w:val="en-US" w:eastAsia="zh-CN"/>
        </w:rPr>
        <w:t>财政结算</w:t>
      </w:r>
      <w:r>
        <w:rPr>
          <w:rFonts w:hint="eastAsia" w:ascii="宋体" w:hAnsi="宋体"/>
          <w:color w:val="auto"/>
          <w:szCs w:val="21"/>
          <w:highlight w:val="none"/>
          <w:u w:val="single"/>
        </w:rPr>
        <w:t>评审单位审定金额为准。</w:t>
      </w:r>
    </w:p>
    <w:p>
      <w:pPr>
        <w:pStyle w:val="60"/>
        <w:spacing w:before="120" w:after="120"/>
        <w:outlineLvl w:val="1"/>
        <w:rPr>
          <w:color w:val="auto"/>
          <w:highlight w:val="none"/>
        </w:rPr>
      </w:pPr>
      <w:bookmarkStart w:id="553" w:name="_Toc19813"/>
      <w:bookmarkStart w:id="554" w:name="_Toc486580432"/>
      <w:bookmarkStart w:id="555" w:name="_Toc490331723"/>
      <w:bookmarkStart w:id="556" w:name="_Toc489280238"/>
      <w:bookmarkStart w:id="557" w:name="_Toc79998289"/>
      <w:bookmarkStart w:id="558" w:name="_Toc69034531"/>
      <w:bookmarkStart w:id="559" w:name="_Toc485323206"/>
      <w:bookmarkStart w:id="560" w:name="_Toc497214101"/>
      <w:r>
        <w:rPr>
          <w:color w:val="auto"/>
          <w:highlight w:val="none"/>
        </w:rPr>
        <w:t xml:space="preserve">17.4  </w:t>
      </w:r>
      <w:r>
        <w:rPr>
          <w:rFonts w:hint="eastAsia"/>
          <w:color w:val="auto"/>
          <w:highlight w:val="none"/>
        </w:rPr>
        <w:t>质量保证金</w:t>
      </w:r>
      <w:bookmarkEnd w:id="553"/>
      <w:bookmarkEnd w:id="554"/>
      <w:bookmarkEnd w:id="555"/>
      <w:bookmarkEnd w:id="556"/>
      <w:bookmarkEnd w:id="557"/>
      <w:bookmarkEnd w:id="558"/>
      <w:bookmarkEnd w:id="559"/>
      <w:bookmarkEnd w:id="560"/>
    </w:p>
    <w:p>
      <w:pPr>
        <w:spacing w:line="360" w:lineRule="auto"/>
        <w:ind w:firstLine="440" w:firstLineChars="200"/>
        <w:rPr>
          <w:rFonts w:ascii="宋体"/>
          <w:color w:val="auto"/>
          <w:szCs w:val="21"/>
          <w:highlight w:val="none"/>
        </w:rPr>
      </w:pPr>
      <w:bookmarkStart w:id="561" w:name="_Toc486580433"/>
      <w:bookmarkStart w:id="562" w:name="_Toc485323207"/>
      <w:bookmarkStart w:id="563" w:name="_Toc489280239"/>
      <w:bookmarkStart w:id="564" w:name="_Toc490331724"/>
      <w:r>
        <w:rPr>
          <w:rFonts w:hint="eastAsia" w:ascii="宋体" w:hAnsi="宋体"/>
          <w:color w:val="auto"/>
          <w:szCs w:val="21"/>
          <w:highlight w:val="none"/>
        </w:rPr>
        <w:t>质量保证金形式：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财政评审完成后，且财政资金到位后7日内，承包人将工程质量保证金打到发包人指定账户。发包人在收到承包人质保金30日内，将剩余工程款全部拨付给承包人</w:t>
      </w:r>
      <w:r>
        <w:rPr>
          <w:rFonts w:hint="eastAsia" w:ascii="宋体" w:hAnsi="宋体"/>
          <w:color w:val="auto"/>
          <w:szCs w:val="21"/>
          <w:highlight w:val="none"/>
        </w:rPr>
        <w:t>。</w:t>
      </w:r>
    </w:p>
    <w:p>
      <w:pPr>
        <w:spacing w:line="360" w:lineRule="auto"/>
        <w:ind w:firstLine="440" w:firstLineChars="200"/>
        <w:rPr>
          <w:rFonts w:ascii="宋体" w:hAnsi="宋体"/>
          <w:color w:val="auto"/>
          <w:szCs w:val="21"/>
          <w:highlight w:val="none"/>
          <w:u w:val="single"/>
        </w:rPr>
      </w:pPr>
      <w:r>
        <w:rPr>
          <w:rFonts w:hint="eastAsia" w:ascii="宋体" w:hAnsi="宋体"/>
          <w:color w:val="auto"/>
          <w:szCs w:val="21"/>
          <w:highlight w:val="none"/>
        </w:rPr>
        <w:t>质量保证金约定比例：</w:t>
      </w:r>
      <w:r>
        <w:rPr>
          <w:rFonts w:hint="eastAsia" w:ascii="宋体" w:hAnsi="宋体"/>
          <w:color w:val="auto"/>
          <w:szCs w:val="21"/>
          <w:highlight w:val="none"/>
          <w:u w:val="single"/>
          <w:lang w:val="en-US" w:eastAsia="zh-CN"/>
        </w:rPr>
        <w:t>最终工程结算评审金额</w:t>
      </w:r>
      <w:r>
        <w:rPr>
          <w:rFonts w:hint="eastAsia" w:ascii="宋体" w:hAnsi="宋体"/>
          <w:color w:val="auto"/>
          <w:szCs w:val="21"/>
          <w:highlight w:val="none"/>
          <w:u w:val="single"/>
        </w:rPr>
        <w:t>的3</w:t>
      </w:r>
      <w:r>
        <w:rPr>
          <w:rFonts w:ascii="宋体" w:hAnsi="宋体"/>
          <w:color w:val="auto"/>
          <w:szCs w:val="21"/>
          <w:highlight w:val="none"/>
          <w:u w:val="single"/>
        </w:rPr>
        <w:t xml:space="preserve"> %</w:t>
      </w:r>
    </w:p>
    <w:p>
      <w:pPr>
        <w:pStyle w:val="2"/>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none"/>
          <w:lang w:val="en-US" w:eastAsia="zh-CN" w:bidi="ar-SA"/>
        </w:rPr>
        <w:t>质量保证金的返还：</w:t>
      </w:r>
      <w:r>
        <w:rPr>
          <w:rFonts w:hint="eastAsia" w:ascii="宋体" w:hAnsi="宋体" w:eastAsia="宋体" w:cs="Times New Roman"/>
          <w:color w:val="auto"/>
          <w:kern w:val="2"/>
          <w:sz w:val="21"/>
          <w:szCs w:val="21"/>
          <w:highlight w:val="none"/>
          <w:u w:val="single"/>
          <w:lang w:val="en-US" w:eastAsia="zh-CN" w:bidi="ar-SA"/>
        </w:rPr>
        <w:t>缺陷责任期满后，承包人向发包人申请到期应返还承包人剩余的质量保证金金额或退还保函担保，发包人应在 14 天内会同承包人按照合同约定的内容核实承包人是否完成缺陷责任。如无异议，发包人应当在核实后将剩余保证金无息返还承包人或将其保函退还承包人。</w:t>
      </w:r>
    </w:p>
    <w:p>
      <w:pPr>
        <w:pStyle w:val="60"/>
        <w:spacing w:before="120" w:after="120"/>
        <w:outlineLvl w:val="1"/>
        <w:rPr>
          <w:color w:val="auto"/>
          <w:highlight w:val="none"/>
        </w:rPr>
      </w:pPr>
      <w:bookmarkStart w:id="565" w:name="_Toc79998290"/>
      <w:bookmarkStart w:id="566" w:name="_Toc497214102"/>
      <w:bookmarkStart w:id="567" w:name="_Toc22393"/>
      <w:bookmarkStart w:id="568" w:name="_Toc69034532"/>
      <w:r>
        <w:rPr>
          <w:color w:val="auto"/>
          <w:highlight w:val="none"/>
        </w:rPr>
        <w:t xml:space="preserve">17.5  </w:t>
      </w:r>
      <w:r>
        <w:rPr>
          <w:rFonts w:hint="eastAsia"/>
          <w:color w:val="auto"/>
          <w:highlight w:val="none"/>
        </w:rPr>
        <w:t>竣工结算</w:t>
      </w:r>
      <w:bookmarkEnd w:id="561"/>
      <w:bookmarkEnd w:id="562"/>
      <w:bookmarkEnd w:id="563"/>
      <w:bookmarkEnd w:id="564"/>
      <w:bookmarkEnd w:id="565"/>
      <w:bookmarkEnd w:id="566"/>
      <w:bookmarkEnd w:id="567"/>
      <w:bookmarkEnd w:id="568"/>
    </w:p>
    <w:p>
      <w:pPr>
        <w:spacing w:line="360" w:lineRule="auto"/>
        <w:ind w:firstLine="440" w:firstLineChars="20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竣工付款申请单</w:t>
      </w:r>
    </w:p>
    <w:p>
      <w:pPr>
        <w:spacing w:line="360" w:lineRule="auto"/>
        <w:ind w:firstLine="440" w:firstLineChars="200"/>
        <w:rPr>
          <w:rFonts w:ascii="宋体" w:hAnsi="宋体"/>
          <w:color w:val="auto"/>
          <w:szCs w:val="21"/>
          <w:highlight w:val="none"/>
          <w:u w:val="single"/>
        </w:rPr>
      </w:pPr>
      <w:r>
        <w:rPr>
          <w:rFonts w:hint="eastAsia" w:ascii="宋体" w:hAnsi="宋体"/>
          <w:color w:val="auto"/>
          <w:szCs w:val="21"/>
          <w:highlight w:val="none"/>
        </w:rPr>
        <w:t>承包人提交竣工付款申请单的份数：</w:t>
      </w:r>
      <w:r>
        <w:rPr>
          <w:rFonts w:hint="eastAsia" w:ascii="宋体" w:hAnsi="宋体"/>
          <w:color w:val="auto"/>
          <w:szCs w:val="21"/>
          <w:highlight w:val="none"/>
          <w:u w:val="single"/>
        </w:rPr>
        <w:t>提交</w:t>
      </w:r>
      <w:r>
        <w:rPr>
          <w:rFonts w:ascii="宋体" w:hAnsi="宋体"/>
          <w:color w:val="auto"/>
          <w:szCs w:val="21"/>
          <w:highlight w:val="none"/>
          <w:u w:val="single"/>
        </w:rPr>
        <w:t>5</w:t>
      </w:r>
      <w:r>
        <w:rPr>
          <w:rFonts w:hint="eastAsia" w:ascii="宋体" w:hAnsi="宋体"/>
          <w:color w:val="auto"/>
          <w:szCs w:val="21"/>
          <w:highlight w:val="none"/>
          <w:u w:val="single"/>
        </w:rPr>
        <w:t>份竣工付款申请单</w:t>
      </w:r>
      <w:r>
        <w:rPr>
          <w:rFonts w:hint="eastAsia" w:ascii="宋体" w:hAnsi="宋体"/>
          <w:color w:val="auto"/>
          <w:szCs w:val="21"/>
          <w:highlight w:val="none"/>
        </w:rPr>
        <w:t>。</w:t>
      </w:r>
    </w:p>
    <w:p>
      <w:pPr>
        <w:spacing w:line="360" w:lineRule="auto"/>
        <w:ind w:firstLine="440" w:firstLineChars="200"/>
        <w:rPr>
          <w:rFonts w:ascii="宋体" w:hAnsi="宋体"/>
          <w:color w:val="auto"/>
          <w:szCs w:val="21"/>
          <w:highlight w:val="none"/>
          <w:u w:val="single"/>
        </w:rPr>
      </w:pPr>
      <w:r>
        <w:rPr>
          <w:rFonts w:hint="eastAsia" w:ascii="宋体" w:hAnsi="宋体"/>
          <w:color w:val="auto"/>
          <w:szCs w:val="21"/>
          <w:highlight w:val="none"/>
        </w:rPr>
        <w:t>承包人提交竣工付款申请单的期限：</w:t>
      </w:r>
      <w:r>
        <w:rPr>
          <w:rFonts w:hint="eastAsia" w:ascii="宋体" w:hAnsi="宋体"/>
          <w:color w:val="auto"/>
          <w:szCs w:val="21"/>
          <w:highlight w:val="none"/>
          <w:u w:val="single"/>
        </w:rPr>
        <w:t>在工程接收证书颁发后</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hint="eastAsia" w:ascii="宋体" w:hAnsi="宋体"/>
          <w:color w:val="auto"/>
          <w:szCs w:val="21"/>
          <w:highlight w:val="non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竣工付款申请单的其他内容：</w:t>
      </w:r>
      <w:r>
        <w:rPr>
          <w:rFonts w:hint="eastAsia" w:ascii="宋体" w:hAnsi="宋体"/>
          <w:color w:val="auto"/>
          <w:szCs w:val="21"/>
          <w:highlight w:val="none"/>
          <w:u w:val="single"/>
        </w:rPr>
        <w:t>竣工结算合同总价、已支付的工程价款、应扣回的预付款、应扣留的质量保证金、应支付的竣工付款金额、初步竣工验收合格单及全部工程竣工资料等</w:t>
      </w:r>
      <w:r>
        <w:rPr>
          <w:rFonts w:hint="eastAsia" w:ascii="宋体" w:hAnsi="宋体"/>
          <w:color w:val="auto"/>
          <w:szCs w:val="21"/>
          <w:highlight w:val="none"/>
        </w:rPr>
        <w:t>。</w:t>
      </w:r>
    </w:p>
    <w:p>
      <w:pPr>
        <w:pStyle w:val="60"/>
        <w:spacing w:before="120" w:after="120"/>
        <w:outlineLvl w:val="1"/>
        <w:rPr>
          <w:color w:val="auto"/>
          <w:highlight w:val="none"/>
        </w:rPr>
      </w:pPr>
      <w:bookmarkStart w:id="569" w:name="_Toc486580434"/>
      <w:bookmarkStart w:id="570" w:name="_Toc489280240"/>
      <w:bookmarkStart w:id="571" w:name="_Toc79998291"/>
      <w:bookmarkStart w:id="572" w:name="_Toc490331725"/>
      <w:bookmarkStart w:id="573" w:name="_Toc69034533"/>
      <w:bookmarkStart w:id="574" w:name="_Toc497214103"/>
      <w:bookmarkStart w:id="575" w:name="_Toc485323208"/>
      <w:bookmarkStart w:id="576" w:name="_Toc8293"/>
      <w:r>
        <w:rPr>
          <w:color w:val="auto"/>
          <w:highlight w:val="none"/>
        </w:rPr>
        <w:t xml:space="preserve">17.6  </w:t>
      </w:r>
      <w:r>
        <w:rPr>
          <w:rFonts w:hint="eastAsia"/>
          <w:color w:val="auto"/>
          <w:highlight w:val="none"/>
        </w:rPr>
        <w:t>最终结清</w:t>
      </w:r>
      <w:bookmarkEnd w:id="569"/>
      <w:bookmarkEnd w:id="570"/>
      <w:bookmarkEnd w:id="571"/>
      <w:bookmarkEnd w:id="572"/>
      <w:bookmarkEnd w:id="573"/>
      <w:bookmarkEnd w:id="574"/>
      <w:bookmarkEnd w:id="575"/>
      <w:bookmarkEnd w:id="576"/>
    </w:p>
    <w:p>
      <w:pPr>
        <w:spacing w:line="360" w:lineRule="auto"/>
        <w:ind w:firstLine="440" w:firstLineChars="20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最终结清申请单</w:t>
      </w:r>
    </w:p>
    <w:p>
      <w:pPr>
        <w:spacing w:line="360" w:lineRule="auto"/>
        <w:ind w:firstLine="440" w:firstLineChars="200"/>
        <w:rPr>
          <w:rFonts w:ascii="宋体" w:hAnsi="宋体"/>
          <w:color w:val="auto"/>
          <w:szCs w:val="21"/>
          <w:highlight w:val="none"/>
          <w:u w:val="singl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提交</w:t>
      </w:r>
      <w:r>
        <w:rPr>
          <w:rFonts w:ascii="宋体" w:hAnsi="宋体"/>
          <w:color w:val="auto"/>
          <w:szCs w:val="21"/>
          <w:highlight w:val="none"/>
          <w:u w:val="single"/>
        </w:rPr>
        <w:t>5</w:t>
      </w:r>
      <w:r>
        <w:rPr>
          <w:rFonts w:hint="eastAsia" w:ascii="宋体" w:hAnsi="宋体"/>
          <w:color w:val="auto"/>
          <w:szCs w:val="21"/>
          <w:highlight w:val="none"/>
          <w:u w:val="single"/>
        </w:rPr>
        <w:t>份最终结清申请单</w:t>
      </w:r>
      <w:r>
        <w:rPr>
          <w:rFonts w:hint="eastAsia" w:ascii="宋体" w:hAnsi="宋体"/>
          <w:color w:val="auto"/>
          <w:szCs w:val="21"/>
          <w:highlight w:val="none"/>
        </w:rPr>
        <w:t>。</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承包人提交最终结清申请单的期限：</w:t>
      </w:r>
      <w:r>
        <w:rPr>
          <w:rFonts w:hint="eastAsia" w:ascii="宋体" w:hAnsi="宋体"/>
          <w:color w:val="auto"/>
          <w:szCs w:val="21"/>
          <w:highlight w:val="none"/>
          <w:u w:val="single"/>
        </w:rPr>
        <w:t>在缺陷责任期终止证书颁发后</w:t>
      </w:r>
      <w:r>
        <w:rPr>
          <w:rFonts w:ascii="宋体" w:hAnsi="宋体"/>
          <w:color w:val="auto"/>
          <w:szCs w:val="21"/>
          <w:highlight w:val="none"/>
          <w:u w:val="single"/>
        </w:rPr>
        <w:t>28</w:t>
      </w:r>
      <w:r>
        <w:rPr>
          <w:rFonts w:hint="eastAsia" w:ascii="宋体" w:hAnsi="宋体"/>
          <w:color w:val="auto"/>
          <w:szCs w:val="21"/>
          <w:highlight w:val="none"/>
          <w:u w:val="single"/>
        </w:rPr>
        <w:t>天内</w:t>
      </w:r>
      <w:r>
        <w:rPr>
          <w:rFonts w:hint="eastAsia" w:ascii="宋体" w:hAnsi="宋体"/>
          <w:color w:val="auto"/>
          <w:szCs w:val="21"/>
          <w:highlight w:val="none"/>
        </w:rPr>
        <w:t>。</w:t>
      </w:r>
    </w:p>
    <w:p>
      <w:pPr>
        <w:spacing w:line="360" w:lineRule="auto"/>
        <w:ind w:firstLine="440" w:firstLineChars="200"/>
        <w:rPr>
          <w:rFonts w:ascii="宋体"/>
          <w:color w:val="auto"/>
          <w:highlight w:val="none"/>
        </w:rPr>
      </w:pPr>
      <w:r>
        <w:rPr>
          <w:rFonts w:hint="eastAsia" w:ascii="宋体" w:hAnsi="宋体"/>
          <w:color w:val="auto"/>
          <w:highlight w:val="none"/>
        </w:rPr>
        <w:t>发包人向承包人</w:t>
      </w:r>
      <w:r>
        <w:rPr>
          <w:rFonts w:hint="eastAsia" w:ascii="宋体" w:hAnsi="宋体"/>
          <w:color w:val="auto"/>
          <w:highlight w:val="none"/>
          <w:u w:val="single"/>
        </w:rPr>
        <w:t>不支付</w:t>
      </w:r>
      <w:r>
        <w:rPr>
          <w:rFonts w:hint="eastAsia" w:ascii="宋体" w:hAnsi="宋体"/>
          <w:color w:val="auto"/>
          <w:highlight w:val="none"/>
        </w:rPr>
        <w:t>（支付</w:t>
      </w:r>
      <w:r>
        <w:rPr>
          <w:rFonts w:ascii="宋体" w:hAnsi="宋体"/>
          <w:color w:val="auto"/>
          <w:highlight w:val="none"/>
        </w:rPr>
        <w:t xml:space="preserve"> / </w:t>
      </w:r>
      <w:r>
        <w:rPr>
          <w:rFonts w:hint="eastAsia" w:ascii="宋体" w:hAnsi="宋体"/>
          <w:color w:val="auto"/>
          <w:highlight w:val="none"/>
        </w:rPr>
        <w:t>不支付）质量保证金利息。</w:t>
      </w:r>
    </w:p>
    <w:p>
      <w:pPr>
        <w:spacing w:line="360" w:lineRule="auto"/>
        <w:ind w:firstLine="440" w:firstLineChars="200"/>
        <w:rPr>
          <w:rFonts w:hint="eastAsia" w:ascii="宋体" w:hAnsi="宋体"/>
          <w:color w:val="auto"/>
          <w:highlight w:val="none"/>
          <w:u w:val="single"/>
        </w:rPr>
      </w:pPr>
      <w:r>
        <w:rPr>
          <w:rFonts w:hint="eastAsia" w:ascii="宋体" w:hAnsi="宋体"/>
          <w:color w:val="auto"/>
          <w:highlight w:val="none"/>
        </w:rPr>
        <w:t>发包人向承包人支付质量保证金利息的，利息计算方法：</w:t>
      </w:r>
      <w:r>
        <w:rPr>
          <w:rFonts w:hint="eastAsia" w:ascii="宋体" w:hAnsi="宋体"/>
          <w:color w:val="auto"/>
          <w:highlight w:val="none"/>
          <w:u w:val="single"/>
        </w:rPr>
        <w:t>/</w:t>
      </w:r>
    </w:p>
    <w:p>
      <w:pPr>
        <w:spacing w:line="360" w:lineRule="auto"/>
        <w:ind w:firstLine="440" w:firstLineChars="200"/>
        <w:rPr>
          <w:rFonts w:ascii="宋体" w:hAnsi="宋体"/>
          <w:color w:val="auto"/>
          <w:highlight w:val="none"/>
        </w:rPr>
      </w:pPr>
      <w:r>
        <w:rPr>
          <w:rFonts w:hint="eastAsia" w:ascii="宋体" w:hAnsi="宋体"/>
          <w:color w:val="auto"/>
          <w:highlight w:val="none"/>
        </w:rPr>
        <w:t>备注：实际支付进度和金额以上级部门下达资金指标为准，最终支付金额以财政出具的结算评审报告为准。</w:t>
      </w:r>
    </w:p>
    <w:p>
      <w:pPr>
        <w:pStyle w:val="59"/>
        <w:spacing w:before="120" w:after="120"/>
        <w:outlineLvl w:val="0"/>
        <w:rPr>
          <w:color w:val="auto"/>
          <w:highlight w:val="none"/>
        </w:rPr>
      </w:pPr>
      <w:bookmarkStart w:id="577" w:name="_Toc69034534"/>
      <w:bookmarkStart w:id="578" w:name="_Toc79998292"/>
      <w:r>
        <w:rPr>
          <w:color w:val="auto"/>
          <w:highlight w:val="none"/>
        </w:rPr>
        <w:t>18.</w:t>
      </w:r>
      <w:r>
        <w:rPr>
          <w:rFonts w:hint="eastAsia"/>
          <w:color w:val="auto"/>
          <w:highlight w:val="none"/>
        </w:rPr>
        <w:t>竣工验收</w:t>
      </w:r>
      <w:bookmarkEnd w:id="527"/>
      <w:bookmarkEnd w:id="528"/>
      <w:bookmarkEnd w:id="529"/>
      <w:bookmarkEnd w:id="530"/>
      <w:bookmarkEnd w:id="531"/>
      <w:bookmarkEnd w:id="532"/>
      <w:bookmarkEnd w:id="533"/>
      <w:bookmarkEnd w:id="534"/>
      <w:bookmarkEnd w:id="577"/>
      <w:bookmarkEnd w:id="578"/>
    </w:p>
    <w:p>
      <w:pPr>
        <w:pStyle w:val="60"/>
        <w:spacing w:before="120" w:after="120"/>
        <w:outlineLvl w:val="1"/>
        <w:rPr>
          <w:color w:val="auto"/>
          <w:highlight w:val="none"/>
        </w:rPr>
      </w:pPr>
      <w:bookmarkStart w:id="579" w:name="_Toc486580436"/>
      <w:bookmarkStart w:id="580" w:name="_Toc489280242"/>
      <w:bookmarkStart w:id="581" w:name="_Toc497214105"/>
      <w:bookmarkStart w:id="582" w:name="_Toc69034535"/>
      <w:bookmarkStart w:id="583" w:name="_Toc490331727"/>
      <w:bookmarkStart w:id="584" w:name="_Toc79998293"/>
      <w:bookmarkStart w:id="585" w:name="_Toc10210"/>
      <w:bookmarkStart w:id="586" w:name="_Toc485323210"/>
      <w:bookmarkStart w:id="587" w:name="_Toc489280246"/>
      <w:bookmarkStart w:id="588" w:name="_Toc490331731"/>
      <w:bookmarkStart w:id="589" w:name="_Toc510038034"/>
      <w:bookmarkStart w:id="590" w:name="_Toc486580440"/>
      <w:bookmarkStart w:id="591" w:name="_Toc485323214"/>
      <w:bookmarkStart w:id="592" w:name="_Toc5309"/>
      <w:bookmarkStart w:id="593" w:name="_Toc23310"/>
      <w:bookmarkStart w:id="594" w:name="_Toc497214109"/>
      <w:r>
        <w:rPr>
          <w:color w:val="auto"/>
          <w:highlight w:val="none"/>
        </w:rPr>
        <w:t>18.</w:t>
      </w:r>
      <w:r>
        <w:rPr>
          <w:rFonts w:hint="eastAsia"/>
          <w:color w:val="auto"/>
          <w:highlight w:val="none"/>
          <w:lang w:val="en-US" w:eastAsia="zh-CN"/>
        </w:rPr>
        <w:t>1</w:t>
      </w:r>
      <w:r>
        <w:rPr>
          <w:color w:val="auto"/>
          <w:highlight w:val="none"/>
        </w:rPr>
        <w:t xml:space="preserve">  </w:t>
      </w:r>
      <w:r>
        <w:rPr>
          <w:rFonts w:hint="eastAsia"/>
          <w:color w:val="auto"/>
          <w:highlight w:val="none"/>
        </w:rPr>
        <w:t>竣工验收申请报告</w:t>
      </w:r>
      <w:bookmarkEnd w:id="579"/>
      <w:bookmarkEnd w:id="580"/>
      <w:bookmarkEnd w:id="581"/>
      <w:bookmarkEnd w:id="582"/>
      <w:bookmarkEnd w:id="583"/>
      <w:bookmarkEnd w:id="584"/>
      <w:bookmarkEnd w:id="585"/>
      <w:bookmarkEnd w:id="586"/>
    </w:p>
    <w:p>
      <w:pPr>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承包人负责整理和提交的竣工验收资料具体内容：</w:t>
      </w:r>
      <w:r>
        <w:rPr>
          <w:rFonts w:hint="eastAsia" w:ascii="宋体" w:hAnsi="宋体"/>
          <w:color w:val="auto"/>
          <w:szCs w:val="21"/>
          <w:highlight w:val="none"/>
          <w:u w:val="single"/>
        </w:rPr>
        <w:t xml:space="preserve">按照北京市相关规定执行 </w:t>
      </w:r>
      <w:r>
        <w:rPr>
          <w:rFonts w:hint="eastAsia" w:ascii="宋体" w:hAnsi="宋体"/>
          <w:color w:val="auto"/>
          <w:szCs w:val="21"/>
          <w:highlight w:val="none"/>
        </w:rPr>
        <w:t>。</w:t>
      </w:r>
    </w:p>
    <w:p>
      <w:pPr>
        <w:spacing w:line="360" w:lineRule="auto"/>
        <w:ind w:firstLine="440" w:firstLineChars="200"/>
        <w:rPr>
          <w:rFonts w:hint="eastAsia" w:ascii="宋体" w:hAnsi="宋体"/>
          <w:color w:val="auto"/>
          <w:szCs w:val="21"/>
          <w:highlight w:val="none"/>
          <w:u w:val="single"/>
        </w:rPr>
      </w:pPr>
      <w:r>
        <w:rPr>
          <w:rFonts w:hint="eastAsia" w:ascii="宋体" w:hAnsi="宋体"/>
          <w:color w:val="auto"/>
          <w:szCs w:val="21"/>
          <w:highlight w:val="none"/>
        </w:rPr>
        <w:t>竣工验收资料的份数：</w:t>
      </w:r>
      <w:r>
        <w:rPr>
          <w:rFonts w:hint="eastAsia" w:ascii="宋体" w:hAnsi="宋体"/>
          <w:color w:val="auto"/>
          <w:szCs w:val="21"/>
          <w:highlight w:val="none"/>
          <w:u w:val="single"/>
        </w:rPr>
        <w:t>一式肆份，另行提供电子版。</w:t>
      </w:r>
    </w:p>
    <w:p>
      <w:pPr>
        <w:spacing w:line="360" w:lineRule="auto"/>
        <w:ind w:firstLine="440" w:firstLineChars="200"/>
        <w:rPr>
          <w:rFonts w:hint="eastAsia" w:ascii="宋体" w:hAnsi="宋体"/>
          <w:color w:val="auto"/>
          <w:szCs w:val="21"/>
          <w:highlight w:val="none"/>
          <w:u w:val="single"/>
        </w:rPr>
      </w:pPr>
      <w:r>
        <w:rPr>
          <w:rFonts w:hint="eastAsia" w:ascii="宋体" w:hAnsi="宋体"/>
          <w:color w:val="auto"/>
          <w:szCs w:val="21"/>
          <w:highlight w:val="none"/>
        </w:rPr>
        <w:t>竣工验收资料的费用支付方式：</w:t>
      </w:r>
      <w:r>
        <w:rPr>
          <w:rFonts w:hint="eastAsia" w:ascii="宋体" w:hAnsi="宋体"/>
          <w:color w:val="auto"/>
          <w:szCs w:val="21"/>
          <w:highlight w:val="none"/>
          <w:u w:val="single"/>
        </w:rPr>
        <w:t>已包含在合同总价中</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特别说明：</w:t>
      </w:r>
    </w:p>
    <w:p>
      <w:pPr>
        <w:spacing w:line="360" w:lineRule="auto"/>
        <w:ind w:firstLine="44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承包人需在接到发包人书面通知完工后30天内，向发包人上报工程所有符合报审要求的竣工资料，经发包人审核无问题后，最终结算时可按审计部门的审计结果结清。</w:t>
      </w:r>
    </w:p>
    <w:p>
      <w:pPr>
        <w:spacing w:line="360" w:lineRule="auto"/>
        <w:ind w:firstLine="44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承包人需保证通过相关部门的验收，工程质量符合第三方接收条件，验收所需等一切政策性收费由承包人负责。</w:t>
      </w:r>
    </w:p>
    <w:p>
      <w:pPr>
        <w:pStyle w:val="60"/>
        <w:spacing w:before="120" w:after="120"/>
        <w:outlineLvl w:val="1"/>
        <w:rPr>
          <w:color w:val="auto"/>
          <w:highlight w:val="none"/>
        </w:rPr>
      </w:pPr>
      <w:bookmarkStart w:id="595" w:name="_Toc497214106"/>
      <w:bookmarkStart w:id="596" w:name="_Toc486580437"/>
      <w:bookmarkStart w:id="597" w:name="_Toc79998294"/>
      <w:bookmarkStart w:id="598" w:name="_Toc485323211"/>
      <w:bookmarkStart w:id="599" w:name="_Toc69034536"/>
      <w:bookmarkStart w:id="600" w:name="_Toc1753"/>
      <w:bookmarkStart w:id="601" w:name="_Toc489280243"/>
      <w:bookmarkStart w:id="602" w:name="_Toc490331728"/>
      <w:r>
        <w:rPr>
          <w:color w:val="auto"/>
          <w:highlight w:val="none"/>
        </w:rPr>
        <w:t>18.</w:t>
      </w:r>
      <w:r>
        <w:rPr>
          <w:rFonts w:hint="eastAsia"/>
          <w:color w:val="auto"/>
          <w:highlight w:val="none"/>
          <w:lang w:val="en-US" w:eastAsia="zh-CN"/>
        </w:rPr>
        <w:t>2</w:t>
      </w:r>
      <w:r>
        <w:rPr>
          <w:color w:val="auto"/>
          <w:highlight w:val="none"/>
        </w:rPr>
        <w:t xml:space="preserve">  </w:t>
      </w:r>
      <w:r>
        <w:rPr>
          <w:rFonts w:hint="eastAsia"/>
          <w:color w:val="auto"/>
          <w:highlight w:val="none"/>
        </w:rPr>
        <w:t>施工期运行</w:t>
      </w:r>
      <w:bookmarkEnd w:id="595"/>
      <w:bookmarkEnd w:id="596"/>
      <w:bookmarkEnd w:id="597"/>
      <w:bookmarkEnd w:id="598"/>
      <w:bookmarkEnd w:id="599"/>
      <w:bookmarkEnd w:id="600"/>
      <w:bookmarkEnd w:id="601"/>
      <w:bookmarkEnd w:id="602"/>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需要施工期运行的单位工程或设备安装工程：</w:t>
      </w:r>
      <w:r>
        <w:rPr>
          <w:rFonts w:hint="eastAsia" w:ascii="宋体" w:hAnsi="宋体"/>
          <w:color w:val="auto"/>
          <w:szCs w:val="21"/>
          <w:highlight w:val="none"/>
          <w:u w:val="single"/>
        </w:rPr>
        <w:t>/</w:t>
      </w:r>
    </w:p>
    <w:p>
      <w:pPr>
        <w:pStyle w:val="60"/>
        <w:spacing w:before="120" w:after="120"/>
        <w:outlineLvl w:val="1"/>
        <w:rPr>
          <w:color w:val="auto"/>
          <w:highlight w:val="none"/>
        </w:rPr>
      </w:pPr>
      <w:bookmarkStart w:id="603" w:name="_Toc497214107"/>
      <w:bookmarkStart w:id="604" w:name="_Toc79998295"/>
      <w:bookmarkStart w:id="605" w:name="_Toc486580438"/>
      <w:bookmarkStart w:id="606" w:name="_Toc9729"/>
      <w:bookmarkStart w:id="607" w:name="_Toc485323212"/>
      <w:bookmarkStart w:id="608" w:name="_Toc490331729"/>
      <w:bookmarkStart w:id="609" w:name="_Toc69034537"/>
      <w:bookmarkStart w:id="610" w:name="_Toc489280244"/>
      <w:r>
        <w:rPr>
          <w:color w:val="auto"/>
          <w:highlight w:val="none"/>
        </w:rPr>
        <w:t>18.</w:t>
      </w:r>
      <w:r>
        <w:rPr>
          <w:rFonts w:hint="eastAsia"/>
          <w:color w:val="auto"/>
          <w:highlight w:val="none"/>
          <w:lang w:val="en-US" w:eastAsia="zh-CN"/>
        </w:rPr>
        <w:t>3</w:t>
      </w:r>
      <w:r>
        <w:rPr>
          <w:color w:val="auto"/>
          <w:highlight w:val="none"/>
        </w:rPr>
        <w:t xml:space="preserve">  </w:t>
      </w:r>
      <w:r>
        <w:rPr>
          <w:rFonts w:hint="eastAsia"/>
          <w:color w:val="auto"/>
          <w:highlight w:val="none"/>
        </w:rPr>
        <w:t>施工队伍的撤离</w:t>
      </w:r>
      <w:bookmarkEnd w:id="603"/>
      <w:bookmarkEnd w:id="604"/>
      <w:bookmarkEnd w:id="605"/>
      <w:bookmarkEnd w:id="606"/>
      <w:bookmarkEnd w:id="607"/>
      <w:bookmarkEnd w:id="608"/>
      <w:bookmarkEnd w:id="609"/>
      <w:bookmarkEnd w:id="610"/>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缺陷责任期满时，承包人在施工场地保留的人员和施工设备最终撤离的期限：</w:t>
      </w:r>
    </w:p>
    <w:p>
      <w:pPr>
        <w:spacing w:line="360" w:lineRule="auto"/>
        <w:rPr>
          <w:rFonts w:ascii="宋体"/>
          <w:color w:val="auto"/>
          <w:szCs w:val="21"/>
          <w:highlight w:val="none"/>
        </w:rPr>
      </w:pPr>
      <w:r>
        <w:rPr>
          <w:rFonts w:hint="eastAsia" w:ascii="宋体" w:hAnsi="宋体"/>
          <w:color w:val="auto"/>
          <w:szCs w:val="21"/>
          <w:highlight w:val="none"/>
          <w:u w:val="single"/>
        </w:rPr>
        <w:t>承包人收到发包人发出的撤离通知后</w:t>
      </w:r>
      <w:r>
        <w:rPr>
          <w:rFonts w:ascii="宋体" w:hAnsi="宋体"/>
          <w:color w:val="auto"/>
          <w:szCs w:val="21"/>
          <w:highlight w:val="none"/>
          <w:u w:val="single"/>
        </w:rPr>
        <w:t>3</w:t>
      </w:r>
      <w:r>
        <w:rPr>
          <w:rFonts w:hint="eastAsia" w:ascii="宋体" w:hAnsi="宋体"/>
          <w:color w:val="auto"/>
          <w:szCs w:val="21"/>
          <w:highlight w:val="none"/>
          <w:u w:val="single"/>
        </w:rPr>
        <w:t>天内撤离完毕。如在缺陷责任期满后，要求部分人员和施工设备仍留在场内的，承包人应提交其留场人员和设备的明细表及最后撤离时间。延后撤离造成发包人增加的费用，由承包人承担</w:t>
      </w:r>
      <w:r>
        <w:rPr>
          <w:rFonts w:hint="eastAsia" w:ascii="宋体" w:hAnsi="宋体"/>
          <w:color w:val="auto"/>
          <w:szCs w:val="21"/>
          <w:highlight w:val="none"/>
        </w:rPr>
        <w:t>。</w:t>
      </w:r>
    </w:p>
    <w:p>
      <w:pPr>
        <w:pStyle w:val="60"/>
        <w:spacing w:before="120" w:after="120"/>
        <w:outlineLvl w:val="1"/>
        <w:rPr>
          <w:color w:val="auto"/>
          <w:highlight w:val="none"/>
        </w:rPr>
      </w:pPr>
      <w:bookmarkStart w:id="611" w:name="_Toc79998296"/>
      <w:bookmarkStart w:id="612" w:name="_Toc490331730"/>
      <w:bookmarkStart w:id="613" w:name="_Toc69034538"/>
      <w:bookmarkStart w:id="614" w:name="_Toc8847"/>
      <w:bookmarkStart w:id="615" w:name="_Toc486580439"/>
      <w:bookmarkStart w:id="616" w:name="_Toc497214108"/>
      <w:bookmarkStart w:id="617" w:name="_Toc489280245"/>
      <w:bookmarkStart w:id="618" w:name="_Toc485323213"/>
      <w:r>
        <w:rPr>
          <w:color w:val="auto"/>
          <w:highlight w:val="none"/>
        </w:rPr>
        <w:t>18.</w:t>
      </w:r>
      <w:r>
        <w:rPr>
          <w:rFonts w:hint="eastAsia"/>
          <w:color w:val="auto"/>
          <w:highlight w:val="none"/>
          <w:lang w:val="en-US" w:eastAsia="zh-CN"/>
        </w:rPr>
        <w:t>4</w:t>
      </w:r>
      <w:r>
        <w:rPr>
          <w:color w:val="auto"/>
          <w:highlight w:val="none"/>
        </w:rPr>
        <w:t xml:space="preserve">  </w:t>
      </w:r>
      <w:r>
        <w:rPr>
          <w:rFonts w:hint="eastAsia"/>
          <w:color w:val="auto"/>
          <w:highlight w:val="none"/>
        </w:rPr>
        <w:t>中间验收</w:t>
      </w:r>
      <w:bookmarkEnd w:id="611"/>
      <w:bookmarkEnd w:id="612"/>
      <w:bookmarkEnd w:id="613"/>
      <w:bookmarkEnd w:id="614"/>
      <w:bookmarkEnd w:id="615"/>
      <w:bookmarkEnd w:id="616"/>
      <w:bookmarkEnd w:id="617"/>
      <w:bookmarkEnd w:id="618"/>
    </w:p>
    <w:p>
      <w:pPr>
        <w:spacing w:line="360" w:lineRule="auto"/>
        <w:ind w:firstLine="440" w:firstLineChars="200"/>
        <w:rPr>
          <w:rFonts w:ascii="宋体"/>
          <w:color w:val="auto"/>
          <w:szCs w:val="21"/>
          <w:highlight w:val="none"/>
          <w:u w:val="single"/>
        </w:rPr>
      </w:pPr>
      <w:r>
        <w:rPr>
          <w:rFonts w:ascii="宋体" w:hAnsi="宋体"/>
          <w:color w:val="auto"/>
          <w:szCs w:val="21"/>
          <w:highlight w:val="none"/>
        </w:rPr>
        <w:t>18.</w:t>
      </w:r>
      <w:r>
        <w:rPr>
          <w:rFonts w:hint="eastAsia" w:ascii="宋体" w:hAnsi="宋体"/>
          <w:color w:val="auto"/>
          <w:szCs w:val="21"/>
          <w:highlight w:val="none"/>
          <w:lang w:val="en-US" w:eastAsia="zh-CN"/>
        </w:rPr>
        <w:t>4</w:t>
      </w:r>
      <w:r>
        <w:rPr>
          <w:rFonts w:ascii="宋体" w:hAnsi="宋体"/>
          <w:color w:val="auto"/>
          <w:szCs w:val="21"/>
          <w:highlight w:val="none"/>
        </w:rPr>
        <w:t xml:space="preserve">.1  </w:t>
      </w:r>
      <w:r>
        <w:rPr>
          <w:rFonts w:hint="eastAsia" w:ascii="宋体" w:hAnsi="宋体"/>
          <w:color w:val="auto"/>
          <w:szCs w:val="21"/>
          <w:highlight w:val="none"/>
        </w:rPr>
        <w:t>本工程需要进行中间验收的部位：</w:t>
      </w:r>
      <w:r>
        <w:rPr>
          <w:rFonts w:hint="eastAsia" w:ascii="宋体" w:hAnsi="宋体"/>
          <w:color w:val="auto"/>
          <w:szCs w:val="21"/>
          <w:highlight w:val="none"/>
          <w:u w:val="single"/>
        </w:rPr>
        <w:t>发包人、监理人或质检机构根据工程特点及有关规定确认的有关分部（子分部）工程、隐蔽工程验收。</w:t>
      </w:r>
    </w:p>
    <w:p>
      <w:pPr>
        <w:spacing w:line="360" w:lineRule="auto"/>
        <w:ind w:firstLine="440" w:firstLineChars="200"/>
        <w:rPr>
          <w:rFonts w:ascii="宋体"/>
          <w:color w:val="auto"/>
          <w:szCs w:val="21"/>
          <w:highlight w:val="none"/>
        </w:rPr>
      </w:pPr>
      <w:r>
        <w:rPr>
          <w:rFonts w:ascii="宋体" w:hAnsi="宋体"/>
          <w:color w:val="auto"/>
          <w:szCs w:val="21"/>
          <w:highlight w:val="none"/>
        </w:rPr>
        <w:t>18.</w:t>
      </w:r>
      <w:r>
        <w:rPr>
          <w:rFonts w:hint="eastAsia" w:ascii="宋体" w:hAnsi="宋体"/>
          <w:color w:val="auto"/>
          <w:szCs w:val="21"/>
          <w:highlight w:val="none"/>
          <w:lang w:val="en-US" w:eastAsia="zh-CN"/>
        </w:rPr>
        <w:t>4</w:t>
      </w:r>
      <w:r>
        <w:rPr>
          <w:rFonts w:ascii="宋体" w:hAnsi="宋体"/>
          <w:color w:val="auto"/>
          <w:szCs w:val="21"/>
          <w:highlight w:val="none"/>
        </w:rPr>
        <w:t xml:space="preserve">.2  </w:t>
      </w:r>
      <w:r>
        <w:rPr>
          <w:rFonts w:hint="eastAsia" w:ascii="宋体" w:hAnsi="宋体"/>
          <w:color w:val="auto"/>
          <w:szCs w:val="21"/>
          <w:highlight w:val="none"/>
        </w:rPr>
        <w:t>验收不合格的，承包人在</w:t>
      </w:r>
      <w:r>
        <w:rPr>
          <w:rFonts w:hint="eastAsia" w:ascii="宋体" w:hAnsi="宋体"/>
          <w:color w:val="auto"/>
          <w:szCs w:val="21"/>
          <w:highlight w:val="none"/>
          <w:u w:val="single"/>
        </w:rPr>
        <w:t>发包人</w:t>
      </w:r>
      <w:r>
        <w:rPr>
          <w:rFonts w:hint="eastAsia" w:ascii="宋体" w:hAnsi="宋体"/>
          <w:color w:val="auto"/>
          <w:szCs w:val="21"/>
          <w:highlight w:val="none"/>
          <w:u w:val="none"/>
          <w:lang w:val="en-US" w:eastAsia="zh-CN"/>
        </w:rPr>
        <w:t>要求</w:t>
      </w:r>
      <w:r>
        <w:rPr>
          <w:rFonts w:hint="eastAsia" w:ascii="宋体" w:hAnsi="宋体"/>
          <w:color w:val="auto"/>
          <w:szCs w:val="21"/>
          <w:highlight w:val="none"/>
        </w:rPr>
        <w:t>期限内进行修改后重新验收。</w:t>
      </w:r>
    </w:p>
    <w:p>
      <w:pPr>
        <w:pStyle w:val="59"/>
        <w:spacing w:before="120" w:after="120"/>
        <w:outlineLvl w:val="0"/>
        <w:rPr>
          <w:color w:val="auto"/>
          <w:highlight w:val="none"/>
        </w:rPr>
      </w:pPr>
      <w:bookmarkStart w:id="619" w:name="_Toc79998297"/>
      <w:bookmarkStart w:id="620" w:name="_Toc69034539"/>
      <w:r>
        <w:rPr>
          <w:color w:val="auto"/>
          <w:highlight w:val="none"/>
        </w:rPr>
        <w:t>19.</w:t>
      </w:r>
      <w:r>
        <w:rPr>
          <w:rFonts w:hint="eastAsia"/>
          <w:color w:val="auto"/>
          <w:highlight w:val="none"/>
        </w:rPr>
        <w:t>缺陷责任与保修责任</w:t>
      </w:r>
      <w:bookmarkEnd w:id="587"/>
      <w:bookmarkEnd w:id="588"/>
      <w:bookmarkEnd w:id="589"/>
      <w:bookmarkEnd w:id="590"/>
      <w:bookmarkEnd w:id="591"/>
      <w:bookmarkEnd w:id="592"/>
      <w:bookmarkEnd w:id="593"/>
      <w:bookmarkEnd w:id="594"/>
      <w:bookmarkEnd w:id="619"/>
      <w:bookmarkEnd w:id="620"/>
    </w:p>
    <w:p>
      <w:pPr>
        <w:pStyle w:val="60"/>
        <w:spacing w:before="120" w:after="120"/>
        <w:outlineLvl w:val="1"/>
        <w:rPr>
          <w:color w:val="auto"/>
          <w:highlight w:val="none"/>
        </w:rPr>
      </w:pPr>
      <w:bookmarkStart w:id="621" w:name="_Toc486580441"/>
      <w:bookmarkStart w:id="622" w:name="_Toc26822"/>
      <w:bookmarkStart w:id="623" w:name="_Toc497214110"/>
      <w:bookmarkStart w:id="624" w:name="_Toc490331732"/>
      <w:bookmarkStart w:id="625" w:name="_Toc79998298"/>
      <w:bookmarkStart w:id="626" w:name="_Toc489280247"/>
      <w:bookmarkStart w:id="627" w:name="_Toc69034540"/>
      <w:bookmarkStart w:id="628" w:name="_Toc485323215"/>
      <w:bookmarkStart w:id="629" w:name="_Toc7115"/>
      <w:bookmarkStart w:id="630" w:name="_Toc8606"/>
      <w:bookmarkStart w:id="631" w:name="_Toc510038036"/>
      <w:bookmarkStart w:id="632" w:name="_Toc489280248"/>
      <w:bookmarkStart w:id="633" w:name="_Toc490331733"/>
      <w:bookmarkStart w:id="634" w:name="_Toc486580442"/>
      <w:bookmarkStart w:id="635" w:name="_Toc497214111"/>
      <w:bookmarkStart w:id="636" w:name="_Toc485323216"/>
      <w:r>
        <w:rPr>
          <w:color w:val="auto"/>
          <w:highlight w:val="none"/>
        </w:rPr>
        <w:t>19.</w:t>
      </w:r>
      <w:r>
        <w:rPr>
          <w:rFonts w:hint="eastAsia"/>
          <w:color w:val="auto"/>
          <w:highlight w:val="none"/>
          <w:lang w:val="en-US" w:eastAsia="zh-CN"/>
        </w:rPr>
        <w:t>1</w:t>
      </w:r>
      <w:r>
        <w:rPr>
          <w:color w:val="auto"/>
          <w:highlight w:val="none"/>
        </w:rPr>
        <w:t xml:space="preserve">  </w:t>
      </w:r>
      <w:r>
        <w:rPr>
          <w:rFonts w:hint="eastAsia"/>
          <w:color w:val="auto"/>
          <w:highlight w:val="none"/>
        </w:rPr>
        <w:t>保修责任</w:t>
      </w:r>
      <w:bookmarkEnd w:id="621"/>
      <w:bookmarkEnd w:id="622"/>
      <w:bookmarkEnd w:id="623"/>
      <w:bookmarkEnd w:id="624"/>
      <w:bookmarkEnd w:id="625"/>
      <w:bookmarkEnd w:id="626"/>
      <w:bookmarkEnd w:id="627"/>
      <w:bookmarkEnd w:id="628"/>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工程质量保修范围：</w:t>
      </w:r>
      <w:r>
        <w:rPr>
          <w:rFonts w:hint="eastAsia" w:ascii="宋体" w:hAnsi="宋体"/>
          <w:color w:val="auto"/>
          <w:szCs w:val="21"/>
          <w:highlight w:val="none"/>
          <w:u w:val="single"/>
        </w:rPr>
        <w:t>合同文件约定的和法律法规规定的应由承包人承担的保修范围</w:t>
      </w:r>
      <w:r>
        <w:rPr>
          <w:rFonts w:hint="eastAsia" w:ascii="宋体" w:hAnsi="宋体"/>
          <w:color w:val="auto"/>
          <w:szCs w:val="21"/>
          <w:highlight w:val="none"/>
        </w:rPr>
        <w:t>。</w:t>
      </w:r>
    </w:p>
    <w:p>
      <w:pPr>
        <w:spacing w:line="400" w:lineRule="exact"/>
        <w:ind w:firstLine="440" w:firstLineChars="200"/>
        <w:rPr>
          <w:rFonts w:ascii="宋体" w:hAnsi="宋体"/>
          <w:color w:val="auto"/>
          <w:szCs w:val="21"/>
          <w:highlight w:val="none"/>
        </w:rPr>
      </w:pPr>
      <w:r>
        <w:rPr>
          <w:rFonts w:hint="eastAsia" w:ascii="宋体" w:hAnsi="宋体"/>
          <w:color w:val="auto"/>
          <w:szCs w:val="21"/>
          <w:highlight w:val="none"/>
        </w:rPr>
        <w:t>工程质量保修期限：</w:t>
      </w:r>
      <w:r>
        <w:rPr>
          <w:rFonts w:hint="eastAsia" w:ascii="宋体" w:hAnsi="宋体"/>
          <w:color w:val="auto"/>
          <w:szCs w:val="21"/>
          <w:highlight w:val="none"/>
          <w:u w:val="single"/>
        </w:rPr>
        <w:t>地基基础和</w:t>
      </w:r>
      <w:r>
        <w:rPr>
          <w:color w:val="auto"/>
          <w:highlight w:val="none"/>
        </w:rPr>
        <w:fldChar w:fldCharType="begin"/>
      </w:r>
      <w:r>
        <w:rPr>
          <w:color w:val="auto"/>
          <w:highlight w:val="none"/>
        </w:rPr>
        <w:instrText xml:space="preserve"> HYPERLINK "http://baike.baidu.com/view/3930570.htm" \t "_blank" </w:instrText>
      </w:r>
      <w:r>
        <w:rPr>
          <w:color w:val="auto"/>
          <w:highlight w:val="none"/>
        </w:rPr>
        <w:fldChar w:fldCharType="separate"/>
      </w:r>
      <w:r>
        <w:rPr>
          <w:rFonts w:hint="eastAsia"/>
          <w:color w:val="auto"/>
          <w:highlight w:val="none"/>
          <w:u w:val="single"/>
        </w:rPr>
        <w:t>主体结构工程</w:t>
      </w:r>
      <w:r>
        <w:rPr>
          <w:rFonts w:hint="eastAsia"/>
          <w:color w:val="auto"/>
          <w:highlight w:val="none"/>
          <w:u w:val="single"/>
        </w:rPr>
        <w:fldChar w:fldCharType="end"/>
      </w:r>
      <w:r>
        <w:rPr>
          <w:rFonts w:hint="eastAsia" w:ascii="宋体" w:hAnsi="宋体"/>
          <w:color w:val="auto"/>
          <w:szCs w:val="21"/>
          <w:highlight w:val="none"/>
          <w:u w:val="single"/>
        </w:rPr>
        <w:t>，为设计文件规定的该工程合理使用年限；屋面防水工程、有防水要求的卫生间、房间和外墙面的防渗漏，为</w:t>
      </w:r>
      <w:r>
        <w:rPr>
          <w:rFonts w:ascii="宋体" w:hAnsi="宋体"/>
          <w:color w:val="auto"/>
          <w:szCs w:val="21"/>
          <w:highlight w:val="none"/>
          <w:u w:val="single"/>
        </w:rPr>
        <w:t>5</w:t>
      </w:r>
      <w:r>
        <w:rPr>
          <w:rFonts w:hint="eastAsia" w:ascii="宋体" w:hAnsi="宋体"/>
          <w:color w:val="auto"/>
          <w:szCs w:val="21"/>
          <w:highlight w:val="none"/>
          <w:u w:val="single"/>
        </w:rPr>
        <w:t>年；供热与供冷系统，为</w:t>
      </w:r>
      <w:r>
        <w:rPr>
          <w:rFonts w:ascii="宋体" w:hAnsi="宋体"/>
          <w:color w:val="auto"/>
          <w:szCs w:val="21"/>
          <w:highlight w:val="none"/>
          <w:u w:val="single"/>
        </w:rPr>
        <w:t>2</w:t>
      </w:r>
      <w:r>
        <w:rPr>
          <w:rFonts w:hint="eastAsia" w:ascii="宋体" w:hAnsi="宋体"/>
          <w:color w:val="auto"/>
          <w:szCs w:val="21"/>
          <w:highlight w:val="none"/>
          <w:u w:val="single"/>
        </w:rPr>
        <w:t>个采暖期、供冷期；电气管线、给排水管道、设备安装为</w:t>
      </w:r>
      <w:r>
        <w:rPr>
          <w:rFonts w:ascii="宋体" w:hAnsi="宋体"/>
          <w:color w:val="auto"/>
          <w:szCs w:val="21"/>
          <w:highlight w:val="none"/>
          <w:u w:val="single"/>
        </w:rPr>
        <w:t>2</w:t>
      </w:r>
      <w:r>
        <w:rPr>
          <w:rFonts w:hint="eastAsia" w:ascii="宋体" w:hAnsi="宋体"/>
          <w:color w:val="auto"/>
          <w:szCs w:val="21"/>
          <w:highlight w:val="none"/>
          <w:u w:val="single"/>
        </w:rPr>
        <w:t>年；装修工程为</w:t>
      </w:r>
      <w:r>
        <w:rPr>
          <w:rFonts w:ascii="宋体" w:hAnsi="宋体"/>
          <w:color w:val="auto"/>
          <w:szCs w:val="21"/>
          <w:highlight w:val="none"/>
          <w:u w:val="single"/>
        </w:rPr>
        <w:t>2</w:t>
      </w:r>
      <w:r>
        <w:rPr>
          <w:rFonts w:hint="eastAsia" w:ascii="宋体" w:hAnsi="宋体"/>
          <w:color w:val="auto"/>
          <w:szCs w:val="21"/>
          <w:highlight w:val="none"/>
          <w:u w:val="single"/>
        </w:rPr>
        <w:t>年。其他项目的保修期限由建设单位和施工单位约定</w:t>
      </w:r>
    </w:p>
    <w:p>
      <w:pPr>
        <w:spacing w:line="400" w:lineRule="exact"/>
        <w:ind w:firstLine="440" w:firstLineChars="200"/>
        <w:rPr>
          <w:rFonts w:hint="eastAsia" w:ascii="宋体" w:hAnsi="宋体"/>
          <w:color w:val="auto"/>
          <w:szCs w:val="21"/>
          <w:highlight w:val="none"/>
        </w:rPr>
      </w:pPr>
      <w:r>
        <w:rPr>
          <w:rFonts w:hint="eastAsia" w:ascii="宋体" w:hAnsi="宋体"/>
          <w:color w:val="auto"/>
          <w:szCs w:val="21"/>
          <w:highlight w:val="none"/>
        </w:rPr>
        <w:t>工程质量保修责任：</w:t>
      </w:r>
      <w:r>
        <w:rPr>
          <w:rFonts w:hint="eastAsia" w:ascii="宋体" w:hAnsi="宋体"/>
          <w:color w:val="auto"/>
          <w:szCs w:val="21"/>
          <w:highlight w:val="none"/>
          <w:u w:val="single"/>
        </w:rPr>
        <w:t>在保修范围和保修期限内发生质量问题的，承包人应当履行保修义务，并对造成的损失承担赔偿责任</w:t>
      </w:r>
      <w:r>
        <w:rPr>
          <w:rFonts w:hint="eastAsia" w:ascii="宋体" w:hAnsi="宋体"/>
          <w:color w:val="auto"/>
          <w:szCs w:val="21"/>
          <w:highlight w:val="none"/>
        </w:rPr>
        <w:t>。</w:t>
      </w:r>
    </w:p>
    <w:p>
      <w:pPr>
        <w:pStyle w:val="2"/>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single"/>
          <w:lang w:val="en-US" w:eastAsia="zh-CN" w:bidi="ar-SA"/>
        </w:rPr>
        <w:t>属于保修范围、内容的项目，承包人应当在接到保修通知之曰起24小时内派人保修。承包人不在约定期限内派人保修的，发包人可以委托他人修理，并按照实际维修费用扣减工程质量保修金，质保金不足扣减时，差额部分发包人可向承包人追偿。②发生紧急抢修事故的，承包人在接到事故通知后，应当立即到达事故现场抢修。③质量保修完成后，由发包人组织验收。</w:t>
      </w:r>
    </w:p>
    <w:p>
      <w:pPr>
        <w:pStyle w:val="59"/>
        <w:spacing w:before="120" w:after="120"/>
        <w:outlineLvl w:val="0"/>
        <w:rPr>
          <w:rFonts w:ascii="宋体" w:hAnsi="Times New Roman" w:eastAsia="宋体" w:cs="宋体"/>
          <w:color w:val="auto"/>
          <w:highlight w:val="none"/>
        </w:rPr>
      </w:pPr>
      <w:bookmarkStart w:id="637" w:name="_Toc69034541"/>
      <w:bookmarkStart w:id="638" w:name="_Toc79998299"/>
      <w:r>
        <w:rPr>
          <w:rFonts w:ascii="宋体" w:hAnsi="Times New Roman" w:eastAsia="宋体" w:cs="宋体"/>
          <w:color w:val="auto"/>
          <w:highlight w:val="none"/>
        </w:rPr>
        <w:t>20.</w:t>
      </w:r>
      <w:r>
        <w:rPr>
          <w:rFonts w:hint="eastAsia" w:ascii="宋体" w:hAnsi="Times New Roman" w:eastAsia="宋体" w:cs="宋体"/>
          <w:color w:val="auto"/>
          <w:highlight w:val="none"/>
        </w:rPr>
        <w:t>保险</w:t>
      </w:r>
      <w:bookmarkEnd w:id="629"/>
      <w:bookmarkEnd w:id="630"/>
      <w:bookmarkEnd w:id="631"/>
      <w:bookmarkEnd w:id="632"/>
      <w:bookmarkEnd w:id="633"/>
      <w:bookmarkEnd w:id="634"/>
      <w:bookmarkEnd w:id="635"/>
      <w:bookmarkEnd w:id="636"/>
      <w:bookmarkEnd w:id="637"/>
      <w:bookmarkEnd w:id="638"/>
    </w:p>
    <w:p>
      <w:pPr>
        <w:pStyle w:val="60"/>
        <w:spacing w:before="120" w:after="120"/>
        <w:outlineLvl w:val="1"/>
        <w:rPr>
          <w:color w:val="auto"/>
          <w:highlight w:val="none"/>
        </w:rPr>
      </w:pPr>
      <w:bookmarkStart w:id="639" w:name="_Toc497214112"/>
      <w:bookmarkStart w:id="640" w:name="_Toc486580443"/>
      <w:bookmarkStart w:id="641" w:name="_Toc485323217"/>
      <w:bookmarkStart w:id="642" w:name="_Toc490331734"/>
      <w:bookmarkStart w:id="643" w:name="_Toc489280249"/>
      <w:bookmarkStart w:id="644" w:name="_Toc79998300"/>
      <w:bookmarkStart w:id="645" w:name="_Toc3197"/>
      <w:bookmarkStart w:id="646" w:name="_Toc69034542"/>
      <w:r>
        <w:rPr>
          <w:color w:val="auto"/>
          <w:highlight w:val="none"/>
        </w:rPr>
        <w:t xml:space="preserve">20.1  </w:t>
      </w:r>
      <w:r>
        <w:rPr>
          <w:rFonts w:hint="eastAsia"/>
          <w:color w:val="auto"/>
          <w:highlight w:val="none"/>
        </w:rPr>
        <w:t>工程保险</w:t>
      </w:r>
      <w:bookmarkEnd w:id="639"/>
      <w:bookmarkEnd w:id="640"/>
      <w:bookmarkEnd w:id="641"/>
      <w:bookmarkEnd w:id="642"/>
      <w:bookmarkEnd w:id="643"/>
      <w:r>
        <w:rPr>
          <w:rFonts w:hint="eastAsia"/>
          <w:color w:val="auto"/>
          <w:highlight w:val="none"/>
        </w:rPr>
        <w:t>（不适用）</w:t>
      </w:r>
      <w:bookmarkEnd w:id="644"/>
      <w:bookmarkEnd w:id="645"/>
      <w:bookmarkEnd w:id="646"/>
    </w:p>
    <w:p>
      <w:pPr>
        <w:spacing w:line="360" w:lineRule="auto"/>
        <w:ind w:firstLine="440" w:firstLineChars="200"/>
        <w:rPr>
          <w:rFonts w:ascii="宋体"/>
          <w:color w:val="auto"/>
          <w:szCs w:val="21"/>
          <w:highlight w:val="none"/>
        </w:rPr>
      </w:pPr>
      <w:r>
        <w:rPr>
          <w:rFonts w:hint="eastAsia" w:ascii="宋体" w:hAnsi="宋体"/>
          <w:color w:val="auto"/>
          <w:szCs w:val="21"/>
          <w:highlight w:val="none"/>
        </w:rPr>
        <w:t>本工程</w:t>
      </w:r>
      <w:r>
        <w:rPr>
          <w:rFonts w:hint="eastAsia" w:ascii="宋体" w:hAnsi="宋体"/>
          <w:color w:val="auto"/>
          <w:szCs w:val="21"/>
          <w:highlight w:val="none"/>
          <w:u w:val="single"/>
        </w:rPr>
        <w:t>不投保</w:t>
      </w:r>
      <w:r>
        <w:rPr>
          <w:rFonts w:ascii="宋体" w:hAnsi="宋体"/>
          <w:color w:val="auto"/>
          <w:szCs w:val="21"/>
          <w:highlight w:val="none"/>
        </w:rPr>
        <w:t>(</w:t>
      </w:r>
      <w:r>
        <w:rPr>
          <w:rFonts w:hint="eastAsia" w:ascii="宋体" w:hAnsi="宋体"/>
          <w:color w:val="auto"/>
          <w:szCs w:val="21"/>
          <w:highlight w:val="none"/>
        </w:rPr>
        <w:t>投保</w:t>
      </w:r>
      <w:r>
        <w:rPr>
          <w:rFonts w:ascii="宋体" w:hAnsi="宋体"/>
          <w:color w:val="auto"/>
          <w:szCs w:val="21"/>
          <w:highlight w:val="none"/>
        </w:rPr>
        <w:t>/</w:t>
      </w:r>
      <w:r>
        <w:rPr>
          <w:rFonts w:hint="eastAsia" w:ascii="宋体" w:hAnsi="宋体"/>
          <w:color w:val="auto"/>
          <w:szCs w:val="21"/>
          <w:highlight w:val="none"/>
        </w:rPr>
        <w:t>不投保</w:t>
      </w:r>
      <w:r>
        <w:rPr>
          <w:rFonts w:ascii="宋体" w:hAnsi="宋体"/>
          <w:color w:val="auto"/>
          <w:szCs w:val="21"/>
          <w:highlight w:val="none"/>
        </w:rPr>
        <w:t>)</w:t>
      </w:r>
      <w:r>
        <w:rPr>
          <w:rFonts w:hint="eastAsia" w:ascii="宋体" w:hAnsi="宋体"/>
          <w:color w:val="auto"/>
          <w:szCs w:val="21"/>
          <w:highlight w:val="none"/>
        </w:rPr>
        <w:t>工程保险。投保工程保险时，险种为：</w:t>
      </w:r>
      <w:r>
        <w:rPr>
          <w:rFonts w:hint="eastAsia" w:ascii="宋体" w:hAnsi="宋体"/>
          <w:color w:val="auto"/>
          <w:szCs w:val="21"/>
          <w:highlight w:val="none"/>
          <w:u w:val="single"/>
        </w:rPr>
        <w:t>/</w:t>
      </w:r>
      <w:r>
        <w:rPr>
          <w:rFonts w:hint="eastAsia" w:ascii="宋体" w:hAnsi="宋体"/>
          <w:color w:val="auto"/>
          <w:szCs w:val="21"/>
          <w:highlight w:val="none"/>
        </w:rPr>
        <w:t>，并符合以下约定：</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）投保人：</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）投保内容：</w:t>
      </w:r>
      <w:r>
        <w:rPr>
          <w:rFonts w:hint="eastAsia" w:ascii="宋体" w:hAnsi="宋体"/>
          <w:color w:val="auto"/>
          <w:szCs w:val="21"/>
          <w:highlight w:val="none"/>
          <w:u w:val="single"/>
        </w:rPr>
        <w:t>/</w:t>
      </w:r>
    </w:p>
    <w:p>
      <w:pPr>
        <w:spacing w:line="360" w:lineRule="auto"/>
        <w:ind w:firstLine="440" w:firstLineChars="200"/>
        <w:rPr>
          <w:rFonts w:ascii="宋体" w:cs="Arial"/>
          <w:color w:val="auto"/>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）保险费率：由投保人与合同双方同意的保险人商定</w:t>
      </w:r>
      <w:r>
        <w:rPr>
          <w:rFonts w:hint="eastAsia" w:ascii="宋体" w:hAnsi="宋体" w:cs="Arial"/>
          <w:color w:val="auto"/>
          <w:highlight w:val="none"/>
        </w:rPr>
        <w:t>。</w:t>
      </w:r>
    </w:p>
    <w:p>
      <w:pPr>
        <w:spacing w:line="360" w:lineRule="auto"/>
        <w:ind w:firstLine="44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）保险金额：</w:t>
      </w:r>
      <w:r>
        <w:rPr>
          <w:rFonts w:hint="eastAsia" w:ascii="宋体" w:hAnsi="宋体" w:cs="Arial"/>
          <w:color w:val="auto"/>
          <w:highlight w:val="none"/>
          <w:u w:val="single"/>
        </w:rPr>
        <w:t>/</w:t>
      </w:r>
    </w:p>
    <w:p>
      <w:pPr>
        <w:spacing w:line="360" w:lineRule="auto"/>
        <w:ind w:firstLine="440" w:firstLineChars="200"/>
        <w:rPr>
          <w:rFonts w:ascii="Times New Roman" w:hAnsi="Times New Roman" w:eastAsia="黑体" w:cs="宋体"/>
          <w:color w:val="auto"/>
          <w:sz w:val="24"/>
          <w:szCs w:val="20"/>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）保险期限：</w:t>
      </w:r>
      <w:r>
        <w:rPr>
          <w:rFonts w:hint="eastAsia" w:ascii="宋体" w:hAnsi="宋体" w:cs="Arial"/>
          <w:color w:val="auto"/>
          <w:highlight w:val="none"/>
          <w:u w:val="single"/>
        </w:rPr>
        <w:t>/</w:t>
      </w:r>
      <w:r>
        <w:rPr>
          <w:rFonts w:ascii="宋体" w:hAnsi="宋体" w:cs="Arial"/>
          <w:color w:val="auto"/>
          <w:highlight w:val="none"/>
          <w:u w:val="single"/>
        </w:rPr>
        <w:br w:type="textWrapping" w:clear="all"/>
      </w:r>
      <w:bookmarkStart w:id="647" w:name="_Toc69034543"/>
      <w:bookmarkStart w:id="648" w:name="_Toc497214113"/>
      <w:bookmarkStart w:id="649" w:name="_Toc489280250"/>
      <w:bookmarkStart w:id="650" w:name="_Toc79998301"/>
      <w:bookmarkStart w:id="651" w:name="_Toc485323218"/>
      <w:bookmarkStart w:id="652" w:name="_Toc486580444"/>
      <w:bookmarkStart w:id="653" w:name="_Toc490331735"/>
      <w:bookmarkStart w:id="654" w:name="_Toc19187"/>
      <w:r>
        <w:rPr>
          <w:rFonts w:ascii="Times New Roman" w:hAnsi="Times New Roman" w:eastAsia="黑体" w:cs="宋体"/>
          <w:color w:val="auto"/>
          <w:sz w:val="24"/>
          <w:szCs w:val="20"/>
          <w:highlight w:val="none"/>
        </w:rPr>
        <w:t>20.</w:t>
      </w:r>
      <w:r>
        <w:rPr>
          <w:rFonts w:hint="eastAsia" w:eastAsia="黑体" w:cs="宋体"/>
          <w:color w:val="auto"/>
          <w:sz w:val="24"/>
          <w:szCs w:val="20"/>
          <w:highlight w:val="none"/>
          <w:lang w:val="en-US" w:eastAsia="zh-CN"/>
        </w:rPr>
        <w:t>2</w:t>
      </w:r>
      <w:r>
        <w:rPr>
          <w:rFonts w:ascii="Times New Roman" w:hAnsi="Times New Roman" w:eastAsia="黑体" w:cs="宋体"/>
          <w:color w:val="auto"/>
          <w:sz w:val="24"/>
          <w:szCs w:val="20"/>
          <w:highlight w:val="none"/>
        </w:rPr>
        <w:t xml:space="preserve">  </w:t>
      </w:r>
      <w:r>
        <w:rPr>
          <w:rFonts w:hint="eastAsia" w:ascii="Times New Roman" w:hAnsi="Times New Roman" w:eastAsia="黑体" w:cs="宋体"/>
          <w:color w:val="auto"/>
          <w:sz w:val="24"/>
          <w:szCs w:val="20"/>
          <w:highlight w:val="none"/>
        </w:rPr>
        <w:t>第三者责任险</w:t>
      </w:r>
      <w:bookmarkEnd w:id="647"/>
      <w:bookmarkEnd w:id="648"/>
      <w:bookmarkEnd w:id="649"/>
      <w:bookmarkEnd w:id="650"/>
      <w:bookmarkEnd w:id="651"/>
      <w:bookmarkEnd w:id="652"/>
      <w:bookmarkEnd w:id="653"/>
      <w:bookmarkEnd w:id="654"/>
    </w:p>
    <w:p>
      <w:pPr>
        <w:spacing w:line="360" w:lineRule="auto"/>
        <w:ind w:firstLine="440" w:firstLineChars="200"/>
        <w:rPr>
          <w:rFonts w:ascii="宋体" w:cs="Arial"/>
          <w:color w:val="auto"/>
          <w:highlight w:val="none"/>
        </w:rPr>
      </w:pPr>
      <w:r>
        <w:rPr>
          <w:rFonts w:hint="eastAsia" w:ascii="宋体" w:hAnsi="宋体"/>
          <w:color w:val="auto"/>
          <w:szCs w:val="21"/>
          <w:highlight w:val="none"/>
        </w:rPr>
        <w:t>保险金额：</w:t>
      </w:r>
      <w:r>
        <w:rPr>
          <w:rFonts w:hint="eastAsia" w:ascii="宋体" w:hAnsi="宋体" w:cs="Arial"/>
          <w:color w:val="auto"/>
          <w:highlight w:val="none"/>
          <w:u w:val="single"/>
        </w:rPr>
        <w:t>/</w:t>
      </w:r>
      <w:r>
        <w:rPr>
          <w:rFonts w:hint="eastAsia" w:ascii="宋体" w:hAnsi="宋体" w:cs="Arial"/>
          <w:color w:val="auto"/>
          <w:highlight w:val="none"/>
        </w:rPr>
        <w:t>，</w:t>
      </w:r>
      <w:r>
        <w:rPr>
          <w:rFonts w:hint="eastAsia" w:ascii="宋体" w:hAnsi="宋体"/>
          <w:color w:val="auto"/>
          <w:szCs w:val="21"/>
          <w:highlight w:val="none"/>
        </w:rPr>
        <w:t>保险费率由承包人与发包人同意的保险人商定，相关保险费由</w:t>
      </w:r>
      <w:r>
        <w:rPr>
          <w:rFonts w:hint="eastAsia" w:ascii="宋体" w:hAnsi="宋体"/>
          <w:color w:val="auto"/>
          <w:szCs w:val="21"/>
          <w:highlight w:val="none"/>
          <w:u w:val="single"/>
        </w:rPr>
        <w:t>/</w:t>
      </w:r>
      <w:r>
        <w:rPr>
          <w:rFonts w:hint="eastAsia" w:ascii="宋体" w:hAnsi="宋体"/>
          <w:color w:val="auto"/>
          <w:szCs w:val="21"/>
          <w:highlight w:val="none"/>
        </w:rPr>
        <w:t>承担</w:t>
      </w:r>
      <w:r>
        <w:rPr>
          <w:rFonts w:hint="eastAsia" w:ascii="宋体" w:hAnsi="宋体" w:cs="Arial"/>
          <w:color w:val="auto"/>
          <w:highlight w:val="none"/>
        </w:rPr>
        <w:t>。</w:t>
      </w:r>
    </w:p>
    <w:p>
      <w:pPr>
        <w:pStyle w:val="60"/>
        <w:spacing w:before="120" w:after="120"/>
        <w:outlineLvl w:val="1"/>
        <w:rPr>
          <w:color w:val="auto"/>
          <w:highlight w:val="none"/>
        </w:rPr>
      </w:pPr>
      <w:bookmarkStart w:id="655" w:name="_Toc69034544"/>
      <w:bookmarkStart w:id="656" w:name="_Toc486580445"/>
      <w:bookmarkStart w:id="657" w:name="_Toc5252"/>
      <w:bookmarkStart w:id="658" w:name="_Toc485323219"/>
      <w:bookmarkStart w:id="659" w:name="_Toc497214114"/>
      <w:bookmarkStart w:id="660" w:name="_Toc489280251"/>
      <w:bookmarkStart w:id="661" w:name="_Toc79998302"/>
      <w:bookmarkStart w:id="662" w:name="_Toc490331736"/>
      <w:r>
        <w:rPr>
          <w:color w:val="auto"/>
          <w:highlight w:val="none"/>
        </w:rPr>
        <w:t>20.</w:t>
      </w:r>
      <w:r>
        <w:rPr>
          <w:rFonts w:hint="eastAsia"/>
          <w:color w:val="auto"/>
          <w:highlight w:val="none"/>
          <w:lang w:val="en-US" w:eastAsia="zh-CN"/>
        </w:rPr>
        <w:t>3</w:t>
      </w:r>
      <w:r>
        <w:rPr>
          <w:color w:val="auto"/>
          <w:highlight w:val="none"/>
        </w:rPr>
        <w:t xml:space="preserve">  </w:t>
      </w:r>
      <w:r>
        <w:rPr>
          <w:rFonts w:hint="eastAsia"/>
          <w:color w:val="auto"/>
          <w:highlight w:val="none"/>
        </w:rPr>
        <w:t>其他保险</w:t>
      </w:r>
      <w:bookmarkEnd w:id="655"/>
      <w:bookmarkEnd w:id="656"/>
      <w:bookmarkEnd w:id="657"/>
      <w:bookmarkEnd w:id="658"/>
      <w:bookmarkEnd w:id="659"/>
      <w:bookmarkEnd w:id="660"/>
      <w:bookmarkEnd w:id="661"/>
      <w:bookmarkEnd w:id="662"/>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承包人应为其施工设备、进场材料和工程设备等办理的保险：</w:t>
      </w:r>
      <w:r>
        <w:rPr>
          <w:rFonts w:hint="eastAsia" w:ascii="宋体" w:hAnsi="宋体"/>
          <w:color w:val="auto"/>
          <w:szCs w:val="21"/>
          <w:highlight w:val="none"/>
          <w:u w:val="single"/>
        </w:rPr>
        <w:t>/</w:t>
      </w:r>
    </w:p>
    <w:p>
      <w:pPr>
        <w:pStyle w:val="60"/>
        <w:spacing w:before="120" w:after="120"/>
        <w:outlineLvl w:val="1"/>
        <w:rPr>
          <w:color w:val="auto"/>
          <w:highlight w:val="none"/>
        </w:rPr>
      </w:pPr>
      <w:bookmarkStart w:id="663" w:name="_Toc497214115"/>
      <w:bookmarkStart w:id="664" w:name="_Toc489280252"/>
      <w:bookmarkStart w:id="665" w:name="_Toc486580446"/>
      <w:bookmarkStart w:id="666" w:name="_Toc69034545"/>
      <w:bookmarkStart w:id="667" w:name="_Toc485323220"/>
      <w:bookmarkStart w:id="668" w:name="_Toc79998303"/>
      <w:bookmarkStart w:id="669" w:name="_Toc13546"/>
      <w:bookmarkStart w:id="670" w:name="_Toc490331737"/>
      <w:r>
        <w:rPr>
          <w:color w:val="auto"/>
          <w:highlight w:val="none"/>
        </w:rPr>
        <w:t>20.</w:t>
      </w:r>
      <w:r>
        <w:rPr>
          <w:rFonts w:hint="eastAsia"/>
          <w:color w:val="auto"/>
          <w:highlight w:val="none"/>
          <w:lang w:val="en-US" w:eastAsia="zh-CN"/>
        </w:rPr>
        <w:t>4</w:t>
      </w:r>
      <w:r>
        <w:rPr>
          <w:color w:val="auto"/>
          <w:highlight w:val="none"/>
        </w:rPr>
        <w:t xml:space="preserve">  </w:t>
      </w:r>
      <w:r>
        <w:rPr>
          <w:rFonts w:hint="eastAsia"/>
          <w:color w:val="auto"/>
          <w:highlight w:val="none"/>
        </w:rPr>
        <w:t>对各项保险的一般要求</w:t>
      </w:r>
      <w:bookmarkEnd w:id="663"/>
      <w:bookmarkEnd w:id="664"/>
      <w:bookmarkEnd w:id="665"/>
      <w:bookmarkEnd w:id="666"/>
      <w:bookmarkEnd w:id="667"/>
      <w:bookmarkEnd w:id="668"/>
      <w:bookmarkEnd w:id="669"/>
      <w:bookmarkEnd w:id="670"/>
    </w:p>
    <w:p>
      <w:pPr>
        <w:spacing w:line="360" w:lineRule="auto"/>
        <w:ind w:firstLine="440" w:firstLineChars="200"/>
        <w:rPr>
          <w:rFonts w:ascii="宋体"/>
          <w:color w:val="auto"/>
          <w:szCs w:val="21"/>
          <w:highlight w:val="none"/>
        </w:rPr>
      </w:pPr>
      <w:r>
        <w:rPr>
          <w:rFonts w:ascii="宋体" w:hAnsi="宋体"/>
          <w:color w:val="auto"/>
          <w:szCs w:val="21"/>
          <w:highlight w:val="none"/>
        </w:rPr>
        <w:t>20.</w:t>
      </w:r>
      <w:r>
        <w:rPr>
          <w:rFonts w:hint="eastAsia" w:ascii="宋体" w:hAnsi="宋体"/>
          <w:color w:val="auto"/>
          <w:szCs w:val="21"/>
          <w:highlight w:val="none"/>
          <w:lang w:val="en-US" w:eastAsia="zh-CN"/>
        </w:rPr>
        <w:t>4</w:t>
      </w:r>
      <w:r>
        <w:rPr>
          <w:rFonts w:ascii="宋体" w:hAnsi="宋体"/>
          <w:color w:val="auto"/>
          <w:szCs w:val="21"/>
          <w:highlight w:val="none"/>
        </w:rPr>
        <w:t xml:space="preserve">.1  </w:t>
      </w:r>
      <w:r>
        <w:rPr>
          <w:rFonts w:hint="eastAsia" w:ascii="宋体" w:hAnsi="宋体"/>
          <w:color w:val="auto"/>
          <w:szCs w:val="21"/>
          <w:highlight w:val="none"/>
        </w:rPr>
        <w:t>保险凭证</w:t>
      </w:r>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承包人向发包人提交各项保险生效的证据和保险单副本的期限：</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ascii="宋体" w:hAnsi="宋体"/>
          <w:color w:val="auto"/>
          <w:szCs w:val="21"/>
          <w:highlight w:val="none"/>
        </w:rPr>
        <w:t>20.</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保险金不足的补偿</w:t>
      </w:r>
    </w:p>
    <w:p>
      <w:pPr>
        <w:spacing w:line="360" w:lineRule="auto"/>
        <w:ind w:firstLine="440" w:firstLineChars="200"/>
        <w:rPr>
          <w:rFonts w:ascii="宋体"/>
          <w:color w:val="auto"/>
          <w:szCs w:val="21"/>
          <w:highlight w:val="none"/>
          <w:u w:val="single"/>
        </w:rPr>
      </w:pPr>
      <w:r>
        <w:rPr>
          <w:rFonts w:hint="eastAsia" w:ascii="宋体" w:hAnsi="宋体"/>
          <w:color w:val="auto"/>
          <w:szCs w:val="21"/>
          <w:highlight w:val="none"/>
        </w:rPr>
        <w:t>保险金不足以补偿损失时，承包人和发包人负责补偿的责任分摊：</w:t>
      </w:r>
      <w:r>
        <w:rPr>
          <w:rFonts w:hint="eastAsia" w:ascii="宋体" w:hAnsi="宋体"/>
          <w:color w:val="auto"/>
          <w:szCs w:val="21"/>
          <w:highlight w:val="none"/>
          <w:u w:val="single"/>
        </w:rPr>
        <w:t>/</w:t>
      </w:r>
    </w:p>
    <w:p>
      <w:pPr>
        <w:pStyle w:val="59"/>
        <w:spacing w:before="120" w:after="120"/>
        <w:jc w:val="center"/>
        <w:outlineLvl w:val="0"/>
        <w:rPr>
          <w:color w:val="auto"/>
          <w:highlight w:val="none"/>
        </w:rPr>
      </w:pPr>
      <w:bookmarkStart w:id="671" w:name="_Toc486580447"/>
      <w:bookmarkStart w:id="672" w:name="_Toc510038041"/>
      <w:bookmarkStart w:id="673" w:name="_Toc79998304"/>
      <w:bookmarkStart w:id="674" w:name="_Toc489280253"/>
      <w:bookmarkStart w:id="675" w:name="_Toc490331738"/>
      <w:bookmarkStart w:id="676" w:name="_Toc1544"/>
      <w:bookmarkStart w:id="677" w:name="_Toc69034546"/>
      <w:bookmarkStart w:id="678" w:name="_Toc485323221"/>
      <w:bookmarkStart w:id="679" w:name="_Toc32496"/>
      <w:bookmarkStart w:id="680" w:name="_Toc497214116"/>
      <w:r>
        <w:rPr>
          <w:color w:val="auto"/>
          <w:highlight w:val="none"/>
        </w:rPr>
        <w:t>21.</w:t>
      </w:r>
      <w:r>
        <w:rPr>
          <w:rFonts w:hint="eastAsia"/>
          <w:color w:val="auto"/>
          <w:highlight w:val="none"/>
        </w:rPr>
        <w:t>不可抗力</w:t>
      </w:r>
      <w:bookmarkEnd w:id="671"/>
      <w:bookmarkEnd w:id="672"/>
      <w:bookmarkEnd w:id="673"/>
      <w:bookmarkEnd w:id="674"/>
      <w:bookmarkEnd w:id="675"/>
      <w:bookmarkEnd w:id="676"/>
      <w:bookmarkEnd w:id="677"/>
      <w:bookmarkEnd w:id="678"/>
      <w:bookmarkEnd w:id="679"/>
      <w:bookmarkEnd w:id="680"/>
    </w:p>
    <w:p>
      <w:pPr>
        <w:pStyle w:val="60"/>
        <w:spacing w:before="120" w:after="120"/>
        <w:outlineLvl w:val="1"/>
        <w:rPr>
          <w:color w:val="auto"/>
          <w:highlight w:val="none"/>
        </w:rPr>
      </w:pPr>
      <w:bookmarkStart w:id="681" w:name="_Toc490331739"/>
      <w:bookmarkStart w:id="682" w:name="_Toc497214117"/>
      <w:bookmarkStart w:id="683" w:name="_Toc486580448"/>
      <w:bookmarkStart w:id="684" w:name="_Toc79998305"/>
      <w:bookmarkStart w:id="685" w:name="_Toc489280254"/>
      <w:bookmarkStart w:id="686" w:name="_Toc485323222"/>
      <w:bookmarkStart w:id="687" w:name="_Toc10827"/>
      <w:bookmarkStart w:id="688" w:name="_Toc69034547"/>
      <w:r>
        <w:rPr>
          <w:color w:val="auto"/>
          <w:highlight w:val="none"/>
        </w:rPr>
        <w:t xml:space="preserve">21.1  </w:t>
      </w:r>
      <w:r>
        <w:rPr>
          <w:rFonts w:hint="eastAsia"/>
          <w:color w:val="auto"/>
          <w:highlight w:val="none"/>
        </w:rPr>
        <w:t>不可抗力的确认</w:t>
      </w:r>
      <w:bookmarkEnd w:id="681"/>
      <w:bookmarkEnd w:id="682"/>
      <w:bookmarkEnd w:id="683"/>
      <w:bookmarkEnd w:id="684"/>
      <w:bookmarkEnd w:id="685"/>
      <w:bookmarkEnd w:id="686"/>
      <w:bookmarkEnd w:id="687"/>
      <w:bookmarkEnd w:id="688"/>
    </w:p>
    <w:p>
      <w:pPr>
        <w:spacing w:line="360" w:lineRule="auto"/>
        <w:ind w:firstLine="440" w:firstLineChars="200"/>
        <w:rPr>
          <w:rFonts w:ascii="宋体" w:hAnsi="宋体" w:cs="Arial"/>
          <w:color w:val="auto"/>
          <w:highlight w:val="none"/>
        </w:rPr>
      </w:pPr>
      <w:r>
        <w:rPr>
          <w:rFonts w:hint="eastAsia" w:ascii="宋体" w:hAnsi="宋体"/>
          <w:color w:val="auto"/>
          <w:szCs w:val="21"/>
          <w:highlight w:val="none"/>
        </w:rPr>
        <w:t>合同条款通用部分第</w:t>
      </w:r>
      <w:r>
        <w:rPr>
          <w:rFonts w:ascii="宋体" w:hAnsi="宋体"/>
          <w:color w:val="auto"/>
          <w:szCs w:val="21"/>
          <w:highlight w:val="none"/>
        </w:rPr>
        <w:t>21.1.1</w:t>
      </w:r>
      <w:r>
        <w:rPr>
          <w:rFonts w:hint="eastAsia" w:ascii="宋体" w:hAnsi="宋体"/>
          <w:color w:val="auto"/>
          <w:szCs w:val="21"/>
          <w:highlight w:val="none"/>
        </w:rPr>
        <w:t>项约定的不可抗力以外的其他情形：</w:t>
      </w:r>
      <w:r>
        <w:rPr>
          <w:rFonts w:hint="eastAsia" w:ascii="宋体" w:hAnsi="宋体"/>
          <w:color w:val="auto"/>
          <w:szCs w:val="21"/>
          <w:highlight w:val="none"/>
          <w:u w:val="single"/>
        </w:rPr>
        <w:t>离子辐射或放射性污染；由于适用法律的变更或任何适用的后继法规的颁布导致本合同的履行不再合法</w:t>
      </w:r>
      <w:r>
        <w:rPr>
          <w:rFonts w:hint="eastAsia" w:ascii="宋体" w:hAnsi="宋体" w:cs="Arial"/>
          <w:color w:val="auto"/>
          <w:highlight w:val="none"/>
        </w:rPr>
        <w:t>。</w:t>
      </w:r>
    </w:p>
    <w:p>
      <w:pPr>
        <w:spacing w:line="360" w:lineRule="auto"/>
        <w:ind w:firstLine="440" w:firstLineChars="200"/>
        <w:rPr>
          <w:rFonts w:hint="eastAsia" w:ascii="宋体" w:hAnsi="宋体"/>
          <w:color w:val="auto"/>
          <w:szCs w:val="21"/>
          <w:highlight w:val="none"/>
          <w:u w:val="single"/>
        </w:rPr>
      </w:pPr>
      <w:r>
        <w:rPr>
          <w:rFonts w:hint="eastAsia" w:ascii="宋体" w:hAnsi="宋体"/>
          <w:color w:val="auto"/>
          <w:szCs w:val="21"/>
          <w:highlight w:val="none"/>
        </w:rPr>
        <w:t>不可抗力的等级范围约定：</w:t>
      </w:r>
      <w:r>
        <w:rPr>
          <w:rFonts w:hint="eastAsia" w:ascii="宋体" w:hAnsi="宋体"/>
          <w:color w:val="auto"/>
          <w:szCs w:val="21"/>
          <w:highlight w:val="none"/>
          <w:u w:val="single"/>
        </w:rPr>
        <w:t>按照国家规定</w:t>
      </w:r>
    </w:p>
    <w:p>
      <w:pPr>
        <w:pStyle w:val="59"/>
        <w:numPr>
          <w:ilvl w:val="0"/>
          <w:numId w:val="0"/>
        </w:numPr>
        <w:spacing w:before="120" w:after="120"/>
        <w:jc w:val="center"/>
        <w:outlineLvl w:val="0"/>
        <w:rPr>
          <w:rFonts w:hint="eastAsia"/>
          <w:color w:val="auto"/>
          <w:highlight w:val="none"/>
        </w:rPr>
      </w:pPr>
      <w:r>
        <w:rPr>
          <w:rFonts w:hint="eastAsia"/>
          <w:color w:val="auto"/>
          <w:highlight w:val="none"/>
          <w:lang w:val="en-US" w:eastAsia="zh-CN"/>
        </w:rPr>
        <w:t>22.</w:t>
      </w:r>
      <w:r>
        <w:rPr>
          <w:rFonts w:hint="eastAsia"/>
          <w:color w:val="auto"/>
          <w:highlight w:val="none"/>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Times New Roman" w:eastAsia="宋体" w:cs="Times New Roman"/>
          <w:b w:val="0"/>
          <w:color w:val="auto"/>
          <w:kern w:val="2"/>
          <w:sz w:val="24"/>
          <w:szCs w:val="20"/>
          <w:highlight w:val="none"/>
          <w:u w:val="none"/>
          <w:lang w:val="en-US" w:eastAsia="zh-CN" w:bidi="ar-SA"/>
        </w:rPr>
        <w:t xml:space="preserve">22.1 </w:t>
      </w:r>
      <w:r>
        <w:rPr>
          <w:rFonts w:hint="eastAsia" w:ascii="宋体" w:hAnsi="宋体"/>
          <w:color w:val="auto"/>
          <w:szCs w:val="21"/>
          <w:highlight w:val="none"/>
        </w:rPr>
        <w:t>承包人存在通用条款中约定的违约情形的，发包人除享有解除合同的权利外，承包人应按照合同总价款的30%向发包人承担违约责任，由此给发包人造成损失的，约定的违约金标准不足以弥补发包人实际损失的，承包人应以发包人实际损失为限承担赔偿责任。</w:t>
      </w:r>
    </w:p>
    <w:p>
      <w:pPr>
        <w:pStyle w:val="59"/>
        <w:spacing w:before="120" w:after="120"/>
        <w:jc w:val="center"/>
        <w:outlineLvl w:val="0"/>
        <w:rPr>
          <w:color w:val="auto"/>
          <w:highlight w:val="none"/>
        </w:rPr>
      </w:pPr>
      <w:bookmarkStart w:id="689" w:name="_Toc497214118"/>
      <w:bookmarkStart w:id="690" w:name="_Toc69034548"/>
      <w:bookmarkStart w:id="691" w:name="_Toc510038043"/>
      <w:bookmarkStart w:id="692" w:name="_Toc24120"/>
      <w:bookmarkStart w:id="693" w:name="_Toc485323224"/>
      <w:bookmarkStart w:id="694" w:name="_Toc490331741"/>
      <w:bookmarkStart w:id="695" w:name="_Toc79998306"/>
      <w:bookmarkStart w:id="696" w:name="_Toc486580450"/>
      <w:bookmarkStart w:id="697" w:name="_Toc489280256"/>
      <w:bookmarkStart w:id="698" w:name="_Toc9252"/>
      <w:r>
        <w:rPr>
          <w:color w:val="auto"/>
          <w:highlight w:val="none"/>
        </w:rPr>
        <w:t>2</w:t>
      </w:r>
      <w:r>
        <w:rPr>
          <w:rFonts w:hint="eastAsia"/>
          <w:color w:val="auto"/>
          <w:highlight w:val="none"/>
          <w:lang w:val="en-US" w:eastAsia="zh-CN"/>
        </w:rPr>
        <w:t>3</w:t>
      </w:r>
      <w:r>
        <w:rPr>
          <w:color w:val="auto"/>
          <w:highlight w:val="none"/>
        </w:rPr>
        <w:t>.</w:t>
      </w:r>
      <w:r>
        <w:rPr>
          <w:rFonts w:hint="eastAsia"/>
          <w:color w:val="auto"/>
          <w:highlight w:val="none"/>
        </w:rPr>
        <w:t>争议的解决</w:t>
      </w:r>
      <w:bookmarkEnd w:id="689"/>
      <w:bookmarkEnd w:id="690"/>
      <w:bookmarkEnd w:id="691"/>
      <w:bookmarkEnd w:id="692"/>
      <w:bookmarkEnd w:id="693"/>
      <w:bookmarkEnd w:id="694"/>
      <w:bookmarkEnd w:id="695"/>
      <w:bookmarkEnd w:id="696"/>
      <w:bookmarkEnd w:id="697"/>
      <w:bookmarkEnd w:id="698"/>
    </w:p>
    <w:p>
      <w:pPr>
        <w:pStyle w:val="60"/>
        <w:spacing w:before="120" w:after="120"/>
        <w:outlineLvl w:val="1"/>
        <w:rPr>
          <w:color w:val="auto"/>
          <w:highlight w:val="none"/>
        </w:rPr>
      </w:pPr>
      <w:bookmarkStart w:id="699" w:name="_Toc69034549"/>
      <w:bookmarkStart w:id="700" w:name="_Toc486580451"/>
      <w:bookmarkStart w:id="701" w:name="_Toc485323225"/>
      <w:bookmarkStart w:id="702" w:name="_Toc490331742"/>
      <w:bookmarkStart w:id="703" w:name="_Toc497214119"/>
      <w:bookmarkStart w:id="704" w:name="_Toc489280257"/>
      <w:bookmarkStart w:id="705" w:name="_Toc79998307"/>
      <w:bookmarkStart w:id="706" w:name="_Toc30308"/>
      <w:r>
        <w:rPr>
          <w:color w:val="auto"/>
          <w:highlight w:val="none"/>
        </w:rPr>
        <w:t>2</w:t>
      </w:r>
      <w:r>
        <w:rPr>
          <w:rFonts w:hint="eastAsia"/>
          <w:color w:val="auto"/>
          <w:highlight w:val="none"/>
          <w:lang w:val="en-US" w:eastAsia="zh-CN"/>
        </w:rPr>
        <w:t>3</w:t>
      </w:r>
      <w:r>
        <w:rPr>
          <w:color w:val="auto"/>
          <w:highlight w:val="none"/>
        </w:rPr>
        <w:t xml:space="preserve">.1  </w:t>
      </w:r>
      <w:r>
        <w:rPr>
          <w:rFonts w:hint="eastAsia"/>
          <w:color w:val="auto"/>
          <w:highlight w:val="none"/>
        </w:rPr>
        <w:t>争议的解决方式</w:t>
      </w:r>
      <w:bookmarkEnd w:id="699"/>
      <w:bookmarkEnd w:id="700"/>
      <w:bookmarkEnd w:id="701"/>
      <w:bookmarkEnd w:id="702"/>
      <w:bookmarkEnd w:id="703"/>
      <w:bookmarkEnd w:id="704"/>
      <w:bookmarkEnd w:id="705"/>
      <w:bookmarkEnd w:id="706"/>
    </w:p>
    <w:p>
      <w:pPr>
        <w:spacing w:line="360" w:lineRule="auto"/>
        <w:ind w:firstLine="440" w:firstLineChars="200"/>
        <w:rPr>
          <w:rFonts w:ascii="宋体"/>
          <w:color w:val="auto"/>
          <w:szCs w:val="21"/>
          <w:highlight w:val="none"/>
        </w:rPr>
      </w:pPr>
      <w:r>
        <w:rPr>
          <w:rFonts w:hint="eastAsia" w:ascii="宋体" w:hAnsi="宋体"/>
          <w:color w:val="auto"/>
          <w:szCs w:val="21"/>
          <w:highlight w:val="none"/>
        </w:rPr>
        <w:t>因本合同引起的或与本合同有关的任何争议，合同双方友好协商不成、不愿提请争议组评审或者不愿接受争议评审组意见的，选择下列第</w:t>
      </w:r>
      <w:r>
        <w:rPr>
          <w:rFonts w:hint="eastAsia" w:ascii="宋体" w:hAnsi="宋体"/>
          <w:color w:val="auto"/>
          <w:szCs w:val="21"/>
          <w:highlight w:val="none"/>
          <w:u w:val="single"/>
        </w:rPr>
        <w:t>贰</w:t>
      </w:r>
      <w:r>
        <w:rPr>
          <w:rFonts w:hint="eastAsia" w:ascii="宋体" w:hAnsi="宋体"/>
          <w:color w:val="auto"/>
          <w:szCs w:val="21"/>
          <w:highlight w:val="none"/>
        </w:rPr>
        <w:t>种方式解决：</w:t>
      </w:r>
    </w:p>
    <w:p>
      <w:pPr>
        <w:spacing w:line="360" w:lineRule="auto"/>
        <w:ind w:firstLine="440" w:firstLineChars="200"/>
        <w:rPr>
          <w:rFonts w:ascii="宋体"/>
          <w:color w:val="auto"/>
          <w:highlight w:val="none"/>
        </w:rPr>
      </w:pPr>
      <w:r>
        <w:rPr>
          <w:rFonts w:hint="eastAsia" w:ascii="宋体" w:hAnsi="宋体"/>
          <w:color w:val="auto"/>
          <w:highlight w:val="none"/>
          <w:u w:val="single"/>
        </w:rPr>
        <w:t>（壹）</w:t>
      </w:r>
      <w:r>
        <w:rPr>
          <w:rFonts w:hint="eastAsia" w:ascii="宋体" w:hAnsi="宋体"/>
          <w:color w:val="auto"/>
          <w:highlight w:val="none"/>
        </w:rPr>
        <w:t>提请仲裁委员会按照该会仲裁规则进行仲裁，仲裁裁决是终局的，对合同双方均有约束力。</w:t>
      </w:r>
    </w:p>
    <w:p>
      <w:pPr>
        <w:spacing w:line="360" w:lineRule="auto"/>
        <w:ind w:firstLine="440" w:firstLineChars="200"/>
        <w:rPr>
          <w:rFonts w:ascii="宋体"/>
          <w:color w:val="auto"/>
          <w:szCs w:val="21"/>
          <w:highlight w:val="none"/>
        </w:rPr>
      </w:pPr>
      <w:r>
        <w:rPr>
          <w:rFonts w:hint="eastAsia" w:ascii="宋体" w:hAnsi="宋体"/>
          <w:color w:val="auto"/>
          <w:szCs w:val="21"/>
          <w:highlight w:val="none"/>
          <w:u w:val="single"/>
        </w:rPr>
        <w:t>（贰）</w:t>
      </w:r>
      <w:r>
        <w:rPr>
          <w:rFonts w:hint="eastAsia" w:ascii="宋体" w:hAnsi="宋体"/>
          <w:color w:val="auto"/>
          <w:szCs w:val="21"/>
          <w:highlight w:val="none"/>
        </w:rPr>
        <w:t>向顺义区人民法院提起诉讼。</w:t>
      </w:r>
    </w:p>
    <w:p>
      <w:pPr>
        <w:pStyle w:val="60"/>
        <w:spacing w:before="120" w:after="120"/>
        <w:outlineLvl w:val="1"/>
        <w:rPr>
          <w:color w:val="auto"/>
          <w:highlight w:val="none"/>
        </w:rPr>
      </w:pPr>
      <w:bookmarkStart w:id="707" w:name="_Toc485323226"/>
      <w:bookmarkStart w:id="708" w:name="_Toc16900"/>
      <w:bookmarkStart w:id="709" w:name="_Toc79998308"/>
      <w:bookmarkStart w:id="710" w:name="_Toc489280258"/>
      <w:bookmarkStart w:id="711" w:name="_Toc486580452"/>
      <w:bookmarkStart w:id="712" w:name="_Toc490331743"/>
      <w:bookmarkStart w:id="713" w:name="_Toc497214120"/>
      <w:bookmarkStart w:id="714" w:name="_Toc69034550"/>
      <w:r>
        <w:rPr>
          <w:color w:val="auto"/>
          <w:highlight w:val="none"/>
        </w:rPr>
        <w:t>2</w:t>
      </w:r>
      <w:r>
        <w:rPr>
          <w:rFonts w:hint="eastAsia"/>
          <w:color w:val="auto"/>
          <w:highlight w:val="none"/>
          <w:lang w:val="en-US" w:eastAsia="zh-CN"/>
        </w:rPr>
        <w:t>3</w:t>
      </w:r>
      <w:r>
        <w:rPr>
          <w:color w:val="auto"/>
          <w:highlight w:val="none"/>
        </w:rPr>
        <w:t>.</w:t>
      </w:r>
      <w:r>
        <w:rPr>
          <w:rFonts w:hint="eastAsia"/>
          <w:color w:val="auto"/>
          <w:highlight w:val="none"/>
          <w:lang w:val="en-US" w:eastAsia="zh-CN"/>
        </w:rPr>
        <w:t>2</w:t>
      </w:r>
      <w:r>
        <w:rPr>
          <w:color w:val="auto"/>
          <w:highlight w:val="none"/>
        </w:rPr>
        <w:t xml:space="preserve">  </w:t>
      </w:r>
      <w:r>
        <w:rPr>
          <w:rFonts w:hint="eastAsia"/>
          <w:color w:val="auto"/>
          <w:highlight w:val="none"/>
        </w:rPr>
        <w:t>争议评审</w:t>
      </w:r>
      <w:bookmarkEnd w:id="707"/>
      <w:bookmarkEnd w:id="708"/>
      <w:bookmarkEnd w:id="709"/>
      <w:bookmarkEnd w:id="710"/>
      <w:bookmarkEnd w:id="711"/>
      <w:bookmarkEnd w:id="712"/>
      <w:bookmarkEnd w:id="713"/>
      <w:bookmarkEnd w:id="714"/>
    </w:p>
    <w:p>
      <w:pPr>
        <w:spacing w:line="360" w:lineRule="auto"/>
        <w:ind w:firstLine="44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 xml:space="preserve">  </w:t>
      </w:r>
      <w:r>
        <w:rPr>
          <w:rFonts w:hint="eastAsia" w:ascii="宋体" w:hAnsi="宋体"/>
          <w:color w:val="auto"/>
          <w:szCs w:val="21"/>
          <w:highlight w:val="none"/>
        </w:rPr>
        <w:t>争议评审组邀请合同双方代表人和有关人员举行调查会的期限：</w:t>
      </w:r>
      <w:r>
        <w:rPr>
          <w:rFonts w:hint="eastAsia" w:ascii="宋体" w:hAnsi="宋体"/>
          <w:color w:val="auto"/>
          <w:szCs w:val="21"/>
          <w:highlight w:val="none"/>
          <w:u w:val="single"/>
        </w:rPr>
        <w:t>/</w:t>
      </w:r>
    </w:p>
    <w:p>
      <w:pPr>
        <w:spacing w:line="360" w:lineRule="auto"/>
        <w:ind w:firstLine="44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 xml:space="preserve">  </w:t>
      </w:r>
      <w:r>
        <w:rPr>
          <w:rFonts w:hint="eastAsia" w:ascii="宋体" w:hAnsi="宋体"/>
          <w:color w:val="auto"/>
          <w:szCs w:val="21"/>
          <w:highlight w:val="none"/>
        </w:rPr>
        <w:t>争议评审组在调查会后作出争议评审意见的期限：</w:t>
      </w:r>
      <w:r>
        <w:rPr>
          <w:rFonts w:hint="eastAsia" w:ascii="宋体" w:hAnsi="宋体"/>
          <w:color w:val="auto"/>
          <w:szCs w:val="21"/>
          <w:highlight w:val="none"/>
          <w:u w:val="single"/>
        </w:rPr>
        <w:t>/</w:t>
      </w:r>
    </w:p>
    <w:p>
      <w:pPr>
        <w:spacing w:line="520" w:lineRule="exact"/>
        <w:ind w:firstLine="440" w:firstLineChars="200"/>
        <w:rPr>
          <w:rFonts w:ascii="宋体" w:hAnsi="宋体"/>
          <w:color w:val="auto"/>
          <w:szCs w:val="21"/>
          <w:highlight w:val="none"/>
        </w:rPr>
        <w:sectPr>
          <w:pgSz w:w="11906" w:h="16838"/>
          <w:pgMar w:top="1440" w:right="1134" w:bottom="1440" w:left="1797" w:header="851" w:footer="992" w:gutter="0"/>
          <w:cols w:space="720" w:num="1"/>
          <w:docGrid w:linePitch="312" w:charSpace="0"/>
        </w:sectPr>
      </w:pPr>
    </w:p>
    <w:p>
      <w:pPr>
        <w:keepNext/>
        <w:keepLines/>
        <w:spacing w:before="100" w:after="90" w:line="356" w:lineRule="exact"/>
        <w:jc w:val="center"/>
        <w:outlineLvl w:val="0"/>
        <w:rPr>
          <w:rFonts w:ascii="宋体" w:hAnsi="宋体" w:cs="黑体"/>
          <w:b/>
          <w:bCs/>
          <w:color w:val="auto"/>
          <w:kern w:val="44"/>
          <w:sz w:val="28"/>
          <w:szCs w:val="28"/>
          <w:highlight w:val="none"/>
        </w:rPr>
      </w:pPr>
      <w:bookmarkStart w:id="715" w:name="_Toc6607"/>
      <w:bookmarkStart w:id="716" w:name="_Toc31071"/>
      <w:bookmarkStart w:id="717" w:name="_Toc101357711"/>
      <w:r>
        <w:rPr>
          <w:rFonts w:hint="eastAsia" w:ascii="宋体" w:hAnsi="宋体" w:cs="黑体"/>
          <w:b/>
          <w:bCs/>
          <w:color w:val="auto"/>
          <w:kern w:val="44"/>
          <w:sz w:val="28"/>
          <w:szCs w:val="28"/>
          <w:highlight w:val="none"/>
        </w:rPr>
        <w:t>合同条款</w:t>
      </w:r>
      <w:bookmarkEnd w:id="715"/>
      <w:bookmarkEnd w:id="716"/>
      <w:r>
        <w:rPr>
          <w:rFonts w:hint="eastAsia" w:ascii="宋体" w:hAnsi="宋体" w:cs="黑体"/>
          <w:b/>
          <w:bCs/>
          <w:color w:val="auto"/>
          <w:kern w:val="44"/>
          <w:sz w:val="28"/>
          <w:szCs w:val="28"/>
          <w:highlight w:val="none"/>
        </w:rPr>
        <w:t>通用部分</w:t>
      </w:r>
      <w:bookmarkEnd w:id="717"/>
    </w:p>
    <w:p>
      <w:pPr>
        <w:keepNext/>
        <w:keepLines/>
        <w:numPr>
          <w:ilvl w:val="0"/>
          <w:numId w:val="8"/>
        </w:numPr>
        <w:spacing w:before="260" w:after="260" w:line="356" w:lineRule="exact"/>
        <w:outlineLvl w:val="1"/>
        <w:rPr>
          <w:rFonts w:ascii="Arial" w:hAnsi="Arial"/>
          <w:b/>
          <w:color w:val="auto"/>
          <w:sz w:val="28"/>
          <w:szCs w:val="24"/>
          <w:highlight w:val="none"/>
        </w:rPr>
      </w:pPr>
      <w:bookmarkStart w:id="718" w:name="_Toc7207"/>
      <w:bookmarkStart w:id="719" w:name="_Toc3586"/>
      <w:bookmarkStart w:id="720" w:name="_Toc101357712"/>
      <w:r>
        <w:rPr>
          <w:rFonts w:hint="eastAsia" w:ascii="Arial" w:hAnsi="Arial"/>
          <w:b/>
          <w:color w:val="auto"/>
          <w:sz w:val="28"/>
          <w:szCs w:val="24"/>
          <w:highlight w:val="none"/>
        </w:rPr>
        <w:t>一般约定</w:t>
      </w:r>
      <w:bookmarkEnd w:id="718"/>
      <w:bookmarkEnd w:id="719"/>
      <w:bookmarkEnd w:id="720"/>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词语定义 </w:t>
      </w:r>
    </w:p>
    <w:p>
      <w:pPr>
        <w:autoSpaceDE w:val="0"/>
        <w:autoSpaceDN w:val="0"/>
        <w:spacing w:line="356" w:lineRule="exact"/>
        <w:ind w:right="206" w:firstLine="440" w:firstLineChars="200"/>
        <w:rPr>
          <w:rFonts w:ascii="宋体" w:hAnsi="宋体" w:cs="宋体"/>
          <w:color w:val="auto"/>
          <w:szCs w:val="21"/>
          <w:highlight w:val="none"/>
        </w:rPr>
      </w:pPr>
      <w:r>
        <w:rPr>
          <w:rFonts w:hint="eastAsia" w:ascii="宋体" w:hAnsi="宋体" w:cs="宋体"/>
          <w:color w:val="auto"/>
          <w:szCs w:val="21"/>
          <w:highlight w:val="none"/>
        </w:rPr>
        <w:t>合同条款通用部分、合同条款专用部分中的下列词语应具有本款所赋予的含义。</w:t>
      </w:r>
    </w:p>
    <w:p>
      <w:pPr>
        <w:autoSpaceDE w:val="0"/>
        <w:autoSpaceDN w:val="0"/>
        <w:spacing w:before="1" w:line="356" w:lineRule="exact"/>
        <w:ind w:right="745"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1.1.1 合 同 </w:t>
      </w:r>
    </w:p>
    <w:p>
      <w:pPr>
        <w:autoSpaceDE w:val="0"/>
        <w:autoSpaceDN w:val="0"/>
        <w:spacing w:line="356" w:lineRule="exact"/>
        <w:ind w:right="206" w:firstLine="440" w:firstLineChars="200"/>
        <w:rPr>
          <w:rFonts w:ascii="宋体" w:hAnsi="宋体" w:cs="宋体"/>
          <w:color w:val="auto"/>
          <w:szCs w:val="21"/>
          <w:highlight w:val="none"/>
        </w:rPr>
      </w:pPr>
      <w:r>
        <w:rPr>
          <w:rFonts w:hint="eastAsia" w:ascii="宋体" w:hAnsi="宋体" w:cs="宋体"/>
          <w:color w:val="auto"/>
          <w:szCs w:val="21"/>
          <w:highlight w:val="none"/>
        </w:rPr>
        <w:t>1.1.1.1 合同文件（或称合同）：指合同协议书、中标通知书、投标函及投标函附录、合同条款专用部分、合同条款通用部分、技术标准和要求、图纸、已标价工程量清单，以及其他合同文件。</w:t>
      </w:r>
    </w:p>
    <w:p>
      <w:pPr>
        <w:autoSpaceDE w:val="0"/>
        <w:autoSpaceDN w:val="0"/>
        <w:spacing w:line="356" w:lineRule="exact"/>
        <w:ind w:right="206" w:firstLine="440" w:firstLineChars="200"/>
        <w:rPr>
          <w:rFonts w:ascii="宋体" w:hAnsi="宋体" w:cs="宋体"/>
          <w:color w:val="auto"/>
          <w:szCs w:val="21"/>
          <w:highlight w:val="none"/>
        </w:rPr>
      </w:pPr>
      <w:r>
        <w:rPr>
          <w:rFonts w:hint="eastAsia" w:ascii="宋体" w:hAnsi="宋体" w:cs="宋体"/>
          <w:color w:val="auto"/>
          <w:szCs w:val="21"/>
          <w:highlight w:val="none"/>
        </w:rPr>
        <w:t>1.1.1.2 合同协议书：指第 1.5 款所指的合同协议书。</w:t>
      </w:r>
    </w:p>
    <w:p>
      <w:pPr>
        <w:autoSpaceDE w:val="0"/>
        <w:autoSpaceDN w:val="0"/>
        <w:spacing w:line="356" w:lineRule="exact"/>
        <w:ind w:right="206" w:firstLine="440" w:firstLineChars="200"/>
        <w:rPr>
          <w:rFonts w:ascii="宋体" w:hAnsi="宋体" w:cs="宋体"/>
          <w:color w:val="auto"/>
          <w:szCs w:val="21"/>
          <w:highlight w:val="none"/>
        </w:rPr>
      </w:pPr>
      <w:r>
        <w:rPr>
          <w:rFonts w:hint="eastAsia" w:ascii="宋体" w:hAnsi="宋体" w:cs="宋体"/>
          <w:color w:val="auto"/>
          <w:szCs w:val="21"/>
          <w:highlight w:val="none"/>
        </w:rPr>
        <w:t>1.1.1.3 中标通知书：指发包人通知承包人中标的函件。</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1.1.1.4 投标函：指构成合同文件组成部分的由承包人填写并签署的投标函。 </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1.1.1.5 投标函附录：指附在投标函后构成合同文件的投标函附录。 </w:t>
      </w:r>
    </w:p>
    <w:p>
      <w:pPr>
        <w:autoSpaceDE w:val="0"/>
        <w:autoSpaceDN w:val="0"/>
        <w:spacing w:before="1"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1.1.1.6 合同条款：指构成合同文件组成部分的合同条款通用部分和（或）合同条款专用部分。</w:t>
      </w:r>
    </w:p>
    <w:p>
      <w:pPr>
        <w:autoSpaceDE w:val="0"/>
        <w:autoSpaceDN w:val="0"/>
        <w:spacing w:before="1"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1.1.1.7 技术标准和要求：指构成合同文件组成部分的名为技术标准和要求的文件，包括合同双方当事人约定对其所作的修改或补充。</w:t>
      </w:r>
    </w:p>
    <w:p>
      <w:pPr>
        <w:autoSpaceDE w:val="0"/>
        <w:autoSpaceDN w:val="0"/>
        <w:spacing w:before="1"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1.1.1.8 图纸：指包含在合同中的工程图纸，以及由发包人按合同约定提供的任何补充和修改的图纸，包括配套的说明。</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1.1.1.9 已标价工程量清单：指构成合同文件组成部分的由承包人按照规定的格式和要求填写并标明价格的工程量清单。</w:t>
      </w:r>
    </w:p>
    <w:p>
      <w:pPr>
        <w:autoSpaceDE w:val="0"/>
        <w:autoSpaceDN w:val="0"/>
        <w:spacing w:line="356" w:lineRule="exact"/>
        <w:ind w:firstLine="440" w:firstLineChars="200"/>
        <w:rPr>
          <w:rFonts w:ascii="宋体" w:hAnsi="宋体" w:cs="宋体"/>
          <w:color w:val="auto"/>
          <w:sz w:val="15"/>
          <w:szCs w:val="15"/>
          <w:highlight w:val="none"/>
        </w:rPr>
      </w:pPr>
      <w:r>
        <w:rPr>
          <w:rFonts w:hint="eastAsia" w:ascii="宋体" w:hAnsi="宋体" w:cs="宋体"/>
          <w:color w:val="auto"/>
          <w:szCs w:val="21"/>
          <w:highlight w:val="none"/>
        </w:rPr>
        <w:t>1.1.1.10 其他合同文件：指经合同双方当事人确认构成合同文件的其他文件。</w:t>
      </w:r>
    </w:p>
    <w:p>
      <w:pPr>
        <w:numPr>
          <w:ilvl w:val="0"/>
          <w:numId w:val="0"/>
        </w:numPr>
        <w:autoSpaceDE w:val="0"/>
        <w:autoSpaceDN w:val="0"/>
        <w:spacing w:line="356" w:lineRule="exact"/>
        <w:ind w:firstLine="440" w:firstLineChars="200"/>
        <w:rPr>
          <w:rFonts w:ascii="宋体" w:hAnsi="宋体" w:cs="宋体"/>
          <w:color w:val="auto"/>
          <w:sz w:val="15"/>
          <w:szCs w:val="15"/>
          <w:highlight w:val="none"/>
        </w:rPr>
      </w:pPr>
      <w:r>
        <w:rPr>
          <w:rFonts w:hint="eastAsia" w:ascii="宋体" w:hAnsi="宋体" w:cs="宋体"/>
          <w:color w:val="auto"/>
          <w:szCs w:val="21"/>
          <w:highlight w:val="none"/>
          <w:lang w:val="en-US" w:eastAsia="zh-CN"/>
        </w:rPr>
        <w:t xml:space="preserve">1.1.2  </w:t>
      </w:r>
      <w:r>
        <w:rPr>
          <w:rFonts w:hint="eastAsia" w:ascii="宋体" w:hAnsi="宋体" w:cs="宋体"/>
          <w:color w:val="auto"/>
          <w:szCs w:val="21"/>
          <w:highlight w:val="none"/>
        </w:rPr>
        <w:t>合同当事人和人员</w:t>
      </w:r>
    </w:p>
    <w:p>
      <w:pPr>
        <w:numPr>
          <w:ilvl w:val="0"/>
          <w:numId w:val="0"/>
        </w:numPr>
        <w:autoSpaceDE w:val="0"/>
        <w:autoSpaceDN w:val="0"/>
        <w:spacing w:line="356" w:lineRule="exact"/>
        <w:ind w:firstLine="440" w:firstLineChars="200"/>
        <w:rPr>
          <w:rFonts w:ascii="宋体" w:hAnsi="宋体" w:cs="宋体"/>
          <w:color w:val="auto"/>
          <w:sz w:val="15"/>
          <w:szCs w:val="15"/>
          <w:highlight w:val="none"/>
        </w:rPr>
      </w:pPr>
      <w:r>
        <w:rPr>
          <w:rFonts w:hint="eastAsia" w:ascii="宋体" w:hAnsi="宋体" w:cs="宋体"/>
          <w:color w:val="auto"/>
          <w:szCs w:val="21"/>
          <w:highlight w:val="none"/>
          <w:lang w:val="en-US" w:eastAsia="zh-CN"/>
        </w:rPr>
        <w:t xml:space="preserve">1.1.2.1 </w:t>
      </w:r>
      <w:r>
        <w:rPr>
          <w:rFonts w:hint="eastAsia" w:ascii="宋体" w:hAnsi="宋体" w:cs="宋体"/>
          <w:color w:val="auto"/>
          <w:szCs w:val="21"/>
          <w:highlight w:val="none"/>
        </w:rPr>
        <w:t>合同当事人：指发包人和（或）承包人。</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1.1.2.2 </w:t>
      </w:r>
      <w:r>
        <w:rPr>
          <w:rFonts w:hint="eastAsia" w:ascii="宋体" w:hAnsi="宋体" w:cs="宋体"/>
          <w:color w:val="auto"/>
          <w:szCs w:val="21"/>
          <w:highlight w:val="none"/>
        </w:rPr>
        <w:t>发包人：指合同协议书中约定，具有工程发包主体资格和承诺按照合同约定的条件、期限和方式向承包人支付工程价款的当事人，以及取得该当事人资格的合法继承人。发包人名称见合同条款专用部分。</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1.1.2.3</w:t>
      </w:r>
      <w:r>
        <w:rPr>
          <w:rFonts w:hint="eastAsia" w:ascii="宋体" w:hAnsi="宋体" w:cs="宋体"/>
          <w:color w:val="auto"/>
          <w:szCs w:val="21"/>
          <w:highlight w:val="none"/>
        </w:rPr>
        <w:t>承包人：指合同协议书中约定，具有合同工程承包主体资格，并承诺按照合同约定进行施工、竣工、交付并承担质量缺陷保修责任的当事人，以及取得该当事人资格的合法继承人。承包人名称见合同条款专用部分。</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1.1.2.4 </w:t>
      </w:r>
      <w:r>
        <w:rPr>
          <w:rFonts w:hint="eastAsia" w:ascii="宋体" w:hAnsi="宋体" w:cs="宋体"/>
          <w:color w:val="auto"/>
          <w:szCs w:val="21"/>
          <w:highlight w:val="none"/>
        </w:rPr>
        <w:t xml:space="preserve">承包人项目经理：指承包人派驻施工场地的全权负责人。 </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1.1.2.5 </w:t>
      </w:r>
      <w:r>
        <w:rPr>
          <w:rFonts w:hint="eastAsia" w:ascii="宋体" w:hAnsi="宋体" w:cs="宋体"/>
          <w:color w:val="auto"/>
          <w:szCs w:val="21"/>
          <w:highlight w:val="none"/>
        </w:rPr>
        <w:t>分包人：指从承包人处分包合同中某一部分工程，并与其签订分包合同的分包人。</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1.1.2.6 </w:t>
      </w:r>
      <w:r>
        <w:rPr>
          <w:rFonts w:hint="eastAsia" w:ascii="宋体" w:hAnsi="宋体" w:cs="宋体"/>
          <w:color w:val="auto"/>
          <w:szCs w:val="21"/>
          <w:highlight w:val="none"/>
        </w:rPr>
        <w:t xml:space="preserve">监理人：指发包人委托的对合同履行实施管理的法人或其他组织。监理人名称见合同条款专用部分。 </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1.1.2.7 </w:t>
      </w:r>
      <w:r>
        <w:rPr>
          <w:rFonts w:hint="eastAsia" w:ascii="宋体" w:hAnsi="宋体" w:cs="宋体"/>
          <w:color w:val="auto"/>
          <w:szCs w:val="21"/>
          <w:highlight w:val="none"/>
        </w:rPr>
        <w:t>总监理工程师（总监）：指由监理人委派常驻施工场地对合同履行实施管理的全权负责人。</w:t>
      </w:r>
    </w:p>
    <w:p>
      <w:pPr>
        <w:numPr>
          <w:ilvl w:val="0"/>
          <w:numId w:val="0"/>
        </w:numPr>
        <w:autoSpaceDE w:val="0"/>
        <w:autoSpaceDN w:val="0"/>
        <w:spacing w:line="356" w:lineRule="exact"/>
        <w:ind w:leftChars="25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1.1.2.8 </w:t>
      </w:r>
      <w:r>
        <w:rPr>
          <w:rFonts w:hint="eastAsia" w:ascii="宋体" w:hAnsi="宋体" w:cs="宋体"/>
          <w:color w:val="auto"/>
          <w:szCs w:val="21"/>
          <w:highlight w:val="none"/>
        </w:rPr>
        <w:t>发包人代表：指由发包人指定的派驻施工场地（现场）的全权代表。发包人代表相关信息见合同条款专用部分。</w:t>
      </w:r>
    </w:p>
    <w:p>
      <w:pPr>
        <w:numPr>
          <w:ilvl w:val="0"/>
          <w:numId w:val="0"/>
        </w:numPr>
        <w:spacing w:line="356" w:lineRule="exact"/>
        <w:ind w:firstLine="440" w:firstLineChars="200"/>
        <w:rPr>
          <w:rFonts w:ascii="Times New Roman" w:hAnsi="Times New Roman" w:cs="宋体"/>
          <w:color w:val="auto"/>
          <w:szCs w:val="21"/>
          <w:highlight w:val="none"/>
        </w:rPr>
      </w:pPr>
      <w:r>
        <w:rPr>
          <w:rFonts w:hint="eastAsia" w:cs="宋体"/>
          <w:color w:val="auto"/>
          <w:szCs w:val="21"/>
          <w:highlight w:val="none"/>
          <w:lang w:val="en-US" w:eastAsia="zh-CN"/>
        </w:rPr>
        <w:t xml:space="preserve">1.1.2.9 </w:t>
      </w:r>
      <w:r>
        <w:rPr>
          <w:rFonts w:hint="eastAsia" w:ascii="Times New Roman" w:hAnsi="Times New Roman" w:cs="宋体"/>
          <w:color w:val="auto"/>
          <w:szCs w:val="21"/>
          <w:highlight w:val="none"/>
        </w:rPr>
        <w:t>专业分包人：指根据合同条款第 15.8.1 项的约定，由发包人和承包人以招标方式选择的分包人。</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1.1.2.10</w:t>
      </w:r>
      <w:r>
        <w:rPr>
          <w:rFonts w:hint="eastAsia" w:ascii="宋体" w:hAnsi="宋体" w:cs="宋体"/>
          <w:color w:val="auto"/>
          <w:szCs w:val="21"/>
          <w:highlight w:val="none"/>
        </w:rPr>
        <w:t>专项供应商：指根据合同条款第 15.8.1 项的约定，由发包人和承包人以招标方式选择的供应商。</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1.1.2.11</w:t>
      </w:r>
      <w:r>
        <w:rPr>
          <w:rFonts w:hint="eastAsia" w:ascii="宋体" w:hAnsi="宋体" w:cs="宋体"/>
          <w:color w:val="auto"/>
          <w:szCs w:val="21"/>
          <w:highlight w:val="none"/>
        </w:rPr>
        <w:t>独立承包人：指与发包人直接订立工程承包合同，负责实施与工程有关的其他工作的当事人。</w:t>
      </w:r>
    </w:p>
    <w:p>
      <w:pPr>
        <w:numPr>
          <w:ilvl w:val="0"/>
          <w:numId w:val="0"/>
        </w:numPr>
        <w:autoSpaceDE w:val="0"/>
        <w:autoSpaceDN w:val="0"/>
        <w:spacing w:line="356" w:lineRule="exact"/>
        <w:ind w:firstLine="440" w:firstLineChars="200"/>
        <w:rPr>
          <w:rFonts w:ascii="宋体" w:hAnsi="宋体" w:cs="宋体"/>
          <w:color w:val="auto"/>
          <w:sz w:val="15"/>
          <w:szCs w:val="15"/>
          <w:highlight w:val="none"/>
        </w:rPr>
      </w:pPr>
      <w:r>
        <w:rPr>
          <w:rFonts w:hint="eastAsia" w:ascii="宋体" w:hAnsi="宋体" w:cs="宋体"/>
          <w:color w:val="auto"/>
          <w:szCs w:val="21"/>
          <w:highlight w:val="none"/>
          <w:lang w:val="en-US" w:eastAsia="zh-CN"/>
        </w:rPr>
        <w:t xml:space="preserve">1.1.3 </w:t>
      </w:r>
      <w:r>
        <w:rPr>
          <w:rFonts w:hint="eastAsia" w:ascii="宋体" w:hAnsi="宋体" w:cs="宋体"/>
          <w:color w:val="auto"/>
          <w:szCs w:val="21"/>
          <w:highlight w:val="none"/>
        </w:rPr>
        <w:t>工程和设备</w:t>
      </w:r>
    </w:p>
    <w:p>
      <w:pPr>
        <w:numPr>
          <w:ilvl w:val="0"/>
          <w:numId w:val="0"/>
        </w:numPr>
        <w:autoSpaceDE w:val="0"/>
        <w:autoSpaceDN w:val="0"/>
        <w:spacing w:line="356" w:lineRule="exact"/>
        <w:ind w:firstLine="440" w:firstLineChars="200"/>
        <w:rPr>
          <w:rFonts w:ascii="宋体" w:hAnsi="宋体" w:cs="宋体"/>
          <w:color w:val="auto"/>
          <w:sz w:val="15"/>
          <w:szCs w:val="15"/>
          <w:highlight w:val="none"/>
        </w:rPr>
      </w:pPr>
      <w:r>
        <w:rPr>
          <w:rFonts w:hint="eastAsia" w:ascii="宋体" w:hAnsi="宋体" w:cs="宋体"/>
          <w:color w:val="auto"/>
          <w:szCs w:val="21"/>
          <w:highlight w:val="none"/>
          <w:lang w:val="en-US" w:eastAsia="zh-CN"/>
        </w:rPr>
        <w:t xml:space="preserve">1.1.3.1 </w:t>
      </w:r>
      <w:r>
        <w:rPr>
          <w:rFonts w:hint="eastAsia" w:ascii="宋体" w:hAnsi="宋体" w:cs="宋体"/>
          <w:color w:val="auto"/>
          <w:szCs w:val="21"/>
          <w:highlight w:val="none"/>
        </w:rPr>
        <w:t>工程：指永久工程和（或）临时工程。</w:t>
      </w:r>
    </w:p>
    <w:p>
      <w:pPr>
        <w:numPr>
          <w:ilvl w:val="0"/>
          <w:numId w:val="0"/>
        </w:numPr>
        <w:autoSpaceDE w:val="0"/>
        <w:autoSpaceDN w:val="0"/>
        <w:spacing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1.1.3.2 </w:t>
      </w:r>
      <w:r>
        <w:rPr>
          <w:rFonts w:hint="eastAsia" w:ascii="宋体" w:hAnsi="宋体" w:cs="宋体"/>
          <w:color w:val="auto"/>
          <w:szCs w:val="21"/>
          <w:highlight w:val="none"/>
        </w:rPr>
        <w:t>永久工程：指按照合同约定所需建造、完成并移交给发包人的工程，包括工程设备。永久工程的约定见合同条款专用部分。</w:t>
      </w:r>
    </w:p>
    <w:p>
      <w:pPr>
        <w:numPr>
          <w:ilvl w:val="0"/>
          <w:numId w:val="0"/>
        </w:numPr>
        <w:autoSpaceDE w:val="0"/>
        <w:autoSpaceDN w:val="0"/>
        <w:spacing w:before="1"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1.1.3.3 </w:t>
      </w:r>
      <w:r>
        <w:rPr>
          <w:rFonts w:hint="eastAsia" w:ascii="宋体" w:hAnsi="宋体" w:cs="宋体"/>
          <w:color w:val="auto"/>
          <w:szCs w:val="21"/>
          <w:highlight w:val="none"/>
        </w:rPr>
        <w:t xml:space="preserve">临时工程：指为完成合同约定的永久工程所修建的各类临时性工程，不包括施工设备。临时工程的约定见合同条款专用部分。 </w:t>
      </w:r>
    </w:p>
    <w:p>
      <w:pPr>
        <w:numPr>
          <w:ilvl w:val="0"/>
          <w:numId w:val="0"/>
        </w:numPr>
        <w:autoSpaceDE w:val="0"/>
        <w:autoSpaceDN w:val="0"/>
        <w:spacing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1.1.3.4 </w:t>
      </w:r>
      <w:r>
        <w:rPr>
          <w:rFonts w:hint="eastAsia" w:ascii="宋体" w:hAnsi="宋体" w:cs="宋体"/>
          <w:color w:val="auto"/>
          <w:szCs w:val="21"/>
          <w:highlight w:val="none"/>
        </w:rPr>
        <w:t>单位工程：指具有相对独立的设计文件，能够独立组织施工并能形成独立使用功能的永久工程的组成部分。</w:t>
      </w:r>
    </w:p>
    <w:p>
      <w:pPr>
        <w:numPr>
          <w:ilvl w:val="0"/>
          <w:numId w:val="0"/>
        </w:numPr>
        <w:autoSpaceDE w:val="0"/>
        <w:autoSpaceDN w:val="0"/>
        <w:spacing w:line="356" w:lineRule="exact"/>
        <w:ind w:right="203"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1.1.3.5 </w:t>
      </w:r>
      <w:r>
        <w:rPr>
          <w:rFonts w:hint="eastAsia" w:ascii="宋体" w:hAnsi="宋体" w:cs="宋体"/>
          <w:color w:val="auto"/>
          <w:szCs w:val="21"/>
          <w:highlight w:val="none"/>
        </w:rPr>
        <w:t>工程设备：指构成或计划构成永久工程一部分的机电设备、金属结构设备、仪器装置及其他类似的设备和装置。</w:t>
      </w:r>
    </w:p>
    <w:p>
      <w:pPr>
        <w:numPr>
          <w:ilvl w:val="0"/>
          <w:numId w:val="0"/>
        </w:numPr>
        <w:autoSpaceDE w:val="0"/>
        <w:autoSpaceDN w:val="0"/>
        <w:spacing w:before="72"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1.1.3.6</w:t>
      </w:r>
      <w:r>
        <w:rPr>
          <w:rFonts w:hint="eastAsia" w:ascii="宋体" w:hAnsi="宋体" w:cs="宋体"/>
          <w:color w:val="auto"/>
          <w:szCs w:val="21"/>
          <w:highlight w:val="none"/>
        </w:rPr>
        <w:t xml:space="preserve"> 施工设备：指为完成合同约定的各项工作所需的设备、器具和其他物品，不包括临时工程和材料。</w:t>
      </w:r>
    </w:p>
    <w:p>
      <w:pPr>
        <w:numPr>
          <w:ilvl w:val="0"/>
          <w:numId w:val="0"/>
        </w:numPr>
        <w:autoSpaceDE w:val="0"/>
        <w:autoSpaceDN w:val="0"/>
        <w:spacing w:before="72"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1.1.3.7</w:t>
      </w:r>
      <w:r>
        <w:rPr>
          <w:rFonts w:hint="eastAsia" w:ascii="宋体" w:hAnsi="宋体" w:cs="宋体"/>
          <w:color w:val="auto"/>
          <w:szCs w:val="21"/>
          <w:highlight w:val="none"/>
        </w:rPr>
        <w:t xml:space="preserve"> 临时设施：指为完成合同约定的各项工作所服务的临时性生产和生活设施。</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1.1.3.8</w:t>
      </w:r>
      <w:r>
        <w:rPr>
          <w:rFonts w:hint="eastAsia" w:ascii="宋体" w:hAnsi="宋体" w:cs="宋体"/>
          <w:color w:val="auto"/>
          <w:szCs w:val="21"/>
          <w:highlight w:val="none"/>
        </w:rPr>
        <w:t xml:space="preserve"> 承包人设备：指承包人自带的施工设备。</w:t>
      </w:r>
    </w:p>
    <w:p>
      <w:pPr>
        <w:numPr>
          <w:ilvl w:val="0"/>
          <w:numId w:val="0"/>
        </w:numPr>
        <w:autoSpaceDE w:val="0"/>
        <w:autoSpaceDN w:val="0"/>
        <w:spacing w:before="1"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1.1.3.9 </w:t>
      </w:r>
      <w:r>
        <w:rPr>
          <w:rFonts w:hint="eastAsia" w:ascii="宋体" w:hAnsi="宋体" w:cs="宋体"/>
          <w:color w:val="auto"/>
          <w:szCs w:val="21"/>
          <w:highlight w:val="none"/>
        </w:rPr>
        <w:t>施工场地（或称工地、现场）：指用于合同工程施工的场所，以及在合同中指定作为施工场地组成部分的其他场所，包括永久占地和临时占地。</w:t>
      </w:r>
    </w:p>
    <w:p>
      <w:pPr>
        <w:numPr>
          <w:ilvl w:val="0"/>
          <w:numId w:val="0"/>
        </w:numPr>
        <w:autoSpaceDE w:val="0"/>
        <w:autoSpaceDN w:val="0"/>
        <w:spacing w:line="356" w:lineRule="exact"/>
        <w:ind w:right="308"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1.1.3.10 </w:t>
      </w:r>
      <w:r>
        <w:rPr>
          <w:rFonts w:hint="eastAsia" w:ascii="宋体" w:hAnsi="宋体" w:cs="宋体"/>
          <w:color w:val="auto"/>
          <w:szCs w:val="21"/>
          <w:highlight w:val="none"/>
        </w:rPr>
        <w:t>永久占地：指为实施合同工程需永久占用的土地。永久占地的约定见合同条款专用部分。</w:t>
      </w:r>
    </w:p>
    <w:p>
      <w:pPr>
        <w:numPr>
          <w:ilvl w:val="0"/>
          <w:numId w:val="0"/>
        </w:numPr>
        <w:autoSpaceDE w:val="0"/>
        <w:autoSpaceDN w:val="0"/>
        <w:spacing w:line="356" w:lineRule="exact"/>
        <w:ind w:right="308"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1.1.3.11 </w:t>
      </w:r>
      <w:r>
        <w:rPr>
          <w:rFonts w:hint="eastAsia" w:ascii="宋体" w:hAnsi="宋体" w:cs="宋体"/>
          <w:color w:val="auto"/>
          <w:szCs w:val="21"/>
          <w:highlight w:val="none"/>
        </w:rPr>
        <w:t>临时占地：指为实施合同工程需临时占用的土地。临时占地的约定见合同条款专用部分。</w:t>
      </w:r>
    </w:p>
    <w:p>
      <w:pPr>
        <w:numPr>
          <w:ilvl w:val="0"/>
          <w:numId w:val="0"/>
        </w:numPr>
        <w:autoSpaceDE w:val="0"/>
        <w:autoSpaceDN w:val="0"/>
        <w:spacing w:line="356" w:lineRule="exact"/>
        <w:ind w:right="352"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1.1.3.12 </w:t>
      </w:r>
      <w:r>
        <w:rPr>
          <w:rFonts w:hint="eastAsia" w:ascii="宋体" w:hAnsi="宋体" w:cs="宋体"/>
          <w:color w:val="auto"/>
          <w:szCs w:val="21"/>
          <w:highlight w:val="none"/>
        </w:rPr>
        <w:t>材料：指构成或将构成永久工程组成部分的各类物品(工程设备除外)，包括合同中可能约定的承包人仅负责供应的材料。</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1.1.4 日 期 </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1.1.4.1 开工通知：指监理人按第 11.1 款通知承包人开工的函件。</w:t>
      </w:r>
    </w:p>
    <w:p>
      <w:pPr>
        <w:autoSpaceDE w:val="0"/>
        <w:autoSpaceDN w:val="0"/>
        <w:spacing w:before="1"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1.1.4.2 开工日期：指监理人按第 11.1 款发出的开工通知中写明的开工日期。 </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1.1.4.3 工期：指承包人在投标函中承诺的完成合同工程所需的期限，包括按第11.3 款、第 11.4 款和第 11.6 款约定所作的变更。 </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1.1.4.4 竣工日期：指第 1.1.4.3 目约定工期届满时的日期。实际竣工日期以工程接收证书中写明的日期为准。</w:t>
      </w:r>
    </w:p>
    <w:p>
      <w:pPr>
        <w:autoSpaceDE w:val="0"/>
        <w:autoSpaceDN w:val="0"/>
        <w:spacing w:line="356" w:lineRule="exact"/>
        <w:ind w:right="308" w:firstLine="440" w:firstLineChars="200"/>
        <w:rPr>
          <w:rFonts w:ascii="宋体" w:hAnsi="宋体" w:cs="宋体"/>
          <w:color w:val="auto"/>
          <w:szCs w:val="21"/>
          <w:highlight w:val="none"/>
        </w:rPr>
      </w:pPr>
      <w:r>
        <w:rPr>
          <w:rFonts w:hint="eastAsia" w:ascii="宋体" w:hAnsi="宋体" w:cs="宋体"/>
          <w:color w:val="auto"/>
          <w:szCs w:val="21"/>
          <w:highlight w:val="none"/>
        </w:rPr>
        <w:t>1.1.4.5 缺陷责任期：指履行第 19.2 款约定的缺陷责任的期限，包括根据第 19.3款约定所作的延长。缺陷责任期的具体期限见合同条款专用部分。</w:t>
      </w:r>
    </w:p>
    <w:p>
      <w:pPr>
        <w:autoSpaceDE w:val="0"/>
        <w:autoSpaceDN w:val="0"/>
        <w:spacing w:line="356" w:lineRule="exact"/>
        <w:ind w:right="308"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1.1.4.6 基准日期：指投标截止时间前 28 天的日期。 </w:t>
      </w:r>
    </w:p>
    <w:p>
      <w:pPr>
        <w:autoSpaceDE w:val="0"/>
        <w:autoSpaceDN w:val="0"/>
        <w:spacing w:line="356" w:lineRule="exact"/>
        <w:ind w:right="308" w:firstLine="440" w:firstLineChars="200"/>
        <w:rPr>
          <w:rFonts w:ascii="宋体" w:hAnsi="宋体" w:cs="宋体"/>
          <w:color w:val="auto"/>
          <w:szCs w:val="21"/>
          <w:highlight w:val="none"/>
        </w:rPr>
      </w:pPr>
      <w:r>
        <w:rPr>
          <w:rFonts w:hint="eastAsia" w:ascii="宋体" w:hAnsi="宋体" w:cs="宋体"/>
          <w:color w:val="auto"/>
          <w:szCs w:val="21"/>
          <w:highlight w:val="none"/>
        </w:rPr>
        <w:t>1.1.4.7 天：除特别指明外，指日历天。合同中按天计算时间的，开始当天不计入，从次日开始计算。期限最后一天的截止时间为当天 24:00。</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1.1.4.8 保修期：是根据现行有关法律规定，在合同条款第 19.7 款中约定的由承包人负责对合同约定的保修范围内发生的质量问题履行保修义务并对造成的损失承担赔偿责任的期限。</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1.1.5 </w:t>
      </w:r>
      <w:r>
        <w:rPr>
          <w:rFonts w:hint="eastAsia" w:ascii="宋体" w:hAnsi="宋体" w:cs="宋体"/>
          <w:color w:val="auto"/>
          <w:szCs w:val="21"/>
          <w:highlight w:val="none"/>
        </w:rPr>
        <w:t>合同价格和费用</w:t>
      </w:r>
    </w:p>
    <w:p>
      <w:pPr>
        <w:numPr>
          <w:ilvl w:val="0"/>
          <w:numId w:val="0"/>
        </w:numPr>
        <w:autoSpaceDE w:val="0"/>
        <w:autoSpaceDN w:val="0"/>
        <w:spacing w:before="1"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1.1.5.1 </w:t>
      </w:r>
      <w:r>
        <w:rPr>
          <w:rFonts w:hint="eastAsia" w:ascii="宋体" w:hAnsi="宋体" w:cs="宋体"/>
          <w:color w:val="auto"/>
          <w:szCs w:val="21"/>
          <w:highlight w:val="none"/>
        </w:rPr>
        <w:t>签约合同价：指签定合同时合同协议书中写明的，包括了暂列金额、暂估价的合同总金额。</w:t>
      </w:r>
    </w:p>
    <w:p>
      <w:pPr>
        <w:numPr>
          <w:ilvl w:val="0"/>
          <w:numId w:val="0"/>
        </w:numPr>
        <w:autoSpaceDE w:val="0"/>
        <w:autoSpaceDN w:val="0"/>
        <w:spacing w:line="356" w:lineRule="exact"/>
        <w:ind w:right="309" w:rightChars="0" w:firstLine="440" w:firstLineChars="200"/>
        <w:rPr>
          <w:rFonts w:ascii="宋体" w:hAnsi="宋体" w:cs="宋体"/>
          <w:color w:val="auto"/>
          <w:sz w:val="23"/>
          <w:szCs w:val="23"/>
          <w:highlight w:val="none"/>
        </w:rPr>
      </w:pPr>
      <w:r>
        <w:rPr>
          <w:rFonts w:hint="eastAsia" w:ascii="宋体" w:hAnsi="宋体" w:cs="宋体"/>
          <w:color w:val="auto"/>
          <w:szCs w:val="21"/>
          <w:highlight w:val="none"/>
          <w:lang w:val="en-US" w:eastAsia="zh-CN"/>
        </w:rPr>
        <w:t xml:space="preserve">1.1.5.2 </w:t>
      </w:r>
      <w:r>
        <w:rPr>
          <w:rFonts w:hint="eastAsia" w:ascii="宋体" w:hAnsi="宋体" w:cs="宋体"/>
          <w:color w:val="auto"/>
          <w:szCs w:val="21"/>
          <w:highlight w:val="none"/>
        </w:rPr>
        <w:t>合同价格：指承包人按合同约定完成了包括缺陷责任期内的全部承包工作后，发包人应付给承包人的金额，包括在履行合同过程中按合同约定进行的变更和调整。</w:t>
      </w:r>
    </w:p>
    <w:p>
      <w:pPr>
        <w:numPr>
          <w:ilvl w:val="0"/>
          <w:numId w:val="0"/>
        </w:numPr>
        <w:autoSpaceDE w:val="0"/>
        <w:autoSpaceDN w:val="0"/>
        <w:spacing w:before="72"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1.1.5.3</w:t>
      </w:r>
      <w:r>
        <w:rPr>
          <w:rFonts w:hint="eastAsia" w:ascii="宋体" w:hAnsi="宋体" w:cs="宋体"/>
          <w:color w:val="auto"/>
          <w:szCs w:val="21"/>
          <w:highlight w:val="none"/>
        </w:rPr>
        <w:t>费用：指为履行合同所发生的或将要发生的所有合理开支，包括管理费和应分摊的其他费用，但不包括利润。</w:t>
      </w:r>
    </w:p>
    <w:p>
      <w:pPr>
        <w:numPr>
          <w:ilvl w:val="0"/>
          <w:numId w:val="0"/>
        </w:numPr>
        <w:autoSpaceDE w:val="0"/>
        <w:autoSpaceDN w:val="0"/>
        <w:spacing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1.1.5.4 </w:t>
      </w:r>
      <w:r>
        <w:rPr>
          <w:rFonts w:hint="eastAsia" w:ascii="宋体" w:hAnsi="宋体" w:cs="宋体"/>
          <w:color w:val="auto"/>
          <w:szCs w:val="21"/>
          <w:highlight w:val="none"/>
        </w:rPr>
        <w:t>暂列金额：指已标价工程量清单中所列的暂列金额，用于在签订协议书时尚未确定或不可预见变更的施工及其所需材料、工程设备、服务等的金额，包括以计日工方式支付的金额。</w:t>
      </w:r>
    </w:p>
    <w:p>
      <w:pPr>
        <w:numPr>
          <w:ilvl w:val="0"/>
          <w:numId w:val="0"/>
        </w:numPr>
        <w:autoSpaceDE w:val="0"/>
        <w:autoSpaceDN w:val="0"/>
        <w:spacing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1.1.5.5 </w:t>
      </w:r>
      <w:r>
        <w:rPr>
          <w:rFonts w:hint="eastAsia" w:ascii="宋体" w:hAnsi="宋体" w:cs="宋体"/>
          <w:color w:val="auto"/>
          <w:szCs w:val="21"/>
          <w:highlight w:val="none"/>
        </w:rPr>
        <w:t>暂估价：指发包人在工程量清单中给定的用于支付必然发生但暂时不能确定价格的材料、设备以及专业工程的金额。</w:t>
      </w:r>
    </w:p>
    <w:p>
      <w:pPr>
        <w:numPr>
          <w:ilvl w:val="0"/>
          <w:numId w:val="0"/>
        </w:numPr>
        <w:autoSpaceDE w:val="0"/>
        <w:autoSpaceDN w:val="0"/>
        <w:spacing w:line="356" w:lineRule="exact"/>
        <w:ind w:right="309"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1.1.5.6 </w:t>
      </w:r>
      <w:r>
        <w:rPr>
          <w:rFonts w:hint="eastAsia" w:ascii="宋体" w:hAnsi="宋体" w:cs="宋体"/>
          <w:color w:val="auto"/>
          <w:szCs w:val="21"/>
          <w:highlight w:val="none"/>
        </w:rPr>
        <w:t>计日工：指对零星工作采取的一种计价方式，按合同中的计日工子目及其单价计价付款。</w:t>
      </w:r>
    </w:p>
    <w:p>
      <w:pPr>
        <w:numPr>
          <w:ilvl w:val="0"/>
          <w:numId w:val="0"/>
        </w:numPr>
        <w:autoSpaceDE w:val="0"/>
        <w:autoSpaceDN w:val="0"/>
        <w:spacing w:line="356" w:lineRule="exact"/>
        <w:ind w:right="308" w:rightChars="0"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1.1.5.7</w:t>
      </w:r>
      <w:r>
        <w:rPr>
          <w:rFonts w:hint="eastAsia" w:ascii="宋体" w:hAnsi="宋体" w:cs="宋体"/>
          <w:color w:val="auto"/>
          <w:szCs w:val="21"/>
          <w:highlight w:val="none"/>
        </w:rPr>
        <w:t>质量保证金（或称保留金）：指按第17.4.1项约定用于保证在缺陷责任期内履行缺陷修复义务的金额。</w:t>
      </w:r>
    </w:p>
    <w:p>
      <w:pPr>
        <w:numPr>
          <w:ilvl w:val="0"/>
          <w:numId w:val="0"/>
        </w:num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1.1.6  </w:t>
      </w:r>
      <w:r>
        <w:rPr>
          <w:rFonts w:hint="eastAsia" w:ascii="宋体" w:hAnsi="宋体" w:cs="宋体"/>
          <w:color w:val="auto"/>
          <w:szCs w:val="21"/>
          <w:highlight w:val="none"/>
        </w:rPr>
        <w:t xml:space="preserve">书面形式 </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书面形式：指合同文件、信函、电报、传真等可以有形地表现所载内容的形式。</w:t>
      </w:r>
    </w:p>
    <w:p>
      <w:pPr>
        <w:autoSpaceDE w:val="0"/>
        <w:autoSpaceDN w:val="0"/>
        <w:spacing w:line="356" w:lineRule="exact"/>
        <w:ind w:right="745"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1.1.7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争议评审组 </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 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1.1.8 其他需要补充的内容 </w:t>
      </w:r>
    </w:p>
    <w:p>
      <w:pPr>
        <w:autoSpaceDE w:val="0"/>
        <w:autoSpaceDN w:val="0"/>
        <w:spacing w:before="7" w:line="356" w:lineRule="exact"/>
        <w:ind w:firstLine="440" w:firstLineChars="200"/>
        <w:rPr>
          <w:rFonts w:ascii="宋体" w:hAnsi="宋体" w:cs="宋体"/>
          <w:color w:val="auto"/>
          <w:sz w:val="15"/>
          <w:szCs w:val="15"/>
          <w:highlight w:val="none"/>
        </w:rPr>
      </w:pPr>
      <w:r>
        <w:rPr>
          <w:rFonts w:hint="eastAsia" w:ascii="宋体" w:hAnsi="宋体" w:cs="宋体"/>
          <w:color w:val="auto"/>
          <w:szCs w:val="21"/>
          <w:highlight w:val="none"/>
        </w:rPr>
        <w:t>其他需要补充的内容见合同条款专用部分。</w:t>
      </w:r>
    </w:p>
    <w:p>
      <w:pPr>
        <w:keepNext/>
        <w:keepLines/>
        <w:spacing w:before="280" w:after="290" w:line="356" w:lineRule="exact"/>
        <w:ind w:left="138"/>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1.2 语言文字 </w:t>
      </w:r>
    </w:p>
    <w:p>
      <w:pPr>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除专用术语外，合同使用的语言文字为中文。必要时专用术语应附有中文注释。 </w:t>
      </w:r>
    </w:p>
    <w:p>
      <w:pPr>
        <w:keepNext/>
        <w:keepLines/>
        <w:spacing w:before="1" w:after="290" w:line="356" w:lineRule="exact"/>
        <w:ind w:left="138"/>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1.3 法 律 </w:t>
      </w:r>
    </w:p>
    <w:p>
      <w:pPr>
        <w:autoSpaceDE w:val="0"/>
        <w:autoSpaceDN w:val="0"/>
        <w:spacing w:before="7" w:line="356" w:lineRule="exact"/>
        <w:rPr>
          <w:rFonts w:ascii="宋体" w:hAnsi="宋体" w:cs="宋体"/>
          <w:color w:val="auto"/>
          <w:szCs w:val="21"/>
          <w:highlight w:val="none"/>
        </w:rPr>
      </w:pPr>
      <w:r>
        <w:rPr>
          <w:rFonts w:hint="eastAsia" w:ascii="宋体" w:hAnsi="宋体" w:cs="宋体"/>
          <w:color w:val="auto"/>
          <w:szCs w:val="21"/>
          <w:highlight w:val="none"/>
        </w:rPr>
        <w:t>适用于合同的法律包括中华人民共和国法律、行政法规、部门规章，以及工程所在地的地方法规、自治条例、单行条例和地方政府规章。</w:t>
      </w:r>
    </w:p>
    <w:p>
      <w:pPr>
        <w:keepNext/>
        <w:keepLines/>
        <w:numPr>
          <w:ilvl w:val="1"/>
          <w:numId w:val="9"/>
        </w:numPr>
        <w:spacing w:before="6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合同文件的优先顺序 </w:t>
      </w:r>
    </w:p>
    <w:p>
      <w:pPr>
        <w:autoSpaceDE w:val="0"/>
        <w:autoSpaceDN w:val="0"/>
        <w:spacing w:before="7" w:line="356" w:lineRule="exact"/>
        <w:rPr>
          <w:rFonts w:ascii="宋体" w:hAnsi="宋体" w:cs="宋体"/>
          <w:color w:val="auto"/>
          <w:szCs w:val="21"/>
          <w:highlight w:val="none"/>
        </w:rPr>
      </w:pPr>
      <w:r>
        <w:rPr>
          <w:rFonts w:hint="eastAsia" w:ascii="宋体" w:hAnsi="宋体" w:cs="宋体"/>
          <w:color w:val="auto"/>
          <w:szCs w:val="21"/>
          <w:highlight w:val="none"/>
        </w:rPr>
        <w:t>组成合同的各项文件应互相解释，互为说明。除合同条款专用部分另有约定外，解释合同文件的优先顺序如下：</w:t>
      </w:r>
    </w:p>
    <w:p>
      <w:pPr>
        <w:numPr>
          <w:ilvl w:val="2"/>
          <w:numId w:val="9"/>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合同协议书；</w:t>
      </w:r>
    </w:p>
    <w:p>
      <w:pPr>
        <w:numPr>
          <w:ilvl w:val="2"/>
          <w:numId w:val="9"/>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中标通知书；</w:t>
      </w:r>
    </w:p>
    <w:p>
      <w:pPr>
        <w:numPr>
          <w:ilvl w:val="2"/>
          <w:numId w:val="9"/>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投标函及投标函附录；</w:t>
      </w:r>
    </w:p>
    <w:p>
      <w:pPr>
        <w:numPr>
          <w:ilvl w:val="2"/>
          <w:numId w:val="9"/>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合同条款专用部分；</w:t>
      </w:r>
    </w:p>
    <w:p>
      <w:pPr>
        <w:numPr>
          <w:ilvl w:val="2"/>
          <w:numId w:val="9"/>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合同条款通用部分；</w:t>
      </w:r>
    </w:p>
    <w:p>
      <w:pPr>
        <w:numPr>
          <w:ilvl w:val="2"/>
          <w:numId w:val="9"/>
        </w:numPr>
        <w:autoSpaceDE w:val="0"/>
        <w:autoSpaceDN w:val="0"/>
        <w:spacing w:before="1"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技术标准和要求；</w:t>
      </w:r>
    </w:p>
    <w:p>
      <w:pPr>
        <w:numPr>
          <w:ilvl w:val="2"/>
          <w:numId w:val="9"/>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图纸；</w:t>
      </w:r>
    </w:p>
    <w:p>
      <w:pPr>
        <w:numPr>
          <w:ilvl w:val="2"/>
          <w:numId w:val="9"/>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已标价工程量清单；</w:t>
      </w:r>
    </w:p>
    <w:p>
      <w:pPr>
        <w:numPr>
          <w:ilvl w:val="2"/>
          <w:numId w:val="9"/>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其他合同文件。</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附注：构成合同文件的图纸与技术标准和要求之间有矛盾或者不一致的，应以其中要求较严格的标准为准。</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合同双方在合同履行过程中签署的不背离合同实质性内容的补充协议，应当视为合同文件的有效组成部分，其解释顺序视其内容与其他合同文件的相互关系而定。 </w:t>
      </w:r>
    </w:p>
    <w:p>
      <w:pPr>
        <w:keepNext/>
        <w:keepLines/>
        <w:numPr>
          <w:ilvl w:val="1"/>
          <w:numId w:val="9"/>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合同协议书 </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授权委托人在合同协议书上签字并盖单位章后，合同生效。合同生效的条件见合同条款专用部分。</w:t>
      </w:r>
    </w:p>
    <w:p>
      <w:pPr>
        <w:keepNext/>
        <w:keepLines/>
        <w:numPr>
          <w:ilvl w:val="1"/>
          <w:numId w:val="9"/>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图纸和承包人文件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1.6.1 图纸的提供 </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（1）发包人按照合同约定向承包人提供图纸。发包人未按时提供图纸造成工期延误的 ，按第 11.3 款的约定办理。承包人需要增加图纸套数的，发包人应代为复制，复制费用由承包人承担。</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 xml:space="preserve">（2）依据合同条款专用部分第 10.1 款约定制定的合同进度计划，或依据合同条款专用部分第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 </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（5）发包人提供图纸的期限、数量和其他约定见合同条款专用部分。</w:t>
      </w:r>
    </w:p>
    <w:p>
      <w:pPr>
        <w:autoSpaceDE w:val="0"/>
        <w:autoSpaceDN w:val="0"/>
        <w:spacing w:line="356" w:lineRule="exact"/>
        <w:ind w:left="558" w:right="1693" w:firstLine="419"/>
        <w:rPr>
          <w:rFonts w:ascii="宋体" w:hAnsi="宋体" w:cs="宋体"/>
          <w:color w:val="auto"/>
          <w:szCs w:val="21"/>
          <w:highlight w:val="none"/>
        </w:rPr>
      </w:pPr>
      <w:r>
        <w:rPr>
          <w:rFonts w:hint="eastAsia" w:ascii="宋体" w:hAnsi="宋体" w:cs="宋体"/>
          <w:color w:val="auto"/>
          <w:szCs w:val="21"/>
          <w:highlight w:val="none"/>
        </w:rPr>
        <w:t>1.6.2 承包人提供的文件</w:t>
      </w:r>
    </w:p>
    <w:p>
      <w:pPr>
        <w:autoSpaceDE w:val="0"/>
        <w:autoSpaceDN w:val="0"/>
        <w:spacing w:line="356" w:lineRule="exact"/>
        <w:ind w:left="557" w:right="222" w:firstLine="419"/>
        <w:rPr>
          <w:rFonts w:ascii="宋体" w:hAnsi="宋体" w:cs="宋体"/>
          <w:color w:val="auto"/>
          <w:szCs w:val="21"/>
          <w:highlight w:val="none"/>
        </w:rPr>
      </w:pPr>
      <w:r>
        <w:rPr>
          <w:rFonts w:hint="eastAsia" w:ascii="宋体" w:hAnsi="宋体" w:cs="宋体"/>
          <w:color w:val="auto"/>
          <w:szCs w:val="21"/>
          <w:highlight w:val="none"/>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pPr>
        <w:autoSpaceDE w:val="0"/>
        <w:autoSpaceDN w:val="0"/>
        <w:spacing w:line="356" w:lineRule="exact"/>
        <w:ind w:left="557" w:right="208" w:firstLine="419"/>
        <w:rPr>
          <w:rFonts w:ascii="宋体" w:hAnsi="宋体" w:cs="宋体"/>
          <w:color w:val="auto"/>
          <w:szCs w:val="21"/>
          <w:highlight w:val="none"/>
        </w:rPr>
      </w:pPr>
      <w:r>
        <w:rPr>
          <w:rFonts w:hint="eastAsia" w:ascii="宋体" w:hAnsi="宋体" w:cs="宋体"/>
          <w:color w:val="auto"/>
          <w:szCs w:val="21"/>
          <w:highlight w:val="none"/>
        </w:rPr>
        <w:t>（2）除合同条款第 4.1.10 项约定的由承包人提供的设计文件外，本项约定的其他应由承包人提供的文件，包括必要的加工图和大样图，均不能作为合同计量与支付的依据文件。</w:t>
      </w:r>
    </w:p>
    <w:p>
      <w:pPr>
        <w:numPr>
          <w:ilvl w:val="2"/>
          <w:numId w:val="10"/>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图纸的修改 </w:t>
      </w:r>
    </w:p>
    <w:p>
      <w:pPr>
        <w:autoSpaceDE w:val="0"/>
        <w:autoSpaceDN w:val="0"/>
        <w:spacing w:line="356" w:lineRule="exact"/>
        <w:ind w:right="318"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图纸需要修改和补充的，监理人应当按照合同条款第 1.6.1（2）目约定的有合同约束力的图纸供应计划，签发图纸修改图给承包人。承包人应按修改后的图纸施工。 </w:t>
      </w:r>
    </w:p>
    <w:p>
      <w:pPr>
        <w:numPr>
          <w:ilvl w:val="2"/>
          <w:numId w:val="10"/>
        </w:numPr>
        <w:autoSpaceDE w:val="0"/>
        <w:autoSpaceDN w:val="0"/>
        <w:spacing w:line="356" w:lineRule="exact"/>
        <w:rPr>
          <w:rFonts w:ascii="宋体" w:hAnsi="宋体" w:cs="宋体"/>
          <w:color w:val="auto"/>
          <w:sz w:val="15"/>
          <w:szCs w:val="15"/>
          <w:highlight w:val="none"/>
        </w:rPr>
      </w:pPr>
      <w:r>
        <w:rPr>
          <w:rFonts w:hint="eastAsia" w:ascii="宋体" w:hAnsi="宋体" w:cs="宋体"/>
          <w:color w:val="auto"/>
          <w:szCs w:val="21"/>
          <w:highlight w:val="none"/>
        </w:rPr>
        <w:t xml:space="preserve">图纸的错误 </w:t>
      </w:r>
    </w:p>
    <w:p>
      <w:pPr>
        <w:autoSpaceDE w:val="0"/>
        <w:autoSpaceDN w:val="0"/>
        <w:spacing w:line="356" w:lineRule="exact"/>
        <w:ind w:right="318" w:firstLine="440" w:firstLineChars="200"/>
        <w:rPr>
          <w:rFonts w:ascii="宋体" w:hAnsi="宋体" w:cs="宋体"/>
          <w:color w:val="auto"/>
          <w:szCs w:val="21"/>
          <w:highlight w:val="none"/>
        </w:rPr>
      </w:pPr>
      <w:r>
        <w:rPr>
          <w:rFonts w:hint="eastAsia" w:ascii="宋体" w:hAnsi="宋体" w:cs="宋体"/>
          <w:color w:val="auto"/>
          <w:szCs w:val="21"/>
          <w:highlight w:val="none"/>
        </w:rPr>
        <w:t>承包人发现发包人提供的图纸存在明显错误或疏忽，应及时通知监理人。</w:t>
      </w:r>
    </w:p>
    <w:p>
      <w:pPr>
        <w:autoSpaceDE w:val="0"/>
        <w:autoSpaceDN w:val="0"/>
        <w:spacing w:before="1" w:line="356" w:lineRule="exact"/>
        <w:ind w:left="558" w:right="1376"/>
        <w:rPr>
          <w:rFonts w:ascii="宋体" w:hAnsi="宋体" w:cs="宋体"/>
          <w:color w:val="auto"/>
          <w:szCs w:val="21"/>
          <w:highlight w:val="none"/>
        </w:rPr>
      </w:pPr>
      <w:r>
        <w:rPr>
          <w:rFonts w:hint="eastAsia" w:ascii="宋体" w:hAnsi="宋体" w:cs="宋体"/>
          <w:color w:val="auto"/>
          <w:szCs w:val="21"/>
          <w:highlight w:val="none"/>
        </w:rPr>
        <w:t xml:space="preserve">1.6.5 图纸和承包人文件的保管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监理人和承包人均应在施工场地各保存一套完整的包含第 1.6.1 项、第 1.6.2 项、第1.6.3 项约定内容的图纸和承包人文件。 </w:t>
      </w:r>
    </w:p>
    <w:p>
      <w:pPr>
        <w:keepNext/>
        <w:keepLines/>
        <w:spacing w:before="280" w:after="290" w:line="356" w:lineRule="exact"/>
        <w:ind w:left="138"/>
        <w:textAlignment w:val="baseline"/>
        <w:outlineLvl w:val="4"/>
        <w:rPr>
          <w:rFonts w:ascii="宋体" w:hAnsi="宋体" w:cs="宋体"/>
          <w:b/>
          <w:color w:val="auto"/>
          <w:sz w:val="26"/>
          <w:szCs w:val="26"/>
          <w:highlight w:val="none"/>
        </w:rPr>
      </w:pPr>
      <w:r>
        <w:rPr>
          <w:rFonts w:hint="eastAsia" w:ascii="宋体" w:hAnsi="宋体" w:cs="宋体"/>
          <w:b/>
          <w:color w:val="auto"/>
          <w:sz w:val="24"/>
          <w:szCs w:val="24"/>
          <w:highlight w:val="none"/>
        </w:rPr>
        <w:t xml:space="preserve">1.7 联 络 </w:t>
      </w:r>
    </w:p>
    <w:p>
      <w:pPr>
        <w:numPr>
          <w:ilvl w:val="2"/>
          <w:numId w:val="11"/>
        </w:numPr>
        <w:autoSpaceDE w:val="0"/>
        <w:autoSpaceDN w:val="0"/>
        <w:spacing w:before="1" w:line="356" w:lineRule="exact"/>
        <w:ind w:right="325" w:firstLine="419"/>
        <w:rPr>
          <w:rFonts w:ascii="宋体" w:hAnsi="宋体" w:cs="宋体"/>
          <w:color w:val="auto"/>
          <w:szCs w:val="21"/>
          <w:highlight w:val="none"/>
        </w:rPr>
      </w:pPr>
      <w:r>
        <w:rPr>
          <w:rFonts w:hint="eastAsia" w:ascii="宋体" w:hAnsi="宋体" w:cs="宋体"/>
          <w:color w:val="auto"/>
          <w:szCs w:val="21"/>
          <w:highlight w:val="none"/>
        </w:rPr>
        <w:t>与合同有关的通知、批准、证明、证书、指示、要求、请求、同意、意见、确定和决定等，均应采用书面形式。</w:t>
      </w:r>
    </w:p>
    <w:p>
      <w:pPr>
        <w:numPr>
          <w:ilvl w:val="2"/>
          <w:numId w:val="11"/>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第 1.7.1 项中的通知、批准、证明、证书、指示、要求、请求、同意、意见、确定和决定，等来往函件，均应在合同约定的期限内送达指定地点和接收人，并办理签收手续。</w:t>
      </w:r>
    </w:p>
    <w:p>
      <w:pPr>
        <w:numPr>
          <w:ilvl w:val="0"/>
          <w:numId w:val="12"/>
        </w:numPr>
        <w:autoSpaceDE w:val="0"/>
        <w:autoSpaceDN w:val="0"/>
        <w:spacing w:line="356" w:lineRule="exact"/>
        <w:ind w:right="325" w:firstLine="419"/>
        <w:rPr>
          <w:rFonts w:ascii="宋体" w:hAnsi="宋体" w:cs="宋体"/>
          <w:color w:val="auto"/>
          <w:szCs w:val="21"/>
          <w:highlight w:val="none"/>
        </w:rPr>
      </w:pPr>
      <w:r>
        <w:rPr>
          <w:rFonts w:hint="eastAsia" w:ascii="宋体" w:hAnsi="宋体" w:cs="宋体"/>
          <w:color w:val="auto"/>
          <w:szCs w:val="21"/>
          <w:highlight w:val="none"/>
        </w:rPr>
        <w:t>联络来往信函的送达期限：合同约定了发出期限的，送达期限为合同约定的发出期限后的 24 小时内；合同约定了通知、提供或者报送期限的，通知、提供或者报送期限即为送达期限。</w:t>
      </w:r>
    </w:p>
    <w:p>
      <w:pPr>
        <w:numPr>
          <w:ilvl w:val="0"/>
          <w:numId w:val="12"/>
        </w:numPr>
        <w:autoSpaceDE w:val="0"/>
        <w:autoSpaceDN w:val="0"/>
        <w:spacing w:line="356" w:lineRule="exact"/>
        <w:ind w:left="1087"/>
        <w:rPr>
          <w:rFonts w:ascii="宋体" w:hAnsi="宋体" w:cs="宋体"/>
          <w:color w:val="auto"/>
          <w:sz w:val="15"/>
          <w:szCs w:val="15"/>
          <w:highlight w:val="none"/>
        </w:rPr>
      </w:pPr>
      <w:r>
        <w:rPr>
          <w:rFonts w:hint="eastAsia" w:ascii="宋体" w:hAnsi="宋体" w:cs="宋体"/>
          <w:color w:val="auto"/>
          <w:szCs w:val="21"/>
          <w:highlight w:val="none"/>
        </w:rPr>
        <w:t>发包人指定的接收人和接收地点见合同条款专用部分。</w:t>
      </w:r>
    </w:p>
    <w:p>
      <w:pPr>
        <w:numPr>
          <w:ilvl w:val="0"/>
          <w:numId w:val="12"/>
        </w:numPr>
        <w:autoSpaceDE w:val="0"/>
        <w:autoSpaceDN w:val="0"/>
        <w:spacing w:before="1" w:line="356" w:lineRule="exact"/>
        <w:ind w:left="1087"/>
        <w:rPr>
          <w:rFonts w:ascii="宋体" w:hAnsi="宋体" w:cs="宋体"/>
          <w:color w:val="auto"/>
          <w:sz w:val="15"/>
          <w:szCs w:val="15"/>
          <w:highlight w:val="none"/>
        </w:rPr>
      </w:pPr>
      <w:r>
        <w:rPr>
          <w:rFonts w:hint="eastAsia" w:ascii="宋体" w:hAnsi="宋体" w:cs="宋体"/>
          <w:color w:val="auto"/>
          <w:szCs w:val="21"/>
          <w:highlight w:val="none"/>
        </w:rPr>
        <w:t>监理人指定的接收人和接收地点见合同条款专用部分。</w:t>
      </w:r>
    </w:p>
    <w:p>
      <w:pPr>
        <w:numPr>
          <w:ilvl w:val="0"/>
          <w:numId w:val="12"/>
        </w:numPr>
        <w:autoSpaceDE w:val="0"/>
        <w:autoSpaceDN w:val="0"/>
        <w:spacing w:line="356" w:lineRule="exact"/>
        <w:ind w:right="220" w:firstLine="419"/>
        <w:rPr>
          <w:rFonts w:ascii="宋体" w:hAnsi="宋体" w:cs="宋体"/>
          <w:color w:val="auto"/>
          <w:szCs w:val="21"/>
          <w:highlight w:val="none"/>
        </w:rPr>
      </w:pPr>
      <w:r>
        <w:rPr>
          <w:rFonts w:hint="eastAsia" w:ascii="宋体" w:hAnsi="宋体" w:cs="宋体"/>
          <w:color w:val="auto"/>
          <w:szCs w:val="21"/>
          <w:highlight w:val="none"/>
        </w:rPr>
        <w:t>承包人指定的接收人为合同协议书中载明的承包人项目经理本人或者项目经理的授权代表。承包人应在收到开工通知后 7 天内，按照合同条款第 4.5.4 项的约定，将授权代表其接收来往信函的项目经理的授权代表姓名和授权范围通知监理人。除合同另有约定外， 承包人施工场地管理机构的办公地点即为承包人指定的接收地点。</w:t>
      </w:r>
    </w:p>
    <w:p>
      <w:pPr>
        <w:numPr>
          <w:ilvl w:val="0"/>
          <w:numId w:val="12"/>
        </w:numPr>
        <w:autoSpaceDE w:val="0"/>
        <w:autoSpaceDN w:val="0"/>
        <w:spacing w:line="356" w:lineRule="exact"/>
        <w:ind w:right="203" w:firstLine="419"/>
        <w:rPr>
          <w:rFonts w:ascii="宋体" w:hAnsi="宋体" w:cs="宋体"/>
          <w:color w:val="auto"/>
          <w:szCs w:val="21"/>
          <w:highlight w:val="none"/>
        </w:rPr>
      </w:pPr>
      <w:r>
        <w:rPr>
          <w:rFonts w:hint="eastAsia" w:ascii="宋体" w:hAnsi="宋体" w:cs="宋体"/>
          <w:color w:val="auto"/>
          <w:szCs w:val="21"/>
          <w:highlight w:val="none"/>
        </w:rPr>
        <w:t>发包人（包括监理人）和承包人中任何一方指定的接收人或者接收地点发生变动 ，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pPr>
        <w:numPr>
          <w:ilvl w:val="0"/>
          <w:numId w:val="12"/>
        </w:numPr>
        <w:autoSpaceDE w:val="0"/>
        <w:autoSpaceDN w:val="0"/>
        <w:spacing w:line="356" w:lineRule="exact"/>
        <w:ind w:right="310" w:firstLine="419"/>
        <w:rPr>
          <w:rFonts w:ascii="宋体" w:hAnsi="宋体" w:cs="宋体"/>
          <w:color w:val="auto"/>
          <w:szCs w:val="21"/>
          <w:highlight w:val="none"/>
        </w:rPr>
      </w:pPr>
      <w:r>
        <w:rPr>
          <w:rFonts w:hint="eastAsia" w:ascii="宋体" w:hAnsi="宋体" w:cs="宋体"/>
          <w:color w:val="auto"/>
          <w:szCs w:val="21"/>
          <w:highlight w:val="none"/>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pPr>
        <w:keepNext/>
        <w:keepLines/>
        <w:spacing w:before="135" w:after="290" w:line="356" w:lineRule="exact"/>
        <w:ind w:left="138"/>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1.8 转 让 </w:t>
      </w:r>
    </w:p>
    <w:p>
      <w:pPr>
        <w:autoSpaceDE w:val="0"/>
        <w:autoSpaceDN w:val="0"/>
        <w:spacing w:before="3" w:line="356" w:lineRule="exact"/>
        <w:rPr>
          <w:rFonts w:ascii="宋体" w:hAnsi="宋体" w:cs="宋体"/>
          <w:color w:val="auto"/>
          <w:szCs w:val="21"/>
          <w:highlight w:val="none"/>
        </w:rPr>
      </w:pPr>
      <w:r>
        <w:rPr>
          <w:rFonts w:hint="eastAsia" w:ascii="宋体" w:hAnsi="宋体" w:cs="宋体"/>
          <w:color w:val="auto"/>
          <w:szCs w:val="21"/>
          <w:highlight w:val="none"/>
        </w:rPr>
        <w:t>除合同另有约定外，未经对方当事人同意，一方当事人不得将合同权利全部或部分转让给第三人，也不得全部或部分转移合同义务。</w:t>
      </w:r>
    </w:p>
    <w:p>
      <w:pPr>
        <w:keepNext/>
        <w:keepLines/>
        <w:numPr>
          <w:ilvl w:val="1"/>
          <w:numId w:val="13"/>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 严禁贿赂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合同双方当事人不得以贿赂或变相贿赂的方式，谋取不当利益或损害对方权益。因贿赂造成对方损失的，行为人应赔偿损失，并承担相应的法律责任。</w:t>
      </w:r>
    </w:p>
    <w:p>
      <w:pPr>
        <w:keepNext/>
        <w:keepLines/>
        <w:numPr>
          <w:ilvl w:val="1"/>
          <w:numId w:val="13"/>
        </w:numPr>
        <w:spacing w:before="13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化石、文物 </w:t>
      </w:r>
    </w:p>
    <w:p>
      <w:pPr>
        <w:numPr>
          <w:ilvl w:val="2"/>
          <w:numId w:val="13"/>
        </w:numPr>
        <w:autoSpaceDE w:val="0"/>
        <w:autoSpaceDN w:val="0"/>
        <w:spacing w:before="1" w:line="356" w:lineRule="exact"/>
        <w:ind w:right="219" w:firstLine="419"/>
        <w:rPr>
          <w:rFonts w:ascii="宋体" w:hAnsi="宋体" w:cs="宋体"/>
          <w:color w:val="auto"/>
          <w:szCs w:val="21"/>
          <w:highlight w:val="none"/>
        </w:rPr>
      </w:pPr>
      <w:r>
        <w:rPr>
          <w:rFonts w:hint="eastAsia" w:ascii="宋体" w:hAnsi="宋体" w:cs="宋体"/>
          <w:color w:val="auto"/>
          <w:szCs w:val="21"/>
          <w:highlight w:val="none"/>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w:t>
      </w:r>
    </w:p>
    <w:p>
      <w:pPr>
        <w:autoSpaceDE w:val="0"/>
        <w:autoSpaceDN w:val="0"/>
        <w:spacing w:before="72" w:line="356" w:lineRule="exact"/>
        <w:ind w:left="138" w:right="220"/>
        <w:rPr>
          <w:rFonts w:ascii="宋体" w:hAnsi="宋体" w:cs="宋体"/>
          <w:color w:val="auto"/>
          <w:szCs w:val="21"/>
          <w:highlight w:val="none"/>
        </w:rPr>
      </w:pPr>
      <w:r>
        <w:rPr>
          <w:rFonts w:hint="eastAsia" w:ascii="宋体" w:hAnsi="宋体" w:cs="宋体"/>
          <w:color w:val="auto"/>
          <w:szCs w:val="21"/>
          <w:highlight w:val="none"/>
        </w:rPr>
        <w:t xml:space="preserve">发包人、监理人和承包人应按文物行政部门要求采取妥善保护措施，由此导致费用增加和（或） 工期延误由发包人承担。 </w:t>
      </w:r>
    </w:p>
    <w:p>
      <w:pPr>
        <w:numPr>
          <w:ilvl w:val="2"/>
          <w:numId w:val="1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承包人发现文物后不及时报告或隐瞒不报，致使文物丢失或损坏的，应赔偿损失，并承担相应的法律责任。</w:t>
      </w:r>
    </w:p>
    <w:p>
      <w:pPr>
        <w:keepNext/>
        <w:keepLines/>
        <w:numPr>
          <w:ilvl w:val="1"/>
          <w:numId w:val="13"/>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专利技术 </w:t>
      </w:r>
    </w:p>
    <w:p>
      <w:pPr>
        <w:numPr>
          <w:ilvl w:val="2"/>
          <w:numId w:val="13"/>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承包人在使用任何材料、承包人设备、工程设备或采用施工工艺时，因侵犯专利权或其他知识产权所引起的责任，由承包人承担，但由于遵照发包人提供的设计或技术标准和要求引起的除外。</w:t>
      </w:r>
    </w:p>
    <w:p>
      <w:pPr>
        <w:numPr>
          <w:ilvl w:val="2"/>
          <w:numId w:val="13"/>
        </w:numPr>
        <w:autoSpaceDE w:val="0"/>
        <w:autoSpaceDN w:val="0"/>
        <w:spacing w:line="356" w:lineRule="exact"/>
        <w:ind w:left="1192"/>
        <w:rPr>
          <w:rFonts w:ascii="宋体" w:hAnsi="宋体" w:cs="宋体"/>
          <w:color w:val="auto"/>
          <w:szCs w:val="21"/>
          <w:highlight w:val="none"/>
        </w:rPr>
      </w:pPr>
      <w:r>
        <w:rPr>
          <w:rFonts w:hint="eastAsia" w:ascii="宋体" w:hAnsi="宋体" w:cs="宋体"/>
          <w:color w:val="auto"/>
          <w:szCs w:val="21"/>
          <w:highlight w:val="none"/>
        </w:rPr>
        <w:t>承包人在投标文件中采用专利技术的，专利技术的使用费包含在投标报价内。</w:t>
      </w:r>
    </w:p>
    <w:p>
      <w:pPr>
        <w:numPr>
          <w:ilvl w:val="2"/>
          <w:numId w:val="13"/>
        </w:numPr>
        <w:autoSpaceDE w:val="0"/>
        <w:autoSpaceDN w:val="0"/>
        <w:spacing w:before="1"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承包人的技术秘密和声明需要保密的资料和信息，发包人和监理人不得为合同以外的目的泄露给他人。</w:t>
      </w:r>
    </w:p>
    <w:p>
      <w:pPr>
        <w:keepNext/>
        <w:keepLines/>
        <w:numPr>
          <w:ilvl w:val="1"/>
          <w:numId w:val="13"/>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图纸和文件的保密 </w:t>
      </w:r>
    </w:p>
    <w:p>
      <w:pPr>
        <w:numPr>
          <w:ilvl w:val="2"/>
          <w:numId w:val="1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发包人提供的图纸和文件，未经发包人同意，承包人不得为合同以外的目的泄露给他人或公开发表与引用。</w:t>
      </w:r>
    </w:p>
    <w:p>
      <w:pPr>
        <w:numPr>
          <w:ilvl w:val="2"/>
          <w:numId w:val="1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承包人提供的文件，未经承包人同意，发包人和监理人不得为合同以外的目的泄露给他人或公开发表与引用。</w:t>
      </w:r>
    </w:p>
    <w:p>
      <w:pPr>
        <w:keepNext/>
        <w:keepLines/>
        <w:numPr>
          <w:ilvl w:val="0"/>
          <w:numId w:val="8"/>
        </w:numPr>
        <w:spacing w:before="260" w:after="260" w:line="356" w:lineRule="exact"/>
        <w:outlineLvl w:val="1"/>
        <w:rPr>
          <w:rFonts w:ascii="Arial" w:hAnsi="Arial"/>
          <w:b/>
          <w:color w:val="auto"/>
          <w:sz w:val="28"/>
          <w:szCs w:val="24"/>
          <w:highlight w:val="none"/>
        </w:rPr>
      </w:pPr>
      <w:bookmarkStart w:id="721" w:name="_Toc20994"/>
      <w:bookmarkStart w:id="722" w:name="_Toc101357713"/>
      <w:bookmarkStart w:id="723" w:name="_Toc27284"/>
      <w:r>
        <w:rPr>
          <w:rFonts w:hint="eastAsia" w:ascii="Arial" w:hAnsi="Arial"/>
          <w:b/>
          <w:color w:val="auto"/>
          <w:sz w:val="28"/>
          <w:szCs w:val="24"/>
          <w:highlight w:val="none"/>
        </w:rPr>
        <w:t>发包人义务</w:t>
      </w:r>
      <w:bookmarkEnd w:id="721"/>
      <w:bookmarkEnd w:id="722"/>
      <w:bookmarkEnd w:id="723"/>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遵守法律 </w:t>
      </w:r>
    </w:p>
    <w:p>
      <w:pPr>
        <w:autoSpaceDE w:val="0"/>
        <w:autoSpaceDN w:val="0"/>
        <w:spacing w:line="356" w:lineRule="exact"/>
        <w:ind w:left="138" w:right="310" w:firstLine="419"/>
        <w:rPr>
          <w:rFonts w:ascii="宋体" w:hAnsi="宋体" w:cs="宋体"/>
          <w:color w:val="auto"/>
          <w:szCs w:val="21"/>
          <w:highlight w:val="none"/>
        </w:rPr>
      </w:pPr>
      <w:r>
        <w:rPr>
          <w:rFonts w:hint="eastAsia" w:ascii="宋体" w:hAnsi="宋体" w:cs="宋体"/>
          <w:color w:val="auto"/>
          <w:szCs w:val="21"/>
          <w:highlight w:val="none"/>
        </w:rPr>
        <w:t>发包人在履行合同过程中应遵守法律，并保证承包人免于承担因发包人违反法律而引起的任何责任。</w:t>
      </w:r>
    </w:p>
    <w:p>
      <w:pPr>
        <w:keepNext/>
        <w:keepLines/>
        <w:numPr>
          <w:ilvl w:val="1"/>
          <w:numId w:val="8"/>
        </w:numPr>
        <w:spacing w:before="13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发出开工通知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发包人应委托监理人按第 11.1 款的约定向承包人发出开工通知。 </w:t>
      </w:r>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提供施工场地 </w:t>
      </w:r>
    </w:p>
    <w:p>
      <w:pPr>
        <w:autoSpaceDE w:val="0"/>
        <w:autoSpaceDN w:val="0"/>
        <w:spacing w:line="356" w:lineRule="exact"/>
        <w:ind w:left="138" w:right="220" w:firstLine="419"/>
        <w:rPr>
          <w:rFonts w:ascii="宋体" w:hAnsi="宋体"/>
          <w:color w:val="auto"/>
          <w:sz w:val="24"/>
          <w:szCs w:val="24"/>
          <w:highlight w:val="none"/>
        </w:rPr>
      </w:pPr>
      <w:r>
        <w:rPr>
          <w:rFonts w:hint="eastAsia" w:ascii="宋体" w:hAnsi="宋体" w:cs="宋体"/>
          <w:color w:val="auto"/>
          <w:szCs w:val="21"/>
          <w:highlight w:val="none"/>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协助承包人办理证件和批件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发包人应协助承包人办理法律规定的有关施工证件和批件。 </w:t>
      </w:r>
    </w:p>
    <w:p>
      <w:pPr>
        <w:keepNext/>
        <w:keepLines/>
        <w:numPr>
          <w:ilvl w:val="1"/>
          <w:numId w:val="8"/>
        </w:numPr>
        <w:spacing w:before="1"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组织设计交底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发包人应根据批准的合同进度计划，组织设计单位向承包人进行设计交底。 </w:t>
      </w:r>
    </w:p>
    <w:p>
      <w:pPr>
        <w:autoSpaceDE w:val="0"/>
        <w:autoSpaceDN w:val="0"/>
        <w:spacing w:line="356" w:lineRule="exact"/>
        <w:ind w:left="138" w:right="325" w:firstLine="419"/>
        <w:rPr>
          <w:rFonts w:ascii="宋体" w:hAnsi="宋体" w:cs="宋体"/>
          <w:color w:val="auto"/>
          <w:szCs w:val="21"/>
          <w:highlight w:val="none"/>
        </w:rPr>
      </w:pPr>
      <w:r>
        <w:rPr>
          <w:rFonts w:hint="eastAsia" w:ascii="宋体" w:hAnsi="宋体" w:cs="宋体"/>
          <w:color w:val="auto"/>
          <w:szCs w:val="21"/>
          <w:highlight w:val="none"/>
        </w:rPr>
        <w:t>发包人应在第 11.1.1 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支付合同价款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发包人应按合同约定向承包人及时支付合同价款。 </w:t>
      </w:r>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组织竣工验收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发包人应按合同约定及时组织竣工验收。</w:t>
      </w:r>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向承包人提交支付担保 </w:t>
      </w:r>
    </w:p>
    <w:p>
      <w:pPr>
        <w:autoSpaceDE w:val="0"/>
        <w:autoSpaceDN w:val="0"/>
        <w:spacing w:line="356" w:lineRule="exact"/>
        <w:ind w:left="138" w:right="309" w:firstLine="220" w:firstLineChars="100"/>
        <w:rPr>
          <w:rFonts w:ascii="宋体" w:hAnsi="宋体" w:cs="宋体"/>
          <w:color w:val="auto"/>
          <w:szCs w:val="21"/>
          <w:highlight w:val="none"/>
        </w:rPr>
      </w:pPr>
      <w:r>
        <w:rPr>
          <w:rFonts w:hint="eastAsia" w:ascii="宋体" w:hAnsi="宋体" w:cs="宋体"/>
          <w:color w:val="auto"/>
          <w:szCs w:val="21"/>
          <w:highlight w:val="none"/>
        </w:rPr>
        <w:t>（1）发包人要求承包人提交履约担保的，除合同条款专用部分另有约定的，在承包人按合同条款第 4.2 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pPr>
        <w:autoSpaceDE w:val="0"/>
        <w:autoSpaceDN w:val="0"/>
        <w:spacing w:line="356" w:lineRule="exact"/>
        <w:ind w:left="138" w:firstLine="220" w:firstLineChars="100"/>
        <w:rPr>
          <w:rFonts w:ascii="宋体" w:hAnsi="宋体" w:cs="宋体"/>
          <w:color w:val="auto"/>
          <w:szCs w:val="21"/>
          <w:highlight w:val="none"/>
        </w:rPr>
      </w:pPr>
      <w:r>
        <w:rPr>
          <w:rFonts w:hint="eastAsia" w:ascii="宋体" w:hAnsi="宋体" w:cs="宋体"/>
          <w:color w:val="auto"/>
          <w:szCs w:val="21"/>
          <w:highlight w:val="none"/>
        </w:rPr>
        <w:t>（2）支付担保的有效期应当自本合同生效之日起至发包人实际支付竣工付款之日止。</w:t>
      </w:r>
    </w:p>
    <w:p>
      <w:pPr>
        <w:autoSpaceDE w:val="0"/>
        <w:autoSpaceDN w:val="0"/>
        <w:spacing w:line="356" w:lineRule="exact"/>
        <w:ind w:left="138" w:right="309" w:firstLine="220" w:firstLineChars="100"/>
        <w:rPr>
          <w:rFonts w:ascii="宋体" w:hAnsi="宋体" w:cs="宋体"/>
          <w:color w:val="auto"/>
          <w:szCs w:val="21"/>
          <w:highlight w:val="none"/>
        </w:rPr>
      </w:pPr>
      <w:r>
        <w:rPr>
          <w:rFonts w:hint="eastAsia" w:ascii="宋体" w:hAnsi="宋体" w:cs="宋体"/>
          <w:color w:val="auto"/>
          <w:szCs w:val="21"/>
          <w:highlight w:val="none"/>
        </w:rPr>
        <w:t>（3）发包人无法获得一份不带具体截止日期的履约担保，支付担保中应当约定有“变更工程竣工付款支付日期的，保证期间按照变更后的竣工付款支付日期做相应调整”或类似约定的条款。</w:t>
      </w:r>
    </w:p>
    <w:p>
      <w:pPr>
        <w:autoSpaceDE w:val="0"/>
        <w:autoSpaceDN w:val="0"/>
        <w:spacing w:line="356" w:lineRule="exact"/>
        <w:ind w:left="138" w:right="311" w:firstLine="220" w:firstLineChars="100"/>
        <w:rPr>
          <w:rFonts w:ascii="宋体" w:hAnsi="宋体" w:cs="宋体"/>
          <w:color w:val="auto"/>
          <w:szCs w:val="21"/>
          <w:highlight w:val="none"/>
        </w:rPr>
      </w:pPr>
      <w:r>
        <w:rPr>
          <w:rFonts w:hint="eastAsia" w:ascii="宋体" w:hAnsi="宋体" w:cs="宋体"/>
          <w:color w:val="auto"/>
          <w:szCs w:val="21"/>
          <w:highlight w:val="none"/>
        </w:rPr>
        <w:t>（4）支付担保应当在发包人付清竣工付款之日后 28 天内退还给发包人；承包人不承 担发包人与支付担保有关的任何利息或其它类似的费用或者收益。</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办理工程质量监督手续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发包人应按有关规定及时办理工程质量监督手续。 </w:t>
      </w:r>
    </w:p>
    <w:p>
      <w:pPr>
        <w:keepNext/>
        <w:keepLines/>
        <w:numPr>
          <w:ilvl w:val="1"/>
          <w:numId w:val="8"/>
        </w:numPr>
        <w:spacing w:before="6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环境保护责任 </w:t>
      </w:r>
    </w:p>
    <w:p>
      <w:pPr>
        <w:autoSpaceDE w:val="0"/>
        <w:autoSpaceDN w:val="0"/>
        <w:spacing w:line="356" w:lineRule="exact"/>
        <w:ind w:left="452"/>
        <w:rPr>
          <w:rFonts w:ascii="宋体" w:hAnsi="宋体" w:cs="宋体"/>
          <w:color w:val="auto"/>
          <w:szCs w:val="21"/>
          <w:highlight w:val="none"/>
        </w:rPr>
      </w:pPr>
      <w:r>
        <w:rPr>
          <w:rFonts w:hint="eastAsia" w:ascii="宋体" w:hAnsi="宋体" w:cs="宋体"/>
          <w:color w:val="auto"/>
          <w:szCs w:val="21"/>
          <w:highlight w:val="none"/>
        </w:rPr>
        <w:t xml:space="preserve">发包人对建筑垃圾处理、施工扬尘治理以及疫情防控常态化管理负总责。 </w:t>
      </w:r>
    </w:p>
    <w:p>
      <w:pPr>
        <w:keepNext/>
        <w:keepLines/>
        <w:numPr>
          <w:ilvl w:val="1"/>
          <w:numId w:val="8"/>
        </w:numPr>
        <w:spacing w:before="1"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移交工程档案 </w:t>
      </w:r>
    </w:p>
    <w:p>
      <w:pPr>
        <w:autoSpaceDE w:val="0"/>
        <w:autoSpaceDN w:val="0"/>
        <w:spacing w:line="356" w:lineRule="exact"/>
        <w:ind w:left="138" w:right="219" w:firstLine="419"/>
        <w:rPr>
          <w:rFonts w:ascii="宋体" w:hAnsi="宋体" w:cs="宋体"/>
          <w:color w:val="auto"/>
          <w:szCs w:val="21"/>
          <w:highlight w:val="none"/>
        </w:rPr>
      </w:pPr>
      <w:r>
        <w:rPr>
          <w:rFonts w:hint="eastAsia" w:ascii="宋体" w:hAnsi="宋体" w:cs="宋体"/>
          <w:color w:val="auto"/>
          <w:szCs w:val="21"/>
          <w:highlight w:val="none"/>
        </w:rPr>
        <w:t>发包人应根据建设行政主管部门和（或）城市建设档案管理机构的规定，收集、整理、立卷、归档工程资料，并按规定时间向建设行政主管部门或者城市建设档案管理机构移交规定的工程档案。</w:t>
      </w:r>
    </w:p>
    <w:p>
      <w:pPr>
        <w:keepNext/>
        <w:keepLines/>
        <w:numPr>
          <w:ilvl w:val="1"/>
          <w:numId w:val="8"/>
        </w:numPr>
        <w:spacing w:before="13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批准和确认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其他义务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发包人应履行的其他义务见合同条款专用部分。</w:t>
      </w:r>
    </w:p>
    <w:p>
      <w:pPr>
        <w:keepNext/>
        <w:keepLines/>
        <w:numPr>
          <w:ilvl w:val="0"/>
          <w:numId w:val="8"/>
        </w:numPr>
        <w:spacing w:before="260" w:after="260" w:line="356" w:lineRule="exact"/>
        <w:outlineLvl w:val="1"/>
        <w:rPr>
          <w:rFonts w:ascii="Arial" w:hAnsi="Arial"/>
          <w:b/>
          <w:color w:val="auto"/>
          <w:sz w:val="28"/>
          <w:szCs w:val="24"/>
          <w:highlight w:val="none"/>
        </w:rPr>
      </w:pPr>
      <w:bookmarkStart w:id="724" w:name="_Toc15612"/>
      <w:bookmarkStart w:id="725" w:name="_Toc101357714"/>
      <w:bookmarkStart w:id="726" w:name="_Toc30242"/>
      <w:r>
        <w:rPr>
          <w:rFonts w:hint="eastAsia" w:ascii="Arial" w:hAnsi="Arial"/>
          <w:b/>
          <w:color w:val="auto"/>
          <w:sz w:val="28"/>
          <w:szCs w:val="24"/>
          <w:highlight w:val="none"/>
        </w:rPr>
        <w:t>监理人</w:t>
      </w:r>
      <w:bookmarkEnd w:id="724"/>
      <w:bookmarkEnd w:id="725"/>
      <w:bookmarkEnd w:id="726"/>
    </w:p>
    <w:p>
      <w:pPr>
        <w:keepNext/>
        <w:keepLines/>
        <w:numPr>
          <w:ilvl w:val="1"/>
          <w:numId w:val="8"/>
        </w:numPr>
        <w:spacing w:line="356" w:lineRule="exact"/>
        <w:ind w:hanging="363"/>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监理人的职责和权力 </w:t>
      </w:r>
    </w:p>
    <w:p>
      <w:pPr>
        <w:autoSpaceDE w:val="0"/>
        <w:autoSpaceDN w:val="0"/>
        <w:spacing w:before="1" w:line="356" w:lineRule="exact"/>
        <w:ind w:left="138" w:right="309" w:firstLine="220" w:firstLineChars="100"/>
        <w:rPr>
          <w:rFonts w:ascii="宋体" w:hAnsi="宋体" w:cs="宋体"/>
          <w:color w:val="auto"/>
          <w:szCs w:val="21"/>
          <w:highlight w:val="none"/>
        </w:rPr>
      </w:pPr>
      <w:r>
        <w:rPr>
          <w:rFonts w:hint="eastAsia" w:ascii="宋体" w:hAnsi="宋体" w:cs="宋体"/>
          <w:color w:val="auto"/>
          <w:szCs w:val="21"/>
          <w:highlight w:val="none"/>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pPr>
        <w:autoSpaceDE w:val="0"/>
        <w:autoSpaceDN w:val="0"/>
        <w:spacing w:line="356" w:lineRule="exact"/>
        <w:ind w:left="138" w:right="309" w:firstLine="220" w:firstLineChars="100"/>
        <w:rPr>
          <w:rFonts w:ascii="宋体" w:hAnsi="宋体" w:cs="宋体"/>
          <w:color w:val="auto"/>
          <w:szCs w:val="21"/>
          <w:highlight w:val="none"/>
        </w:rPr>
      </w:pPr>
      <w:r>
        <w:rPr>
          <w:rFonts w:hint="eastAsia" w:ascii="宋体" w:hAnsi="宋体" w:cs="宋体"/>
          <w:color w:val="auto"/>
          <w:szCs w:val="21"/>
          <w:highlight w:val="none"/>
        </w:rPr>
        <w:t>3.1.2 监理人发出的任何指示应视为已得到发包人的批准，但监理人无权免除或变更合同约定的发包人和承包人的权利、义务和责任。</w:t>
      </w:r>
    </w:p>
    <w:p>
      <w:pPr>
        <w:autoSpaceDE w:val="0"/>
        <w:autoSpaceDN w:val="0"/>
        <w:spacing w:line="356" w:lineRule="exact"/>
        <w:ind w:left="138" w:right="309" w:firstLine="220" w:firstLineChars="100"/>
        <w:rPr>
          <w:rFonts w:ascii="宋体" w:hAnsi="宋体" w:cs="宋体"/>
          <w:color w:val="auto"/>
          <w:szCs w:val="21"/>
          <w:highlight w:val="none"/>
        </w:rPr>
      </w:pPr>
      <w:r>
        <w:rPr>
          <w:rFonts w:hint="eastAsia" w:ascii="宋体" w:hAnsi="宋体" w:cs="宋体"/>
          <w:color w:val="auto"/>
          <w:szCs w:val="21"/>
          <w:highlight w:val="none"/>
        </w:rPr>
        <w:t>3.1.3 合同约定应由承包人承担的义务和责任，不因监理人对承包人提交文件的审查或批准，对工程、材料和设备的检查和检验，以及为实施监理作出的指示等职务行为而减轻或解除。</w:t>
      </w:r>
    </w:p>
    <w:p>
      <w:pPr>
        <w:autoSpaceDE w:val="0"/>
        <w:autoSpaceDN w:val="0"/>
        <w:spacing w:line="356" w:lineRule="exact"/>
        <w:ind w:left="138" w:right="309" w:firstLine="220" w:firstLineChars="100"/>
        <w:rPr>
          <w:rFonts w:ascii="宋体" w:hAnsi="宋体" w:cs="宋体"/>
          <w:color w:val="auto"/>
          <w:highlight w:val="none"/>
        </w:rPr>
      </w:pPr>
      <w:r>
        <w:rPr>
          <w:rFonts w:hint="eastAsia" w:ascii="宋体" w:hAnsi="宋体" w:cs="宋体"/>
          <w:color w:val="auto"/>
          <w:szCs w:val="21"/>
          <w:highlight w:val="none"/>
        </w:rPr>
        <w:t>3.1.4 监理人负责审查施工现场疫情常态化防控工作方案，检查落实情况并提出合理化建议。</w:t>
      </w:r>
    </w:p>
    <w:p>
      <w:pPr>
        <w:keepNext/>
        <w:keepLines/>
        <w:numPr>
          <w:ilvl w:val="1"/>
          <w:numId w:val="8"/>
        </w:numPr>
        <w:spacing w:before="66" w:line="356" w:lineRule="exact"/>
        <w:ind w:hanging="363"/>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总监理工程师 </w:t>
      </w:r>
    </w:p>
    <w:p>
      <w:pPr>
        <w:autoSpaceDE w:val="0"/>
        <w:autoSpaceDN w:val="0"/>
        <w:spacing w:line="356" w:lineRule="exact"/>
        <w:ind w:left="138" w:right="206" w:firstLine="419"/>
        <w:rPr>
          <w:rFonts w:ascii="宋体" w:hAnsi="宋体" w:cs="宋体"/>
          <w:color w:val="auto"/>
          <w:szCs w:val="21"/>
          <w:highlight w:val="none"/>
        </w:rPr>
      </w:pPr>
      <w:r>
        <w:rPr>
          <w:rFonts w:hint="eastAsia" w:ascii="宋体" w:hAnsi="宋体" w:cs="宋体"/>
          <w:color w:val="auto"/>
          <w:szCs w:val="21"/>
          <w:highlight w:val="none"/>
        </w:rPr>
        <w:t>发包人应在发出开工通知前将总监理工程师的任命通知承包人。总监理工程师更换时， 应在调离 14 天前通知承包人。总监理工程师短期离开施工场地的，应委派代表代行其职责， 并通知承包人。</w:t>
      </w:r>
    </w:p>
    <w:p>
      <w:pPr>
        <w:keepNext/>
        <w:keepLines/>
        <w:numPr>
          <w:ilvl w:val="1"/>
          <w:numId w:val="8"/>
        </w:numPr>
        <w:spacing w:before="135" w:line="356" w:lineRule="exact"/>
        <w:ind w:hanging="363"/>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监理人员 </w:t>
      </w:r>
    </w:p>
    <w:p>
      <w:pPr>
        <w:autoSpaceDE w:val="0"/>
        <w:autoSpaceDN w:val="0"/>
        <w:spacing w:line="356" w:lineRule="exact"/>
        <w:ind w:left="138" w:right="308"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 </w:t>
      </w:r>
    </w:p>
    <w:p>
      <w:pPr>
        <w:autoSpaceDE w:val="0"/>
        <w:autoSpaceDN w:val="0"/>
        <w:spacing w:line="356" w:lineRule="exact"/>
        <w:ind w:left="138" w:right="203" w:firstLine="440" w:firstLineChars="200"/>
        <w:rPr>
          <w:rFonts w:ascii="宋体" w:hAnsi="宋体" w:cs="宋体"/>
          <w:color w:val="auto"/>
          <w:szCs w:val="21"/>
          <w:highlight w:val="none"/>
        </w:rPr>
      </w:pPr>
      <w:r>
        <w:rPr>
          <w:rFonts w:hint="eastAsia" w:ascii="宋体" w:hAnsi="宋体" w:cs="宋体"/>
          <w:color w:val="auto"/>
          <w:szCs w:val="21"/>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autoSpaceDE w:val="0"/>
        <w:autoSpaceDN w:val="0"/>
        <w:spacing w:line="356" w:lineRule="exact"/>
        <w:ind w:left="138" w:right="309" w:firstLine="440" w:firstLineChars="200"/>
        <w:rPr>
          <w:rFonts w:ascii="宋体" w:hAnsi="宋体" w:cs="宋体"/>
          <w:color w:val="auto"/>
          <w:szCs w:val="21"/>
          <w:highlight w:val="none"/>
        </w:rPr>
      </w:pPr>
      <w:r>
        <w:rPr>
          <w:rFonts w:hint="eastAsia" w:ascii="宋体" w:hAnsi="宋体" w:cs="宋体"/>
          <w:color w:val="auto"/>
          <w:szCs w:val="21"/>
          <w:highlight w:val="none"/>
        </w:rPr>
        <w:t>3.3.3 承包人对总监理工程师授权的监理人员发出的指示有疑问的，可向总监理工程师提出书面异议，总监理工程师应在 48 小时内对该指示予以确认、更改或撤销。</w:t>
      </w:r>
    </w:p>
    <w:p>
      <w:pPr>
        <w:autoSpaceDE w:val="0"/>
        <w:autoSpaceDN w:val="0"/>
        <w:spacing w:line="356" w:lineRule="exact"/>
        <w:ind w:left="138" w:right="311" w:firstLine="440" w:firstLineChars="200"/>
        <w:rPr>
          <w:rFonts w:ascii="宋体" w:hAnsi="宋体" w:cs="宋体"/>
          <w:color w:val="auto"/>
          <w:szCs w:val="21"/>
          <w:highlight w:val="none"/>
        </w:rPr>
      </w:pPr>
      <w:r>
        <w:rPr>
          <w:rFonts w:hint="eastAsia" w:ascii="宋体" w:hAnsi="宋体" w:cs="宋体"/>
          <w:color w:val="auto"/>
          <w:szCs w:val="21"/>
          <w:highlight w:val="none"/>
        </w:rPr>
        <w:t>3.3.4 总监理工程师不应将合同条款通用部分第 3.5 款约定应由总监理工程师作出确定的权力授权或者委托给其他监理人员。</w:t>
      </w:r>
    </w:p>
    <w:p>
      <w:pPr>
        <w:keepNext/>
        <w:keepLines/>
        <w:numPr>
          <w:ilvl w:val="1"/>
          <w:numId w:val="8"/>
        </w:numPr>
        <w:spacing w:before="135" w:line="356" w:lineRule="exact"/>
        <w:ind w:hanging="363"/>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监理人的指示 </w:t>
      </w:r>
    </w:p>
    <w:p>
      <w:pPr>
        <w:numPr>
          <w:ilvl w:val="2"/>
          <w:numId w:val="14"/>
        </w:numPr>
        <w:autoSpaceDE w:val="0"/>
        <w:autoSpaceDN w:val="0"/>
        <w:spacing w:before="1" w:line="356" w:lineRule="exact"/>
        <w:rPr>
          <w:rFonts w:ascii="宋体" w:hAnsi="宋体" w:cs="宋体"/>
          <w:color w:val="auto"/>
          <w:szCs w:val="21"/>
          <w:highlight w:val="none"/>
        </w:rPr>
      </w:pPr>
      <w:r>
        <w:rPr>
          <w:rFonts w:hint="eastAsia" w:ascii="宋体" w:hAnsi="宋体" w:cs="宋体"/>
          <w:color w:val="auto"/>
          <w:szCs w:val="21"/>
          <w:highlight w:val="none"/>
        </w:rPr>
        <w:t>监理人应按第 3.1 款的约定向承包人发出指示，监理人的指示应加盖监理人授</w:t>
      </w:r>
    </w:p>
    <w:p>
      <w:pPr>
        <w:autoSpaceDE w:val="0"/>
        <w:autoSpaceDN w:val="0"/>
        <w:spacing w:line="356" w:lineRule="exact"/>
        <w:ind w:left="138" w:right="309"/>
        <w:rPr>
          <w:rFonts w:ascii="宋体" w:hAnsi="宋体" w:cs="宋体"/>
          <w:color w:val="auto"/>
          <w:szCs w:val="21"/>
          <w:highlight w:val="none"/>
        </w:rPr>
      </w:pPr>
      <w:r>
        <w:rPr>
          <w:rFonts w:hint="eastAsia" w:ascii="宋体" w:hAnsi="宋体" w:cs="宋体"/>
          <w:color w:val="auto"/>
          <w:szCs w:val="21"/>
          <w:highlight w:val="none"/>
        </w:rPr>
        <w:t>权的施工场地机构章，并由总监理工程师或总监理工程师按第 3.3.1 项约定授权的监理人员签字。</w:t>
      </w:r>
    </w:p>
    <w:p>
      <w:pPr>
        <w:numPr>
          <w:ilvl w:val="2"/>
          <w:numId w:val="14"/>
        </w:numPr>
        <w:autoSpaceDE w:val="0"/>
        <w:autoSpaceDN w:val="0"/>
        <w:spacing w:before="1" w:line="356" w:lineRule="exact"/>
        <w:rPr>
          <w:rFonts w:ascii="宋体" w:hAnsi="宋体" w:cs="宋体"/>
          <w:color w:val="auto"/>
          <w:szCs w:val="21"/>
          <w:highlight w:val="none"/>
        </w:rPr>
      </w:pPr>
      <w:r>
        <w:rPr>
          <w:rFonts w:hint="eastAsia" w:ascii="宋体" w:hAnsi="宋体" w:cs="宋体"/>
          <w:color w:val="auto"/>
          <w:szCs w:val="21"/>
          <w:highlight w:val="none"/>
        </w:rPr>
        <w:t>承包人收到监理人按第 3.4.1 项作出的指示后，应遵照执行。指示构成变更的，</w:t>
      </w:r>
    </w:p>
    <w:p>
      <w:pPr>
        <w:autoSpaceDE w:val="0"/>
        <w:autoSpaceDN w:val="0"/>
        <w:spacing w:line="356" w:lineRule="exact"/>
        <w:ind w:left="138"/>
        <w:rPr>
          <w:rFonts w:ascii="宋体" w:hAnsi="宋体" w:cs="宋体"/>
          <w:color w:val="auto"/>
          <w:szCs w:val="21"/>
          <w:highlight w:val="none"/>
        </w:rPr>
      </w:pPr>
      <w:r>
        <w:rPr>
          <w:rFonts w:hint="eastAsia" w:ascii="宋体" w:hAnsi="宋体" w:cs="宋体"/>
          <w:color w:val="auto"/>
          <w:szCs w:val="21"/>
          <w:highlight w:val="none"/>
        </w:rPr>
        <w:t>应按第 15 条处理。</w:t>
      </w:r>
    </w:p>
    <w:p>
      <w:pPr>
        <w:numPr>
          <w:ilvl w:val="2"/>
          <w:numId w:val="14"/>
        </w:num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小时内未予答复的，该书面确认函应被视为监理人的正式指示。</w:t>
      </w:r>
    </w:p>
    <w:p>
      <w:pPr>
        <w:numPr>
          <w:ilvl w:val="2"/>
          <w:numId w:val="14"/>
        </w:numPr>
        <w:autoSpaceDE w:val="0"/>
        <w:autoSpaceDN w:val="0"/>
        <w:spacing w:line="356" w:lineRule="exact"/>
        <w:ind w:left="138" w:right="309" w:firstLine="419"/>
        <w:rPr>
          <w:rFonts w:ascii="宋体" w:hAnsi="宋体" w:cs="宋体"/>
          <w:color w:val="auto"/>
          <w:sz w:val="23"/>
          <w:szCs w:val="23"/>
          <w:highlight w:val="none"/>
        </w:rPr>
      </w:pPr>
      <w:r>
        <w:rPr>
          <w:rFonts w:hint="eastAsia" w:ascii="宋体" w:hAnsi="宋体" w:cs="宋体"/>
          <w:color w:val="auto"/>
          <w:szCs w:val="21"/>
          <w:highlight w:val="none"/>
        </w:rPr>
        <w:t>除合同另有约定外，承包人只从总监理工程师或按第 3.3.1 项被授权的监理人员处取得指示。</w:t>
      </w:r>
    </w:p>
    <w:p>
      <w:pPr>
        <w:numPr>
          <w:ilvl w:val="2"/>
          <w:numId w:val="14"/>
        </w:numPr>
        <w:autoSpaceDE w:val="0"/>
        <w:autoSpaceDN w:val="0"/>
        <w:spacing w:before="72"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由于监理人未能按合同约定发出指示、指示延误或指示错误而导致承包人费用增加和（或）工期延误的，由发包人承担赔偿责任。 </w:t>
      </w:r>
    </w:p>
    <w:p>
      <w:pPr>
        <w:keepNext/>
        <w:keepLines/>
        <w:numPr>
          <w:ilvl w:val="1"/>
          <w:numId w:val="8"/>
        </w:numPr>
        <w:spacing w:before="135" w:line="356" w:lineRule="exact"/>
        <w:ind w:hanging="363"/>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商定或确定 </w:t>
      </w:r>
    </w:p>
    <w:p>
      <w:pPr>
        <w:autoSpaceDE w:val="0"/>
        <w:autoSpaceDN w:val="0"/>
        <w:spacing w:line="356" w:lineRule="exact"/>
        <w:ind w:left="136" w:right="306" w:firstLine="420"/>
        <w:rPr>
          <w:rFonts w:ascii="宋体" w:hAnsi="宋体" w:cs="宋体"/>
          <w:color w:val="auto"/>
          <w:szCs w:val="21"/>
          <w:highlight w:val="none"/>
        </w:rPr>
      </w:pPr>
      <w:r>
        <w:rPr>
          <w:rFonts w:hint="eastAsia" w:ascii="宋体" w:hAnsi="宋体" w:cs="宋体"/>
          <w:color w:val="auto"/>
          <w:szCs w:val="21"/>
          <w:highlight w:val="none"/>
        </w:rPr>
        <w:t>3.5.1 总监理工程师应按照本款对任何事项进行商定或确定时，总监理工程师应与合同当事人协商，尽量达成一致。不能达成一致的，总监理工程师应认真研究后审慎确定。</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3.5.2 总监理工程师应将商定或确定的事项通知合同当事人，并附详细依据。对总监理工程师的确定有异议的，构成争议，按照第 24 条的约定处理。在争议解决前，双方应暂按总监理工程师的确定执行；按照第 24 条的约定对总监理工程师的确定需要作出修改的， 按修改后的结果执行。</w:t>
      </w:r>
    </w:p>
    <w:p>
      <w:pPr>
        <w:keepNext/>
        <w:keepLines/>
        <w:numPr>
          <w:ilvl w:val="1"/>
          <w:numId w:val="8"/>
        </w:numPr>
        <w:spacing w:before="135" w:line="356" w:lineRule="exact"/>
        <w:ind w:hanging="363"/>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监理人的宽恕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pPr>
        <w:keepNext/>
        <w:keepLines/>
        <w:numPr>
          <w:ilvl w:val="0"/>
          <w:numId w:val="8"/>
        </w:numPr>
        <w:spacing w:before="260" w:after="260" w:line="356" w:lineRule="exact"/>
        <w:outlineLvl w:val="1"/>
        <w:rPr>
          <w:rFonts w:ascii="Arial" w:hAnsi="Arial"/>
          <w:b/>
          <w:color w:val="auto"/>
          <w:sz w:val="28"/>
          <w:szCs w:val="24"/>
          <w:highlight w:val="none"/>
        </w:rPr>
      </w:pPr>
      <w:bookmarkStart w:id="727" w:name="_Toc24847"/>
      <w:bookmarkStart w:id="728" w:name="_Toc101357715"/>
      <w:bookmarkStart w:id="729" w:name="_Toc18796"/>
      <w:r>
        <w:rPr>
          <w:rFonts w:hint="eastAsia" w:ascii="Arial" w:hAnsi="Arial"/>
          <w:b/>
          <w:color w:val="auto"/>
          <w:sz w:val="28"/>
          <w:szCs w:val="24"/>
          <w:highlight w:val="none"/>
        </w:rPr>
        <w:t>承包人</w:t>
      </w:r>
      <w:bookmarkEnd w:id="727"/>
      <w:bookmarkEnd w:id="728"/>
      <w:bookmarkEnd w:id="729"/>
    </w:p>
    <w:p>
      <w:pPr>
        <w:keepNext/>
        <w:keepLines/>
        <w:numPr>
          <w:ilvl w:val="1"/>
          <w:numId w:val="8"/>
        </w:numPr>
        <w:spacing w:before="1" w:line="356" w:lineRule="exact"/>
        <w:ind w:hanging="363"/>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承包人的一般义务 </w:t>
      </w:r>
    </w:p>
    <w:p>
      <w:pPr>
        <w:numPr>
          <w:ilvl w:val="2"/>
          <w:numId w:val="15"/>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遵守法律</w:t>
      </w:r>
    </w:p>
    <w:p>
      <w:pPr>
        <w:autoSpaceDE w:val="0"/>
        <w:autoSpaceDN w:val="0"/>
        <w:spacing w:line="356" w:lineRule="exact"/>
        <w:ind w:left="138" w:right="310" w:firstLine="419"/>
        <w:rPr>
          <w:rFonts w:ascii="宋体" w:hAnsi="宋体" w:cs="宋体"/>
          <w:color w:val="auto"/>
          <w:szCs w:val="21"/>
          <w:highlight w:val="none"/>
        </w:rPr>
      </w:pPr>
      <w:r>
        <w:rPr>
          <w:rFonts w:hint="eastAsia" w:ascii="宋体" w:hAnsi="宋体" w:cs="宋体"/>
          <w:color w:val="auto"/>
          <w:szCs w:val="21"/>
          <w:highlight w:val="none"/>
        </w:rPr>
        <w:t>承包人在履行合同过程中应遵守法律，并保证发包人免于承担因承包人违反法律而引起的任何责任。</w:t>
      </w:r>
    </w:p>
    <w:p>
      <w:pPr>
        <w:numPr>
          <w:ilvl w:val="2"/>
          <w:numId w:val="15"/>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依法纳税 </w:t>
      </w:r>
    </w:p>
    <w:p>
      <w:pPr>
        <w:autoSpaceDE w:val="0"/>
        <w:autoSpaceDN w:val="0"/>
        <w:spacing w:line="356" w:lineRule="exact"/>
        <w:ind w:left="138" w:right="310" w:firstLine="419"/>
        <w:rPr>
          <w:rFonts w:ascii="宋体" w:hAnsi="宋体" w:cs="宋体"/>
          <w:color w:val="auto"/>
          <w:szCs w:val="21"/>
          <w:highlight w:val="none"/>
        </w:rPr>
      </w:pPr>
      <w:r>
        <w:rPr>
          <w:rFonts w:hint="eastAsia" w:ascii="宋体" w:hAnsi="宋体" w:cs="宋体"/>
          <w:color w:val="auto"/>
          <w:szCs w:val="21"/>
          <w:highlight w:val="none"/>
        </w:rPr>
        <w:t>承包人应按有关法律规定纳税，应缴纳的税金包括在合同价格内。</w:t>
      </w:r>
    </w:p>
    <w:p>
      <w:pPr>
        <w:autoSpaceDE w:val="0"/>
        <w:autoSpaceDN w:val="0"/>
        <w:spacing w:line="356" w:lineRule="exact"/>
        <w:ind w:left="558" w:right="2006"/>
        <w:rPr>
          <w:rFonts w:ascii="宋体" w:hAnsi="宋体" w:cs="宋体"/>
          <w:color w:val="auto"/>
          <w:szCs w:val="21"/>
          <w:highlight w:val="none"/>
        </w:rPr>
      </w:pPr>
      <w:r>
        <w:rPr>
          <w:rFonts w:hint="eastAsia" w:ascii="宋体" w:hAnsi="宋体" w:cs="宋体"/>
          <w:color w:val="auto"/>
          <w:szCs w:val="21"/>
          <w:highlight w:val="none"/>
        </w:rPr>
        <w:t xml:space="preserve">4.1.3 完成各项承包工作 </w:t>
      </w:r>
    </w:p>
    <w:p>
      <w:pPr>
        <w:numPr>
          <w:ilvl w:val="0"/>
          <w:numId w:val="16"/>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承包人应按合同约定以及监理人根据第 3.4 款作出的指示，实施、完成全部工程，</w:t>
      </w:r>
    </w:p>
    <w:p>
      <w:pPr>
        <w:autoSpaceDE w:val="0"/>
        <w:autoSpaceDN w:val="0"/>
        <w:spacing w:line="356" w:lineRule="exact"/>
        <w:ind w:left="138" w:right="220"/>
        <w:rPr>
          <w:rFonts w:ascii="宋体" w:hAnsi="宋体" w:cs="宋体"/>
          <w:color w:val="auto"/>
          <w:szCs w:val="21"/>
          <w:highlight w:val="none"/>
        </w:rPr>
      </w:pPr>
      <w:r>
        <w:rPr>
          <w:rFonts w:hint="eastAsia" w:ascii="宋体" w:hAnsi="宋体" w:cs="宋体"/>
          <w:color w:val="auto"/>
          <w:szCs w:val="21"/>
          <w:highlight w:val="none"/>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pPr>
        <w:numPr>
          <w:ilvl w:val="0"/>
          <w:numId w:val="16"/>
        </w:numPr>
        <w:autoSpaceDE w:val="0"/>
        <w:autoSpaceDN w:val="0"/>
        <w:spacing w:line="356" w:lineRule="exact"/>
        <w:rPr>
          <w:rFonts w:ascii="宋体" w:hAnsi="宋体" w:cs="宋体"/>
          <w:color w:val="auto"/>
          <w:sz w:val="23"/>
          <w:szCs w:val="23"/>
          <w:highlight w:val="none"/>
        </w:rPr>
      </w:pPr>
      <w:r>
        <w:rPr>
          <w:rFonts w:hint="eastAsia" w:ascii="宋体" w:hAnsi="宋体" w:cs="宋体"/>
          <w:color w:val="auto"/>
          <w:szCs w:val="21"/>
          <w:highlight w:val="none"/>
        </w:rPr>
        <w:t>承包人应当依法合规建立施工扬尘综合治理、建筑垃圾、土方和砂石清运与消纳、</w:t>
      </w:r>
    </w:p>
    <w:p>
      <w:pPr>
        <w:autoSpaceDE w:val="0"/>
        <w:autoSpaceDN w:val="0"/>
        <w:spacing w:before="72" w:line="356" w:lineRule="exact"/>
        <w:ind w:left="138" w:right="308"/>
        <w:rPr>
          <w:rFonts w:ascii="宋体" w:hAnsi="宋体" w:cs="宋体"/>
          <w:color w:val="auto"/>
          <w:szCs w:val="21"/>
          <w:highlight w:val="none"/>
        </w:rPr>
      </w:pPr>
      <w:r>
        <w:rPr>
          <w:rFonts w:hint="eastAsia" w:ascii="宋体" w:hAnsi="宋体" w:cs="宋体"/>
          <w:color w:val="auto"/>
          <w:szCs w:val="21"/>
          <w:highlight w:val="none"/>
        </w:rPr>
        <w:t>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pPr>
        <w:numPr>
          <w:ilvl w:val="2"/>
          <w:numId w:val="1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对施工作业和施工方法的完备性负责</w:t>
      </w:r>
    </w:p>
    <w:p>
      <w:pPr>
        <w:autoSpaceDE w:val="0"/>
        <w:autoSpaceDN w:val="0"/>
        <w:spacing w:line="356" w:lineRule="exact"/>
        <w:ind w:left="138" w:right="220" w:firstLine="419"/>
        <w:rPr>
          <w:rFonts w:ascii="宋体" w:hAnsi="宋体" w:cs="宋体"/>
          <w:color w:val="auto"/>
          <w:szCs w:val="21"/>
          <w:highlight w:val="none"/>
        </w:rPr>
      </w:pPr>
      <w:r>
        <w:rPr>
          <w:rFonts w:hint="eastAsia" w:ascii="宋体" w:hAnsi="宋体" w:cs="宋体"/>
          <w:color w:val="auto"/>
          <w:szCs w:val="21"/>
          <w:highlight w:val="none"/>
        </w:rPr>
        <w:t xml:space="preserve">承包人应按合同约定的工作内容和施工进度要求，编制施工组织设计和施工措施计划， 并对所有施工作业和施工方法的完备性和安全可靠性负责。 </w:t>
      </w:r>
    </w:p>
    <w:p>
      <w:pPr>
        <w:numPr>
          <w:ilvl w:val="2"/>
          <w:numId w:val="1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保证工程施工和人员的安全</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承包人应按照第 9.2 款约定采取施工安全措施，确保工程及其人员、材料、设备和设施的安全，防止因工程施工造成的人身伤害和财产损失。</w:t>
      </w:r>
    </w:p>
    <w:p>
      <w:pPr>
        <w:numPr>
          <w:ilvl w:val="2"/>
          <w:numId w:val="1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负责施工场地、周边环境和生态保护以及疫情防控常态化工作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承包人应按照第 9.4 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pPr>
        <w:numPr>
          <w:ilvl w:val="2"/>
          <w:numId w:val="1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避免施工对公众与他人的利益造成损害</w:t>
      </w:r>
    </w:p>
    <w:p>
      <w:pPr>
        <w:autoSpaceDE w:val="0"/>
        <w:autoSpaceDN w:val="0"/>
        <w:spacing w:before="1"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numPr>
          <w:ilvl w:val="2"/>
          <w:numId w:val="1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为他人提供方便</w:t>
      </w:r>
    </w:p>
    <w:p>
      <w:pPr>
        <w:numPr>
          <w:ilvl w:val="0"/>
          <w:numId w:val="18"/>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pPr>
        <w:numPr>
          <w:ilvl w:val="0"/>
          <w:numId w:val="18"/>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承包人还应按照监理人指示为独立承包人以外的他人在施工场地或者附近实施与合同工程有关的其他工作提供可能的条件，可能发生费用由监理人按合同条款通用部分第3.5 款商定或者确定。 </w:t>
      </w:r>
    </w:p>
    <w:p>
      <w:pPr>
        <w:numPr>
          <w:ilvl w:val="2"/>
          <w:numId w:val="1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工程的维护和照管</w:t>
      </w:r>
    </w:p>
    <w:p>
      <w:pPr>
        <w:autoSpaceDE w:val="0"/>
        <w:autoSpaceDN w:val="0"/>
        <w:spacing w:line="356" w:lineRule="exact"/>
        <w:ind w:left="138" w:right="309" w:firstLine="419"/>
        <w:rPr>
          <w:rFonts w:ascii="宋体" w:hAnsi="宋体" w:cs="宋体"/>
          <w:color w:val="auto"/>
          <w:sz w:val="23"/>
          <w:szCs w:val="23"/>
          <w:highlight w:val="none"/>
        </w:rPr>
      </w:pPr>
      <w:r>
        <w:rPr>
          <w:rFonts w:hint="eastAsia" w:ascii="宋体" w:hAnsi="宋体" w:cs="宋体"/>
          <w:color w:val="auto"/>
          <w:szCs w:val="21"/>
          <w:highlight w:val="none"/>
        </w:rPr>
        <w:t>工程接收证书颁发前，承包人应负责照管和维护工程。工程接收证书颁发时尚有部分未竣工工程的，承包人还应负责该未竣工工程的照管和维护工作，直至竣工后移交给发包人为止。</w:t>
      </w:r>
    </w:p>
    <w:p>
      <w:pPr>
        <w:numPr>
          <w:ilvl w:val="2"/>
          <w:numId w:val="17"/>
        </w:numPr>
        <w:autoSpaceDE w:val="0"/>
        <w:autoSpaceDN w:val="0"/>
        <w:spacing w:before="72" w:line="356" w:lineRule="exact"/>
        <w:ind w:left="1192" w:hanging="635"/>
        <w:rPr>
          <w:rFonts w:ascii="宋体" w:hAnsi="宋体" w:cs="宋体"/>
          <w:color w:val="auto"/>
          <w:szCs w:val="21"/>
          <w:highlight w:val="none"/>
        </w:rPr>
      </w:pPr>
      <w:r>
        <w:rPr>
          <w:rFonts w:hint="eastAsia" w:ascii="宋体" w:hAnsi="宋体" w:cs="宋体"/>
          <w:color w:val="auto"/>
          <w:szCs w:val="21"/>
          <w:highlight w:val="none"/>
        </w:rPr>
        <w:t xml:space="preserve">承包人的设计工作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 1.6.2 项约定的承包人提供的文件，承包人应按照合同条款专用部分第 1.6.2 项约定的期限和数量提交，由此发生的费用被认为已经包括在承包人的签约合同价（投标总报价）中。承包人承担的施工图设计或与工程配套的设计工作内容见合同条款专用部分。</w:t>
      </w:r>
    </w:p>
    <w:p>
      <w:pPr>
        <w:numPr>
          <w:ilvl w:val="2"/>
          <w:numId w:val="17"/>
        </w:numPr>
        <w:autoSpaceDE w:val="0"/>
        <w:autoSpaceDN w:val="0"/>
        <w:spacing w:line="356" w:lineRule="exact"/>
        <w:ind w:left="1192" w:hanging="635"/>
        <w:rPr>
          <w:rFonts w:ascii="宋体" w:hAnsi="宋体" w:cs="宋体"/>
          <w:color w:val="auto"/>
          <w:szCs w:val="21"/>
          <w:highlight w:val="none"/>
        </w:rPr>
      </w:pPr>
      <w:r>
        <w:rPr>
          <w:rFonts w:hint="eastAsia" w:ascii="宋体" w:hAnsi="宋体" w:cs="宋体"/>
          <w:color w:val="auto"/>
          <w:szCs w:val="21"/>
          <w:highlight w:val="none"/>
        </w:rPr>
        <w:t xml:space="preserve">农民工工资保证金 </w:t>
      </w:r>
    </w:p>
    <w:p>
      <w:pPr>
        <w:autoSpaceDE w:val="0"/>
        <w:autoSpaceDN w:val="0"/>
        <w:spacing w:line="356" w:lineRule="exact"/>
        <w:ind w:left="138" w:right="310" w:firstLine="419"/>
        <w:rPr>
          <w:rFonts w:ascii="宋体" w:hAnsi="宋体" w:cs="宋体"/>
          <w:color w:val="auto"/>
          <w:szCs w:val="21"/>
          <w:highlight w:val="none"/>
        </w:rPr>
      </w:pPr>
      <w:r>
        <w:rPr>
          <w:rFonts w:hint="eastAsia" w:ascii="宋体" w:hAnsi="宋体" w:cs="宋体"/>
          <w:color w:val="auto"/>
          <w:szCs w:val="21"/>
          <w:highlight w:val="none"/>
        </w:rPr>
        <w:t>承包人应在银行设立工资保证金专用账户，专项用于发生欠薪时支付农民工工资的应急保障。账户内资金启用应当经建设主管部门和劳动保障行政部门批准。</w:t>
      </w:r>
    </w:p>
    <w:p>
      <w:pPr>
        <w:numPr>
          <w:ilvl w:val="2"/>
          <w:numId w:val="17"/>
        </w:numPr>
        <w:autoSpaceDE w:val="0"/>
        <w:autoSpaceDN w:val="0"/>
        <w:spacing w:line="356" w:lineRule="exact"/>
        <w:ind w:left="1192" w:hanging="635"/>
        <w:rPr>
          <w:rFonts w:ascii="宋体" w:hAnsi="宋体" w:cs="宋体"/>
          <w:color w:val="auto"/>
          <w:szCs w:val="21"/>
          <w:highlight w:val="none"/>
        </w:rPr>
      </w:pPr>
      <w:r>
        <w:rPr>
          <w:rFonts w:hint="eastAsia" w:ascii="宋体" w:hAnsi="宋体" w:cs="宋体"/>
          <w:color w:val="auto"/>
          <w:szCs w:val="21"/>
          <w:highlight w:val="none"/>
        </w:rPr>
        <w:t xml:space="preserve">其他义务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承包人应履行的其他义务见合同条款专用部分。</w:t>
      </w:r>
    </w:p>
    <w:p>
      <w:pPr>
        <w:keepNext/>
        <w:keepLines/>
        <w:numPr>
          <w:ilvl w:val="1"/>
          <w:numId w:val="19"/>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履约担保 </w:t>
      </w:r>
    </w:p>
    <w:p>
      <w:pPr>
        <w:numPr>
          <w:ilvl w:val="2"/>
          <w:numId w:val="19"/>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履约担保的格式和金额</w:t>
      </w:r>
    </w:p>
    <w:p>
      <w:pPr>
        <w:autoSpaceDE w:val="0"/>
        <w:autoSpaceDN w:val="0"/>
        <w:spacing w:line="356" w:lineRule="exact"/>
        <w:ind w:left="138" w:right="220" w:firstLine="419"/>
        <w:rPr>
          <w:rFonts w:ascii="宋体" w:hAnsi="宋体" w:cs="宋体"/>
          <w:color w:val="auto"/>
          <w:szCs w:val="21"/>
          <w:highlight w:val="none"/>
        </w:rPr>
      </w:pPr>
      <w:r>
        <w:rPr>
          <w:rFonts w:hint="eastAsia" w:ascii="宋体" w:hAnsi="宋体" w:cs="宋体"/>
          <w:color w:val="auto"/>
          <w:szCs w:val="21"/>
          <w:highlight w:val="none"/>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pPr>
        <w:numPr>
          <w:ilvl w:val="2"/>
          <w:numId w:val="19"/>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履约担保的有效期</w:t>
      </w:r>
    </w:p>
    <w:p>
      <w:pPr>
        <w:autoSpaceDE w:val="0"/>
        <w:autoSpaceDN w:val="0"/>
        <w:spacing w:before="1"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pPr>
        <w:numPr>
          <w:ilvl w:val="2"/>
          <w:numId w:val="19"/>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履约担保的退还</w:t>
      </w:r>
    </w:p>
    <w:p>
      <w:pPr>
        <w:autoSpaceDE w:val="0"/>
        <w:autoSpaceDN w:val="0"/>
        <w:spacing w:line="356" w:lineRule="exact"/>
        <w:ind w:left="138" w:right="205" w:firstLine="419"/>
        <w:rPr>
          <w:rFonts w:ascii="宋体" w:hAnsi="宋体" w:cs="宋体"/>
          <w:color w:val="auto"/>
          <w:szCs w:val="21"/>
          <w:highlight w:val="none"/>
        </w:rPr>
      </w:pPr>
      <w:r>
        <w:rPr>
          <w:rFonts w:hint="eastAsia" w:ascii="宋体" w:hAnsi="宋体" w:cs="宋体"/>
          <w:color w:val="auto"/>
          <w:szCs w:val="21"/>
          <w:highlight w:val="none"/>
        </w:rPr>
        <w:t xml:space="preserve">履约担保应在监理人向承包人颁发（出具）工程接收证书之日后 28 天内退还给承包人。发包人不承担承包人与履约担保有关的任何利息或其它类似的费用或者收益。 </w:t>
      </w:r>
    </w:p>
    <w:p>
      <w:pPr>
        <w:numPr>
          <w:ilvl w:val="2"/>
          <w:numId w:val="19"/>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通知义务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pPr>
        <w:keepNext/>
        <w:keepLines/>
        <w:spacing w:before="135" w:after="290" w:line="356" w:lineRule="exact"/>
        <w:ind w:left="138"/>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4.3 分 包 </w:t>
      </w:r>
    </w:p>
    <w:p>
      <w:pPr>
        <w:numPr>
          <w:ilvl w:val="2"/>
          <w:numId w:val="20"/>
        </w:numPr>
        <w:autoSpaceDE w:val="0"/>
        <w:autoSpaceDN w:val="0"/>
        <w:spacing w:before="1"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承包人不得将其承包的全部工程转包给第三人，或将其承包的全部工程肢解后以分包的名义转包给第三人。</w:t>
      </w:r>
    </w:p>
    <w:p>
      <w:pPr>
        <w:numPr>
          <w:ilvl w:val="2"/>
          <w:numId w:val="20"/>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 xml:space="preserve">  承包人不得将工程主体、关键性工作分包给第三人。</w:t>
      </w:r>
    </w:p>
    <w:p>
      <w:pPr>
        <w:numPr>
          <w:ilvl w:val="2"/>
          <w:numId w:val="20"/>
        </w:numPr>
        <w:autoSpaceDE w:val="0"/>
        <w:autoSpaceDN w:val="0"/>
        <w:spacing w:before="1"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未经发包人同意，承包人不得将其自行施工范围工程的其他部分或工作分包给第三人。发包人同意承包人分包的非主体、非关键性工作包括：</w:t>
      </w:r>
    </w:p>
    <w:p>
      <w:pPr>
        <w:numPr>
          <w:ilvl w:val="0"/>
          <w:numId w:val="21"/>
        </w:numPr>
        <w:autoSpaceDE w:val="0"/>
        <w:autoSpaceDN w:val="0"/>
        <w:spacing w:line="356" w:lineRule="exact"/>
        <w:ind w:hanging="527"/>
        <w:rPr>
          <w:rFonts w:ascii="宋体" w:hAnsi="宋体" w:cs="宋体"/>
          <w:color w:val="auto"/>
          <w:szCs w:val="21"/>
          <w:highlight w:val="none"/>
        </w:rPr>
      </w:pPr>
      <w:r>
        <w:rPr>
          <w:rFonts w:hint="eastAsia" w:ascii="宋体" w:hAnsi="宋体" w:cs="宋体"/>
          <w:color w:val="auto"/>
          <w:szCs w:val="21"/>
          <w:highlight w:val="none"/>
        </w:rPr>
        <w:t>投标函附录约定的分包工程；</w:t>
      </w:r>
    </w:p>
    <w:p>
      <w:pPr>
        <w:numPr>
          <w:ilvl w:val="0"/>
          <w:numId w:val="21"/>
        </w:numPr>
        <w:autoSpaceDE w:val="0"/>
        <w:autoSpaceDN w:val="0"/>
        <w:spacing w:line="356" w:lineRule="exact"/>
        <w:ind w:hanging="527"/>
        <w:rPr>
          <w:rFonts w:ascii="宋体" w:hAnsi="宋体" w:cs="宋体"/>
          <w:color w:val="auto"/>
          <w:szCs w:val="21"/>
          <w:highlight w:val="none"/>
        </w:rPr>
      </w:pPr>
      <w:r>
        <w:rPr>
          <w:rFonts w:hint="eastAsia" w:ascii="宋体" w:hAnsi="宋体" w:cs="宋体"/>
          <w:color w:val="auto"/>
          <w:szCs w:val="21"/>
          <w:highlight w:val="none"/>
        </w:rPr>
        <w:t>除投标函附录中约定的分包内容外，经过发包人和监理人同意的其他非主体、非 关键性工作，但分包人应当经过发包人和监理人审批。发包人和监理人有权拒绝承包人的分包请求和承包人选择的分包人。</w:t>
      </w:r>
    </w:p>
    <w:p>
      <w:pPr>
        <w:numPr>
          <w:ilvl w:val="2"/>
          <w:numId w:val="20"/>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发包人在工程量清单中给定暂估价的专业工程，包括从暂列金额开支的专业工程，达到依法应当招标的规模标准的，以及虽未达到规定的规模标准但合同中约定采用招标方式实施的，应当按第 15.8.1 项的约定，由发包人和承包人以招标方式确定专业分包人。除项目审批部门有特别核准外，暂估价的专业工程的招标应当采用与施工总承包同样的招标方式。</w:t>
      </w:r>
    </w:p>
    <w:p>
      <w:pPr>
        <w:numPr>
          <w:ilvl w:val="2"/>
          <w:numId w:val="20"/>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在相关分包合同签订并报送有关建设行政主管部门备案后 7 天内，承包人应当将一份副本提交给监理人，承包人应保障分包工作不得再次分包。</w:t>
      </w:r>
    </w:p>
    <w:p>
      <w:pPr>
        <w:numPr>
          <w:ilvl w:val="2"/>
          <w:numId w:val="20"/>
        </w:numPr>
        <w:autoSpaceDE w:val="0"/>
        <w:autoSpaceDN w:val="0"/>
        <w:spacing w:line="356" w:lineRule="exact"/>
        <w:ind w:right="203" w:firstLine="419"/>
        <w:rPr>
          <w:rFonts w:ascii="宋体" w:hAnsi="宋体" w:cs="宋体"/>
          <w:color w:val="auto"/>
          <w:szCs w:val="21"/>
          <w:highlight w:val="none"/>
        </w:rPr>
      </w:pPr>
      <w:r>
        <w:rPr>
          <w:rFonts w:hint="eastAsia" w:ascii="宋体" w:hAnsi="宋体" w:cs="宋体"/>
          <w:color w:val="auto"/>
          <w:szCs w:val="21"/>
          <w:highlight w:val="none"/>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pPr>
        <w:numPr>
          <w:ilvl w:val="2"/>
          <w:numId w:val="2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未经发包人和监理人审批同意的分包工程和分包人，发包人有权拒绝验收分包工程和支付相应款项，由此引起的承包人费用增加和（或）延误的工期由承包人承担。</w:t>
      </w:r>
    </w:p>
    <w:p>
      <w:pPr>
        <w:numPr>
          <w:ilvl w:val="2"/>
          <w:numId w:val="20"/>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分包人的资格能力应与其分包工程的标准和规模相适应。</w:t>
      </w:r>
    </w:p>
    <w:p>
      <w:pPr>
        <w:numPr>
          <w:ilvl w:val="2"/>
          <w:numId w:val="20"/>
        </w:numPr>
        <w:autoSpaceDE w:val="0"/>
        <w:autoSpaceDN w:val="0"/>
        <w:spacing w:line="356" w:lineRule="exact"/>
        <w:ind w:left="1087"/>
        <w:rPr>
          <w:rFonts w:ascii="宋体" w:hAnsi="宋体" w:cs="宋体"/>
          <w:color w:val="auto"/>
          <w:sz w:val="23"/>
          <w:szCs w:val="23"/>
          <w:highlight w:val="none"/>
        </w:rPr>
      </w:pPr>
      <w:r>
        <w:rPr>
          <w:rFonts w:hint="eastAsia" w:ascii="宋体" w:hAnsi="宋体" w:cs="宋体"/>
          <w:color w:val="auto"/>
          <w:szCs w:val="21"/>
          <w:highlight w:val="none"/>
        </w:rPr>
        <w:t xml:space="preserve">发包人同意的分包工程，承包人应向发包人和监理人提供合同副本。 </w:t>
      </w:r>
    </w:p>
    <w:p>
      <w:pPr>
        <w:numPr>
          <w:ilvl w:val="2"/>
          <w:numId w:val="20"/>
        </w:numPr>
        <w:autoSpaceDE w:val="0"/>
        <w:autoSpaceDN w:val="0"/>
        <w:spacing w:before="72" w:line="356" w:lineRule="exact"/>
        <w:ind w:left="1192" w:hanging="635"/>
        <w:rPr>
          <w:rFonts w:ascii="宋体" w:hAnsi="宋体" w:cs="宋体"/>
          <w:color w:val="auto"/>
          <w:szCs w:val="21"/>
          <w:highlight w:val="none"/>
        </w:rPr>
      </w:pPr>
      <w:r>
        <w:rPr>
          <w:rFonts w:hint="eastAsia" w:ascii="宋体" w:hAnsi="宋体" w:cs="宋体"/>
          <w:color w:val="auto"/>
          <w:szCs w:val="21"/>
          <w:highlight w:val="none"/>
        </w:rPr>
        <w:t>承包人应与分包人就分包工程向发包人承担连带责任。</w:t>
      </w:r>
    </w:p>
    <w:p>
      <w:pPr>
        <w:keepNext/>
        <w:keepLines/>
        <w:numPr>
          <w:ilvl w:val="1"/>
          <w:numId w:val="22"/>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联合体 </w:t>
      </w:r>
    </w:p>
    <w:p>
      <w:pPr>
        <w:numPr>
          <w:ilvl w:val="2"/>
          <w:numId w:val="2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联合体各方应共同与发包人签订合同协议书。联合体各方应为履行合同承担连带责任。</w:t>
      </w:r>
    </w:p>
    <w:p>
      <w:pPr>
        <w:numPr>
          <w:ilvl w:val="2"/>
          <w:numId w:val="2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联合体协议经发包人确认后作为合同附件。在履行合同过程中，未经发包人同意，不得修改联合体协议。 </w:t>
      </w:r>
    </w:p>
    <w:p>
      <w:pPr>
        <w:numPr>
          <w:ilvl w:val="2"/>
          <w:numId w:val="2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联合体牵头人负责与发包人和监理人联系，并接受指示，负责组织联合体各成员全面履行合同。</w:t>
      </w:r>
    </w:p>
    <w:p>
      <w:pPr>
        <w:keepNext/>
        <w:keepLines/>
        <w:numPr>
          <w:ilvl w:val="1"/>
          <w:numId w:val="22"/>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承包人项目经理 </w:t>
      </w:r>
    </w:p>
    <w:p>
      <w:pPr>
        <w:numPr>
          <w:ilvl w:val="2"/>
          <w:numId w:val="22"/>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承包人项目经理必须与承包人投标时所承诺的人员一致，并在根据第 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pPr>
        <w:numPr>
          <w:ilvl w:val="2"/>
          <w:numId w:val="2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承包人项目经理应按合同约定以及监理人按第 3.4 款作出的指示，负责组织合同工程的实施。在情况紧急且无法与监理人取得联系时，可采取保证工程和人员生命财产安全的紧急措施，并在采取措施后 24 小时内向监理人提交书面报告。</w:t>
      </w:r>
    </w:p>
    <w:p>
      <w:pPr>
        <w:numPr>
          <w:ilvl w:val="2"/>
          <w:numId w:val="22"/>
        </w:numPr>
        <w:autoSpaceDE w:val="0"/>
        <w:autoSpaceDN w:val="0"/>
        <w:spacing w:line="356" w:lineRule="exact"/>
        <w:ind w:right="318" w:firstLine="419"/>
        <w:rPr>
          <w:rFonts w:ascii="宋体" w:hAnsi="宋体" w:cs="宋体"/>
          <w:color w:val="auto"/>
          <w:szCs w:val="21"/>
          <w:highlight w:val="none"/>
        </w:rPr>
      </w:pPr>
      <w:r>
        <w:rPr>
          <w:rFonts w:hint="eastAsia" w:ascii="宋体" w:hAnsi="宋体" w:cs="宋体"/>
          <w:color w:val="auto"/>
          <w:szCs w:val="21"/>
          <w:highlight w:val="none"/>
        </w:rPr>
        <w:t>承包人为履行合同发出的一切函件均应盖有承包人授权的施工场地管理机构章，并由承包人项目经理或其授权代表签字。</w:t>
      </w:r>
    </w:p>
    <w:p>
      <w:pPr>
        <w:numPr>
          <w:ilvl w:val="2"/>
          <w:numId w:val="2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承包人项目经理可以授权其下属人员履行其某项职责，但事先应将这些人员的姓名和授权范围通知监理人。</w:t>
      </w:r>
    </w:p>
    <w:p>
      <w:pPr>
        <w:keepNext/>
        <w:keepLines/>
        <w:numPr>
          <w:ilvl w:val="1"/>
          <w:numId w:val="22"/>
        </w:numPr>
        <w:spacing w:before="134"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承包人人员的管理 </w:t>
      </w:r>
    </w:p>
    <w:p>
      <w:pPr>
        <w:numPr>
          <w:ilvl w:val="2"/>
          <w:numId w:val="22"/>
        </w:numPr>
        <w:autoSpaceDE w:val="0"/>
        <w:autoSpaceDN w:val="0"/>
        <w:spacing w:line="356" w:lineRule="exact"/>
        <w:ind w:right="309" w:firstLine="419"/>
        <w:rPr>
          <w:rFonts w:ascii="宋体" w:hAnsi="宋体"/>
          <w:color w:val="auto"/>
          <w:sz w:val="24"/>
          <w:szCs w:val="24"/>
          <w:highlight w:val="none"/>
        </w:rPr>
      </w:pPr>
      <w:r>
        <w:rPr>
          <w:rFonts w:hint="eastAsia" w:ascii="宋体" w:hAnsi="宋体" w:cs="宋体"/>
          <w:color w:val="auto"/>
          <w:szCs w:val="21"/>
          <w:highlight w:val="none"/>
        </w:rPr>
        <w:t>承包人应在接到开工通知后 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numPr>
          <w:ilvl w:val="2"/>
          <w:numId w:val="22"/>
        </w:numPr>
        <w:autoSpaceDE w:val="0"/>
        <w:autoSpaceDN w:val="0"/>
        <w:spacing w:before="72"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为完成合同约定的各项工作，承包人应向施工场地派遣或雇佣足够数量的下列人员：</w:t>
      </w:r>
    </w:p>
    <w:p>
      <w:pPr>
        <w:numPr>
          <w:ilvl w:val="0"/>
          <w:numId w:val="2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具有相应资格的专业技工和合格的普工；</w:t>
      </w:r>
    </w:p>
    <w:p>
      <w:pPr>
        <w:numPr>
          <w:ilvl w:val="0"/>
          <w:numId w:val="2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具有相应施工经验的技术人员；</w:t>
      </w:r>
    </w:p>
    <w:p>
      <w:pPr>
        <w:numPr>
          <w:ilvl w:val="0"/>
          <w:numId w:val="23"/>
        </w:numPr>
        <w:autoSpaceDE w:val="0"/>
        <w:autoSpaceDN w:val="0"/>
        <w:spacing w:before="1" w:line="356" w:lineRule="exact"/>
        <w:ind w:hanging="530"/>
        <w:rPr>
          <w:rFonts w:ascii="宋体" w:hAnsi="宋体" w:cs="宋体"/>
          <w:color w:val="auto"/>
          <w:szCs w:val="21"/>
          <w:highlight w:val="none"/>
        </w:rPr>
      </w:pPr>
      <w:r>
        <w:rPr>
          <w:rFonts w:hint="eastAsia" w:ascii="宋体" w:hAnsi="宋体" w:cs="宋体"/>
          <w:color w:val="auto"/>
          <w:szCs w:val="21"/>
          <w:highlight w:val="none"/>
        </w:rPr>
        <w:t>具有相应岗位资格的各级管理人员。</w:t>
      </w:r>
    </w:p>
    <w:p>
      <w:pPr>
        <w:numPr>
          <w:ilvl w:val="2"/>
          <w:numId w:val="2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承包人安排在施工场地的主要管理人员和技术骨干应相对稳定。承包人更换主要管理人员和技术骨干时，应取得监理人的同意。</w:t>
      </w:r>
    </w:p>
    <w:p>
      <w:pPr>
        <w:numPr>
          <w:ilvl w:val="2"/>
          <w:numId w:val="22"/>
        </w:numPr>
        <w:autoSpaceDE w:val="0"/>
        <w:autoSpaceDN w:val="0"/>
        <w:spacing w:before="1"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特殊岗位的工作人员均应持有相应的资格证明，监理人有权随时检查。监理人认为有必要时，可进行现场考核。</w:t>
      </w:r>
    </w:p>
    <w:p>
      <w:pPr>
        <w:numPr>
          <w:ilvl w:val="2"/>
          <w:numId w:val="22"/>
        </w:numPr>
        <w:autoSpaceDE w:val="0"/>
        <w:autoSpaceDN w:val="0"/>
        <w:spacing w:line="356" w:lineRule="exact"/>
        <w:ind w:right="203" w:firstLine="419"/>
        <w:rPr>
          <w:rFonts w:ascii="宋体" w:hAnsi="宋体" w:cs="宋体"/>
          <w:color w:val="auto"/>
          <w:szCs w:val="21"/>
          <w:highlight w:val="none"/>
        </w:rPr>
      </w:pPr>
      <w:r>
        <w:rPr>
          <w:rFonts w:hint="eastAsia" w:ascii="宋体" w:hAnsi="宋体" w:cs="宋体"/>
          <w:color w:val="auto"/>
          <w:szCs w:val="21"/>
          <w:highlight w:val="none"/>
        </w:rPr>
        <w:t xml:space="preserve">严格落实疫情防控常态化有关要求，核实项目人员身份及做好人员健康信息档案，不使用零散工和无健康信息的劳务人员，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 1 米距离接触时要佩戴口罩。同时加强公共卫生教育培训，引导施工现场人员养成勤洗手、常通风、科学佩戴口罩、使用公勺公筷等良好卫生习惯，确保疫情防控管理常态化。 </w:t>
      </w:r>
    </w:p>
    <w:p>
      <w:pPr>
        <w:keepNext/>
        <w:keepLines/>
        <w:numPr>
          <w:ilvl w:val="1"/>
          <w:numId w:val="22"/>
        </w:numPr>
        <w:spacing w:before="134"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撤换承包人项目经理和其他人员 </w:t>
      </w:r>
    </w:p>
    <w:p>
      <w:pPr>
        <w:autoSpaceDE w:val="0"/>
        <w:autoSpaceDN w:val="0"/>
        <w:spacing w:line="356" w:lineRule="exact"/>
        <w:ind w:left="138" w:right="220" w:firstLine="419"/>
        <w:rPr>
          <w:rFonts w:ascii="宋体" w:hAnsi="宋体" w:cs="宋体"/>
          <w:color w:val="auto"/>
          <w:szCs w:val="21"/>
          <w:highlight w:val="none"/>
        </w:rPr>
      </w:pPr>
      <w:r>
        <w:rPr>
          <w:rFonts w:hint="eastAsia" w:ascii="宋体" w:hAnsi="宋体" w:cs="宋体"/>
          <w:color w:val="auto"/>
          <w:szCs w:val="21"/>
          <w:highlight w:val="none"/>
        </w:rPr>
        <w:t xml:space="preserve">承包人应对其项目经理和其他人员进行有效管理。监理人要求撤换不能胜任本职工作、行为不端或玩忽职守的承包人项目经理和其他人员的，承包人应予以撤换。 </w:t>
      </w:r>
    </w:p>
    <w:p>
      <w:pPr>
        <w:keepNext/>
        <w:keepLines/>
        <w:numPr>
          <w:ilvl w:val="1"/>
          <w:numId w:val="22"/>
        </w:numPr>
        <w:spacing w:before="13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保障承包人人员的合法权益 </w:t>
      </w:r>
    </w:p>
    <w:p>
      <w:pPr>
        <w:numPr>
          <w:ilvl w:val="2"/>
          <w:numId w:val="22"/>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承包人应与其雇佣的人员签订劳动合同，并按时发放工资。</w:t>
      </w:r>
    </w:p>
    <w:p>
      <w:pPr>
        <w:numPr>
          <w:ilvl w:val="2"/>
          <w:numId w:val="2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承包人应按劳动法的规定安排工作时间，保证其雇佣人员享有休息和休假的权利。因工程施工的特殊需要占用休假日或延长工作时间的，应不超过法律规定的限度，并按法律规定给予补休或付酬。 </w:t>
      </w:r>
    </w:p>
    <w:p>
      <w:pPr>
        <w:numPr>
          <w:ilvl w:val="2"/>
          <w:numId w:val="22"/>
        </w:numPr>
        <w:autoSpaceDE w:val="0"/>
        <w:autoSpaceDN w:val="0"/>
        <w:spacing w:line="356" w:lineRule="exact"/>
        <w:ind w:right="208" w:firstLine="419"/>
        <w:rPr>
          <w:rFonts w:ascii="宋体" w:hAnsi="宋体" w:cs="宋体"/>
          <w:color w:val="auto"/>
          <w:szCs w:val="21"/>
          <w:highlight w:val="none"/>
        </w:rPr>
      </w:pPr>
      <w:r>
        <w:rPr>
          <w:rFonts w:hint="eastAsia" w:ascii="宋体" w:hAnsi="宋体" w:cs="宋体"/>
          <w:color w:val="auto"/>
          <w:szCs w:val="21"/>
          <w:highlight w:val="none"/>
        </w:rPr>
        <w:t>承包人应为其雇佣人员提供必要的食宿条件，以及符合环境保护和卫生要求的生活环境，在远离城镇的施工场地，还应配备必要的伤病防治和急救的医务人员与医疗设施。</w:t>
      </w:r>
    </w:p>
    <w:p>
      <w:pPr>
        <w:numPr>
          <w:ilvl w:val="2"/>
          <w:numId w:val="22"/>
        </w:numPr>
        <w:autoSpaceDE w:val="0"/>
        <w:autoSpaceDN w:val="0"/>
        <w:spacing w:line="356" w:lineRule="exact"/>
        <w:ind w:right="309" w:firstLine="419"/>
        <w:rPr>
          <w:rFonts w:ascii="宋体" w:hAnsi="宋体"/>
          <w:color w:val="auto"/>
          <w:sz w:val="24"/>
          <w:szCs w:val="24"/>
          <w:highlight w:val="none"/>
        </w:rPr>
      </w:pPr>
      <w:r>
        <w:rPr>
          <w:rFonts w:hint="eastAsia" w:ascii="宋体" w:hAnsi="宋体" w:cs="宋体"/>
          <w:color w:val="auto"/>
          <w:szCs w:val="21"/>
          <w:highlight w:val="none"/>
        </w:rPr>
        <w:t>承包人应按国家有关劳动保护的规定，采取有效的防止粉尘、降低噪声、控制有害气体和保障高温、高寒、高空作业安全等劳动保护措施。其雇佣人员在施工中受到伤害</w:t>
      </w:r>
      <w:r>
        <w:rPr>
          <w:rFonts w:hint="eastAsia" w:ascii="宋体" w:hAnsi="宋体" w:cs="宋体"/>
          <w:color w:val="auto"/>
          <w:highlight w:val="none"/>
        </w:rPr>
        <w:t>的承包人应立即采取有效措施进行抢救和治疗。</w:t>
      </w:r>
    </w:p>
    <w:p>
      <w:pPr>
        <w:numPr>
          <w:ilvl w:val="2"/>
          <w:numId w:val="22"/>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 xml:space="preserve">承包人应按有关法律规定和合同约定，为其雇佣人员办理保险。 </w:t>
      </w:r>
    </w:p>
    <w:p>
      <w:pPr>
        <w:numPr>
          <w:ilvl w:val="2"/>
          <w:numId w:val="22"/>
        </w:numPr>
        <w:autoSpaceDE w:val="0"/>
        <w:autoSpaceDN w:val="0"/>
        <w:spacing w:before="1" w:line="356" w:lineRule="exact"/>
        <w:ind w:left="1087"/>
        <w:rPr>
          <w:rFonts w:ascii="宋体" w:hAnsi="宋体" w:cs="宋体"/>
          <w:color w:val="auto"/>
          <w:szCs w:val="21"/>
          <w:highlight w:val="none"/>
        </w:rPr>
      </w:pPr>
      <w:r>
        <w:rPr>
          <w:rFonts w:hint="eastAsia" w:ascii="宋体" w:hAnsi="宋体" w:cs="宋体"/>
          <w:color w:val="auto"/>
          <w:szCs w:val="21"/>
          <w:highlight w:val="none"/>
        </w:rPr>
        <w:t>承包人应负责处理其雇佣人员因工伤亡事故的善后事宜。</w:t>
      </w:r>
    </w:p>
    <w:p>
      <w:pPr>
        <w:keepNext/>
        <w:keepLines/>
        <w:numPr>
          <w:ilvl w:val="1"/>
          <w:numId w:val="22"/>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工程价款应专款专用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发包人按合同约定支付给承包人的各项价款应专用于合同工程。 </w:t>
      </w:r>
    </w:p>
    <w:p>
      <w:pPr>
        <w:keepNext/>
        <w:keepLines/>
        <w:numPr>
          <w:ilvl w:val="1"/>
          <w:numId w:val="22"/>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承包人现场查勘 </w:t>
      </w:r>
    </w:p>
    <w:p>
      <w:pPr>
        <w:numPr>
          <w:ilvl w:val="2"/>
          <w:numId w:val="2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发包人应将其持有的现场地质勘探资料、水文气象资料提供给承包人，并对其准确性负责。但承包人应对其阅读上述有关资料后所作出的解释和推断负责。 </w:t>
      </w:r>
    </w:p>
    <w:p>
      <w:pPr>
        <w:numPr>
          <w:ilvl w:val="2"/>
          <w:numId w:val="22"/>
        </w:numPr>
        <w:autoSpaceDE w:val="0"/>
        <w:autoSpaceDN w:val="0"/>
        <w:spacing w:line="356" w:lineRule="exact"/>
        <w:ind w:right="206" w:firstLine="419"/>
        <w:rPr>
          <w:rFonts w:ascii="宋体" w:hAnsi="宋体" w:cs="宋体"/>
          <w:color w:val="auto"/>
          <w:szCs w:val="21"/>
          <w:highlight w:val="none"/>
        </w:rPr>
      </w:pPr>
      <w:r>
        <w:rPr>
          <w:rFonts w:hint="eastAsia" w:ascii="宋体" w:hAnsi="宋体" w:cs="宋体"/>
          <w:color w:val="auto"/>
          <w:szCs w:val="21"/>
          <w:highlight w:val="none"/>
        </w:rPr>
        <w:t>承包人应对施工场地和周围环境进行查勘，并收集有关地质、水文、气象条件、交通条件、风俗习惯以及其他为完成合同工作有关的当地资料。在全部合同工作中，应视为承包人已充分估计了应承担的责任和风险。</w:t>
      </w:r>
    </w:p>
    <w:p>
      <w:pPr>
        <w:keepNext/>
        <w:keepLines/>
        <w:numPr>
          <w:ilvl w:val="1"/>
          <w:numId w:val="22"/>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不利物质条件 </w:t>
      </w:r>
    </w:p>
    <w:p>
      <w:pPr>
        <w:numPr>
          <w:ilvl w:val="2"/>
          <w:numId w:val="22"/>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 xml:space="preserve">不利物质条件一般是指承包人在施工场地遇到的不可预见的自然物质条件、非自然的物质障碍和污染物，包括地下和水文条件，但不包括气候条件。不利物质条件的具体范围见合同条款专用部分。 </w:t>
      </w:r>
    </w:p>
    <w:p>
      <w:pPr>
        <w:numPr>
          <w:ilvl w:val="2"/>
          <w:numId w:val="22"/>
        </w:numPr>
        <w:autoSpaceDE w:val="0"/>
        <w:autoSpaceDN w:val="0"/>
        <w:spacing w:line="356" w:lineRule="exact"/>
        <w:ind w:right="208" w:firstLine="419"/>
        <w:rPr>
          <w:rFonts w:ascii="宋体" w:hAnsi="宋体" w:cs="宋体"/>
          <w:color w:val="auto"/>
          <w:szCs w:val="21"/>
          <w:highlight w:val="none"/>
        </w:rPr>
      </w:pPr>
      <w:r>
        <w:rPr>
          <w:rFonts w:hint="eastAsia" w:ascii="宋体" w:hAnsi="宋体" w:cs="宋体"/>
          <w:color w:val="auto"/>
          <w:szCs w:val="21"/>
          <w:highlight w:val="none"/>
        </w:rPr>
        <w:t>承包人遇到不利物质条件时，应采取适应不利物质条件的合理措施继续施工，并及时通知监理人。监理人应当及时发出指示，指示构成变更的，按第 15 条约定办理。监理人没有发出指示的，承包人因采取合理措施增加的费用和（或）工期延误，由发包人承担。</w:t>
      </w:r>
    </w:p>
    <w:p>
      <w:pPr>
        <w:keepNext/>
        <w:keepLines/>
        <w:numPr>
          <w:ilvl w:val="0"/>
          <w:numId w:val="8"/>
        </w:numPr>
        <w:spacing w:before="260" w:after="260" w:line="356" w:lineRule="exact"/>
        <w:outlineLvl w:val="1"/>
        <w:rPr>
          <w:rFonts w:ascii="Arial" w:hAnsi="Arial"/>
          <w:b/>
          <w:color w:val="auto"/>
          <w:sz w:val="28"/>
          <w:szCs w:val="24"/>
          <w:highlight w:val="none"/>
        </w:rPr>
      </w:pPr>
      <w:bookmarkStart w:id="730" w:name="_Toc101357716"/>
      <w:bookmarkStart w:id="731" w:name="_Toc26624"/>
      <w:bookmarkStart w:id="732" w:name="_Toc7777"/>
      <w:r>
        <w:rPr>
          <w:rFonts w:hint="eastAsia" w:ascii="Arial" w:hAnsi="Arial"/>
          <w:b/>
          <w:color w:val="auto"/>
          <w:sz w:val="28"/>
          <w:szCs w:val="24"/>
          <w:highlight w:val="none"/>
        </w:rPr>
        <w:t>材料和工程设备</w:t>
      </w:r>
      <w:bookmarkEnd w:id="730"/>
      <w:bookmarkEnd w:id="731"/>
      <w:bookmarkEnd w:id="732"/>
      <w:r>
        <w:rPr>
          <w:rFonts w:hint="eastAsia" w:ascii="Arial" w:hAnsi="Arial"/>
          <w:b/>
          <w:color w:val="auto"/>
          <w:sz w:val="28"/>
          <w:szCs w:val="24"/>
          <w:highlight w:val="none"/>
        </w:rPr>
        <w:t xml:space="preserve"> </w:t>
      </w:r>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承包人提供的材料和工程设备 </w:t>
      </w:r>
    </w:p>
    <w:p>
      <w:pPr>
        <w:numPr>
          <w:ilvl w:val="2"/>
          <w:numId w:val="24"/>
        </w:numPr>
        <w:autoSpaceDE w:val="0"/>
        <w:autoSpaceDN w:val="0"/>
        <w:spacing w:before="1" w:line="356" w:lineRule="exact"/>
        <w:ind w:right="220" w:firstLine="419"/>
        <w:rPr>
          <w:rFonts w:ascii="宋体" w:hAnsi="宋体"/>
          <w:color w:val="auto"/>
          <w:sz w:val="24"/>
          <w:szCs w:val="24"/>
          <w:highlight w:val="none"/>
        </w:rPr>
      </w:pPr>
      <w:r>
        <w:rPr>
          <w:rFonts w:hint="eastAsia" w:ascii="宋体" w:hAnsi="宋体" w:cs="宋体"/>
          <w:color w:val="auto"/>
          <w:szCs w:val="21"/>
          <w:highlight w:val="none"/>
        </w:rPr>
        <w:t>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项的约定，由发包人和承包人以招标方式确定专项供应商。承包人负责提供的主要材料和工程设备清单见合同条款专用部分“附件三：承包人提供的材料和工程设备</w:t>
      </w:r>
      <w:r>
        <w:rPr>
          <w:rFonts w:hint="eastAsia" w:ascii="宋体" w:hAnsi="宋体" w:cs="宋体"/>
          <w:color w:val="auto"/>
          <w:highlight w:val="none"/>
        </w:rPr>
        <w:t>一览表”。</w:t>
      </w:r>
    </w:p>
    <w:p>
      <w:pPr>
        <w:numPr>
          <w:ilvl w:val="2"/>
          <w:numId w:val="24"/>
        </w:numPr>
        <w:autoSpaceDE w:val="0"/>
        <w:autoSpaceDN w:val="0"/>
        <w:spacing w:line="356" w:lineRule="exact"/>
        <w:ind w:right="206" w:firstLine="419"/>
        <w:rPr>
          <w:rFonts w:ascii="宋体" w:hAnsi="宋体" w:cs="宋体"/>
          <w:color w:val="auto"/>
          <w:szCs w:val="21"/>
          <w:highlight w:val="none"/>
        </w:rPr>
      </w:pPr>
      <w:r>
        <w:rPr>
          <w:rFonts w:hint="eastAsia" w:ascii="宋体" w:hAnsi="宋体" w:cs="宋体"/>
          <w:color w:val="auto"/>
          <w:szCs w:val="21"/>
          <w:highlight w:val="none"/>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pPr>
        <w:numPr>
          <w:ilvl w:val="2"/>
          <w:numId w:val="24"/>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发包人提供的材料和工程设备 </w:t>
      </w:r>
    </w:p>
    <w:p>
      <w:pPr>
        <w:autoSpaceDE w:val="0"/>
        <w:autoSpaceDN w:val="0"/>
        <w:spacing w:before="1" w:line="356" w:lineRule="exact"/>
        <w:ind w:right="308" w:firstLine="440" w:firstLineChars="200"/>
        <w:rPr>
          <w:rFonts w:ascii="宋体" w:hAnsi="宋体" w:cs="宋体"/>
          <w:color w:val="auto"/>
          <w:szCs w:val="21"/>
          <w:highlight w:val="none"/>
        </w:rPr>
      </w:pPr>
      <w:r>
        <w:rPr>
          <w:rFonts w:hint="eastAsia" w:ascii="宋体" w:hAnsi="宋体" w:cs="宋体"/>
          <w:color w:val="auto"/>
          <w:szCs w:val="21"/>
          <w:highlight w:val="none"/>
        </w:rPr>
        <w:t>5.2.1 发包人负责提供的材料和工程设备的名称、规格、数量、价格、交货方式、交货地点和计划交货日期等见合同条款专用部分“附件四：发包人提供的材料和工程设备一览表”。</w:t>
      </w:r>
    </w:p>
    <w:p>
      <w:pPr>
        <w:autoSpaceDE w:val="0"/>
        <w:autoSpaceDN w:val="0"/>
        <w:spacing w:line="356" w:lineRule="exact"/>
        <w:ind w:right="205" w:firstLine="440" w:firstLineChars="200"/>
        <w:rPr>
          <w:rFonts w:ascii="宋体" w:hAnsi="宋体" w:cs="宋体"/>
          <w:color w:val="auto"/>
          <w:szCs w:val="21"/>
          <w:highlight w:val="none"/>
        </w:rPr>
      </w:pPr>
      <w:r>
        <w:rPr>
          <w:rFonts w:hint="eastAsia" w:ascii="宋体" w:hAnsi="宋体" w:cs="宋体"/>
          <w:color w:val="auto"/>
          <w:szCs w:val="21"/>
          <w:highlight w:val="none"/>
        </w:rPr>
        <w:t>5.2.2 承包人应根据合同进度计划的安排，向监理人报送要求发包人交货的日期计划。发包人应按照监理人与合同双方当事人商定的交货日期，向承包人提交材料和工程设备。</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5.2.3 发包人应在材料和工程设备到货 7 天前通知承包人，承包人应会同监理人在约定的时间内，赴交货地点共同进行验收。由发包人提供的材料和工程设备验收后，由承包人负责接收、运输和保管。</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5.2.4 发包人要求向承包人提前交货的，承包人不得拒绝，但发包人应承担承包人由此增加的费用。 </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5.2.5 承包人要求更改交货日期或地点的，应事先报请监理人批准。由于承包人要求更改交货时间或地点所增加的费用和（或）工期延误由承包人承担。 </w:t>
      </w:r>
    </w:p>
    <w:p>
      <w:pPr>
        <w:autoSpaceDE w:val="0"/>
        <w:autoSpaceDN w:val="0"/>
        <w:spacing w:line="356" w:lineRule="exact"/>
        <w:ind w:right="203" w:firstLine="440" w:firstLineChars="200"/>
        <w:rPr>
          <w:rFonts w:ascii="宋体" w:hAnsi="宋体" w:cs="宋体"/>
          <w:color w:val="auto"/>
          <w:szCs w:val="21"/>
          <w:highlight w:val="none"/>
        </w:rPr>
      </w:pPr>
      <w:r>
        <w:rPr>
          <w:rFonts w:hint="eastAsia" w:ascii="宋体" w:hAnsi="宋体" w:cs="宋体"/>
          <w:color w:val="auto"/>
          <w:szCs w:val="21"/>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keepLines/>
        <w:numPr>
          <w:ilvl w:val="1"/>
          <w:numId w:val="8"/>
        </w:numPr>
        <w:spacing w:before="134"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材料和工程设备专用于合同工程 </w:t>
      </w:r>
    </w:p>
    <w:p>
      <w:pPr>
        <w:numPr>
          <w:ilvl w:val="2"/>
          <w:numId w:val="25"/>
        </w:numPr>
        <w:autoSpaceDE w:val="0"/>
        <w:autoSpaceDN w:val="0"/>
        <w:spacing w:line="356" w:lineRule="exact"/>
        <w:ind w:right="205" w:firstLine="419"/>
        <w:rPr>
          <w:rFonts w:ascii="宋体" w:hAnsi="宋体" w:cs="宋体"/>
          <w:color w:val="auto"/>
          <w:szCs w:val="21"/>
          <w:highlight w:val="none"/>
        </w:rPr>
      </w:pPr>
      <w:r>
        <w:rPr>
          <w:rFonts w:hint="eastAsia" w:ascii="宋体" w:hAnsi="宋体" w:cs="宋体"/>
          <w:color w:val="auto"/>
          <w:szCs w:val="21"/>
          <w:highlight w:val="none"/>
        </w:rPr>
        <w:t>运入施工场地的材料、工程设备，包括备品备件、安装专用工器具与随机资料，必须专用于合同工程，未经监理人同意，承包人不得运出施工场地或挪作他用。</w:t>
      </w:r>
    </w:p>
    <w:p>
      <w:pPr>
        <w:numPr>
          <w:ilvl w:val="2"/>
          <w:numId w:val="25"/>
        </w:numPr>
        <w:autoSpaceDE w:val="0"/>
        <w:autoSpaceDN w:val="0"/>
        <w:spacing w:line="356" w:lineRule="exact"/>
        <w:ind w:left="1087"/>
        <w:rPr>
          <w:rFonts w:ascii="宋体" w:hAnsi="宋体"/>
          <w:color w:val="auto"/>
          <w:sz w:val="24"/>
          <w:szCs w:val="24"/>
          <w:highlight w:val="none"/>
        </w:rPr>
      </w:pPr>
      <w:r>
        <w:rPr>
          <w:rFonts w:hint="eastAsia" w:ascii="宋体" w:hAnsi="宋体" w:cs="宋体"/>
          <w:color w:val="auto"/>
          <w:szCs w:val="21"/>
          <w:highlight w:val="none"/>
        </w:rPr>
        <w:t>随同工程设备运入施工场地的备品备件、专用工器具与随机资料，应由承包人</w:t>
      </w:r>
    </w:p>
    <w:p>
      <w:pPr>
        <w:autoSpaceDE w:val="0"/>
        <w:autoSpaceDN w:val="0"/>
        <w:spacing w:before="72" w:line="356" w:lineRule="exact"/>
        <w:ind w:left="138" w:right="309"/>
        <w:rPr>
          <w:rFonts w:ascii="宋体" w:hAnsi="宋体" w:cs="宋体"/>
          <w:color w:val="auto"/>
          <w:szCs w:val="21"/>
          <w:highlight w:val="none"/>
        </w:rPr>
      </w:pPr>
      <w:r>
        <w:rPr>
          <w:rFonts w:hint="eastAsia" w:ascii="宋体" w:hAnsi="宋体" w:cs="宋体"/>
          <w:color w:val="auto"/>
          <w:szCs w:val="21"/>
          <w:highlight w:val="none"/>
        </w:rPr>
        <w:t>未经监理人同意不得启用。承包人因合同工作需要使用上述物品时，应向监理人提出申请。</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禁止使用不合格的材料和工程设备 </w:t>
      </w:r>
    </w:p>
    <w:p>
      <w:pPr>
        <w:numPr>
          <w:ilvl w:val="2"/>
          <w:numId w:val="26"/>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监理人有权拒绝承包人提供的不合格材料或工程设备，并要求承包人立即进行更换。监理人应在更换后再次进行检查和检验，由此增加的费用和（或）工期延误由承包人承担。</w:t>
      </w:r>
    </w:p>
    <w:p>
      <w:pPr>
        <w:numPr>
          <w:ilvl w:val="2"/>
          <w:numId w:val="26"/>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监理人发现承包人使用了不合格的材料和工程设备，应即时发出指示要求承包人立即改正，并禁止在工程中继续使用不合格的材料和工程设备。</w:t>
      </w:r>
    </w:p>
    <w:p>
      <w:pPr>
        <w:numPr>
          <w:ilvl w:val="2"/>
          <w:numId w:val="26"/>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发包人提供的材料或工程设备不符合合同要求的，承包人有权拒绝，并可要求发包人更换，由此增加的费用和（或）工期延误由发包人承担。</w:t>
      </w:r>
    </w:p>
    <w:p>
      <w:pPr>
        <w:keepNext/>
        <w:keepLines/>
        <w:numPr>
          <w:ilvl w:val="0"/>
          <w:numId w:val="8"/>
        </w:numPr>
        <w:spacing w:before="260" w:after="260" w:line="356" w:lineRule="exact"/>
        <w:outlineLvl w:val="1"/>
        <w:rPr>
          <w:rFonts w:ascii="Arial" w:hAnsi="Arial"/>
          <w:b/>
          <w:color w:val="auto"/>
          <w:sz w:val="28"/>
          <w:szCs w:val="24"/>
          <w:highlight w:val="none"/>
        </w:rPr>
      </w:pPr>
      <w:bookmarkStart w:id="733" w:name="_Toc24824"/>
      <w:bookmarkStart w:id="734" w:name="_Toc101357717"/>
      <w:bookmarkStart w:id="735" w:name="_Toc21285"/>
      <w:r>
        <w:rPr>
          <w:rFonts w:hint="eastAsia" w:ascii="Arial" w:hAnsi="Arial"/>
          <w:b/>
          <w:color w:val="auto"/>
          <w:sz w:val="28"/>
          <w:szCs w:val="24"/>
          <w:highlight w:val="none"/>
        </w:rPr>
        <w:t>施工设备和临时设施</w:t>
      </w:r>
      <w:bookmarkEnd w:id="733"/>
      <w:bookmarkEnd w:id="734"/>
      <w:bookmarkEnd w:id="735"/>
      <w:r>
        <w:rPr>
          <w:rFonts w:hint="eastAsia" w:ascii="Arial" w:hAnsi="Arial"/>
          <w:b/>
          <w:color w:val="auto"/>
          <w:sz w:val="28"/>
          <w:szCs w:val="24"/>
          <w:highlight w:val="none"/>
        </w:rPr>
        <w:t xml:space="preserve"> </w:t>
      </w:r>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承包人提供的施工设备和临时设施 </w:t>
      </w:r>
    </w:p>
    <w:p>
      <w:pPr>
        <w:numPr>
          <w:ilvl w:val="2"/>
          <w:numId w:val="27"/>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numPr>
          <w:ilvl w:val="2"/>
          <w:numId w:val="27"/>
        </w:numPr>
        <w:autoSpaceDE w:val="0"/>
        <w:autoSpaceDN w:val="0"/>
        <w:spacing w:line="356" w:lineRule="exact"/>
        <w:ind w:right="205" w:firstLine="419"/>
        <w:rPr>
          <w:rFonts w:ascii="宋体" w:hAnsi="宋体" w:cs="宋体"/>
          <w:color w:val="auto"/>
          <w:szCs w:val="21"/>
          <w:highlight w:val="none"/>
        </w:rPr>
      </w:pPr>
      <w:r>
        <w:rPr>
          <w:rFonts w:hint="eastAsia" w:ascii="宋体" w:hAnsi="宋体" w:cs="宋体"/>
          <w:color w:val="auto"/>
          <w:szCs w:val="21"/>
          <w:highlight w:val="none"/>
        </w:rPr>
        <w:t>除合同另有约定外，承包人应承担自行修建临时设施的费用。需要临时占地的，应由发包人办理申请手续并承担相应费用。承包人自行修建临时设施的范围以及所需临时占地见合同条款专用部分。</w:t>
      </w:r>
    </w:p>
    <w:p>
      <w:pPr>
        <w:keepNext/>
        <w:keepLines/>
        <w:numPr>
          <w:ilvl w:val="1"/>
          <w:numId w:val="8"/>
        </w:numPr>
        <w:spacing w:before="13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发包人提供的施工设备和临时设施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发包人提供的施工设备或临时设施，以及相关运行、维护、拆除、清运费用的承担人见合同条款专用部分。</w:t>
      </w:r>
    </w:p>
    <w:p>
      <w:pPr>
        <w:keepNext/>
        <w:keepLines/>
        <w:numPr>
          <w:ilvl w:val="1"/>
          <w:numId w:val="8"/>
        </w:numPr>
        <w:spacing w:before="13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要求承包人增加或更换施工设备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pPr>
        <w:keepNext/>
        <w:keepLines/>
        <w:numPr>
          <w:ilvl w:val="1"/>
          <w:numId w:val="8"/>
        </w:numPr>
        <w:spacing w:before="6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施工设备和临时设施专用于合同工程 </w:t>
      </w:r>
    </w:p>
    <w:p>
      <w:pPr>
        <w:autoSpaceDE w:val="0"/>
        <w:autoSpaceDN w:val="0"/>
        <w:spacing w:line="356" w:lineRule="exact"/>
        <w:ind w:left="138" w:right="308" w:firstLine="440" w:firstLineChars="200"/>
        <w:rPr>
          <w:rFonts w:ascii="宋体" w:hAnsi="宋体" w:cs="宋体"/>
          <w:color w:val="auto"/>
          <w:szCs w:val="21"/>
          <w:highlight w:val="none"/>
        </w:rPr>
      </w:pPr>
      <w:r>
        <w:rPr>
          <w:rFonts w:hint="eastAsia" w:ascii="宋体" w:hAnsi="宋体" w:cs="宋体"/>
          <w:color w:val="auto"/>
          <w:szCs w:val="21"/>
          <w:highlight w:val="none"/>
        </w:rPr>
        <w:t>6.4.1 除为第 4.1.8 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pPr>
        <w:autoSpaceDE w:val="0"/>
        <w:autoSpaceDN w:val="0"/>
        <w:spacing w:line="356" w:lineRule="exact"/>
        <w:ind w:left="138" w:firstLine="440" w:firstLineChars="200"/>
        <w:rPr>
          <w:rFonts w:ascii="宋体" w:hAnsi="宋体" w:cs="宋体"/>
          <w:color w:val="auto"/>
          <w:sz w:val="20"/>
          <w:szCs w:val="20"/>
          <w:highlight w:val="none"/>
        </w:rPr>
      </w:pPr>
      <w:r>
        <w:rPr>
          <w:rFonts w:hint="eastAsia" w:ascii="宋体" w:hAnsi="宋体" w:cs="宋体"/>
          <w:color w:val="auto"/>
          <w:szCs w:val="21"/>
          <w:highlight w:val="none"/>
        </w:rPr>
        <w:t xml:space="preserve">6.4.2 经监理人同意，承包人可根据合同进度计划撤走闲置的施工设备。 </w:t>
      </w:r>
    </w:p>
    <w:p>
      <w:pPr>
        <w:keepNext/>
        <w:keepLines/>
        <w:numPr>
          <w:ilvl w:val="0"/>
          <w:numId w:val="8"/>
        </w:numPr>
        <w:spacing w:before="260" w:after="260" w:line="356" w:lineRule="exact"/>
        <w:outlineLvl w:val="1"/>
        <w:rPr>
          <w:rFonts w:ascii="Arial" w:hAnsi="Arial"/>
          <w:b/>
          <w:color w:val="auto"/>
          <w:sz w:val="28"/>
          <w:szCs w:val="24"/>
          <w:highlight w:val="none"/>
        </w:rPr>
      </w:pPr>
      <w:bookmarkStart w:id="736" w:name="_Toc17787"/>
      <w:bookmarkStart w:id="737" w:name="_Toc101357718"/>
      <w:bookmarkStart w:id="738" w:name="_Toc2811"/>
      <w:r>
        <w:rPr>
          <w:rFonts w:hint="eastAsia" w:ascii="Arial" w:hAnsi="Arial"/>
          <w:b/>
          <w:color w:val="auto"/>
          <w:sz w:val="28"/>
          <w:szCs w:val="24"/>
          <w:highlight w:val="none"/>
        </w:rPr>
        <w:t>交通运输</w:t>
      </w:r>
      <w:bookmarkEnd w:id="736"/>
      <w:bookmarkEnd w:id="737"/>
      <w:bookmarkEnd w:id="738"/>
    </w:p>
    <w:p>
      <w:pPr>
        <w:keepNext/>
        <w:keepLines/>
        <w:numPr>
          <w:ilvl w:val="1"/>
          <w:numId w:val="8"/>
        </w:numPr>
        <w:spacing w:before="1"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道路通行权和场外设施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 </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场内施工道路 </w:t>
      </w:r>
    </w:p>
    <w:p>
      <w:pPr>
        <w:numPr>
          <w:ilvl w:val="2"/>
          <w:numId w:val="28"/>
        </w:numPr>
        <w:autoSpaceDE w:val="0"/>
        <w:autoSpaceDN w:val="0"/>
        <w:spacing w:before="1" w:line="356" w:lineRule="exact"/>
        <w:ind w:right="309" w:firstLine="419"/>
        <w:jc w:val="left"/>
        <w:rPr>
          <w:rFonts w:ascii="宋体" w:hAnsi="宋体" w:cs="宋体"/>
          <w:color w:val="auto"/>
          <w:szCs w:val="21"/>
          <w:highlight w:val="none"/>
        </w:rPr>
      </w:pPr>
      <w:r>
        <w:rPr>
          <w:rFonts w:hint="eastAsia" w:ascii="宋体" w:hAnsi="宋体" w:cs="宋体"/>
          <w:color w:val="auto"/>
          <w:szCs w:val="21"/>
          <w:highlight w:val="none"/>
        </w:rPr>
        <w:t>除合同条款专用部分另有约定外，承包人应负责修建、维修、养护和管理施工所需的临时道路和交通设施，包括维修、养护和管理发包人提供的道路和交通设施，并承担相应费用。</w:t>
      </w:r>
    </w:p>
    <w:p>
      <w:pPr>
        <w:numPr>
          <w:ilvl w:val="2"/>
          <w:numId w:val="28"/>
        </w:numPr>
        <w:autoSpaceDE w:val="0"/>
        <w:autoSpaceDN w:val="0"/>
        <w:spacing w:line="356" w:lineRule="exact"/>
        <w:ind w:right="309" w:firstLine="419"/>
        <w:jc w:val="left"/>
        <w:rPr>
          <w:rFonts w:ascii="宋体" w:hAnsi="宋体" w:cs="宋体"/>
          <w:color w:val="auto"/>
          <w:szCs w:val="21"/>
          <w:highlight w:val="none"/>
        </w:rPr>
      </w:pPr>
      <w:r>
        <w:rPr>
          <w:rFonts w:hint="eastAsia" w:ascii="宋体" w:hAnsi="宋体" w:cs="宋体"/>
          <w:color w:val="auto"/>
          <w:szCs w:val="21"/>
          <w:highlight w:val="none"/>
        </w:rPr>
        <w:t>发包人和监理人有权无偿使用承包人修建的临时道路和交通设施，不需要交纳任何费用。</w:t>
      </w:r>
    </w:p>
    <w:p>
      <w:pPr>
        <w:keepNext/>
        <w:keepLines/>
        <w:numPr>
          <w:ilvl w:val="1"/>
          <w:numId w:val="8"/>
        </w:numPr>
        <w:spacing w:before="134" w:line="356" w:lineRule="exact"/>
        <w:ind w:hanging="362"/>
        <w:jc w:val="left"/>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场外交通 </w:t>
      </w:r>
    </w:p>
    <w:p>
      <w:pPr>
        <w:numPr>
          <w:ilvl w:val="2"/>
          <w:numId w:val="29"/>
        </w:numPr>
        <w:autoSpaceDE w:val="0"/>
        <w:autoSpaceDN w:val="0"/>
        <w:spacing w:line="356" w:lineRule="exact"/>
        <w:ind w:right="309" w:firstLine="419"/>
        <w:jc w:val="left"/>
        <w:rPr>
          <w:rFonts w:ascii="宋体" w:hAnsi="宋体" w:cs="宋体"/>
          <w:color w:val="auto"/>
          <w:szCs w:val="21"/>
          <w:highlight w:val="none"/>
        </w:rPr>
      </w:pPr>
      <w:r>
        <w:rPr>
          <w:rFonts w:hint="eastAsia" w:ascii="宋体" w:hAnsi="宋体" w:cs="宋体"/>
          <w:color w:val="auto"/>
          <w:szCs w:val="21"/>
          <w:highlight w:val="none"/>
        </w:rPr>
        <w:t>承包人车辆外出行驶所需的场外公共道路的通行费、养路费和税款等由承包人承担。</w:t>
      </w:r>
    </w:p>
    <w:p>
      <w:pPr>
        <w:numPr>
          <w:ilvl w:val="2"/>
          <w:numId w:val="29"/>
        </w:numPr>
        <w:autoSpaceDE w:val="0"/>
        <w:autoSpaceDN w:val="0"/>
        <w:spacing w:line="356" w:lineRule="exact"/>
        <w:ind w:right="309" w:firstLine="419"/>
        <w:jc w:val="left"/>
        <w:rPr>
          <w:rFonts w:ascii="宋体" w:hAnsi="宋体" w:cs="宋体"/>
          <w:color w:val="auto"/>
          <w:szCs w:val="21"/>
          <w:highlight w:val="none"/>
        </w:rPr>
      </w:pPr>
      <w:r>
        <w:rPr>
          <w:rFonts w:hint="eastAsia" w:ascii="宋体" w:hAnsi="宋体" w:cs="宋体"/>
          <w:color w:val="auto"/>
          <w:szCs w:val="21"/>
          <w:highlight w:val="none"/>
        </w:rPr>
        <w:t>承包人应遵守有关交通法规，严格按照道路和桥梁的限制荷重安全行驶，并服从交通管理部门的检查和监督。</w:t>
      </w:r>
    </w:p>
    <w:p>
      <w:pPr>
        <w:keepNext/>
        <w:keepLines/>
        <w:numPr>
          <w:ilvl w:val="1"/>
          <w:numId w:val="8"/>
        </w:numPr>
        <w:spacing w:before="13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超大件和超重件的运输 </w:t>
      </w:r>
    </w:p>
    <w:p>
      <w:pPr>
        <w:autoSpaceDE w:val="0"/>
        <w:autoSpaceDN w:val="0"/>
        <w:spacing w:line="356" w:lineRule="exact"/>
        <w:ind w:left="138" w:right="220" w:firstLine="419"/>
        <w:rPr>
          <w:rFonts w:ascii="宋体" w:hAnsi="宋体" w:cs="宋体"/>
          <w:color w:val="auto"/>
          <w:szCs w:val="21"/>
          <w:highlight w:val="none"/>
        </w:rPr>
      </w:pPr>
      <w:r>
        <w:rPr>
          <w:rFonts w:hint="eastAsia" w:ascii="宋体" w:hAnsi="宋体" w:cs="宋体"/>
          <w:color w:val="auto"/>
          <w:szCs w:val="21"/>
          <w:highlight w:val="none"/>
        </w:rPr>
        <w:t>由承包人负责运输的超大件或超重件，应由承包人负责向交通管理部门办理申请手续， 发包人给予协助。运输超大件或超重件所需的道路和桥梁临时加固改造费用和其他有关费 用，由承包人承担，但合同条款专用部分另有约定除外。</w:t>
      </w:r>
    </w:p>
    <w:p>
      <w:pPr>
        <w:keepNext/>
        <w:keepLines/>
        <w:numPr>
          <w:ilvl w:val="1"/>
          <w:numId w:val="8"/>
        </w:numPr>
        <w:spacing w:before="6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道路和桥梁的损坏责任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因承包人运输造成施工场地内外公共道路和桥梁损坏的，由承包人承担修复损坏的全部费用和可能引起的赔偿。</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水路和航空运输 </w:t>
      </w:r>
    </w:p>
    <w:p>
      <w:pPr>
        <w:autoSpaceDE w:val="0"/>
        <w:autoSpaceDN w:val="0"/>
        <w:spacing w:line="356" w:lineRule="exact"/>
        <w:ind w:left="138" w:right="219" w:firstLine="419"/>
        <w:rPr>
          <w:rFonts w:ascii="宋体" w:hAnsi="宋体" w:cs="宋体"/>
          <w:color w:val="auto"/>
          <w:szCs w:val="21"/>
          <w:highlight w:val="none"/>
        </w:rPr>
      </w:pPr>
      <w:r>
        <w:rPr>
          <w:rFonts w:hint="eastAsia" w:ascii="宋体" w:hAnsi="宋体" w:cs="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keepNext/>
        <w:keepLines/>
        <w:numPr>
          <w:ilvl w:val="0"/>
          <w:numId w:val="8"/>
        </w:numPr>
        <w:spacing w:before="260" w:after="260" w:line="356" w:lineRule="exact"/>
        <w:outlineLvl w:val="1"/>
        <w:rPr>
          <w:rFonts w:ascii="Arial" w:hAnsi="Arial"/>
          <w:b/>
          <w:color w:val="auto"/>
          <w:sz w:val="28"/>
          <w:szCs w:val="24"/>
          <w:highlight w:val="none"/>
        </w:rPr>
      </w:pPr>
      <w:bookmarkStart w:id="739" w:name="_Toc101357719"/>
      <w:bookmarkStart w:id="740" w:name="_Toc30747"/>
      <w:bookmarkStart w:id="741" w:name="_Toc21769"/>
      <w:r>
        <w:rPr>
          <w:rFonts w:hint="eastAsia" w:ascii="Arial" w:hAnsi="Arial"/>
          <w:b/>
          <w:color w:val="auto"/>
          <w:sz w:val="28"/>
          <w:szCs w:val="24"/>
          <w:highlight w:val="none"/>
        </w:rPr>
        <w:t>测量放线</w:t>
      </w:r>
      <w:bookmarkEnd w:id="739"/>
      <w:bookmarkEnd w:id="740"/>
      <w:bookmarkEnd w:id="741"/>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施工控制网 </w:t>
      </w:r>
    </w:p>
    <w:p>
      <w:pPr>
        <w:autoSpaceDE w:val="0"/>
        <w:autoSpaceDN w:val="0"/>
        <w:spacing w:line="356" w:lineRule="exact"/>
        <w:ind w:right="308" w:firstLine="440" w:firstLineChars="200"/>
        <w:rPr>
          <w:rFonts w:ascii="宋体" w:hAnsi="宋体" w:cs="宋体"/>
          <w:color w:val="auto"/>
          <w:szCs w:val="21"/>
          <w:highlight w:val="none"/>
        </w:rPr>
      </w:pPr>
      <w:r>
        <w:rPr>
          <w:rFonts w:hint="eastAsia" w:ascii="宋体" w:hAnsi="宋体" w:cs="宋体"/>
          <w:color w:val="auto"/>
          <w:szCs w:val="21"/>
          <w:highlight w:val="none"/>
        </w:rPr>
        <w:t>8.1.1 发包人应在合同约定的期限内，通过监理人向承包人提供测量基准点、基准线和水准点及其书面资料。向承包人提供测量基准点、基准线和水准点及其书面资料的期限见合同条款专用部分。</w:t>
      </w:r>
    </w:p>
    <w:p>
      <w:pPr>
        <w:autoSpaceDE w:val="0"/>
        <w:autoSpaceDN w:val="0"/>
        <w:spacing w:line="356" w:lineRule="exact"/>
        <w:ind w:right="203" w:firstLine="440" w:firstLineChars="200"/>
        <w:rPr>
          <w:rFonts w:ascii="宋体" w:hAnsi="宋体" w:cs="宋体"/>
          <w:color w:val="auto"/>
          <w:szCs w:val="21"/>
          <w:highlight w:val="none"/>
        </w:rPr>
      </w:pPr>
      <w:r>
        <w:rPr>
          <w:rFonts w:hint="eastAsia" w:ascii="宋体" w:hAnsi="宋体" w:cs="宋体"/>
          <w:color w:val="auto"/>
          <w:szCs w:val="21"/>
          <w:highlight w:val="none"/>
        </w:rPr>
        <w:t>8.1.2 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8.1.3 承包人应负责管理施工控制网点。施工控制网点丢失或损坏的，承包人应及时修复，并承担施工控制网点的管理与修复费用。工程竣工后将施工控制网点移交发包人。</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施工测量 </w:t>
      </w:r>
    </w:p>
    <w:p>
      <w:pPr>
        <w:numPr>
          <w:ilvl w:val="2"/>
          <w:numId w:val="30"/>
        </w:numPr>
        <w:autoSpaceDE w:val="0"/>
        <w:autoSpaceDN w:val="0"/>
        <w:spacing w:before="1" w:line="356" w:lineRule="exact"/>
        <w:ind w:right="206" w:firstLine="419"/>
        <w:rPr>
          <w:rFonts w:ascii="宋体" w:hAnsi="宋体" w:cs="宋体"/>
          <w:color w:val="auto"/>
          <w:szCs w:val="21"/>
          <w:highlight w:val="none"/>
        </w:rPr>
      </w:pPr>
      <w:r>
        <w:rPr>
          <w:rFonts w:hint="eastAsia" w:ascii="宋体" w:hAnsi="宋体" w:cs="宋体"/>
          <w:color w:val="auto"/>
          <w:szCs w:val="21"/>
          <w:highlight w:val="none"/>
        </w:rPr>
        <w:t>承包人应负责施工过程中的全部施工测量放线工作，并配置合格的人员、仪器、设备和其他物品。</w:t>
      </w:r>
    </w:p>
    <w:p>
      <w:pPr>
        <w:numPr>
          <w:ilvl w:val="2"/>
          <w:numId w:val="3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监理人可以指示承包人进行抽样复测，当复测中发现错误或出现超过合同约定的误差时，承包人应按监理人指示进行修正或补测，并承担相应的复测费用。 </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基准资料错误的责任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 </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监理人使用施工控制网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监理人需要使用施工控制网的，承包人应提供必要的协助，发包人不再为此支付费用。 </w:t>
      </w:r>
    </w:p>
    <w:p>
      <w:pPr>
        <w:keepNext/>
        <w:keepLines/>
        <w:numPr>
          <w:ilvl w:val="0"/>
          <w:numId w:val="8"/>
        </w:numPr>
        <w:spacing w:before="260" w:after="260" w:line="356" w:lineRule="exact"/>
        <w:outlineLvl w:val="1"/>
        <w:rPr>
          <w:rFonts w:ascii="Arial" w:hAnsi="Arial"/>
          <w:b/>
          <w:color w:val="auto"/>
          <w:sz w:val="28"/>
          <w:szCs w:val="24"/>
          <w:highlight w:val="none"/>
        </w:rPr>
      </w:pPr>
      <w:bookmarkStart w:id="742" w:name="_Toc101357720"/>
      <w:bookmarkStart w:id="743" w:name="_Toc1613"/>
      <w:bookmarkStart w:id="744" w:name="_Toc5250"/>
      <w:r>
        <w:rPr>
          <w:rFonts w:hint="eastAsia" w:ascii="Arial" w:hAnsi="Arial"/>
          <w:b/>
          <w:color w:val="auto"/>
          <w:sz w:val="28"/>
          <w:szCs w:val="24"/>
          <w:highlight w:val="none"/>
        </w:rPr>
        <w:t>施工安全、治安保卫和环境保护</w:t>
      </w:r>
      <w:bookmarkEnd w:id="742"/>
      <w:bookmarkEnd w:id="743"/>
      <w:bookmarkEnd w:id="744"/>
      <w:r>
        <w:rPr>
          <w:rFonts w:hint="eastAsia" w:ascii="Arial" w:hAnsi="Arial"/>
          <w:b/>
          <w:color w:val="auto"/>
          <w:sz w:val="28"/>
          <w:szCs w:val="24"/>
          <w:highlight w:val="none"/>
        </w:rPr>
        <w:t xml:space="preserve"> </w:t>
      </w:r>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发包人的施工安全责任 </w:t>
      </w:r>
    </w:p>
    <w:p>
      <w:pPr>
        <w:numPr>
          <w:ilvl w:val="2"/>
          <w:numId w:val="31"/>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发包人应按合同约定履行安全职责，授权监理人按合同约定的安全工作内容监督、检查承包人安全工作的实施，组织承包人和有关单位进行安全检查。</w:t>
      </w:r>
    </w:p>
    <w:p>
      <w:pPr>
        <w:numPr>
          <w:ilvl w:val="2"/>
          <w:numId w:val="31"/>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发包人应对其现场机构雇佣的全部人员的工伤事故承担责任，但由于承包人原因造成发包人人员工伤的，应由承包人承担责任。</w:t>
      </w:r>
    </w:p>
    <w:p>
      <w:pPr>
        <w:numPr>
          <w:ilvl w:val="2"/>
          <w:numId w:val="31"/>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 xml:space="preserve">发包人应负责赔偿以下各种情况造成的第三者人身伤亡和财产损失： </w:t>
      </w:r>
    </w:p>
    <w:p>
      <w:pPr>
        <w:numPr>
          <w:ilvl w:val="0"/>
          <w:numId w:val="32"/>
        </w:numPr>
        <w:autoSpaceDE w:val="0"/>
        <w:autoSpaceDN w:val="0"/>
        <w:spacing w:before="1" w:line="356" w:lineRule="exact"/>
        <w:ind w:hanging="530"/>
        <w:rPr>
          <w:rFonts w:ascii="宋体" w:hAnsi="宋体" w:cs="宋体"/>
          <w:color w:val="auto"/>
          <w:szCs w:val="21"/>
          <w:highlight w:val="none"/>
        </w:rPr>
      </w:pPr>
      <w:r>
        <w:rPr>
          <w:rFonts w:hint="eastAsia" w:ascii="宋体" w:hAnsi="宋体" w:cs="宋体"/>
          <w:color w:val="auto"/>
          <w:szCs w:val="21"/>
          <w:highlight w:val="none"/>
        </w:rPr>
        <w:t>工程或工程的任何部分对土地的占用所造成的第三者财产损失；</w:t>
      </w:r>
    </w:p>
    <w:p>
      <w:pPr>
        <w:numPr>
          <w:ilvl w:val="0"/>
          <w:numId w:val="32"/>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由于发包人原因在施工场地及其毗邻地带造成的第三者人身伤亡和财产损失。</w:t>
      </w:r>
    </w:p>
    <w:p>
      <w:pPr>
        <w:keepNext/>
        <w:keepLines/>
        <w:numPr>
          <w:ilvl w:val="1"/>
          <w:numId w:val="8"/>
        </w:numPr>
        <w:spacing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承包人的施工安全责任 </w:t>
      </w:r>
    </w:p>
    <w:p>
      <w:pPr>
        <w:autoSpaceDE w:val="0"/>
        <w:autoSpaceDN w:val="0"/>
        <w:spacing w:line="356" w:lineRule="exact"/>
        <w:ind w:right="308" w:firstLine="440" w:firstLineChars="200"/>
        <w:rPr>
          <w:rFonts w:ascii="宋体" w:hAnsi="宋体" w:cs="宋体"/>
          <w:color w:val="auto"/>
          <w:szCs w:val="21"/>
          <w:highlight w:val="none"/>
        </w:rPr>
      </w:pPr>
      <w:r>
        <w:rPr>
          <w:rFonts w:hint="eastAsia" w:ascii="宋体" w:hAnsi="宋体" w:cs="宋体"/>
          <w:color w:val="auto"/>
          <w:szCs w:val="21"/>
          <w:highlight w:val="none"/>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9.2.2 承包人应加强施工作业安全管理，特别应加强易燃、易爆材料、火工器材、有毒与腐蚀性材料、行业挥发性有机物和其他危险品的管理，以及对爆破作业和地下工程施工等危险作业的管理。</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9.2.3 承包人应严格按照国家安全标准制定施工安全操作规程，配备必要的安全生产和劳动保护设施，加强对承包人人员的安全教育，并发放安全工作手册和劳动保护用具。</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9.2.4 承包人应按监理人的指示制定应对灾害的紧急预案，报送监理人审批。承包人还应按预案做好安全检查，配置必要的救助物资和器材，切实保护好有关人员的人身和财产安全。</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9.2.5 合同约定的安全作业环境及安全施工措施所需费用应遵守有关规定，并包括在相关工作的合同价格中。因采取合同未约定的安全作业环境及安全施工措施增加的费用，由监理人按第 3.5 款商定或确定。 </w:t>
      </w:r>
    </w:p>
    <w:p>
      <w:pPr>
        <w:autoSpaceDE w:val="0"/>
        <w:autoSpaceDN w:val="0"/>
        <w:spacing w:before="7"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9.2.6 承包人应对其履行合同所雇佣的全部人员，包括分包人人员的工伤事故承担责任，但由于发包人原因造成承包人人员工伤事故的，应由发包人承担责任。 </w:t>
      </w:r>
    </w:p>
    <w:p>
      <w:pPr>
        <w:autoSpaceDE w:val="0"/>
        <w:autoSpaceDN w:val="0"/>
        <w:spacing w:before="7"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9.2.7 由于承包人原因在施工场地内及其毗邻地带造成的第三者人员伤亡和财产损失，由承包人负责赔偿。</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治安保卫 </w:t>
      </w:r>
    </w:p>
    <w:p>
      <w:pPr>
        <w:numPr>
          <w:ilvl w:val="2"/>
          <w:numId w:val="3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发包人应与当地公安部门协商，在现场建立治安管理机构或联防组织，负责统一管理施工场地的治安保卫事项，履行合同工程的治安保卫职责。</w:t>
      </w:r>
    </w:p>
    <w:p>
      <w:pPr>
        <w:numPr>
          <w:ilvl w:val="2"/>
          <w:numId w:val="3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发包人和承包人除应协助现场治安管理机构或联防组织维护施工场地的社会治安外，还应做好包括生活区在内的各自管辖区的治安保卫工作。</w:t>
      </w:r>
    </w:p>
    <w:p>
      <w:pPr>
        <w:numPr>
          <w:ilvl w:val="2"/>
          <w:numId w:val="3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pPr>
        <w:numPr>
          <w:ilvl w:val="2"/>
          <w:numId w:val="3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建立健全疫情常态化防控应急机制，始终坚持疫情常态化防控和应急处置相结合的原则，按照项目所在地分区分级标准及时制定完善应急预案，明确应急处置流程，适时开展应急演练，确保责任落实到人。</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pPr>
        <w:keepNext/>
        <w:keepLines/>
        <w:numPr>
          <w:ilvl w:val="1"/>
          <w:numId w:val="8"/>
        </w:numPr>
        <w:spacing w:before="134"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环境保护 </w:t>
      </w:r>
    </w:p>
    <w:p>
      <w:pPr>
        <w:numPr>
          <w:ilvl w:val="2"/>
          <w:numId w:val="34"/>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承包人在施工过程中，应遵守有关环境保护的法律，履行合同约定的环境保护义务，并对违反法律和合同约定义务所造成的环境破坏、人身伤害和财产损失负责。</w:t>
      </w:r>
    </w:p>
    <w:p>
      <w:pPr>
        <w:numPr>
          <w:ilvl w:val="2"/>
          <w:numId w:val="34"/>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承包人应建立施工扬尘治理、建筑垃圾、土方和砂石清运与消纳、保证使用已</w:t>
      </w:r>
    </w:p>
    <w:p>
      <w:pPr>
        <w:autoSpaceDE w:val="0"/>
        <w:autoSpaceDN w:val="0"/>
        <w:spacing w:before="72" w:line="356" w:lineRule="exact"/>
        <w:ind w:left="138" w:right="308"/>
        <w:rPr>
          <w:rFonts w:ascii="宋体" w:hAnsi="宋体" w:cs="宋体"/>
          <w:color w:val="auto"/>
          <w:szCs w:val="21"/>
          <w:highlight w:val="none"/>
        </w:rPr>
      </w:pPr>
      <w:r>
        <w:rPr>
          <w:rFonts w:hint="eastAsia" w:ascii="宋体" w:hAnsi="宋体" w:cs="宋体"/>
          <w:color w:val="auto"/>
          <w:szCs w:val="21"/>
          <w:highlight w:val="none"/>
        </w:rPr>
        <w:t>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pPr>
        <w:numPr>
          <w:ilvl w:val="2"/>
          <w:numId w:val="34"/>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承包人应在合同条款专用部分约定的时限内，按合同约定的环保工作内容，编制施工环保措施计划（包含第9.4.2项约定的实施方案内容），报送监理人审批。监理人在合同条款专用部分约定的期限内给予批复。</w:t>
      </w:r>
    </w:p>
    <w:p>
      <w:pPr>
        <w:numPr>
          <w:ilvl w:val="2"/>
          <w:numId w:val="34"/>
        </w:numPr>
        <w:autoSpaceDE w:val="0"/>
        <w:autoSpaceDN w:val="0"/>
        <w:spacing w:line="356" w:lineRule="exact"/>
        <w:ind w:right="203" w:firstLine="419"/>
        <w:rPr>
          <w:rFonts w:ascii="宋体" w:hAnsi="宋体" w:cs="宋体"/>
          <w:color w:val="auto"/>
          <w:szCs w:val="21"/>
          <w:highlight w:val="none"/>
        </w:rPr>
      </w:pPr>
      <w:r>
        <w:rPr>
          <w:rFonts w:hint="eastAsia" w:ascii="宋体" w:hAnsi="宋体" w:cs="宋体"/>
          <w:color w:val="auto"/>
          <w:szCs w:val="21"/>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pPr>
        <w:numPr>
          <w:ilvl w:val="2"/>
          <w:numId w:val="34"/>
        </w:numPr>
        <w:autoSpaceDE w:val="0"/>
        <w:autoSpaceDN w:val="0"/>
        <w:spacing w:line="356" w:lineRule="exact"/>
        <w:ind w:right="311" w:firstLine="419"/>
        <w:rPr>
          <w:rFonts w:ascii="宋体" w:hAnsi="宋体" w:cs="宋体"/>
          <w:color w:val="auto"/>
          <w:szCs w:val="21"/>
          <w:highlight w:val="none"/>
        </w:rPr>
      </w:pPr>
      <w:r>
        <w:rPr>
          <w:rFonts w:hint="eastAsia" w:ascii="宋体" w:hAnsi="宋体" w:cs="宋体"/>
          <w:color w:val="auto"/>
          <w:szCs w:val="21"/>
          <w:highlight w:val="none"/>
        </w:rPr>
        <w:t>承包人应按合同约定采取有效措施，对施工开挖的边坡及时进行支护,维护排水设施，并进行水土保护，避免因施工造成的地质灾害。</w:t>
      </w:r>
    </w:p>
    <w:p>
      <w:pPr>
        <w:numPr>
          <w:ilvl w:val="2"/>
          <w:numId w:val="34"/>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承包人应按国家饮用水管理标准定期对饮用水源进行监测，防止施工活动污染饮用水源。</w:t>
      </w:r>
    </w:p>
    <w:p>
      <w:pPr>
        <w:numPr>
          <w:ilvl w:val="2"/>
          <w:numId w:val="34"/>
        </w:numPr>
        <w:autoSpaceDE w:val="0"/>
        <w:autoSpaceDN w:val="0"/>
        <w:spacing w:line="356" w:lineRule="exact"/>
        <w:ind w:right="311" w:firstLine="424"/>
        <w:rPr>
          <w:rFonts w:ascii="宋体" w:hAnsi="宋体" w:cs="宋体"/>
          <w:color w:val="auto"/>
          <w:szCs w:val="21"/>
          <w:highlight w:val="none"/>
        </w:rPr>
      </w:pPr>
      <w:r>
        <w:rPr>
          <w:rFonts w:hint="eastAsia" w:ascii="宋体" w:hAnsi="宋体" w:cs="宋体"/>
          <w:color w:val="auto"/>
          <w:szCs w:val="21"/>
          <w:highlight w:val="none"/>
        </w:rPr>
        <w:t>承包人应按合同约定，加强对噪声、粉尘、废气、废水和废油的控制，努力降低噪声，控制粉尘和废气浓度，做好废水和废油的治理和排放。</w:t>
      </w:r>
    </w:p>
    <w:p>
      <w:pPr>
        <w:keepNext/>
        <w:keepLines/>
        <w:numPr>
          <w:ilvl w:val="1"/>
          <w:numId w:val="8"/>
        </w:numPr>
        <w:spacing w:before="134"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事故处理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 </w:t>
      </w:r>
    </w:p>
    <w:p>
      <w:pPr>
        <w:keepNext/>
        <w:keepLines/>
        <w:numPr>
          <w:ilvl w:val="1"/>
          <w:numId w:val="8"/>
        </w:numPr>
        <w:spacing w:before="136"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施工现场安全生产标准化管理目标 </w:t>
      </w:r>
    </w:p>
    <w:p>
      <w:pPr>
        <w:numPr>
          <w:ilvl w:val="2"/>
          <w:numId w:val="35"/>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 </w:t>
      </w:r>
    </w:p>
    <w:p>
      <w:pPr>
        <w:numPr>
          <w:ilvl w:val="2"/>
          <w:numId w:val="35"/>
        </w:numPr>
        <w:autoSpaceDE w:val="0"/>
        <w:autoSpaceDN w:val="0"/>
        <w:spacing w:line="356" w:lineRule="exact"/>
        <w:ind w:right="220" w:firstLine="419"/>
        <w:rPr>
          <w:rFonts w:ascii="宋体" w:hAnsi="宋体" w:cs="宋体"/>
          <w:color w:val="auto"/>
          <w:szCs w:val="21"/>
          <w:highlight w:val="none"/>
        </w:rPr>
      </w:pPr>
      <w:r>
        <w:rPr>
          <w:rFonts w:hint="eastAsia" w:ascii="宋体" w:hAnsi="宋体" w:cs="宋体"/>
          <w:color w:val="auto"/>
          <w:szCs w:val="21"/>
          <w:highlight w:val="none"/>
        </w:rPr>
        <w:t>发包人鼓励承包人提高施工现场安全生产标准化管理。施工现场安全生产标准化 评定、认定等级高于合同协议书中约定的管理目标等级的，发包人可给予承包人创优奖励。发包人是否给予承包人创优奖励及创优奖励金额或者计算方法见合同条款专用部分。</w:t>
      </w:r>
    </w:p>
    <w:p>
      <w:pPr>
        <w:keepNext/>
        <w:keepLines/>
        <w:numPr>
          <w:ilvl w:val="1"/>
          <w:numId w:val="8"/>
        </w:numPr>
        <w:spacing w:before="135" w:line="356" w:lineRule="exact"/>
        <w:ind w:hanging="36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特殊安全文明施工 </w:t>
      </w:r>
    </w:p>
    <w:p>
      <w:pPr>
        <w:numPr>
          <w:ilvl w:val="2"/>
          <w:numId w:val="36"/>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pPr>
        <w:numPr>
          <w:ilvl w:val="2"/>
          <w:numId w:val="36"/>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pPr>
        <w:keepNext/>
        <w:keepLines/>
        <w:numPr>
          <w:ilvl w:val="0"/>
          <w:numId w:val="8"/>
        </w:numPr>
        <w:spacing w:before="260" w:after="260" w:line="356" w:lineRule="exact"/>
        <w:outlineLvl w:val="1"/>
        <w:rPr>
          <w:rFonts w:ascii="Arial" w:hAnsi="Arial"/>
          <w:b/>
          <w:color w:val="auto"/>
          <w:sz w:val="28"/>
          <w:szCs w:val="24"/>
          <w:highlight w:val="none"/>
        </w:rPr>
      </w:pPr>
      <w:bookmarkStart w:id="745" w:name="_Toc19751"/>
      <w:bookmarkStart w:id="746" w:name="_Toc28388"/>
      <w:bookmarkStart w:id="747" w:name="_Toc101357721"/>
      <w:r>
        <w:rPr>
          <w:rFonts w:hint="eastAsia" w:ascii="Arial" w:hAnsi="Arial"/>
          <w:b/>
          <w:color w:val="auto"/>
          <w:sz w:val="28"/>
          <w:szCs w:val="24"/>
          <w:highlight w:val="none"/>
        </w:rPr>
        <w:t>进度计划</w:t>
      </w:r>
      <w:bookmarkEnd w:id="745"/>
      <w:bookmarkEnd w:id="746"/>
      <w:bookmarkEnd w:id="747"/>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合同进度计划 </w:t>
      </w:r>
    </w:p>
    <w:p>
      <w:pPr>
        <w:numPr>
          <w:ilvl w:val="2"/>
          <w:numId w:val="37"/>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承包人应当在收到监理人按照第 11.1.1 项发出的开工通知后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天内批复或提出修改意见，否则该进度计划视为已得到批准。经监理人批准的施工进度计划称合同进度计划，是控制合同工程进度的依据。承包人编制施工进度计划和施工方案说明的内容见合同条款专用部分。</w:t>
      </w:r>
    </w:p>
    <w:p>
      <w:pPr>
        <w:numPr>
          <w:ilvl w:val="2"/>
          <w:numId w:val="37"/>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承包人还应根据合同进度计划，按照第 10.1.1 项相关约定编制更为详细的分阶段或分项进度计划，报监理人审批。承包人编制分阶段或分项施工进度计划和施工方案说明的内容及时限要求见合同条款专用部分。</w:t>
      </w:r>
    </w:p>
    <w:p>
      <w:pPr>
        <w:numPr>
          <w:ilvl w:val="2"/>
          <w:numId w:val="37"/>
        </w:numPr>
        <w:autoSpaceDE w:val="0"/>
        <w:autoSpaceDN w:val="0"/>
        <w:spacing w:line="356" w:lineRule="exact"/>
        <w:ind w:right="309" w:firstLine="419"/>
        <w:rPr>
          <w:rFonts w:ascii="宋体" w:hAnsi="宋体" w:cs="宋体"/>
          <w:color w:val="auto"/>
          <w:highlight w:val="none"/>
        </w:rPr>
      </w:pPr>
      <w:r>
        <w:rPr>
          <w:rFonts w:hint="eastAsia" w:ascii="宋体" w:hAnsi="宋体" w:cs="宋体"/>
          <w:color w:val="auto"/>
          <w:szCs w:val="21"/>
          <w:highlight w:val="none"/>
        </w:rPr>
        <w:t>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pPr>
        <w:keepNext/>
        <w:keepLines/>
        <w:numPr>
          <w:ilvl w:val="1"/>
          <w:numId w:val="8"/>
        </w:numPr>
        <w:spacing w:before="6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合同进度计划的修订 </w:t>
      </w:r>
    </w:p>
    <w:p>
      <w:pPr>
        <w:numPr>
          <w:ilvl w:val="2"/>
          <w:numId w:val="38"/>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不论何种原因造成工程的实际进度与第 10.1 款的合同进度计划不符时，承包人可以在合同条款专用部分约定的期限内向监理人提交修订合同进度计划的申请报告，并附有关措施和相关资料，报监理人审批；</w:t>
      </w:r>
    </w:p>
    <w:p>
      <w:pPr>
        <w:numPr>
          <w:ilvl w:val="2"/>
          <w:numId w:val="38"/>
        </w:numPr>
        <w:autoSpaceDE w:val="0"/>
        <w:autoSpaceDN w:val="0"/>
        <w:spacing w:line="356" w:lineRule="exact"/>
        <w:ind w:right="220" w:firstLine="419"/>
        <w:rPr>
          <w:rFonts w:ascii="宋体" w:hAnsi="宋体" w:cs="宋体"/>
          <w:color w:val="auto"/>
          <w:szCs w:val="21"/>
          <w:highlight w:val="none"/>
        </w:rPr>
      </w:pPr>
      <w:r>
        <w:rPr>
          <w:rFonts w:hint="eastAsia" w:ascii="宋体" w:hAnsi="宋体" w:cs="宋体"/>
          <w:color w:val="auto"/>
          <w:szCs w:val="21"/>
          <w:highlight w:val="none"/>
        </w:rPr>
        <w:t>监理人也可以直接向承包人作出修订合同进度计划的指示，承包人应按该指示修订合同进度计划，报监理人审批。监理人应在合同条款专用部分约定的期限内完成批复。监理人在批复前应获得发包人同意。</w:t>
      </w:r>
    </w:p>
    <w:p>
      <w:pPr>
        <w:keepNext/>
        <w:keepLines/>
        <w:numPr>
          <w:ilvl w:val="0"/>
          <w:numId w:val="8"/>
        </w:numPr>
        <w:spacing w:before="260" w:after="260" w:line="356" w:lineRule="exact"/>
        <w:outlineLvl w:val="1"/>
        <w:rPr>
          <w:rFonts w:ascii="Arial" w:hAnsi="Arial"/>
          <w:b/>
          <w:color w:val="auto"/>
          <w:sz w:val="28"/>
          <w:szCs w:val="24"/>
          <w:highlight w:val="none"/>
        </w:rPr>
      </w:pPr>
      <w:bookmarkStart w:id="748" w:name="_Toc101357722"/>
      <w:bookmarkStart w:id="749" w:name="_Toc11179"/>
      <w:bookmarkStart w:id="750" w:name="_Toc3539"/>
      <w:r>
        <w:rPr>
          <w:rFonts w:hint="eastAsia" w:ascii="Arial" w:hAnsi="Arial"/>
          <w:b/>
          <w:color w:val="auto"/>
          <w:sz w:val="28"/>
          <w:szCs w:val="24"/>
          <w:highlight w:val="none"/>
        </w:rPr>
        <w:t>开工和竣工</w:t>
      </w:r>
      <w:bookmarkEnd w:id="748"/>
      <w:bookmarkEnd w:id="749"/>
      <w:bookmarkEnd w:id="750"/>
    </w:p>
    <w:p>
      <w:pPr>
        <w:keepNext/>
        <w:keepLines/>
        <w:spacing w:before="1" w:after="290" w:line="356" w:lineRule="exact"/>
        <w:ind w:left="138"/>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11.1 开 工 </w:t>
      </w:r>
    </w:p>
    <w:p>
      <w:pPr>
        <w:numPr>
          <w:ilvl w:val="2"/>
          <w:numId w:val="39"/>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监理人应在开工日期 7 天前向承包人发出开工通知。监理人在发出开工通知前应获得发包人同意。工期自监理人发出的开工通知中载明的开工日期起计算。承包人应在开工日期后尽快施工。</w:t>
      </w:r>
    </w:p>
    <w:p>
      <w:pPr>
        <w:numPr>
          <w:ilvl w:val="2"/>
          <w:numId w:val="39"/>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承包人应按第 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keepNext/>
        <w:keepLines/>
        <w:spacing w:before="135" w:after="290" w:line="356" w:lineRule="exact"/>
        <w:ind w:left="138"/>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11.2 竣 工 </w:t>
      </w:r>
    </w:p>
    <w:p>
      <w:pPr>
        <w:autoSpaceDE w:val="0"/>
        <w:autoSpaceDN w:val="0"/>
        <w:spacing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承包人应在第 1.1.4.3 目约定的期限内完成合同工程。实际竣工日期在接收证书中写明。 </w:t>
      </w:r>
    </w:p>
    <w:p>
      <w:pPr>
        <w:keepNext/>
        <w:keepLines/>
        <w:numPr>
          <w:ilvl w:val="1"/>
          <w:numId w:val="40"/>
        </w:numPr>
        <w:spacing w:before="136"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发包人的工期延误 </w:t>
      </w:r>
    </w:p>
    <w:p>
      <w:pPr>
        <w:autoSpaceDE w:val="0"/>
        <w:autoSpaceDN w:val="0"/>
        <w:spacing w:before="1"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在履行合同过程中，由于发包人的下列原因造成承包人关键线路工期延误的，承包人有权要求发包人延长工期和（或）增加费用，并支付合理利润。需要修订合同进度计划的，按照第 10.2 款的约定办理。</w:t>
      </w:r>
    </w:p>
    <w:p>
      <w:pPr>
        <w:numPr>
          <w:ilvl w:val="2"/>
          <w:numId w:val="40"/>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增加合同工作内容；</w:t>
      </w:r>
    </w:p>
    <w:p>
      <w:pPr>
        <w:numPr>
          <w:ilvl w:val="2"/>
          <w:numId w:val="40"/>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改变合同中任何一项工作的质量要求或其他特性；</w:t>
      </w:r>
    </w:p>
    <w:p>
      <w:pPr>
        <w:numPr>
          <w:ilvl w:val="2"/>
          <w:numId w:val="40"/>
        </w:numPr>
        <w:autoSpaceDE w:val="0"/>
        <w:autoSpaceDN w:val="0"/>
        <w:spacing w:before="1"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发包人迟延提供材料、工程设备或变更交货地点的；</w:t>
      </w:r>
    </w:p>
    <w:p>
      <w:pPr>
        <w:numPr>
          <w:ilvl w:val="2"/>
          <w:numId w:val="40"/>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因发包人原因导致的暂停施工；</w:t>
      </w:r>
    </w:p>
    <w:p>
      <w:pPr>
        <w:numPr>
          <w:ilvl w:val="2"/>
          <w:numId w:val="40"/>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提供图纸延误；</w:t>
      </w:r>
    </w:p>
    <w:p>
      <w:pPr>
        <w:numPr>
          <w:ilvl w:val="2"/>
          <w:numId w:val="40"/>
        </w:numPr>
        <w:autoSpaceDE w:val="0"/>
        <w:autoSpaceDN w:val="0"/>
        <w:spacing w:before="72"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未按合同约定及时支付预付款、进度款；</w:t>
      </w:r>
    </w:p>
    <w:p>
      <w:pPr>
        <w:numPr>
          <w:ilvl w:val="2"/>
          <w:numId w:val="40"/>
        </w:numPr>
        <w:autoSpaceDE w:val="0"/>
        <w:autoSpaceDN w:val="0"/>
        <w:spacing w:line="356" w:lineRule="exact"/>
        <w:ind w:hanging="530"/>
        <w:rPr>
          <w:rFonts w:ascii="宋体" w:hAnsi="宋体" w:cs="宋体"/>
          <w:color w:val="auto"/>
          <w:sz w:val="15"/>
          <w:szCs w:val="15"/>
          <w:highlight w:val="none"/>
        </w:rPr>
      </w:pPr>
      <w:r>
        <w:rPr>
          <w:rFonts w:hint="eastAsia" w:ascii="宋体" w:hAnsi="宋体" w:cs="宋体"/>
          <w:color w:val="auto"/>
          <w:szCs w:val="21"/>
          <w:highlight w:val="none"/>
        </w:rPr>
        <w:t xml:space="preserve">因发包人原因不能按照监理人发出的开工通知中载明的开工日期开工； </w:t>
      </w:r>
    </w:p>
    <w:p>
      <w:pPr>
        <w:numPr>
          <w:ilvl w:val="2"/>
          <w:numId w:val="40"/>
        </w:numPr>
        <w:autoSpaceDE w:val="0"/>
        <w:autoSpaceDN w:val="0"/>
        <w:spacing w:before="1" w:line="356" w:lineRule="exact"/>
        <w:ind w:hanging="530"/>
        <w:rPr>
          <w:rFonts w:ascii="宋体" w:hAnsi="宋体" w:cs="宋体"/>
          <w:color w:val="auto"/>
          <w:szCs w:val="21"/>
          <w:highlight w:val="none"/>
        </w:rPr>
      </w:pPr>
      <w:r>
        <w:rPr>
          <w:rFonts w:hint="eastAsia" w:ascii="宋体" w:hAnsi="宋体" w:cs="宋体"/>
          <w:color w:val="auto"/>
          <w:szCs w:val="21"/>
          <w:highlight w:val="none"/>
        </w:rPr>
        <w:t>发包人造成工期延误的其他原因见合同条款专用部分。</w:t>
      </w:r>
    </w:p>
    <w:p>
      <w:pPr>
        <w:keepNext/>
        <w:keepLines/>
        <w:numPr>
          <w:ilvl w:val="1"/>
          <w:numId w:val="40"/>
        </w:numPr>
        <w:spacing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异常恶劣的气候条件 </w:t>
      </w:r>
    </w:p>
    <w:p>
      <w:pPr>
        <w:autoSpaceDE w:val="0"/>
        <w:autoSpaceDN w:val="0"/>
        <w:spacing w:line="356" w:lineRule="exact"/>
        <w:ind w:left="138" w:right="311" w:firstLine="419"/>
        <w:rPr>
          <w:rFonts w:ascii="宋体" w:hAnsi="宋体" w:cs="宋体"/>
          <w:color w:val="auto"/>
          <w:szCs w:val="21"/>
          <w:highlight w:val="none"/>
        </w:rPr>
      </w:pPr>
      <w:r>
        <w:rPr>
          <w:rFonts w:hint="eastAsia" w:ascii="宋体" w:hAnsi="宋体" w:cs="宋体"/>
          <w:color w:val="auto"/>
          <w:szCs w:val="21"/>
          <w:highlight w:val="none"/>
        </w:rPr>
        <w:t>由于出现异常恶劣气候的条件导致工期延误的，承包人有权要求发包人延长工期。异常恶劣的气候条件的范围和标准见合同条款专用部分。</w:t>
      </w:r>
    </w:p>
    <w:p>
      <w:pPr>
        <w:keepNext/>
        <w:keepLines/>
        <w:numPr>
          <w:ilvl w:val="1"/>
          <w:numId w:val="40"/>
        </w:numPr>
        <w:spacing w:before="136"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承包人的工期延误 </w:t>
      </w:r>
    </w:p>
    <w:p>
      <w:pPr>
        <w:numPr>
          <w:ilvl w:val="2"/>
          <w:numId w:val="41"/>
        </w:numPr>
        <w:autoSpaceDE w:val="0"/>
        <w:autoSpaceDN w:val="0"/>
        <w:spacing w:line="356" w:lineRule="exact"/>
        <w:ind w:right="208" w:firstLine="419"/>
        <w:rPr>
          <w:rFonts w:ascii="宋体" w:hAnsi="宋体" w:cs="宋体"/>
          <w:color w:val="auto"/>
          <w:szCs w:val="21"/>
          <w:highlight w:val="none"/>
        </w:rPr>
      </w:pPr>
      <w:r>
        <w:rPr>
          <w:rFonts w:hint="eastAsia" w:ascii="宋体" w:hAnsi="宋体" w:cs="宋体"/>
          <w:color w:val="auto"/>
          <w:szCs w:val="21"/>
          <w:highlight w:val="none"/>
        </w:rPr>
        <w:t>由于承包人原因，未能按合同进度计划完成工作，或监理人认为承包人施工进度不能满足合同工期要求的，承包人应采取措施加快进度，并承担加快进度所增加的费用。</w:t>
      </w:r>
    </w:p>
    <w:p>
      <w:pPr>
        <w:numPr>
          <w:ilvl w:val="2"/>
          <w:numId w:val="41"/>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由于承包人原因造成不能按期竣工的，按照合同约定的竣工日期（包括按合同工期延长）后 7 天内，监理人应当按第 23.4.1 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监理人未在规定的期限内发出本款约定的书面通知的，发包人丧失主张逾期竣工违约金的权利。</w:t>
      </w:r>
    </w:p>
    <w:p>
      <w:pPr>
        <w:numPr>
          <w:ilvl w:val="2"/>
          <w:numId w:val="41"/>
        </w:numPr>
        <w:autoSpaceDE w:val="0"/>
        <w:autoSpaceDN w:val="0"/>
        <w:spacing w:line="356" w:lineRule="exact"/>
        <w:ind w:left="1192"/>
        <w:rPr>
          <w:rFonts w:ascii="宋体" w:hAnsi="宋体" w:cs="宋体"/>
          <w:color w:val="auto"/>
          <w:szCs w:val="21"/>
          <w:highlight w:val="none"/>
        </w:rPr>
      </w:pPr>
      <w:r>
        <w:rPr>
          <w:rFonts w:hint="eastAsia" w:ascii="宋体" w:hAnsi="宋体" w:cs="宋体"/>
          <w:color w:val="auto"/>
          <w:szCs w:val="21"/>
          <w:highlight w:val="none"/>
        </w:rPr>
        <w:t>承包人支付逾期竣工违约金，不免除承包人完成工程及修补缺陷的义务。</w:t>
      </w:r>
    </w:p>
    <w:p>
      <w:pPr>
        <w:keepNext/>
        <w:keepLines/>
        <w:numPr>
          <w:ilvl w:val="1"/>
          <w:numId w:val="40"/>
        </w:numPr>
        <w:spacing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工期提前 </w:t>
      </w:r>
    </w:p>
    <w:p>
      <w:pPr>
        <w:autoSpaceDE w:val="0"/>
        <w:autoSpaceDN w:val="0"/>
        <w:spacing w:line="356" w:lineRule="exact"/>
        <w:ind w:left="138" w:right="220" w:firstLine="419"/>
        <w:rPr>
          <w:rFonts w:ascii="宋体" w:hAnsi="宋体" w:cs="宋体"/>
          <w:color w:val="auto"/>
          <w:szCs w:val="21"/>
          <w:highlight w:val="none"/>
        </w:rPr>
      </w:pPr>
      <w:r>
        <w:rPr>
          <w:rFonts w:hint="eastAsia" w:ascii="宋体" w:hAnsi="宋体" w:cs="宋体"/>
          <w:color w:val="auto"/>
          <w:szCs w:val="21"/>
          <w:highlight w:val="none"/>
        </w:rPr>
        <w:t>发包人要求承包人提前竣工，或承包人提出提前竣工的建议能够给发包人带来效益的， 应由监理人与承包人共同协商采取加快工程进度的措施和修订合同进度计划。发包人应承担承包人由此增加的费用，并向承包人支付相应的奖金。提前竣工的奖励办法见合同条款专用部分。</w:t>
      </w:r>
    </w:p>
    <w:p>
      <w:pPr>
        <w:keepNext/>
        <w:keepLines/>
        <w:numPr>
          <w:ilvl w:val="0"/>
          <w:numId w:val="8"/>
        </w:numPr>
        <w:spacing w:before="260" w:after="260" w:line="356" w:lineRule="exact"/>
        <w:outlineLvl w:val="1"/>
        <w:rPr>
          <w:rFonts w:ascii="Arial" w:hAnsi="Arial"/>
          <w:b/>
          <w:color w:val="auto"/>
          <w:sz w:val="28"/>
          <w:szCs w:val="24"/>
          <w:highlight w:val="none"/>
        </w:rPr>
      </w:pPr>
      <w:bookmarkStart w:id="751" w:name="_Toc101357723"/>
      <w:bookmarkStart w:id="752" w:name="_Toc16770"/>
      <w:bookmarkStart w:id="753" w:name="_Toc23700"/>
      <w:r>
        <w:rPr>
          <w:rFonts w:hint="eastAsia" w:ascii="Arial" w:hAnsi="Arial"/>
          <w:b/>
          <w:color w:val="auto"/>
          <w:sz w:val="28"/>
          <w:szCs w:val="24"/>
          <w:highlight w:val="none"/>
        </w:rPr>
        <w:t>暂停施工</w:t>
      </w:r>
      <w:bookmarkEnd w:id="751"/>
      <w:bookmarkEnd w:id="752"/>
      <w:bookmarkEnd w:id="753"/>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承包人暂停施工的责任 </w:t>
      </w:r>
    </w:p>
    <w:p>
      <w:pPr>
        <w:autoSpaceDE w:val="0"/>
        <w:autoSpaceDN w:val="0"/>
        <w:spacing w:before="1"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因下列情形暂停施工增加的费用和（或）工期延误由承包人承担： </w:t>
      </w:r>
    </w:p>
    <w:p>
      <w:pPr>
        <w:numPr>
          <w:ilvl w:val="0"/>
          <w:numId w:val="42"/>
        </w:numPr>
        <w:autoSpaceDE w:val="0"/>
        <w:autoSpaceDN w:val="0"/>
        <w:spacing w:line="356" w:lineRule="exact"/>
        <w:ind w:hanging="530"/>
        <w:rPr>
          <w:rFonts w:ascii="宋体" w:hAnsi="宋体" w:cs="宋体"/>
          <w:color w:val="auto"/>
          <w:sz w:val="23"/>
          <w:szCs w:val="23"/>
          <w:highlight w:val="none"/>
        </w:rPr>
      </w:pPr>
      <w:r>
        <w:rPr>
          <w:rFonts w:hint="eastAsia" w:ascii="宋体" w:hAnsi="宋体" w:cs="宋体"/>
          <w:color w:val="auto"/>
          <w:szCs w:val="21"/>
          <w:highlight w:val="none"/>
        </w:rPr>
        <w:t>承包人违约引起的暂停施工；</w:t>
      </w:r>
    </w:p>
    <w:p>
      <w:pPr>
        <w:numPr>
          <w:ilvl w:val="0"/>
          <w:numId w:val="42"/>
        </w:numPr>
        <w:autoSpaceDE w:val="0"/>
        <w:autoSpaceDN w:val="0"/>
        <w:spacing w:before="72" w:line="356" w:lineRule="exact"/>
        <w:ind w:hanging="530"/>
        <w:rPr>
          <w:rFonts w:ascii="宋体" w:hAnsi="宋体" w:cs="宋体"/>
          <w:color w:val="auto"/>
          <w:szCs w:val="21"/>
          <w:highlight w:val="none"/>
        </w:rPr>
      </w:pPr>
      <w:r>
        <w:rPr>
          <w:rFonts w:hint="eastAsia" w:ascii="宋体" w:hAnsi="宋体" w:cs="宋体"/>
          <w:color w:val="auto"/>
          <w:szCs w:val="21"/>
          <w:highlight w:val="none"/>
        </w:rPr>
        <w:t>由于承包人原因为工程合理施工和安全保障所必需的暂停施工；</w:t>
      </w:r>
    </w:p>
    <w:p>
      <w:pPr>
        <w:numPr>
          <w:ilvl w:val="0"/>
          <w:numId w:val="42"/>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 xml:space="preserve">承包人擅自暂停施工； </w:t>
      </w:r>
    </w:p>
    <w:p>
      <w:pPr>
        <w:numPr>
          <w:ilvl w:val="0"/>
          <w:numId w:val="42"/>
        </w:numPr>
        <w:autoSpaceDE w:val="0"/>
        <w:autoSpaceDN w:val="0"/>
        <w:spacing w:before="1" w:line="356" w:lineRule="exact"/>
        <w:ind w:hanging="530"/>
        <w:rPr>
          <w:rFonts w:ascii="宋体" w:hAnsi="宋体" w:cs="宋体"/>
          <w:color w:val="auto"/>
          <w:szCs w:val="21"/>
          <w:highlight w:val="none"/>
        </w:rPr>
      </w:pPr>
      <w:r>
        <w:rPr>
          <w:rFonts w:hint="eastAsia" w:ascii="宋体" w:hAnsi="宋体" w:cs="宋体"/>
          <w:color w:val="auto"/>
          <w:szCs w:val="21"/>
          <w:highlight w:val="none"/>
        </w:rPr>
        <w:t>承包人承担暂停施工责任的其他情形见合同条款专用部分。</w:t>
      </w:r>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发包人暂停施工的责任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由于发包人原因引起的暂停施工造成工期延误的，承包人有权要求发包人延长工期和（或）增加费用，并支付合理利润。 </w:t>
      </w:r>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监理人暂停施工指示 </w:t>
      </w:r>
    </w:p>
    <w:p>
      <w:pPr>
        <w:numPr>
          <w:ilvl w:val="2"/>
          <w:numId w:val="4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监理人认为有必要时，可向承包人作出暂停施工的指示，承包人应按监理人指示暂停施工。不论由于何种原因引起的暂停施工，暂停施工期间承包人应负责妥善保护工程并提供安全保障。</w:t>
      </w:r>
    </w:p>
    <w:p>
      <w:pPr>
        <w:numPr>
          <w:ilvl w:val="2"/>
          <w:numId w:val="4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由于发包人的原因发生暂停施工的紧急情况，且监理人未及时下达暂停施工指示的，承包人可先暂停施工，并及时向监理人提出暂停施工的书面请求。监理人应在接到书面请求后的 24 小时内予以答复，逾期未答复的，视为同意承包人的暂停施工请求。 </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暂停施工后的复工 </w:t>
      </w:r>
    </w:p>
    <w:p>
      <w:pPr>
        <w:numPr>
          <w:ilvl w:val="2"/>
          <w:numId w:val="44"/>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暂停施工后，监理人应与发包人和承包人协商，采取有效措施积极消除暂停施工的影响。当工程具备复工条件时，监理人应立即向承包人发出复工通知。承包人收到复工通知后，应在监理人指定的期限内复工。</w:t>
      </w:r>
    </w:p>
    <w:p>
      <w:pPr>
        <w:numPr>
          <w:ilvl w:val="2"/>
          <w:numId w:val="44"/>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承包人无故拖延和拒绝复工的，由此增加的费用和工期延误由承包人承担；因发包人原因无法按时复工的，承包人有权要求发包人延长工期和（或）增加费用，并支付合理利润。</w:t>
      </w:r>
    </w:p>
    <w:p>
      <w:pPr>
        <w:numPr>
          <w:ilvl w:val="2"/>
          <w:numId w:val="44"/>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根据第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pPr>
        <w:numPr>
          <w:ilvl w:val="2"/>
          <w:numId w:val="44"/>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暂停施工持续 56 天以上，按合同约定由承包人提供的材料和工程设备，由于暂停施工原因导致承包人在暂停施工前已经订购但被暂停运至施工现场的，发包人应按照承包人订购合同的约定支付相应的订购款项。</w:t>
      </w:r>
    </w:p>
    <w:p>
      <w:pPr>
        <w:keepNext/>
        <w:keepLines/>
        <w:numPr>
          <w:ilvl w:val="1"/>
          <w:numId w:val="8"/>
        </w:numPr>
        <w:spacing w:before="6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暂停施工持续 56 天以上 </w:t>
      </w:r>
    </w:p>
    <w:p>
      <w:pPr>
        <w:numPr>
          <w:ilvl w:val="2"/>
          <w:numId w:val="45"/>
        </w:numPr>
        <w:autoSpaceDE w:val="0"/>
        <w:autoSpaceDN w:val="0"/>
        <w:spacing w:line="356" w:lineRule="exact"/>
        <w:ind w:hanging="636"/>
        <w:rPr>
          <w:rFonts w:ascii="宋体" w:hAnsi="宋体" w:cs="宋体"/>
          <w:color w:val="auto"/>
          <w:szCs w:val="21"/>
          <w:highlight w:val="none"/>
        </w:rPr>
      </w:pPr>
      <w:r>
        <w:rPr>
          <w:rFonts w:hint="eastAsia" w:ascii="宋体" w:hAnsi="宋体" w:cs="宋体"/>
          <w:color w:val="auto"/>
          <w:szCs w:val="21"/>
          <w:highlight w:val="none"/>
        </w:rPr>
        <w:t>监理人发出暂停施工指示后 56 天内未向承包人发出复工通知，除了该项停工</w:t>
      </w:r>
    </w:p>
    <w:p>
      <w:pPr>
        <w:autoSpaceDE w:val="0"/>
        <w:autoSpaceDN w:val="0"/>
        <w:spacing w:line="356" w:lineRule="exact"/>
        <w:ind w:left="138"/>
        <w:rPr>
          <w:rFonts w:ascii="宋体" w:hAnsi="宋体" w:cs="宋体"/>
          <w:color w:val="auto"/>
          <w:szCs w:val="21"/>
          <w:highlight w:val="none"/>
        </w:rPr>
      </w:pPr>
      <w:r>
        <w:rPr>
          <w:rFonts w:hint="eastAsia" w:ascii="宋体" w:hAnsi="宋体" w:cs="宋体"/>
          <w:color w:val="auto"/>
          <w:szCs w:val="21"/>
          <w:highlight w:val="none"/>
        </w:rPr>
        <w:t>属于第 12.1 款的情况外，承包人可向监理人提交书面通知，要求监理人在收到书面通知后28 天内准许已暂停施工的工程或其中一部分工程继续施工。如监理人逾期不予批准，则承包人可以通知监理人，将工程受影响的部分视为按第 15.1（1）项的可取消工作。如暂停施工影响到整个工程，可视为发包人违约，应按第 22.2 款的规定办理。</w:t>
      </w:r>
    </w:p>
    <w:p>
      <w:pPr>
        <w:numPr>
          <w:ilvl w:val="2"/>
          <w:numId w:val="45"/>
        </w:numPr>
        <w:autoSpaceDE w:val="0"/>
        <w:autoSpaceDN w:val="0"/>
        <w:spacing w:line="356" w:lineRule="exact"/>
        <w:ind w:left="1192"/>
        <w:rPr>
          <w:rFonts w:ascii="宋体" w:hAnsi="宋体" w:cs="宋体"/>
          <w:color w:val="auto"/>
          <w:szCs w:val="21"/>
          <w:highlight w:val="none"/>
        </w:rPr>
      </w:pPr>
      <w:r>
        <w:rPr>
          <w:rFonts w:hint="eastAsia" w:ascii="宋体" w:hAnsi="宋体" w:cs="宋体"/>
          <w:color w:val="auto"/>
          <w:szCs w:val="21"/>
          <w:highlight w:val="none"/>
        </w:rPr>
        <w:t>由于承包人责任引起的暂停施工，如承包人在收到监理人暂停施工指示后 56</w:t>
      </w:r>
    </w:p>
    <w:p>
      <w:pPr>
        <w:autoSpaceDE w:val="0"/>
        <w:autoSpaceDN w:val="0"/>
        <w:spacing w:before="1" w:line="356" w:lineRule="exact"/>
        <w:ind w:left="138" w:right="311"/>
        <w:rPr>
          <w:rFonts w:ascii="宋体" w:hAnsi="宋体" w:cs="宋体"/>
          <w:color w:val="auto"/>
          <w:szCs w:val="21"/>
          <w:highlight w:val="none"/>
        </w:rPr>
      </w:pPr>
      <w:r>
        <w:rPr>
          <w:rFonts w:hint="eastAsia" w:ascii="宋体" w:hAnsi="宋体" w:cs="宋体"/>
          <w:color w:val="auto"/>
          <w:szCs w:val="21"/>
          <w:highlight w:val="none"/>
        </w:rPr>
        <w:t>天内不认真采取有效的复工措施，造成工期延误，可视为承包人违约，应按第 22.1 款的规定办理。</w:t>
      </w:r>
    </w:p>
    <w:p>
      <w:pPr>
        <w:keepNext/>
        <w:keepLines/>
        <w:numPr>
          <w:ilvl w:val="0"/>
          <w:numId w:val="8"/>
        </w:numPr>
        <w:spacing w:before="260" w:after="260" w:line="356" w:lineRule="exact"/>
        <w:outlineLvl w:val="1"/>
        <w:rPr>
          <w:rFonts w:ascii="Arial" w:hAnsi="Arial"/>
          <w:b/>
          <w:color w:val="auto"/>
          <w:sz w:val="28"/>
          <w:szCs w:val="24"/>
          <w:highlight w:val="none"/>
        </w:rPr>
      </w:pPr>
      <w:bookmarkStart w:id="754" w:name="_Toc101357724"/>
      <w:bookmarkStart w:id="755" w:name="_Toc3253"/>
      <w:bookmarkStart w:id="756" w:name="_Toc19362"/>
      <w:r>
        <w:rPr>
          <w:rFonts w:hint="eastAsia" w:ascii="Arial" w:hAnsi="Arial"/>
          <w:b/>
          <w:color w:val="auto"/>
          <w:sz w:val="28"/>
          <w:szCs w:val="24"/>
          <w:highlight w:val="none"/>
        </w:rPr>
        <w:t>工程质量</w:t>
      </w:r>
      <w:bookmarkEnd w:id="754"/>
      <w:bookmarkEnd w:id="755"/>
      <w:bookmarkEnd w:id="756"/>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工程质量要求 </w:t>
      </w:r>
    </w:p>
    <w:p>
      <w:pPr>
        <w:numPr>
          <w:ilvl w:val="2"/>
          <w:numId w:val="46"/>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工程质量验收按合同约定验收标准执行。</w:t>
      </w:r>
    </w:p>
    <w:p>
      <w:pPr>
        <w:numPr>
          <w:ilvl w:val="2"/>
          <w:numId w:val="46"/>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因承包人原因造成工程质量达不到合同约定验收标准的，监理人有权要求承包人返工直至符合合同要求为止，由此造成的费用增加和（或）工期延误由承包人承担。</w:t>
      </w:r>
    </w:p>
    <w:p>
      <w:pPr>
        <w:numPr>
          <w:ilvl w:val="2"/>
          <w:numId w:val="46"/>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因发包人原因造成工程质量达不到合同约定验收标准的，发包人应承担由于承包人返工造成的费用增加和（或）工期延误，并支付承包人合理利润。</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承包人的质量管理 </w:t>
      </w:r>
    </w:p>
    <w:p>
      <w:pPr>
        <w:numPr>
          <w:ilvl w:val="2"/>
          <w:numId w:val="47"/>
        </w:numPr>
        <w:autoSpaceDE w:val="0"/>
        <w:autoSpaceDN w:val="0"/>
        <w:spacing w:before="1" w:line="356" w:lineRule="exact"/>
        <w:ind w:right="205" w:firstLine="419"/>
        <w:rPr>
          <w:rFonts w:ascii="宋体" w:hAnsi="宋体" w:cs="宋体"/>
          <w:color w:val="auto"/>
          <w:szCs w:val="21"/>
          <w:highlight w:val="none"/>
        </w:rPr>
      </w:pPr>
      <w:r>
        <w:rPr>
          <w:rFonts w:hint="eastAsia" w:ascii="宋体" w:hAnsi="宋体" w:cs="宋体"/>
          <w:color w:val="auto"/>
          <w:szCs w:val="21"/>
          <w:highlight w:val="none"/>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pPr>
        <w:numPr>
          <w:ilvl w:val="2"/>
          <w:numId w:val="47"/>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承包人应加强对施工人员的质量教育和技术培训，定期考核施工人员的劳动技能，严格执行规范和操作规程。</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承包人的质量检查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 xml:space="preserve">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 </w:t>
      </w:r>
    </w:p>
    <w:p>
      <w:pPr>
        <w:keepNext/>
        <w:keepLines/>
        <w:numPr>
          <w:ilvl w:val="1"/>
          <w:numId w:val="8"/>
        </w:numPr>
        <w:spacing w:before="6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监理人的质量检查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工程隐蔽部位覆盖前的检查 </w:t>
      </w:r>
    </w:p>
    <w:p>
      <w:pPr>
        <w:numPr>
          <w:ilvl w:val="2"/>
          <w:numId w:val="4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通知监理人检查</w:t>
      </w:r>
    </w:p>
    <w:p>
      <w:pPr>
        <w:autoSpaceDE w:val="0"/>
        <w:autoSpaceDN w:val="0"/>
        <w:spacing w:line="356" w:lineRule="exact"/>
        <w:ind w:left="138" w:right="219" w:firstLine="419"/>
        <w:rPr>
          <w:rFonts w:ascii="宋体" w:hAnsi="宋体" w:cs="宋体"/>
          <w:color w:val="auto"/>
          <w:szCs w:val="21"/>
          <w:highlight w:val="none"/>
        </w:rPr>
      </w:pPr>
      <w:r>
        <w:rPr>
          <w:rFonts w:hint="eastAsia" w:ascii="宋体" w:hAnsi="宋体" w:cs="宋体"/>
          <w:color w:val="auto"/>
          <w:szCs w:val="21"/>
          <w:highlight w:val="none"/>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pPr>
        <w:numPr>
          <w:ilvl w:val="2"/>
          <w:numId w:val="4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监理人未到场检查 </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监理人未按第 13.5.1 项约定的时间进行检查的，除监理人另有指示外，承包人可自行完成覆盖工作，并作相应记录报送监理人，监理人应签字确认。监理人事后对检查记录有疑问的，可按第 13.5.3 项的约定重新检查。</w:t>
      </w:r>
    </w:p>
    <w:p>
      <w:pPr>
        <w:numPr>
          <w:ilvl w:val="2"/>
          <w:numId w:val="4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监理人重新检查</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numPr>
          <w:ilvl w:val="2"/>
          <w:numId w:val="4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承包人私自覆盖</w:t>
      </w:r>
    </w:p>
    <w:p>
      <w:pPr>
        <w:autoSpaceDE w:val="0"/>
        <w:autoSpaceDN w:val="0"/>
        <w:spacing w:line="356" w:lineRule="exact"/>
        <w:ind w:left="138" w:right="309" w:firstLine="419"/>
        <w:rPr>
          <w:rFonts w:ascii="宋体" w:hAnsi="宋体" w:cs="宋体"/>
          <w:color w:val="auto"/>
          <w:highlight w:val="none"/>
        </w:rPr>
      </w:pPr>
      <w:r>
        <w:rPr>
          <w:rFonts w:hint="eastAsia" w:ascii="宋体" w:hAnsi="宋体" w:cs="宋体"/>
          <w:color w:val="auto"/>
          <w:szCs w:val="21"/>
          <w:highlight w:val="none"/>
        </w:rPr>
        <w:t>承包人未通知监理人到场检查，私自将工程隐蔽部位覆盖的，监理人有权指示承包人钻孔探测或揭开检查，由此增加的费用和（或）工期延误由承包人承担。</w:t>
      </w:r>
    </w:p>
    <w:p>
      <w:pPr>
        <w:keepNext/>
        <w:keepLines/>
        <w:numPr>
          <w:ilvl w:val="1"/>
          <w:numId w:val="8"/>
        </w:numPr>
        <w:spacing w:before="6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清除不合格工程 </w:t>
      </w:r>
    </w:p>
    <w:p>
      <w:pPr>
        <w:numPr>
          <w:ilvl w:val="2"/>
          <w:numId w:val="49"/>
        </w:numPr>
        <w:autoSpaceDE w:val="0"/>
        <w:autoSpaceDN w:val="0"/>
        <w:spacing w:line="356" w:lineRule="exact"/>
        <w:ind w:right="220" w:firstLine="419"/>
        <w:rPr>
          <w:rFonts w:ascii="宋体" w:hAnsi="宋体" w:cs="宋体"/>
          <w:color w:val="auto"/>
          <w:szCs w:val="21"/>
          <w:highlight w:val="none"/>
        </w:rPr>
      </w:pPr>
      <w:r>
        <w:rPr>
          <w:rFonts w:hint="eastAsia" w:ascii="宋体" w:hAnsi="宋体" w:cs="宋体"/>
          <w:color w:val="auto"/>
          <w:szCs w:val="21"/>
          <w:highlight w:val="none"/>
        </w:rPr>
        <w:t xml:space="preserve">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 </w:t>
      </w:r>
    </w:p>
    <w:p>
      <w:pPr>
        <w:numPr>
          <w:ilvl w:val="2"/>
          <w:numId w:val="49"/>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由于发包人提供的材料或工程设备不合格造成的工程不合格，需要承包人采取措施补救的，发包人应承担由此增加的费用和（或）工期延误，并支付承包人合理利润。</w:t>
      </w:r>
    </w:p>
    <w:p>
      <w:pPr>
        <w:keepNext/>
        <w:keepLines/>
        <w:numPr>
          <w:ilvl w:val="1"/>
          <w:numId w:val="8"/>
        </w:numPr>
        <w:spacing w:before="13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质量争议 </w:t>
      </w:r>
    </w:p>
    <w:p>
      <w:pPr>
        <w:autoSpaceDE w:val="0"/>
        <w:autoSpaceDN w:val="0"/>
        <w:spacing w:line="356" w:lineRule="exact"/>
        <w:ind w:left="138" w:right="203" w:firstLine="419"/>
        <w:rPr>
          <w:rFonts w:ascii="宋体" w:hAnsi="宋体" w:cs="宋体"/>
          <w:color w:val="auto"/>
          <w:szCs w:val="21"/>
          <w:highlight w:val="none"/>
        </w:rPr>
      </w:pPr>
      <w:r>
        <w:rPr>
          <w:rFonts w:hint="eastAsia" w:ascii="宋体" w:hAnsi="宋体" w:cs="宋体"/>
          <w:color w:val="auto"/>
          <w:szCs w:val="21"/>
          <w:highlight w:val="none"/>
        </w:rPr>
        <w:t>发包人和承包人对工程质量有争议的，除可按第 24 条办理外，监理人可提请合同双方委托有相应资质的工程质量检测机构进行鉴定，所需费用及因此造成的损失，由责任人承担， 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pPr>
        <w:keepNext/>
        <w:keepLines/>
        <w:numPr>
          <w:ilvl w:val="0"/>
          <w:numId w:val="8"/>
        </w:numPr>
        <w:spacing w:before="260" w:after="260" w:line="356" w:lineRule="exact"/>
        <w:outlineLvl w:val="1"/>
        <w:rPr>
          <w:rFonts w:ascii="Arial" w:hAnsi="Arial"/>
          <w:b/>
          <w:color w:val="auto"/>
          <w:sz w:val="28"/>
          <w:szCs w:val="24"/>
          <w:highlight w:val="none"/>
        </w:rPr>
      </w:pPr>
      <w:bookmarkStart w:id="757" w:name="_Toc31508"/>
      <w:bookmarkStart w:id="758" w:name="_Toc31171"/>
      <w:bookmarkStart w:id="759" w:name="_Toc101357725"/>
      <w:r>
        <w:rPr>
          <w:rFonts w:hint="eastAsia" w:ascii="Arial" w:hAnsi="Arial"/>
          <w:b/>
          <w:color w:val="auto"/>
          <w:sz w:val="28"/>
          <w:szCs w:val="24"/>
          <w:highlight w:val="none"/>
        </w:rPr>
        <w:t>试验和检验</w:t>
      </w:r>
      <w:bookmarkEnd w:id="757"/>
      <w:bookmarkEnd w:id="758"/>
      <w:bookmarkEnd w:id="759"/>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材料、工程设备和工程的试验和检验 </w:t>
      </w:r>
    </w:p>
    <w:p>
      <w:pPr>
        <w:numPr>
          <w:ilvl w:val="2"/>
          <w:numId w:val="5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numPr>
          <w:ilvl w:val="2"/>
          <w:numId w:val="5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监理人未按合同约定派员参加试验和检验的，除监理人另有指示外，承包人可自行试验和检验，并应立即将试验和检验结果报送监理人，监理人应签字确认。</w:t>
      </w:r>
    </w:p>
    <w:p>
      <w:pPr>
        <w:numPr>
          <w:ilvl w:val="2"/>
          <w:numId w:val="5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 </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现场材料试验 </w:t>
      </w:r>
    </w:p>
    <w:p>
      <w:pPr>
        <w:numPr>
          <w:ilvl w:val="2"/>
          <w:numId w:val="51"/>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承包人根据合同约定或监理人指示进行的现场材料试验，应由承包人提供试验</w:t>
      </w:r>
    </w:p>
    <w:p>
      <w:pPr>
        <w:autoSpaceDE w:val="0"/>
        <w:autoSpaceDN w:val="0"/>
        <w:spacing w:before="72" w:line="356" w:lineRule="exact"/>
        <w:ind w:left="138"/>
        <w:rPr>
          <w:rFonts w:ascii="宋体" w:hAnsi="宋体" w:cs="宋体"/>
          <w:color w:val="auto"/>
          <w:szCs w:val="21"/>
          <w:highlight w:val="none"/>
        </w:rPr>
      </w:pPr>
      <w:r>
        <w:rPr>
          <w:rFonts w:hint="eastAsia" w:ascii="宋体" w:hAnsi="宋体" w:cs="宋体"/>
          <w:color w:val="auto"/>
          <w:szCs w:val="21"/>
          <w:highlight w:val="none"/>
        </w:rPr>
        <w:t xml:space="preserve">场所、试验人员、试验设备器材以及其他必要的试验条件。 </w:t>
      </w:r>
    </w:p>
    <w:p>
      <w:pPr>
        <w:numPr>
          <w:ilvl w:val="2"/>
          <w:numId w:val="51"/>
        </w:numPr>
        <w:autoSpaceDE w:val="0"/>
        <w:autoSpaceDN w:val="0"/>
        <w:spacing w:line="356" w:lineRule="exact"/>
        <w:ind w:left="138" w:right="321" w:firstLine="419"/>
        <w:rPr>
          <w:rFonts w:ascii="宋体" w:hAnsi="宋体" w:cs="宋体"/>
          <w:color w:val="auto"/>
          <w:szCs w:val="21"/>
          <w:highlight w:val="none"/>
        </w:rPr>
      </w:pPr>
      <w:r>
        <w:rPr>
          <w:rFonts w:hint="eastAsia" w:ascii="宋体" w:hAnsi="宋体" w:cs="宋体"/>
          <w:color w:val="auto"/>
          <w:szCs w:val="21"/>
          <w:highlight w:val="none"/>
        </w:rPr>
        <w:t>监理人在必要时可以使用承包人的试验场所、试验设备器材以及其他试验条件，进行以工程质量检查为目的的复核性材料试验，承包人应予以协助。</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现场工艺试验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pPr>
        <w:keepNext/>
        <w:keepLines/>
        <w:numPr>
          <w:ilvl w:val="0"/>
          <w:numId w:val="8"/>
        </w:numPr>
        <w:spacing w:before="260" w:after="260" w:line="356" w:lineRule="exact"/>
        <w:outlineLvl w:val="1"/>
        <w:rPr>
          <w:rFonts w:ascii="Arial" w:hAnsi="Arial"/>
          <w:b/>
          <w:color w:val="auto"/>
          <w:sz w:val="28"/>
          <w:szCs w:val="24"/>
          <w:highlight w:val="none"/>
        </w:rPr>
      </w:pPr>
      <w:bookmarkStart w:id="760" w:name="_Toc15247"/>
      <w:bookmarkStart w:id="761" w:name="_Toc30685"/>
      <w:bookmarkStart w:id="762" w:name="_Toc101357726"/>
      <w:r>
        <w:rPr>
          <w:rFonts w:hint="eastAsia" w:ascii="Arial" w:hAnsi="Arial"/>
          <w:b/>
          <w:color w:val="auto"/>
          <w:sz w:val="28"/>
          <w:szCs w:val="24"/>
          <w:highlight w:val="none"/>
        </w:rPr>
        <w:t>变更</w:t>
      </w:r>
      <w:bookmarkEnd w:id="760"/>
      <w:bookmarkEnd w:id="761"/>
      <w:bookmarkEnd w:id="762"/>
    </w:p>
    <w:p>
      <w:pPr>
        <w:keepNext/>
        <w:keepLines/>
        <w:numPr>
          <w:ilvl w:val="1"/>
          <w:numId w:val="8"/>
        </w:numPr>
        <w:spacing w:before="1"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变更的范围和内容 </w:t>
      </w:r>
    </w:p>
    <w:p>
      <w:pPr>
        <w:numPr>
          <w:ilvl w:val="2"/>
          <w:numId w:val="52"/>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在履行合同中发生以下情形之一，应按照本条规定进行变更。 </w:t>
      </w:r>
    </w:p>
    <w:p>
      <w:pPr>
        <w:numPr>
          <w:ilvl w:val="0"/>
          <w:numId w:val="5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取消合同中任何一项工作，但被取消的工作不能转由发包人或其他人实施；</w:t>
      </w:r>
    </w:p>
    <w:p>
      <w:pPr>
        <w:numPr>
          <w:ilvl w:val="0"/>
          <w:numId w:val="5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改变合同中任何一项工作的质量或其他特性；</w:t>
      </w:r>
    </w:p>
    <w:p>
      <w:pPr>
        <w:numPr>
          <w:ilvl w:val="0"/>
          <w:numId w:val="5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改变合同工程的基线、标高、位置或尺寸；</w:t>
      </w:r>
    </w:p>
    <w:p>
      <w:pPr>
        <w:numPr>
          <w:ilvl w:val="0"/>
          <w:numId w:val="5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 xml:space="preserve">改变合同中任何一项工作的施工时间或改变已批准的施工工艺或顺序； </w:t>
      </w:r>
    </w:p>
    <w:p>
      <w:pPr>
        <w:numPr>
          <w:ilvl w:val="0"/>
          <w:numId w:val="53"/>
        </w:numPr>
        <w:autoSpaceDE w:val="0"/>
        <w:autoSpaceDN w:val="0"/>
        <w:spacing w:before="1" w:line="356" w:lineRule="exact"/>
        <w:ind w:hanging="530"/>
        <w:rPr>
          <w:rFonts w:ascii="宋体" w:hAnsi="宋体" w:cs="宋体"/>
          <w:color w:val="auto"/>
          <w:szCs w:val="21"/>
          <w:highlight w:val="none"/>
        </w:rPr>
      </w:pPr>
      <w:r>
        <w:rPr>
          <w:rFonts w:hint="eastAsia" w:ascii="宋体" w:hAnsi="宋体" w:cs="宋体"/>
          <w:color w:val="auto"/>
          <w:szCs w:val="21"/>
          <w:highlight w:val="none"/>
        </w:rPr>
        <w:t>为完成工程需要追加的额外工作；</w:t>
      </w:r>
    </w:p>
    <w:p>
      <w:pPr>
        <w:numPr>
          <w:ilvl w:val="0"/>
          <w:numId w:val="5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变更的其他情形见合同条款专用部分。</w:t>
      </w:r>
    </w:p>
    <w:p>
      <w:pPr>
        <w:numPr>
          <w:ilvl w:val="2"/>
          <w:numId w:val="52"/>
        </w:num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发包人违背第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天内仍不纠正违约行为的，应当赔偿承包人损失（包括合理的利润）并承担由此引起的其他责任。承包人应当按第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变更权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在履行合同过程中，经发包人同意，监理人可按第 15.3 款约定的变更程序向承包人作出变更指示，承包人应遵照执行。没有监理人的变更指示，承包人不得擅自变更。</w:t>
      </w:r>
    </w:p>
    <w:p>
      <w:pPr>
        <w:keepNext/>
        <w:keepLines/>
        <w:numPr>
          <w:ilvl w:val="1"/>
          <w:numId w:val="8"/>
        </w:numPr>
        <w:spacing w:before="6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变更程序 </w:t>
      </w:r>
    </w:p>
    <w:p>
      <w:pPr>
        <w:numPr>
          <w:ilvl w:val="2"/>
          <w:numId w:val="5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变更的提出 </w:t>
      </w:r>
    </w:p>
    <w:p>
      <w:pPr>
        <w:numPr>
          <w:ilvl w:val="0"/>
          <w:numId w:val="55"/>
        </w:numPr>
        <w:autoSpaceDE w:val="0"/>
        <w:autoSpaceDN w:val="0"/>
        <w:spacing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在合同履行过程中，可能发生第 15.1.1 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 15.3.3 项约定发出变更指示。</w:t>
      </w:r>
    </w:p>
    <w:p>
      <w:pPr>
        <w:numPr>
          <w:ilvl w:val="0"/>
          <w:numId w:val="55"/>
        </w:numPr>
        <w:autoSpaceDE w:val="0"/>
        <w:autoSpaceDN w:val="0"/>
        <w:spacing w:line="356" w:lineRule="exact"/>
        <w:ind w:right="311" w:firstLine="314"/>
        <w:rPr>
          <w:rFonts w:ascii="宋体" w:hAnsi="宋体" w:cs="宋体"/>
          <w:color w:val="auto"/>
          <w:szCs w:val="21"/>
          <w:highlight w:val="none"/>
        </w:rPr>
      </w:pPr>
      <w:r>
        <w:rPr>
          <w:rFonts w:hint="eastAsia" w:ascii="宋体" w:hAnsi="宋体" w:cs="宋体"/>
          <w:color w:val="auto"/>
          <w:szCs w:val="21"/>
          <w:highlight w:val="none"/>
        </w:rPr>
        <w:t>在合同履行过程中，发生第 15.1.1 项约定情形的，监理人应按照第 15.3.3 项约定向承包人发出变更指示。</w:t>
      </w:r>
    </w:p>
    <w:p>
      <w:pPr>
        <w:numPr>
          <w:ilvl w:val="0"/>
          <w:numId w:val="55"/>
        </w:numPr>
        <w:autoSpaceDE w:val="0"/>
        <w:autoSpaceDN w:val="0"/>
        <w:spacing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天内作出变更指示。经研究后不同意作为变更的，应由监理人书面答复承包人。</w:t>
      </w:r>
    </w:p>
    <w:p>
      <w:pPr>
        <w:numPr>
          <w:ilvl w:val="0"/>
          <w:numId w:val="55"/>
        </w:numPr>
        <w:autoSpaceDE w:val="0"/>
        <w:autoSpaceDN w:val="0"/>
        <w:spacing w:line="356" w:lineRule="exact"/>
        <w:ind w:right="220" w:firstLine="314"/>
        <w:rPr>
          <w:rFonts w:ascii="宋体" w:hAnsi="宋体" w:cs="宋体"/>
          <w:color w:val="auto"/>
          <w:szCs w:val="21"/>
          <w:highlight w:val="none"/>
        </w:rPr>
      </w:pPr>
      <w:r>
        <w:rPr>
          <w:rFonts w:hint="eastAsia" w:ascii="宋体" w:hAnsi="宋体" w:cs="宋体"/>
          <w:color w:val="auto"/>
          <w:szCs w:val="21"/>
          <w:highlight w:val="none"/>
        </w:rPr>
        <w:t>若承包人收到监理人的变更意向书后认为难以实施此项变更，应立即通知监理人， 说明原因并附详细依据。监理人与承包人和发包人协商后确定撤销、改变或不改变原变更意向书。</w:t>
      </w:r>
    </w:p>
    <w:p>
      <w:pPr>
        <w:numPr>
          <w:ilvl w:val="2"/>
          <w:numId w:val="5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变更估价 </w:t>
      </w:r>
    </w:p>
    <w:p>
      <w:pPr>
        <w:numPr>
          <w:ilvl w:val="0"/>
          <w:numId w:val="56"/>
        </w:numPr>
        <w:autoSpaceDE w:val="0"/>
        <w:autoSpaceDN w:val="0"/>
        <w:spacing w:before="1"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除合同条款专用部分对期限另有约定外，承包人应在收到变更指示或变更意向书 后的 14 天内，向监理人提交变更报价书，报价内容应根据第 15.4 款约定的估价原则，详细开列变更工作的价格组成及其依据，并附必要的施工方法说明和有关图纸。承包人提交变更报价书的期限见合同条款专用部分。</w:t>
      </w:r>
    </w:p>
    <w:p>
      <w:pPr>
        <w:numPr>
          <w:ilvl w:val="0"/>
          <w:numId w:val="56"/>
        </w:numPr>
        <w:autoSpaceDE w:val="0"/>
        <w:autoSpaceDN w:val="0"/>
        <w:spacing w:before="1"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变更工作影响工期的，承包人应提出调整工期的具体细节。监理人认为有必要时， 可要求承包人提交要求提前或延长工期的施工进度计划，及相应施工措施等详细资料。</w:t>
      </w:r>
    </w:p>
    <w:p>
      <w:pPr>
        <w:numPr>
          <w:ilvl w:val="0"/>
          <w:numId w:val="56"/>
        </w:numPr>
        <w:autoSpaceDE w:val="0"/>
        <w:autoSpaceDN w:val="0"/>
        <w:spacing w:before="1"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除合同条款专用部分对期限另有约定外，监理人收到承包人变更报价书后的 14 天内，根据第 15.4 款约定的估价原则，按照第 3.5 款商定或确定变更价格。监理人商定或确定变更价格的期限见合同条款专用部分。</w:t>
      </w:r>
    </w:p>
    <w:p>
      <w:pPr>
        <w:numPr>
          <w:ilvl w:val="0"/>
          <w:numId w:val="56"/>
        </w:numPr>
        <w:autoSpaceDE w:val="0"/>
        <w:autoSpaceDN w:val="0"/>
        <w:spacing w:before="1"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收到变更指示后，如承包人未在规定的期限内提交变更报价书的，监理人可自行 决定是否调整合同价款以及如果监理人决定调整合同价款时，相应调整的具体金额。</w:t>
      </w:r>
    </w:p>
    <w:p>
      <w:pPr>
        <w:numPr>
          <w:ilvl w:val="2"/>
          <w:numId w:val="54"/>
        </w:numPr>
        <w:autoSpaceDE w:val="0"/>
        <w:autoSpaceDN w:val="0"/>
        <w:spacing w:before="72" w:line="356" w:lineRule="exact"/>
        <w:rPr>
          <w:rFonts w:ascii="宋体" w:hAnsi="宋体" w:cs="宋体"/>
          <w:color w:val="auto"/>
          <w:szCs w:val="21"/>
          <w:highlight w:val="none"/>
        </w:rPr>
      </w:pPr>
      <w:r>
        <w:rPr>
          <w:rFonts w:hint="eastAsia" w:ascii="宋体" w:hAnsi="宋体" w:cs="宋体"/>
          <w:color w:val="auto"/>
          <w:szCs w:val="21"/>
          <w:highlight w:val="none"/>
        </w:rPr>
        <w:t xml:space="preserve">变更指示 </w:t>
      </w:r>
    </w:p>
    <w:p>
      <w:pPr>
        <w:numPr>
          <w:ilvl w:val="0"/>
          <w:numId w:val="5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变更指示只能由监理人发出。</w:t>
      </w:r>
    </w:p>
    <w:p>
      <w:pPr>
        <w:numPr>
          <w:ilvl w:val="0"/>
          <w:numId w:val="5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变更指示应说明变更的目的、范围、变更内容以及变更的工程量及其进度和技术要求，并附有关图纸和文件。承包人收到变更指示后，应按变更指示进行变更工作。</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变更的估价原则 </w:t>
      </w:r>
    </w:p>
    <w:p>
      <w:pPr>
        <w:autoSpaceDE w:val="0"/>
        <w:autoSpaceDN w:val="0"/>
        <w:spacing w:before="1" w:line="356" w:lineRule="exact"/>
        <w:ind w:left="138" w:right="230" w:firstLine="419"/>
        <w:rPr>
          <w:rFonts w:ascii="宋体" w:hAnsi="宋体" w:cs="宋体"/>
          <w:color w:val="auto"/>
          <w:szCs w:val="21"/>
          <w:highlight w:val="none"/>
        </w:rPr>
      </w:pPr>
      <w:r>
        <w:rPr>
          <w:rFonts w:hint="eastAsia" w:ascii="宋体" w:hAnsi="宋体" w:cs="宋体"/>
          <w:color w:val="auto"/>
          <w:szCs w:val="21"/>
          <w:highlight w:val="none"/>
        </w:rPr>
        <w:t xml:space="preserve">因工程量清单漏项（仅适用于合同协议书约定采用单价合同形式时）或变更引起的价格调整按照本款约定处理。 </w:t>
      </w:r>
    </w:p>
    <w:p>
      <w:pPr>
        <w:numPr>
          <w:ilvl w:val="2"/>
          <w:numId w:val="5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已标价工程量清单中有适用于变更工作的子目的，采用该子目的单价。 </w:t>
      </w:r>
    </w:p>
    <w:p>
      <w:pPr>
        <w:numPr>
          <w:ilvl w:val="2"/>
          <w:numId w:val="58"/>
        </w:num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 xml:space="preserve">已标价工程量清单中无适用于变更工作的子目，但有类似子目的，可在合理范围内参照类似子目的单价，由监理人按第 3.5 款商定或确定变更工作的单价。 </w:t>
      </w:r>
    </w:p>
    <w:p>
      <w:pPr>
        <w:numPr>
          <w:ilvl w:val="2"/>
          <w:numId w:val="58"/>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已标价工程量清单中无适用或类似子目的单价，可按照成本加利润的原则，由监理人按第 3.5 款商定或确定变更工作的单价。 </w:t>
      </w:r>
    </w:p>
    <w:p>
      <w:pPr>
        <w:numPr>
          <w:ilvl w:val="2"/>
          <w:numId w:val="58"/>
        </w:numPr>
        <w:autoSpaceDE w:val="0"/>
        <w:autoSpaceDN w:val="0"/>
        <w:spacing w:line="356" w:lineRule="exact"/>
        <w:ind w:left="138" w:right="203" w:firstLine="419"/>
        <w:rPr>
          <w:rFonts w:ascii="宋体" w:hAnsi="宋体" w:cs="宋体"/>
          <w:color w:val="auto"/>
          <w:szCs w:val="21"/>
          <w:highlight w:val="none"/>
        </w:rPr>
      </w:pPr>
      <w:r>
        <w:rPr>
          <w:rFonts w:hint="eastAsia" w:ascii="宋体" w:hAnsi="宋体" w:cs="宋体"/>
          <w:color w:val="auto"/>
          <w:szCs w:val="21"/>
          <w:highlight w:val="none"/>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 款商定或确定变更措施项目的费用。</w:t>
      </w:r>
    </w:p>
    <w:p>
      <w:pPr>
        <w:numPr>
          <w:ilvl w:val="2"/>
          <w:numId w:val="58"/>
        </w:num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 xml:space="preserve">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 </w:t>
      </w:r>
    </w:p>
    <w:p>
      <w:pPr>
        <w:numPr>
          <w:ilvl w:val="2"/>
          <w:numId w:val="5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因变更引起价格调整的其他处理方式见合同条款专用部分。</w:t>
      </w:r>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承包人的合理化建议 </w:t>
      </w:r>
    </w:p>
    <w:p>
      <w:pPr>
        <w:numPr>
          <w:ilvl w:val="2"/>
          <w:numId w:val="59"/>
        </w:numPr>
        <w:autoSpaceDE w:val="0"/>
        <w:autoSpaceDN w:val="0"/>
        <w:spacing w:line="356" w:lineRule="exact"/>
        <w:ind w:right="208" w:firstLine="419"/>
        <w:rPr>
          <w:rFonts w:ascii="宋体" w:hAnsi="宋体" w:cs="宋体"/>
          <w:color w:val="auto"/>
          <w:szCs w:val="21"/>
          <w:highlight w:val="none"/>
        </w:rPr>
      </w:pPr>
      <w:r>
        <w:rPr>
          <w:rFonts w:hint="eastAsia" w:ascii="宋体" w:hAnsi="宋体" w:cs="宋体"/>
          <w:color w:val="auto"/>
          <w:szCs w:val="21"/>
          <w:highlight w:val="none"/>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 15.3.3 项约定向承包人发出变更指示。</w:t>
      </w:r>
    </w:p>
    <w:p>
      <w:pPr>
        <w:numPr>
          <w:ilvl w:val="2"/>
          <w:numId w:val="59"/>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 xml:space="preserve">承包人提出的合理化建议降低了合同价格、缩短了工期或者提高了工程经济效益的，发包人可按国家有关规定给予奖励。对承包人提出合理化建议的奖励方法见合同条款专用部分。 </w:t>
      </w:r>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暂列金额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暂列金额只能按照监理人的指示使用，并对合同价格进行相应调整。 </w:t>
      </w:r>
    </w:p>
    <w:p>
      <w:pPr>
        <w:keepNext/>
        <w:keepLines/>
        <w:numPr>
          <w:ilvl w:val="1"/>
          <w:numId w:val="8"/>
        </w:numPr>
        <w:spacing w:before="1"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计日工 </w:t>
      </w:r>
    </w:p>
    <w:p>
      <w:pPr>
        <w:numPr>
          <w:ilvl w:val="2"/>
          <w:numId w:val="6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发包人认为有必要时，由监理人通知承包人以计日工方式实施变更的零星工作。其价款按列入已标价工程量清单中的计日工计价子目及其单价进行计算。 </w:t>
      </w:r>
    </w:p>
    <w:p>
      <w:pPr>
        <w:numPr>
          <w:ilvl w:val="2"/>
          <w:numId w:val="60"/>
        </w:numPr>
        <w:autoSpaceDE w:val="0"/>
        <w:autoSpaceDN w:val="0"/>
        <w:spacing w:before="1"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采用计日工计价的任何一项变更工作，应从暂列金额中支付，承包人应在该项变更的实施过程中，每天提交以下报表和有关凭证报送监理人审批：</w:t>
      </w:r>
    </w:p>
    <w:p>
      <w:pPr>
        <w:numPr>
          <w:ilvl w:val="0"/>
          <w:numId w:val="61"/>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工作名称、内容和数量；</w:t>
      </w:r>
    </w:p>
    <w:p>
      <w:pPr>
        <w:numPr>
          <w:ilvl w:val="0"/>
          <w:numId w:val="61"/>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投入该工作所有人员的姓名、工种、级别和耗用工时；</w:t>
      </w:r>
    </w:p>
    <w:p>
      <w:pPr>
        <w:numPr>
          <w:ilvl w:val="0"/>
          <w:numId w:val="61"/>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投入该工作的材料类别和数量；</w:t>
      </w:r>
    </w:p>
    <w:p>
      <w:pPr>
        <w:numPr>
          <w:ilvl w:val="0"/>
          <w:numId w:val="61"/>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 xml:space="preserve">投入该工作的施工设备型号、台数和耗用台时； </w:t>
      </w:r>
    </w:p>
    <w:p>
      <w:pPr>
        <w:numPr>
          <w:ilvl w:val="0"/>
          <w:numId w:val="61"/>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监理人要求提交的其他资料和凭证。</w:t>
      </w:r>
    </w:p>
    <w:p>
      <w:pPr>
        <w:numPr>
          <w:ilvl w:val="2"/>
          <w:numId w:val="60"/>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计日工由承包人汇总后，按第 17.3.2 项的约定列入进度付款申请单，由监理人复核并经发包人同意后列入进度付款。</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暂估价 </w:t>
      </w:r>
    </w:p>
    <w:p>
      <w:pPr>
        <w:numPr>
          <w:ilvl w:val="2"/>
          <w:numId w:val="62"/>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 xml:space="preserve">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 </w:t>
      </w:r>
    </w:p>
    <w:p>
      <w:pPr>
        <w:numPr>
          <w:ilvl w:val="0"/>
          <w:numId w:val="63"/>
        </w:numPr>
        <w:autoSpaceDE w:val="0"/>
        <w:autoSpaceDN w:val="0"/>
        <w:spacing w:line="356" w:lineRule="exact"/>
        <w:ind w:right="309" w:firstLine="314"/>
        <w:rPr>
          <w:rFonts w:ascii="宋体" w:hAnsi="宋体" w:cs="宋体"/>
          <w:color w:val="auto"/>
          <w:szCs w:val="21"/>
          <w:highlight w:val="none"/>
        </w:rPr>
      </w:pPr>
      <w:r>
        <w:rPr>
          <w:rFonts w:hint="eastAsia" w:ascii="宋体" w:hAnsi="宋体" w:cs="宋体"/>
          <w:color w:val="auto"/>
          <w:szCs w:val="21"/>
          <w:highlight w:val="none"/>
        </w:rPr>
        <w:t>由承包人作为招标人，依法组织招标工作并接受有管辖权的建设工程招标投标行 政监督部门的监督。</w:t>
      </w:r>
    </w:p>
    <w:p>
      <w:pPr>
        <w:numPr>
          <w:ilvl w:val="0"/>
          <w:numId w:val="63"/>
        </w:numPr>
        <w:autoSpaceDE w:val="0"/>
        <w:autoSpaceDN w:val="0"/>
        <w:spacing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与组织招标工作有关的费用应当被认为已经包括在承包人的签约合同价（投标总 报价）中。</w:t>
      </w:r>
    </w:p>
    <w:p>
      <w:pPr>
        <w:numPr>
          <w:ilvl w:val="0"/>
          <w:numId w:val="63"/>
        </w:numPr>
        <w:autoSpaceDE w:val="0"/>
        <w:autoSpaceDN w:val="0"/>
        <w:spacing w:line="356" w:lineRule="exact"/>
        <w:ind w:right="310" w:firstLine="314"/>
        <w:rPr>
          <w:rFonts w:ascii="宋体" w:hAnsi="宋体" w:cs="宋体"/>
          <w:color w:val="auto"/>
          <w:szCs w:val="21"/>
          <w:highlight w:val="none"/>
        </w:rPr>
      </w:pPr>
      <w:r>
        <w:rPr>
          <w:rFonts w:hint="eastAsia" w:ascii="宋体" w:hAnsi="宋体" w:cs="宋体"/>
          <w:color w:val="auto"/>
          <w:szCs w:val="21"/>
          <w:highlight w:val="none"/>
        </w:rPr>
        <w:t>中标金额与工程量清单中所列的暂估价的金额差以及相应的税金等其他费用列入合同价格。</w:t>
      </w:r>
    </w:p>
    <w:p>
      <w:pPr>
        <w:numPr>
          <w:ilvl w:val="0"/>
          <w:numId w:val="63"/>
        </w:numPr>
        <w:autoSpaceDE w:val="0"/>
        <w:autoSpaceDN w:val="0"/>
        <w:spacing w:line="356" w:lineRule="exact"/>
        <w:ind w:right="309" w:firstLine="314"/>
        <w:rPr>
          <w:rFonts w:ascii="宋体" w:hAnsi="宋体" w:cs="宋体"/>
          <w:color w:val="auto"/>
          <w:szCs w:val="21"/>
          <w:highlight w:val="none"/>
        </w:rPr>
      </w:pPr>
      <w:r>
        <w:rPr>
          <w:rFonts w:hint="eastAsia" w:ascii="宋体" w:hAnsi="宋体" w:cs="宋体"/>
          <w:color w:val="auto"/>
          <w:szCs w:val="21"/>
          <w:highlight w:val="none"/>
        </w:rPr>
        <w:t>在任何招标工作启动前，承包人应当按照合同条款专用部分约定期限编制招标工 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pPr>
        <w:numPr>
          <w:ilvl w:val="0"/>
          <w:numId w:val="63"/>
        </w:numPr>
        <w:autoSpaceDE w:val="0"/>
        <w:autoSpaceDN w:val="0"/>
        <w:spacing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pPr>
        <w:numPr>
          <w:ilvl w:val="0"/>
          <w:numId w:val="63"/>
        </w:numPr>
        <w:autoSpaceDE w:val="0"/>
        <w:autoSpaceDN w:val="0"/>
        <w:spacing w:line="356" w:lineRule="exact"/>
        <w:ind w:right="309" w:firstLine="314"/>
        <w:rPr>
          <w:rFonts w:ascii="宋体" w:hAnsi="宋体" w:cs="宋体"/>
          <w:color w:val="auto"/>
          <w:szCs w:val="21"/>
          <w:highlight w:val="none"/>
        </w:rPr>
      </w:pPr>
      <w:r>
        <w:rPr>
          <w:rFonts w:hint="eastAsia" w:ascii="宋体" w:hAnsi="宋体" w:cs="宋体"/>
          <w:color w:val="auto"/>
          <w:szCs w:val="21"/>
          <w:highlight w:val="none"/>
        </w:rPr>
        <w:t>如果发、承包任何一方委派评标代表，评标委员会应当由七人以上单数构成。除 发包人或者承包人自愿放弃委派评标代表的权利外，招标人评标代表应当分别由发包人和承包人等额委派。</w:t>
      </w:r>
    </w:p>
    <w:p>
      <w:pPr>
        <w:numPr>
          <w:ilvl w:val="0"/>
          <w:numId w:val="63"/>
        </w:numPr>
        <w:autoSpaceDE w:val="0"/>
        <w:autoSpaceDN w:val="0"/>
        <w:spacing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pPr>
        <w:numPr>
          <w:ilvl w:val="0"/>
          <w:numId w:val="63"/>
        </w:numPr>
        <w:autoSpaceDE w:val="0"/>
        <w:autoSpaceDN w:val="0"/>
        <w:spacing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设有招标控制价的，承包人应当在招标文件发出前提前 7 天将招标控制价报发包人审核认可，发包人应当在收到承包人报送的招标控制价后 72 小时内给予认可或者提出修改意见。招标控制价的最终审核和决定权属于发包人，未经发包人认可，承包人不得发出招标文件。</w:t>
      </w:r>
    </w:p>
    <w:p>
      <w:pPr>
        <w:numPr>
          <w:ilvl w:val="0"/>
          <w:numId w:val="63"/>
        </w:numPr>
        <w:autoSpaceDE w:val="0"/>
        <w:autoSpaceDN w:val="0"/>
        <w:spacing w:line="356" w:lineRule="exact"/>
        <w:ind w:left="949" w:hanging="530"/>
        <w:rPr>
          <w:rFonts w:ascii="宋体" w:hAnsi="宋体" w:cs="宋体"/>
          <w:color w:val="auto"/>
          <w:sz w:val="15"/>
          <w:szCs w:val="15"/>
          <w:highlight w:val="none"/>
        </w:rPr>
      </w:pPr>
      <w:r>
        <w:rPr>
          <w:rFonts w:hint="eastAsia" w:ascii="宋体" w:hAnsi="宋体" w:cs="宋体"/>
          <w:color w:val="auto"/>
          <w:szCs w:val="21"/>
          <w:highlight w:val="none"/>
        </w:rPr>
        <w:t>承包人在收到相关招标项目评标委员会提交的评标报告后，应当在 24 小时内通过</w:t>
      </w:r>
    </w:p>
    <w:p>
      <w:pPr>
        <w:autoSpaceDE w:val="0"/>
        <w:autoSpaceDN w:val="0"/>
        <w:spacing w:line="356" w:lineRule="exact"/>
        <w:ind w:left="138" w:right="308"/>
        <w:rPr>
          <w:rFonts w:ascii="宋体" w:hAnsi="宋体" w:cs="宋体"/>
          <w:color w:val="auto"/>
          <w:szCs w:val="21"/>
          <w:highlight w:val="none"/>
        </w:rPr>
      </w:pPr>
      <w:r>
        <w:rPr>
          <w:rFonts w:hint="eastAsia" w:ascii="宋体" w:hAnsi="宋体" w:cs="宋体"/>
          <w:color w:val="auto"/>
          <w:szCs w:val="21"/>
          <w:highlight w:val="none"/>
        </w:rPr>
        <w:t>监理人转报发包人核查，发包人应当在监理人收到承包人报送的评标报告后 48 小时内核查完毕，评标报告经过发包人核查认可后，承包人才可以开始后续程序，依法确定中标人并发出中标通知书。</w:t>
      </w:r>
    </w:p>
    <w:p>
      <w:pPr>
        <w:numPr>
          <w:ilvl w:val="0"/>
          <w:numId w:val="63"/>
        </w:numPr>
        <w:autoSpaceDE w:val="0"/>
        <w:autoSpaceDN w:val="0"/>
        <w:spacing w:line="356" w:lineRule="exact"/>
        <w:ind w:right="308" w:firstLine="314"/>
        <w:rPr>
          <w:rFonts w:ascii="宋体" w:hAnsi="宋体" w:cs="宋体"/>
          <w:color w:val="auto"/>
          <w:szCs w:val="21"/>
          <w:highlight w:val="none"/>
        </w:rPr>
      </w:pPr>
      <w:r>
        <w:rPr>
          <w:rFonts w:hint="eastAsia" w:ascii="宋体" w:hAnsi="宋体" w:cs="宋体"/>
          <w:color w:val="auto"/>
          <w:szCs w:val="21"/>
          <w:highlight w:val="none"/>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pPr>
        <w:numPr>
          <w:ilvl w:val="0"/>
          <w:numId w:val="63"/>
        </w:numPr>
        <w:autoSpaceDE w:val="0"/>
        <w:autoSpaceDN w:val="0"/>
        <w:spacing w:before="72" w:line="356" w:lineRule="exact"/>
        <w:ind w:right="309" w:firstLine="314"/>
        <w:rPr>
          <w:rFonts w:ascii="宋体" w:hAnsi="宋体" w:cs="宋体"/>
          <w:color w:val="auto"/>
          <w:szCs w:val="21"/>
          <w:highlight w:val="none"/>
        </w:rPr>
      </w:pPr>
      <w:r>
        <w:rPr>
          <w:rFonts w:hint="eastAsia" w:ascii="宋体" w:hAnsi="宋体" w:cs="宋体"/>
          <w:color w:val="auto"/>
          <w:szCs w:val="21"/>
          <w:highlight w:val="none"/>
        </w:rPr>
        <w:t>发包人对承包人报送文件进行审批或提出的修改意见应当合理，并符合现行有关法律法规的规定。</w:t>
      </w:r>
    </w:p>
    <w:p>
      <w:pPr>
        <w:numPr>
          <w:ilvl w:val="0"/>
          <w:numId w:val="63"/>
        </w:numPr>
        <w:autoSpaceDE w:val="0"/>
        <w:autoSpaceDN w:val="0"/>
        <w:spacing w:line="356" w:lineRule="exact"/>
        <w:ind w:right="309" w:firstLine="314"/>
        <w:rPr>
          <w:rFonts w:ascii="宋体" w:hAnsi="宋体" w:cs="宋体"/>
          <w:color w:val="auto"/>
          <w:szCs w:val="21"/>
          <w:highlight w:val="none"/>
        </w:rPr>
      </w:pPr>
      <w:r>
        <w:rPr>
          <w:rFonts w:hint="eastAsia" w:ascii="宋体" w:hAnsi="宋体" w:cs="宋体"/>
          <w:color w:val="auto"/>
          <w:szCs w:val="21"/>
          <w:highlight w:val="none"/>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pPr>
        <w:numPr>
          <w:ilvl w:val="2"/>
          <w:numId w:val="62"/>
        </w:numPr>
        <w:autoSpaceDE w:val="0"/>
        <w:autoSpaceDN w:val="0"/>
        <w:spacing w:line="356" w:lineRule="exact"/>
        <w:ind w:right="203" w:firstLine="419"/>
        <w:rPr>
          <w:rFonts w:ascii="宋体" w:hAnsi="宋体" w:cs="宋体"/>
          <w:color w:val="auto"/>
          <w:szCs w:val="21"/>
          <w:highlight w:val="none"/>
        </w:rPr>
      </w:pPr>
      <w:r>
        <w:rPr>
          <w:rFonts w:hint="eastAsia" w:ascii="宋体" w:hAnsi="宋体" w:cs="宋体"/>
          <w:color w:val="auto"/>
          <w:szCs w:val="21"/>
          <w:highlight w:val="none"/>
        </w:rPr>
        <w:t>发包人在工程量清单中给定暂估价的材料和工程设备不属于依法必须招标的范 围或未达到规定的规模标准的，应由承包人按第 5.1 款的约定提供。经监理人确认的材料、工程设备的价格与工程量清单中所列的暂估价的金额差以及相应的税金等其他费用列入合同价格。</w:t>
      </w:r>
    </w:p>
    <w:p>
      <w:pPr>
        <w:numPr>
          <w:ilvl w:val="2"/>
          <w:numId w:val="62"/>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发包人在工程量清单中给定暂估价的专业工程不属于依法必须招标的范围或未达到规定的规模标准的，由监理人按照第 15.4 款进行估价，但合同条款专用部分另有约定的除外。经估价的专业工程与工程量清单中所列的暂估价的金额差以及相应的税金等其他费用列入合同价格。</w:t>
      </w:r>
    </w:p>
    <w:p>
      <w:pPr>
        <w:keepNext/>
        <w:keepLines/>
        <w:numPr>
          <w:ilvl w:val="0"/>
          <w:numId w:val="8"/>
        </w:numPr>
        <w:spacing w:before="260" w:after="260" w:line="356" w:lineRule="exact"/>
        <w:outlineLvl w:val="1"/>
        <w:rPr>
          <w:rFonts w:ascii="Arial" w:hAnsi="Arial"/>
          <w:b/>
          <w:color w:val="auto"/>
          <w:sz w:val="28"/>
          <w:szCs w:val="24"/>
          <w:highlight w:val="none"/>
        </w:rPr>
      </w:pPr>
      <w:bookmarkStart w:id="763" w:name="_Toc7489"/>
      <w:bookmarkStart w:id="764" w:name="_Toc15506"/>
      <w:bookmarkStart w:id="765" w:name="_Toc101357727"/>
      <w:r>
        <w:rPr>
          <w:rFonts w:hint="eastAsia" w:ascii="Arial" w:hAnsi="Arial"/>
          <w:b/>
          <w:color w:val="auto"/>
          <w:sz w:val="28"/>
          <w:szCs w:val="24"/>
          <w:highlight w:val="none"/>
        </w:rPr>
        <w:t>价格调整</w:t>
      </w:r>
      <w:bookmarkEnd w:id="763"/>
      <w:bookmarkEnd w:id="764"/>
      <w:bookmarkEnd w:id="765"/>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物价波动引起的价格调整 </w:t>
      </w:r>
    </w:p>
    <w:p>
      <w:pPr>
        <w:autoSpaceDE w:val="0"/>
        <w:autoSpaceDN w:val="0"/>
        <w:spacing w:line="356" w:lineRule="exact"/>
        <w:ind w:left="558" w:right="638"/>
        <w:rPr>
          <w:rFonts w:ascii="宋体" w:hAnsi="宋体" w:cs="宋体"/>
          <w:color w:val="auto"/>
          <w:szCs w:val="21"/>
          <w:highlight w:val="none"/>
        </w:rPr>
      </w:pPr>
      <w:r>
        <w:rPr>
          <w:rFonts w:hint="eastAsia" w:ascii="宋体" w:hAnsi="宋体" w:cs="宋体"/>
          <w:color w:val="auto"/>
          <w:szCs w:val="21"/>
          <w:highlight w:val="none"/>
        </w:rPr>
        <w:t>除合同条款专用部分另有约定外，因物价波动引起的价格调整按照本款约定处理。</w:t>
      </w:r>
    </w:p>
    <w:p>
      <w:pPr>
        <w:autoSpaceDE w:val="0"/>
        <w:autoSpaceDN w:val="0"/>
        <w:spacing w:line="356" w:lineRule="exact"/>
        <w:ind w:left="558" w:right="638"/>
        <w:rPr>
          <w:rFonts w:ascii="宋体" w:hAnsi="宋体" w:cs="宋体"/>
          <w:color w:val="auto"/>
          <w:szCs w:val="21"/>
          <w:highlight w:val="none"/>
        </w:rPr>
      </w:pPr>
      <w:r>
        <w:rPr>
          <w:rFonts w:hint="eastAsia" w:ascii="宋体" w:hAnsi="宋体" w:cs="宋体"/>
          <w:color w:val="auto"/>
          <w:szCs w:val="21"/>
          <w:highlight w:val="none"/>
        </w:rPr>
        <w:t>16.1.1 采用价格指数调整价格差额</w:t>
      </w:r>
    </w:p>
    <w:p>
      <w:pPr>
        <w:numPr>
          <w:ilvl w:val="3"/>
          <w:numId w:val="6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价格调整公式 </w:t>
      </w:r>
    </w:p>
    <w:p>
      <w:pPr>
        <w:autoSpaceDE w:val="0"/>
        <w:autoSpaceDN w:val="0"/>
        <w:spacing w:before="1" w:line="356" w:lineRule="exact"/>
        <w:ind w:left="138" w:right="308" w:firstLine="631"/>
        <w:rPr>
          <w:rFonts w:ascii="宋体" w:hAnsi="宋体" w:cs="宋体"/>
          <w:color w:val="auto"/>
          <w:szCs w:val="21"/>
          <w:highlight w:val="none"/>
        </w:rPr>
      </w:pPr>
      <w:r>
        <w:rPr>
          <w:rFonts w:hint="eastAsia" w:ascii="宋体" w:hAnsi="宋体" w:cs="宋体"/>
          <w:color w:val="auto"/>
          <w:szCs w:val="21"/>
          <w:highlight w:val="none"/>
        </w:rPr>
        <w:t>因人工、材料和设备等价格波动影响合同价格时，根据投标函附录中的价格指数和权重表约定的数据，按以下公式计算差额并调整合同价格。</w:t>
      </w:r>
    </w:p>
    <w:p>
      <w:pPr>
        <w:autoSpaceDE w:val="0"/>
        <w:autoSpaceDN w:val="0"/>
        <w:spacing w:before="4" w:line="360" w:lineRule="auto"/>
        <w:jc w:val="center"/>
        <w:rPr>
          <w:rFonts w:ascii="宋体" w:hAnsi="宋体" w:cs="宋体"/>
          <w:color w:val="auto"/>
          <w:sz w:val="24"/>
          <w:szCs w:val="24"/>
          <w:highlight w:val="none"/>
        </w:rPr>
      </w:pPr>
      <w:r>
        <w:rPr>
          <w:rFonts w:ascii="宋体" w:hAnsi="宋体" w:cs="宋体"/>
          <w:color w:val="auto"/>
          <w:sz w:val="24"/>
          <w:szCs w:val="24"/>
          <w:highlight w:val="none"/>
        </w:rPr>
        <w:drawing>
          <wp:inline distT="0" distB="0" distL="114300" distR="114300">
            <wp:extent cx="3251200" cy="409575"/>
            <wp:effectExtent l="0" t="0" r="6350" b="9525"/>
            <wp:docPr id="2" name="图片 1" descr="说明: b8afdd1d0a7c94884c6e00aff87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b8afdd1d0a7c94884c6e00aff872186"/>
                    <pic:cNvPicPr>
                      <a:picLocks noChangeAspect="1"/>
                    </pic:cNvPicPr>
                  </pic:nvPicPr>
                  <pic:blipFill>
                    <a:blip r:embed="rId19"/>
                    <a:stretch>
                      <a:fillRect/>
                    </a:stretch>
                  </pic:blipFill>
                  <pic:spPr>
                    <a:xfrm>
                      <a:off x="0" y="0"/>
                      <a:ext cx="3251200" cy="409575"/>
                    </a:xfrm>
                    <a:prstGeom prst="rect">
                      <a:avLst/>
                    </a:prstGeom>
                    <a:noFill/>
                    <a:ln>
                      <a:noFill/>
                    </a:ln>
                  </pic:spPr>
                </pic:pic>
              </a:graphicData>
            </a:graphic>
          </wp:inline>
        </w:drawing>
      </w:r>
    </w:p>
    <w:p>
      <w:pPr>
        <w:autoSpaceDE w:val="0"/>
        <w:autoSpaceDN w:val="0"/>
        <w:spacing w:before="78" w:line="356" w:lineRule="exact"/>
        <w:ind w:left="558"/>
        <w:rPr>
          <w:rFonts w:ascii="宋体" w:hAnsi="宋体" w:cs="宋体"/>
          <w:color w:val="auto"/>
          <w:szCs w:val="21"/>
          <w:highlight w:val="none"/>
        </w:rPr>
      </w:pPr>
      <w:r>
        <w:rPr>
          <w:rFonts w:hint="eastAsia" w:ascii="宋体" w:hAnsi="宋体" w:cs="宋体"/>
          <w:color w:val="auto"/>
          <w:szCs w:val="21"/>
          <w:highlight w:val="none"/>
        </w:rPr>
        <w:t>式中： △</w:t>
      </w:r>
      <w:r>
        <w:rPr>
          <w:rFonts w:ascii="Times New Roman" w:hAnsi="Times New Roman" w:cs="宋体"/>
          <w:color w:val="auto"/>
          <w:szCs w:val="21"/>
          <w:highlight w:val="none"/>
        </w:rPr>
        <w:t xml:space="preserve">P -- </w:t>
      </w:r>
      <w:r>
        <w:rPr>
          <w:rFonts w:hint="eastAsia" w:ascii="宋体" w:hAnsi="宋体" w:cs="宋体"/>
          <w:color w:val="auto"/>
          <w:szCs w:val="21"/>
          <w:highlight w:val="none"/>
        </w:rPr>
        <w:t>需调整的价格差额；</w:t>
      </w:r>
    </w:p>
    <w:p>
      <w:pPr>
        <w:autoSpaceDE w:val="0"/>
        <w:autoSpaceDN w:val="0"/>
        <w:spacing w:line="356" w:lineRule="exact"/>
        <w:ind w:left="138" w:right="308" w:firstLine="1259"/>
        <w:rPr>
          <w:rFonts w:ascii="宋体" w:hAnsi="宋体" w:cs="宋体"/>
          <w:color w:val="auto"/>
          <w:szCs w:val="21"/>
          <w:highlight w:val="none"/>
        </w:rPr>
      </w:pPr>
      <w:r>
        <w:rPr>
          <w:rFonts w:ascii="Times New Roman" w:hAnsi="宋体" w:cs="宋体"/>
          <w:color w:val="auto"/>
          <w:position w:val="2"/>
          <w:szCs w:val="21"/>
          <w:highlight w:val="none"/>
        </w:rPr>
        <w:t>P</w:t>
      </w:r>
      <w:r>
        <w:rPr>
          <w:rFonts w:ascii="Times New Roman" w:hAnsi="宋体" w:cs="宋体"/>
          <w:color w:val="auto"/>
          <w:sz w:val="14"/>
          <w:szCs w:val="14"/>
          <w:highlight w:val="none"/>
        </w:rPr>
        <w:t xml:space="preserve">0 </w:t>
      </w:r>
      <w:r>
        <w:rPr>
          <w:rFonts w:ascii="Times New Roman" w:hAnsi="宋体" w:cs="宋体"/>
          <w:color w:val="auto"/>
          <w:position w:val="2"/>
          <w:szCs w:val="21"/>
          <w:highlight w:val="none"/>
        </w:rPr>
        <w:t xml:space="preserve">-- </w:t>
      </w:r>
      <w:r>
        <w:rPr>
          <w:rFonts w:hint="eastAsia" w:ascii="宋体" w:hAnsi="宋体" w:cs="宋体"/>
          <w:color w:val="auto"/>
          <w:position w:val="2"/>
          <w:szCs w:val="21"/>
          <w:highlight w:val="none"/>
        </w:rPr>
        <w:t xml:space="preserve">第 </w:t>
      </w:r>
      <w:r>
        <w:rPr>
          <w:rFonts w:ascii="Times New Roman" w:hAnsi="宋体" w:cs="宋体"/>
          <w:color w:val="auto"/>
          <w:position w:val="2"/>
          <w:szCs w:val="21"/>
          <w:highlight w:val="none"/>
        </w:rPr>
        <w:t xml:space="preserve">17.3.3 </w:t>
      </w:r>
      <w:r>
        <w:rPr>
          <w:rFonts w:hint="eastAsia" w:ascii="宋体" w:hAnsi="宋体" w:cs="宋体"/>
          <w:color w:val="auto"/>
          <w:position w:val="2"/>
          <w:szCs w:val="21"/>
          <w:highlight w:val="none"/>
        </w:rPr>
        <w:t xml:space="preserve">项、第 </w:t>
      </w:r>
      <w:r>
        <w:rPr>
          <w:rFonts w:ascii="Times New Roman" w:hAnsi="宋体" w:cs="宋体"/>
          <w:color w:val="auto"/>
          <w:position w:val="2"/>
          <w:szCs w:val="21"/>
          <w:highlight w:val="none"/>
        </w:rPr>
        <w:t xml:space="preserve">17.5.2 </w:t>
      </w:r>
      <w:r>
        <w:rPr>
          <w:rFonts w:hint="eastAsia" w:ascii="宋体" w:hAnsi="宋体" w:cs="宋体"/>
          <w:color w:val="auto"/>
          <w:position w:val="2"/>
          <w:szCs w:val="21"/>
          <w:highlight w:val="none"/>
        </w:rPr>
        <w:t xml:space="preserve">项和第 </w:t>
      </w:r>
      <w:r>
        <w:rPr>
          <w:rFonts w:ascii="Times New Roman" w:hAnsi="宋体" w:cs="宋体"/>
          <w:color w:val="auto"/>
          <w:position w:val="2"/>
          <w:szCs w:val="21"/>
          <w:highlight w:val="none"/>
        </w:rPr>
        <w:t xml:space="preserve">17.6.2 </w:t>
      </w:r>
      <w:r>
        <w:rPr>
          <w:rFonts w:hint="eastAsia" w:ascii="宋体" w:hAnsi="宋体" w:cs="宋体"/>
          <w:color w:val="auto"/>
          <w:position w:val="2"/>
          <w:szCs w:val="21"/>
          <w:highlight w:val="none"/>
        </w:rPr>
        <w:t>项约定的付款证书中承包人应得到</w:t>
      </w:r>
      <w:r>
        <w:rPr>
          <w:rFonts w:hint="eastAsia" w:ascii="宋体" w:hAnsi="宋体" w:cs="宋体"/>
          <w:color w:val="auto"/>
          <w:szCs w:val="21"/>
          <w:highlight w:val="none"/>
        </w:rPr>
        <w:t xml:space="preserve">的已完成工程量的金额。此项金额应不包括价格调整、不计质量保证金的扣留和支付、预付款的支付和扣回。第 </w:t>
      </w:r>
      <w:r>
        <w:rPr>
          <w:rFonts w:ascii="Times New Roman" w:hAnsi="宋体" w:cs="宋体"/>
          <w:color w:val="auto"/>
          <w:szCs w:val="21"/>
          <w:highlight w:val="none"/>
        </w:rPr>
        <w:t xml:space="preserve">15 </w:t>
      </w:r>
      <w:r>
        <w:rPr>
          <w:rFonts w:hint="eastAsia" w:ascii="宋体" w:hAnsi="宋体" w:cs="宋体"/>
          <w:color w:val="auto"/>
          <w:szCs w:val="21"/>
          <w:highlight w:val="none"/>
        </w:rPr>
        <w:t>条约定的变更及其他金额已按现行价格计价的，也不计在内；</w:t>
      </w:r>
    </w:p>
    <w:p>
      <w:pPr>
        <w:autoSpaceDE w:val="0"/>
        <w:autoSpaceDN w:val="0"/>
        <w:spacing w:before="78" w:line="356" w:lineRule="exact"/>
        <w:ind w:left="1398"/>
        <w:rPr>
          <w:rFonts w:ascii="宋体" w:hAnsi="宋体" w:cs="宋体"/>
          <w:color w:val="auto"/>
          <w:szCs w:val="21"/>
          <w:highlight w:val="none"/>
        </w:rPr>
      </w:pPr>
      <w:r>
        <w:rPr>
          <w:rFonts w:ascii="Times New Roman" w:hAnsi="宋体" w:cs="宋体"/>
          <w:color w:val="auto"/>
          <w:szCs w:val="21"/>
          <w:highlight w:val="none"/>
        </w:rPr>
        <w:t xml:space="preserve">A -- </w:t>
      </w:r>
      <w:r>
        <w:rPr>
          <w:rFonts w:hint="eastAsia" w:ascii="宋体" w:hAnsi="宋体" w:cs="宋体"/>
          <w:color w:val="auto"/>
          <w:szCs w:val="21"/>
          <w:highlight w:val="none"/>
        </w:rPr>
        <w:t>定值权重</w:t>
      </w:r>
      <w:r>
        <w:rPr>
          <w:rFonts w:ascii="Times New Roman" w:hAnsi="宋体" w:cs="宋体"/>
          <w:color w:val="auto"/>
          <w:szCs w:val="21"/>
          <w:highlight w:val="none"/>
        </w:rPr>
        <w:t>(</w:t>
      </w:r>
      <w:r>
        <w:rPr>
          <w:rFonts w:hint="eastAsia" w:ascii="宋体" w:hAnsi="宋体" w:cs="宋体"/>
          <w:color w:val="auto"/>
          <w:szCs w:val="21"/>
          <w:highlight w:val="none"/>
        </w:rPr>
        <w:t>即不调部分的权重</w:t>
      </w:r>
      <w:r>
        <w:rPr>
          <w:rFonts w:ascii="Times New Roman" w:hAnsi="宋体" w:cs="宋体"/>
          <w:color w:val="auto"/>
          <w:szCs w:val="21"/>
          <w:highlight w:val="none"/>
        </w:rPr>
        <w:t>)</w:t>
      </w:r>
      <w:r>
        <w:rPr>
          <w:rFonts w:hint="eastAsia" w:ascii="宋体" w:hAnsi="宋体" w:cs="宋体"/>
          <w:color w:val="auto"/>
          <w:szCs w:val="21"/>
          <w:highlight w:val="none"/>
        </w:rPr>
        <w:t>；</w:t>
      </w:r>
    </w:p>
    <w:p>
      <w:pPr>
        <w:autoSpaceDE w:val="0"/>
        <w:autoSpaceDN w:val="0"/>
        <w:spacing w:line="356" w:lineRule="exact"/>
        <w:ind w:left="1398"/>
        <w:rPr>
          <w:rFonts w:ascii="宋体" w:hAnsi="宋体" w:cs="宋体"/>
          <w:color w:val="auto"/>
          <w:szCs w:val="21"/>
          <w:highlight w:val="none"/>
        </w:rPr>
      </w:pPr>
      <w:r>
        <w:rPr>
          <w:rFonts w:ascii="Times New Roman" w:hAnsi="宋体" w:cs="宋体"/>
          <w:color w:val="auto"/>
          <w:position w:val="2"/>
          <w:szCs w:val="21"/>
          <w:highlight w:val="none"/>
        </w:rPr>
        <w:t>B</w:t>
      </w:r>
      <w:r>
        <w:rPr>
          <w:rFonts w:ascii="Times New Roman" w:hAnsi="宋体" w:cs="宋体"/>
          <w:color w:val="auto"/>
          <w:sz w:val="14"/>
          <w:szCs w:val="14"/>
          <w:highlight w:val="none"/>
        </w:rPr>
        <w:t>1</w:t>
      </w:r>
      <w:r>
        <w:rPr>
          <w:rFonts w:ascii="Times New Roman" w:hAnsi="宋体" w:cs="宋体"/>
          <w:color w:val="auto"/>
          <w:position w:val="2"/>
          <w:sz w:val="15"/>
          <w:szCs w:val="15"/>
          <w:highlight w:val="none"/>
        </w:rPr>
        <w:t xml:space="preserve">;  </w:t>
      </w:r>
      <w:r>
        <w:rPr>
          <w:rFonts w:ascii="Times New Roman" w:hAnsi="宋体" w:cs="宋体"/>
          <w:color w:val="auto"/>
          <w:position w:val="2"/>
          <w:szCs w:val="21"/>
          <w:highlight w:val="none"/>
        </w:rPr>
        <w:t>B</w:t>
      </w:r>
      <w:r>
        <w:rPr>
          <w:rFonts w:ascii="Times New Roman" w:hAnsi="宋体" w:cs="宋体"/>
          <w:color w:val="auto"/>
          <w:sz w:val="14"/>
          <w:szCs w:val="14"/>
          <w:highlight w:val="none"/>
        </w:rPr>
        <w:t>2</w:t>
      </w:r>
      <w:r>
        <w:rPr>
          <w:rFonts w:ascii="Times New Roman" w:hAnsi="宋体" w:cs="宋体"/>
          <w:color w:val="auto"/>
          <w:position w:val="2"/>
          <w:szCs w:val="21"/>
          <w:highlight w:val="none"/>
        </w:rPr>
        <w:t>;B</w:t>
      </w:r>
      <w:r>
        <w:rPr>
          <w:rFonts w:ascii="Times New Roman" w:hAnsi="宋体" w:cs="宋体"/>
          <w:color w:val="auto"/>
          <w:sz w:val="14"/>
          <w:szCs w:val="14"/>
          <w:highlight w:val="none"/>
        </w:rPr>
        <w:t>3</w:t>
      </w:r>
      <w:r>
        <w:rPr>
          <w:rFonts w:hint="eastAsia" w:ascii="Times New Roman" w:hAnsi="宋体" w:cs="宋体"/>
          <w:color w:val="auto"/>
          <w:sz w:val="14"/>
          <w:szCs w:val="14"/>
          <w:highlight w:val="none"/>
        </w:rPr>
        <w:t>•••••</w:t>
      </w:r>
      <w:r>
        <w:rPr>
          <w:rFonts w:ascii="Times New Roman" w:hAnsi="宋体" w:cs="宋体"/>
          <w:color w:val="auto"/>
          <w:position w:val="2"/>
          <w:szCs w:val="21"/>
          <w:highlight w:val="none"/>
        </w:rPr>
        <w:t>B</w:t>
      </w:r>
      <w:r>
        <w:rPr>
          <w:rFonts w:ascii="Times New Roman" w:hAnsi="宋体" w:cs="宋体"/>
          <w:color w:val="auto"/>
          <w:sz w:val="14"/>
          <w:szCs w:val="14"/>
          <w:highlight w:val="none"/>
        </w:rPr>
        <w:t>n</w:t>
      </w:r>
      <w:r>
        <w:rPr>
          <w:rFonts w:ascii="Times New Roman" w:hAnsi="宋体" w:cs="宋体"/>
          <w:color w:val="auto"/>
          <w:position w:val="2"/>
          <w:szCs w:val="21"/>
          <w:highlight w:val="none"/>
        </w:rPr>
        <w:t xml:space="preserve">-- </w:t>
      </w:r>
      <w:r>
        <w:rPr>
          <w:rFonts w:hint="eastAsia" w:ascii="宋体" w:hAnsi="宋体" w:cs="宋体"/>
          <w:color w:val="auto"/>
          <w:position w:val="2"/>
          <w:szCs w:val="21"/>
          <w:highlight w:val="none"/>
        </w:rPr>
        <w:t>各可调因子的变值权重</w:t>
      </w:r>
      <w:r>
        <w:rPr>
          <w:rFonts w:ascii="Times New Roman" w:hAnsi="宋体" w:cs="宋体"/>
          <w:color w:val="auto"/>
          <w:position w:val="2"/>
          <w:szCs w:val="21"/>
          <w:highlight w:val="none"/>
        </w:rPr>
        <w:t>(</w:t>
      </w:r>
      <w:r>
        <w:rPr>
          <w:rFonts w:hint="eastAsia" w:ascii="宋体" w:hAnsi="宋体" w:cs="宋体"/>
          <w:color w:val="auto"/>
          <w:position w:val="2"/>
          <w:szCs w:val="21"/>
          <w:highlight w:val="none"/>
        </w:rPr>
        <w:t>即可调部分的权重</w:t>
      </w:r>
      <w:r>
        <w:rPr>
          <w:rFonts w:ascii="Times New Roman" w:hAnsi="宋体" w:cs="宋体"/>
          <w:color w:val="auto"/>
          <w:position w:val="2"/>
          <w:szCs w:val="21"/>
          <w:highlight w:val="none"/>
        </w:rPr>
        <w:t>)</w:t>
      </w:r>
      <w:r>
        <w:rPr>
          <w:rFonts w:hint="eastAsia" w:ascii="宋体" w:hAnsi="宋体" w:cs="宋体"/>
          <w:color w:val="auto"/>
          <w:position w:val="2"/>
          <w:szCs w:val="21"/>
          <w:highlight w:val="none"/>
        </w:rPr>
        <w:t>为各可调因子</w:t>
      </w:r>
    </w:p>
    <w:p>
      <w:pPr>
        <w:autoSpaceDE w:val="0"/>
        <w:autoSpaceDN w:val="0"/>
        <w:spacing w:before="200" w:line="356" w:lineRule="exact"/>
        <w:ind w:left="138"/>
        <w:rPr>
          <w:rFonts w:ascii="宋体" w:hAnsi="宋体" w:cs="宋体"/>
          <w:color w:val="auto"/>
          <w:szCs w:val="21"/>
          <w:highlight w:val="none"/>
        </w:rPr>
      </w:pPr>
      <w:r>
        <w:rPr>
          <w:rFonts w:hint="eastAsia" w:ascii="宋体" w:hAnsi="宋体" w:cs="宋体"/>
          <w:color w:val="auto"/>
          <w:szCs w:val="21"/>
          <w:highlight w:val="none"/>
        </w:rPr>
        <w:t>在投标函投标总报价中所占的比例；</w:t>
      </w:r>
    </w:p>
    <w:p>
      <w:pPr>
        <w:autoSpaceDE w:val="0"/>
        <w:autoSpaceDN w:val="0"/>
        <w:spacing w:before="1" w:line="356" w:lineRule="exact"/>
        <w:ind w:left="138" w:right="257" w:firstLine="1259"/>
        <w:rPr>
          <w:rFonts w:ascii="宋体" w:hAnsi="宋体" w:cs="宋体"/>
          <w:color w:val="auto"/>
          <w:szCs w:val="21"/>
          <w:highlight w:val="none"/>
        </w:rPr>
      </w:pPr>
      <w:r>
        <w:rPr>
          <w:rFonts w:ascii="Times New Roman" w:hAnsi="Times New Roman" w:cs="宋体"/>
          <w:color w:val="auto"/>
          <w:position w:val="2"/>
          <w:szCs w:val="21"/>
          <w:highlight w:val="none"/>
        </w:rPr>
        <w:t>F</w:t>
      </w:r>
      <w:r>
        <w:rPr>
          <w:rFonts w:ascii="Times New Roman" w:hAnsi="Times New Roman" w:cs="宋体"/>
          <w:color w:val="auto"/>
          <w:sz w:val="14"/>
          <w:szCs w:val="14"/>
          <w:highlight w:val="none"/>
        </w:rPr>
        <w:t>t1</w:t>
      </w:r>
      <w:r>
        <w:rPr>
          <w:rFonts w:ascii="Times New Roman" w:hAnsi="Times New Roman" w:cs="宋体"/>
          <w:color w:val="auto"/>
          <w:position w:val="2"/>
          <w:szCs w:val="21"/>
          <w:highlight w:val="none"/>
        </w:rPr>
        <w:t>;F</w:t>
      </w:r>
      <w:r>
        <w:rPr>
          <w:rFonts w:ascii="Times New Roman" w:hAnsi="Times New Roman" w:cs="宋体"/>
          <w:color w:val="auto"/>
          <w:sz w:val="14"/>
          <w:szCs w:val="14"/>
          <w:highlight w:val="none"/>
        </w:rPr>
        <w:t>t2</w:t>
      </w:r>
      <w:r>
        <w:rPr>
          <w:rFonts w:ascii="Times New Roman" w:hAnsi="Times New Roman" w:cs="宋体"/>
          <w:color w:val="auto"/>
          <w:position w:val="2"/>
          <w:szCs w:val="21"/>
          <w:highlight w:val="none"/>
        </w:rPr>
        <w:t>;F</w:t>
      </w:r>
      <w:r>
        <w:rPr>
          <w:rFonts w:ascii="Times New Roman" w:hAnsi="Times New Roman" w:cs="宋体"/>
          <w:color w:val="auto"/>
          <w:sz w:val="14"/>
          <w:szCs w:val="14"/>
          <w:highlight w:val="none"/>
        </w:rPr>
        <w:t>t3</w:t>
      </w:r>
      <w:r>
        <w:rPr>
          <w:rFonts w:hint="eastAsia" w:ascii="宋体" w:hAnsi="宋体" w:cs="宋体"/>
          <w:color w:val="auto"/>
          <w:position w:val="2"/>
          <w:sz w:val="15"/>
          <w:szCs w:val="15"/>
          <w:highlight w:val="none"/>
        </w:rPr>
        <w:t>·····</w:t>
      </w:r>
      <w:r>
        <w:rPr>
          <w:rFonts w:ascii="Times New Roman" w:hAnsi="Times New Roman" w:cs="宋体"/>
          <w:color w:val="auto"/>
          <w:position w:val="2"/>
          <w:szCs w:val="21"/>
          <w:highlight w:val="none"/>
        </w:rPr>
        <w:t>F</w:t>
      </w:r>
      <w:r>
        <w:rPr>
          <w:rFonts w:ascii="Times New Roman" w:hAnsi="Times New Roman" w:cs="宋体"/>
          <w:color w:val="auto"/>
          <w:sz w:val="14"/>
          <w:szCs w:val="14"/>
          <w:highlight w:val="none"/>
        </w:rPr>
        <w:t>tn</w:t>
      </w:r>
      <w:r>
        <w:rPr>
          <w:rFonts w:ascii="Times New Roman" w:hAnsi="Times New Roman" w:cs="宋体"/>
          <w:color w:val="auto"/>
          <w:position w:val="2"/>
          <w:szCs w:val="21"/>
          <w:highlight w:val="none"/>
        </w:rPr>
        <w:t>--</w:t>
      </w:r>
      <w:r>
        <w:rPr>
          <w:rFonts w:hint="eastAsia" w:ascii="宋体" w:hAnsi="宋体" w:cs="宋体"/>
          <w:color w:val="auto"/>
          <w:position w:val="2"/>
          <w:szCs w:val="21"/>
          <w:highlight w:val="none"/>
        </w:rPr>
        <w:t xml:space="preserve">各可调因子的现行价格指数，指第 </w:t>
      </w:r>
      <w:r>
        <w:rPr>
          <w:rFonts w:ascii="Times New Roman" w:hAnsi="Times New Roman" w:cs="宋体"/>
          <w:color w:val="auto"/>
          <w:position w:val="2"/>
          <w:szCs w:val="21"/>
          <w:highlight w:val="none"/>
        </w:rPr>
        <w:t xml:space="preserve">17.3.3 </w:t>
      </w:r>
      <w:r>
        <w:rPr>
          <w:rFonts w:hint="eastAsia" w:ascii="宋体" w:hAnsi="宋体" w:cs="宋体"/>
          <w:color w:val="auto"/>
          <w:position w:val="2"/>
          <w:szCs w:val="21"/>
          <w:highlight w:val="none"/>
        </w:rPr>
        <w:t xml:space="preserve">项、第 </w:t>
      </w:r>
      <w:r>
        <w:rPr>
          <w:rFonts w:ascii="Times New Roman" w:hAnsi="Times New Roman" w:cs="宋体"/>
          <w:color w:val="auto"/>
          <w:position w:val="2"/>
          <w:szCs w:val="21"/>
          <w:highlight w:val="none"/>
        </w:rPr>
        <w:t xml:space="preserve">17.5.2 </w:t>
      </w:r>
      <w:r>
        <w:rPr>
          <w:rFonts w:hint="eastAsia" w:ascii="宋体" w:hAnsi="宋体" w:cs="宋体"/>
          <w:color w:val="auto"/>
          <w:position w:val="2"/>
          <w:szCs w:val="21"/>
          <w:highlight w:val="none"/>
        </w:rPr>
        <w:t>项</w:t>
      </w:r>
      <w:r>
        <w:rPr>
          <w:rFonts w:hint="eastAsia" w:ascii="宋体" w:hAnsi="宋体" w:cs="宋体"/>
          <w:color w:val="auto"/>
          <w:szCs w:val="21"/>
          <w:highlight w:val="none"/>
        </w:rPr>
        <w:t xml:space="preserve">和第 </w:t>
      </w:r>
      <w:r>
        <w:rPr>
          <w:rFonts w:ascii="Times New Roman" w:hAnsi="Times New Roman" w:cs="宋体"/>
          <w:color w:val="auto"/>
          <w:szCs w:val="21"/>
          <w:highlight w:val="none"/>
        </w:rPr>
        <w:t xml:space="preserve">17.6.2 </w:t>
      </w:r>
      <w:r>
        <w:rPr>
          <w:rFonts w:hint="eastAsia" w:ascii="宋体" w:hAnsi="宋体" w:cs="宋体"/>
          <w:color w:val="auto"/>
          <w:szCs w:val="21"/>
          <w:highlight w:val="none"/>
        </w:rPr>
        <w:t xml:space="preserve">项约定的付款证书相关周期最后一天的前 </w:t>
      </w:r>
      <w:r>
        <w:rPr>
          <w:rFonts w:ascii="Times New Roman" w:hAnsi="Times New Roman" w:cs="宋体"/>
          <w:color w:val="auto"/>
          <w:szCs w:val="21"/>
          <w:highlight w:val="none"/>
        </w:rPr>
        <w:t xml:space="preserve">42 </w:t>
      </w:r>
      <w:r>
        <w:rPr>
          <w:rFonts w:hint="eastAsia" w:ascii="宋体" w:hAnsi="宋体" w:cs="宋体"/>
          <w:color w:val="auto"/>
          <w:szCs w:val="21"/>
          <w:highlight w:val="none"/>
        </w:rPr>
        <w:t>天的各可调因子的价格指数；</w:t>
      </w:r>
    </w:p>
    <w:p>
      <w:pPr>
        <w:autoSpaceDE w:val="0"/>
        <w:autoSpaceDN w:val="0"/>
        <w:spacing w:line="356" w:lineRule="exact"/>
        <w:ind w:left="138" w:right="309" w:firstLine="1259"/>
        <w:rPr>
          <w:rFonts w:ascii="宋体" w:hAnsi="宋体" w:cs="宋体"/>
          <w:color w:val="auto"/>
          <w:szCs w:val="21"/>
          <w:highlight w:val="none"/>
        </w:rPr>
      </w:pPr>
      <w:r>
        <w:rPr>
          <w:rFonts w:ascii="Times New Roman" w:hAnsi="Times New Roman" w:cs="宋体"/>
          <w:color w:val="auto"/>
          <w:position w:val="2"/>
          <w:szCs w:val="21"/>
          <w:highlight w:val="none"/>
        </w:rPr>
        <w:t>F</w:t>
      </w:r>
      <w:r>
        <w:rPr>
          <w:rFonts w:ascii="Times New Roman" w:hAnsi="Times New Roman" w:cs="宋体"/>
          <w:color w:val="auto"/>
          <w:sz w:val="14"/>
          <w:szCs w:val="14"/>
          <w:highlight w:val="none"/>
        </w:rPr>
        <w:t>o1</w:t>
      </w:r>
      <w:r>
        <w:rPr>
          <w:rFonts w:ascii="Times New Roman" w:hAnsi="Times New Roman" w:cs="宋体"/>
          <w:color w:val="auto"/>
          <w:position w:val="2"/>
          <w:szCs w:val="21"/>
          <w:highlight w:val="none"/>
        </w:rPr>
        <w:t>; F</w:t>
      </w:r>
      <w:r>
        <w:rPr>
          <w:rFonts w:ascii="Times New Roman" w:hAnsi="Times New Roman" w:cs="宋体"/>
          <w:color w:val="auto"/>
          <w:sz w:val="14"/>
          <w:szCs w:val="14"/>
          <w:highlight w:val="none"/>
        </w:rPr>
        <w:t>o2</w:t>
      </w:r>
      <w:r>
        <w:rPr>
          <w:rFonts w:ascii="Times New Roman" w:hAnsi="Times New Roman" w:cs="宋体"/>
          <w:color w:val="auto"/>
          <w:position w:val="2"/>
          <w:sz w:val="15"/>
          <w:szCs w:val="15"/>
          <w:highlight w:val="none"/>
        </w:rPr>
        <w:t>;</w:t>
      </w:r>
      <w:r>
        <w:rPr>
          <w:rFonts w:ascii="Times New Roman" w:hAnsi="Times New Roman" w:cs="宋体"/>
          <w:color w:val="auto"/>
          <w:position w:val="2"/>
          <w:szCs w:val="21"/>
          <w:highlight w:val="none"/>
        </w:rPr>
        <w:t>F</w:t>
      </w:r>
      <w:r>
        <w:rPr>
          <w:rFonts w:ascii="Times New Roman" w:hAnsi="Times New Roman" w:cs="宋体"/>
          <w:color w:val="auto"/>
          <w:sz w:val="14"/>
          <w:szCs w:val="14"/>
          <w:highlight w:val="none"/>
        </w:rPr>
        <w:t>o3</w:t>
      </w:r>
      <w:r>
        <w:rPr>
          <w:rFonts w:hint="eastAsia" w:ascii="宋体" w:hAnsi="宋体" w:cs="宋体"/>
          <w:color w:val="auto"/>
          <w:position w:val="2"/>
          <w:sz w:val="15"/>
          <w:szCs w:val="15"/>
          <w:highlight w:val="none"/>
        </w:rPr>
        <w:t>·····</w:t>
      </w:r>
      <w:r>
        <w:rPr>
          <w:rFonts w:ascii="Times New Roman" w:hAnsi="Times New Roman" w:cs="宋体"/>
          <w:color w:val="auto"/>
          <w:position w:val="2"/>
          <w:szCs w:val="21"/>
          <w:highlight w:val="none"/>
        </w:rPr>
        <w:t>F</w:t>
      </w:r>
      <w:r>
        <w:rPr>
          <w:rFonts w:ascii="Times New Roman" w:hAnsi="Times New Roman" w:cs="宋体"/>
          <w:color w:val="auto"/>
          <w:sz w:val="14"/>
          <w:szCs w:val="14"/>
          <w:highlight w:val="none"/>
        </w:rPr>
        <w:t>on</w:t>
      </w:r>
      <w:r>
        <w:rPr>
          <w:rFonts w:ascii="Times New Roman" w:hAnsi="Times New Roman" w:cs="宋体"/>
          <w:color w:val="auto"/>
          <w:position w:val="2"/>
          <w:szCs w:val="21"/>
          <w:highlight w:val="none"/>
        </w:rPr>
        <w:t>--</w:t>
      </w:r>
      <w:r>
        <w:rPr>
          <w:rFonts w:hint="eastAsia" w:ascii="宋体" w:hAnsi="宋体" w:cs="宋体"/>
          <w:color w:val="auto"/>
          <w:position w:val="2"/>
          <w:szCs w:val="21"/>
          <w:highlight w:val="none"/>
        </w:rPr>
        <w:t>各可调因子的基本价格指数，指基准日期的各可调因子</w:t>
      </w:r>
      <w:r>
        <w:rPr>
          <w:rFonts w:hint="eastAsia" w:ascii="宋体" w:hAnsi="宋体" w:cs="宋体"/>
          <w:color w:val="auto"/>
          <w:szCs w:val="21"/>
          <w:highlight w:val="none"/>
        </w:rPr>
        <w:t>的价格指数。</w:t>
      </w:r>
    </w:p>
    <w:p>
      <w:pPr>
        <w:autoSpaceDE w:val="0"/>
        <w:autoSpaceDN w:val="0"/>
        <w:spacing w:before="1" w:line="356" w:lineRule="exact"/>
        <w:ind w:left="138" w:right="308" w:firstLine="631"/>
        <w:rPr>
          <w:rFonts w:ascii="宋体" w:hAnsi="宋体" w:cs="宋体"/>
          <w:color w:val="auto"/>
          <w:szCs w:val="21"/>
          <w:highlight w:val="none"/>
        </w:rPr>
      </w:pPr>
      <w:r>
        <w:rPr>
          <w:rFonts w:hint="eastAsia" w:ascii="Times New Roman" w:hAnsi="Times New Roman" w:cs="宋体"/>
          <w:color w:val="auto"/>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numPr>
          <w:ilvl w:val="3"/>
          <w:numId w:val="6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暂时确定调整差额 </w:t>
      </w:r>
    </w:p>
    <w:p>
      <w:pPr>
        <w:autoSpaceDE w:val="0"/>
        <w:autoSpaceDN w:val="0"/>
        <w:spacing w:line="356" w:lineRule="exact"/>
        <w:ind w:left="138" w:right="309" w:firstLine="631"/>
        <w:rPr>
          <w:rFonts w:ascii="宋体" w:hAnsi="宋体" w:cs="宋体"/>
          <w:color w:val="auto"/>
          <w:szCs w:val="21"/>
          <w:highlight w:val="none"/>
        </w:rPr>
      </w:pPr>
      <w:r>
        <w:rPr>
          <w:rFonts w:hint="eastAsia" w:ascii="宋体" w:hAnsi="宋体" w:cs="宋体"/>
          <w:color w:val="auto"/>
          <w:szCs w:val="21"/>
          <w:highlight w:val="none"/>
        </w:rPr>
        <w:t>在计算调整差额时得不到现行价格指数的，可暂用上一次价格指数计算，并在以后的付款中再按实际价格指数进行调整。</w:t>
      </w:r>
    </w:p>
    <w:p>
      <w:pPr>
        <w:numPr>
          <w:ilvl w:val="3"/>
          <w:numId w:val="6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权重的调整 </w:t>
      </w:r>
    </w:p>
    <w:p>
      <w:pPr>
        <w:autoSpaceDE w:val="0"/>
        <w:autoSpaceDN w:val="0"/>
        <w:spacing w:line="356" w:lineRule="exact"/>
        <w:ind w:left="138" w:right="309" w:firstLine="631"/>
        <w:rPr>
          <w:rFonts w:ascii="宋体" w:hAnsi="宋体" w:cs="宋体"/>
          <w:color w:val="auto"/>
          <w:szCs w:val="21"/>
          <w:highlight w:val="none"/>
        </w:rPr>
      </w:pPr>
      <w:r>
        <w:rPr>
          <w:rFonts w:hint="eastAsia" w:ascii="宋体" w:hAnsi="宋体" w:cs="宋体"/>
          <w:color w:val="auto"/>
          <w:szCs w:val="21"/>
          <w:highlight w:val="none"/>
        </w:rPr>
        <w:t xml:space="preserve">按第 </w:t>
      </w:r>
      <w:r>
        <w:rPr>
          <w:rFonts w:ascii="Times New Roman" w:hAnsi="宋体" w:cs="宋体"/>
          <w:color w:val="auto"/>
          <w:szCs w:val="21"/>
          <w:highlight w:val="none"/>
        </w:rPr>
        <w:t>15.1</w:t>
      </w:r>
      <w:r>
        <w:rPr>
          <w:rFonts w:hint="eastAsia" w:ascii="宋体" w:hAnsi="宋体" w:cs="宋体"/>
          <w:color w:val="auto"/>
          <w:szCs w:val="21"/>
          <w:highlight w:val="none"/>
        </w:rPr>
        <w:t>款约定的变更导致原定合同中的权重不合理时，由监理人与承包人和发包人协商后进行调整。</w:t>
      </w:r>
    </w:p>
    <w:p>
      <w:pPr>
        <w:numPr>
          <w:ilvl w:val="3"/>
          <w:numId w:val="6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承包人工期延误后的价格调整</w:t>
      </w:r>
    </w:p>
    <w:p>
      <w:pPr>
        <w:autoSpaceDE w:val="0"/>
        <w:autoSpaceDN w:val="0"/>
        <w:spacing w:line="356" w:lineRule="exact"/>
        <w:ind w:left="138" w:right="220" w:firstLine="631"/>
        <w:rPr>
          <w:rFonts w:ascii="宋体" w:hAnsi="宋体" w:cs="宋体"/>
          <w:color w:val="auto"/>
          <w:szCs w:val="21"/>
          <w:highlight w:val="none"/>
        </w:rPr>
      </w:pPr>
      <w:r>
        <w:rPr>
          <w:rFonts w:hint="eastAsia" w:ascii="宋体" w:hAnsi="宋体" w:cs="宋体"/>
          <w:color w:val="auto"/>
          <w:szCs w:val="21"/>
          <w:highlight w:val="none"/>
        </w:rPr>
        <w:t xml:space="preserve">由于承包人原因未在约定的工期内竣工的，则对原约定竣工日期后继续施工的工程， 在使用第 </w:t>
      </w:r>
      <w:r>
        <w:rPr>
          <w:rFonts w:ascii="Times New Roman" w:hAnsi="宋体" w:cs="宋体"/>
          <w:color w:val="auto"/>
          <w:szCs w:val="21"/>
          <w:highlight w:val="none"/>
        </w:rPr>
        <w:t xml:space="preserve">16.1.1.1 </w:t>
      </w:r>
      <w:r>
        <w:rPr>
          <w:rFonts w:hint="eastAsia" w:ascii="宋体" w:hAnsi="宋体" w:cs="宋体"/>
          <w:color w:val="auto"/>
          <w:szCs w:val="21"/>
          <w:highlight w:val="none"/>
        </w:rPr>
        <w:t>目价格调整公式时，应采用原约定竣工日期与实际竣工日期的两个价格指数中较低的一个作为现行价格指数。</w:t>
      </w:r>
    </w:p>
    <w:p>
      <w:pPr>
        <w:numPr>
          <w:ilvl w:val="2"/>
          <w:numId w:val="65"/>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采用造价信息调整价格差额</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施工期内，因人工、材料、设备和机械台班价格波动影响合同价格时，需要进行价格调整的，其价格和数量应由监理人审核，监理人确认需调整的内容、范围、价格和数量作为调整工程合同价格差额的依据。</w:t>
      </w:r>
    </w:p>
    <w:p>
      <w:pPr>
        <w:numPr>
          <w:ilvl w:val="3"/>
          <w:numId w:val="65"/>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引起价格调整的物价波动风险范围及幅度 </w:t>
      </w:r>
    </w:p>
    <w:p>
      <w:pPr>
        <w:autoSpaceDE w:val="0"/>
        <w:autoSpaceDN w:val="0"/>
        <w:spacing w:line="356" w:lineRule="exact"/>
        <w:ind w:left="138" w:right="310" w:firstLine="631"/>
        <w:rPr>
          <w:rFonts w:ascii="宋体" w:hAnsi="宋体" w:cs="宋体"/>
          <w:color w:val="auto"/>
          <w:szCs w:val="21"/>
          <w:highlight w:val="none"/>
        </w:rPr>
      </w:pPr>
      <w:r>
        <w:rPr>
          <w:rFonts w:hint="eastAsia" w:ascii="宋体" w:hAnsi="宋体" w:cs="宋体"/>
          <w:color w:val="auto"/>
          <w:szCs w:val="21"/>
          <w:highlight w:val="none"/>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pPr>
        <w:numPr>
          <w:ilvl w:val="3"/>
          <w:numId w:val="65"/>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物价波动变化幅度的计算方法 </w:t>
      </w:r>
    </w:p>
    <w:p>
      <w:pPr>
        <w:numPr>
          <w:ilvl w:val="0"/>
          <w:numId w:val="66"/>
        </w:numPr>
        <w:autoSpaceDE w:val="0"/>
        <w:autoSpaceDN w:val="0"/>
        <w:spacing w:before="72" w:line="356" w:lineRule="exact"/>
        <w:ind w:right="309" w:firstLine="525"/>
        <w:rPr>
          <w:rFonts w:ascii="宋体" w:hAnsi="宋体" w:cs="宋体"/>
          <w:color w:val="auto"/>
          <w:szCs w:val="21"/>
          <w:highlight w:val="none"/>
        </w:rPr>
      </w:pPr>
      <w:r>
        <w:rPr>
          <w:rFonts w:hint="eastAsia" w:ascii="宋体" w:hAnsi="宋体" w:cs="宋体"/>
          <w:color w:val="auto"/>
          <w:szCs w:val="21"/>
          <w:highlight w:val="none"/>
        </w:rPr>
        <w:t>投标报价基准期确定的人工、材料、设备和机械台班的市场价格即为基准价。 投标报价基准期见合同条款专用部分。</w:t>
      </w:r>
    </w:p>
    <w:p>
      <w:pPr>
        <w:numPr>
          <w:ilvl w:val="0"/>
          <w:numId w:val="66"/>
        </w:numPr>
        <w:autoSpaceDE w:val="0"/>
        <w:autoSpaceDN w:val="0"/>
        <w:spacing w:line="356" w:lineRule="exact"/>
        <w:ind w:right="308" w:firstLine="525"/>
        <w:rPr>
          <w:rFonts w:ascii="宋体" w:hAnsi="宋体" w:cs="宋体"/>
          <w:color w:val="auto"/>
          <w:szCs w:val="21"/>
          <w:highlight w:val="none"/>
        </w:rPr>
      </w:pPr>
      <w:r>
        <w:rPr>
          <w:rFonts w:hint="eastAsia" w:ascii="宋体" w:hAnsi="宋体" w:cs="宋体"/>
          <w:color w:val="auto"/>
          <w:szCs w:val="21"/>
          <w:highlight w:val="none"/>
        </w:rPr>
        <w:t>《北京工程造价信息》中市场价格信息有的，以北京市建设工程造价管理机构发布的《北京工程造价信息》中的市场价格（以下简称造价信息价格）为依据确定基准价， 造价信息价格中有上、下限的，以下限为准；《北京工程造价信息》市场价格信息中没有的，确定基准价的方法见合同条款专用部分。</w:t>
      </w:r>
    </w:p>
    <w:p>
      <w:pPr>
        <w:numPr>
          <w:ilvl w:val="0"/>
          <w:numId w:val="66"/>
        </w:numPr>
        <w:autoSpaceDE w:val="0"/>
        <w:autoSpaceDN w:val="0"/>
        <w:spacing w:line="356" w:lineRule="exact"/>
        <w:ind w:left="1192" w:hanging="530"/>
        <w:rPr>
          <w:rFonts w:ascii="宋体" w:hAnsi="宋体" w:cs="宋体"/>
          <w:color w:val="auto"/>
          <w:szCs w:val="21"/>
          <w:highlight w:val="none"/>
        </w:rPr>
      </w:pPr>
      <w:r>
        <w:rPr>
          <w:rFonts w:hint="eastAsia" w:ascii="宋体" w:hAnsi="宋体" w:cs="宋体"/>
          <w:color w:val="auto"/>
          <w:szCs w:val="21"/>
          <w:highlight w:val="none"/>
        </w:rPr>
        <w:t>合同施工期市场价格的确定方法见合同条款专用部分。</w:t>
      </w:r>
    </w:p>
    <w:p>
      <w:pPr>
        <w:numPr>
          <w:ilvl w:val="0"/>
          <w:numId w:val="66"/>
        </w:numPr>
        <w:autoSpaceDE w:val="0"/>
        <w:autoSpaceDN w:val="0"/>
        <w:spacing w:line="356" w:lineRule="exact"/>
        <w:ind w:left="1192" w:hanging="530"/>
        <w:rPr>
          <w:rFonts w:ascii="宋体" w:hAnsi="宋体" w:cs="宋体"/>
          <w:color w:val="auto"/>
          <w:szCs w:val="21"/>
          <w:highlight w:val="none"/>
        </w:rPr>
      </w:pPr>
      <w:r>
        <w:rPr>
          <w:rFonts w:hint="eastAsia" w:ascii="宋体" w:hAnsi="宋体" w:cs="宋体"/>
          <w:color w:val="auto"/>
          <w:szCs w:val="21"/>
          <w:highlight w:val="none"/>
        </w:rPr>
        <w:t>物价波动变化幅度的计算方法：</w:t>
      </w:r>
    </w:p>
    <w:p>
      <w:pPr>
        <w:autoSpaceDE w:val="0"/>
        <w:autoSpaceDN w:val="0"/>
        <w:spacing w:line="356" w:lineRule="exact"/>
        <w:ind w:left="1131"/>
        <w:rPr>
          <w:rFonts w:ascii="宋体" w:hAnsi="宋体" w:cs="宋体"/>
          <w:color w:val="auto"/>
          <w:szCs w:val="21"/>
          <w:highlight w:val="none"/>
        </w:rPr>
      </w:pPr>
      <w:r>
        <w:rPr>
          <w:rFonts w:hint="eastAsia" w:ascii="宋体" w:hAnsi="宋体" w:cs="宋体"/>
          <w:color w:val="auto"/>
          <w:szCs w:val="21"/>
          <w:highlight w:val="none"/>
        </w:rPr>
        <w:t xml:space="preserve">1）当承包人投标报价中的单价低于基准价时： </w:t>
      </w:r>
    </w:p>
    <w:p>
      <w:pPr>
        <w:autoSpaceDE w:val="0"/>
        <w:autoSpaceDN w:val="0"/>
        <w:spacing w:before="1" w:line="356" w:lineRule="exact"/>
        <w:ind w:firstLine="1320" w:firstLineChars="600"/>
        <w:rPr>
          <w:rFonts w:ascii="宋体" w:hAnsi="宋体" w:cs="宋体"/>
          <w:color w:val="auto"/>
          <w:szCs w:val="21"/>
          <w:highlight w:val="none"/>
        </w:rPr>
      </w:pPr>
      <w:r>
        <w:rPr>
          <w:rFonts w:hint="eastAsia" w:ascii="宋体" w:hAnsi="宋体" w:cs="宋体"/>
          <w:color w:val="auto"/>
          <w:szCs w:val="21"/>
          <w:highlight w:val="none"/>
        </w:rPr>
        <w:t xml:space="preserve">物价波动变化幅度（涨幅）=（施工期市场价-基准价）/基准价×100% </w:t>
      </w:r>
    </w:p>
    <w:p>
      <w:pPr>
        <w:autoSpaceDE w:val="0"/>
        <w:autoSpaceDN w:val="0"/>
        <w:spacing w:line="356" w:lineRule="exact"/>
        <w:ind w:left="1131" w:leftChars="514" w:right="220" w:firstLine="110" w:firstLineChars="50"/>
        <w:rPr>
          <w:rFonts w:ascii="宋体" w:hAnsi="宋体" w:cs="宋体"/>
          <w:color w:val="auto"/>
          <w:szCs w:val="21"/>
          <w:highlight w:val="none"/>
        </w:rPr>
      </w:pPr>
      <w:r>
        <w:rPr>
          <w:rFonts w:hint="eastAsia" w:ascii="宋体" w:hAnsi="宋体" w:cs="宋体"/>
          <w:color w:val="auto"/>
          <w:szCs w:val="21"/>
          <w:highlight w:val="none"/>
        </w:rPr>
        <w:t xml:space="preserve">物价波动变化幅度（跌幅）=（施工期市场价-投标单价）/投标单价×100% </w:t>
      </w:r>
    </w:p>
    <w:p>
      <w:pPr>
        <w:autoSpaceDE w:val="0"/>
        <w:autoSpaceDN w:val="0"/>
        <w:spacing w:line="356" w:lineRule="exact"/>
        <w:ind w:right="220" w:firstLine="1320" w:firstLineChars="600"/>
        <w:rPr>
          <w:rFonts w:ascii="宋体" w:hAnsi="宋体" w:cs="宋体"/>
          <w:color w:val="auto"/>
          <w:szCs w:val="21"/>
          <w:highlight w:val="none"/>
        </w:rPr>
      </w:pPr>
      <w:r>
        <w:rPr>
          <w:rFonts w:hint="eastAsia" w:ascii="宋体" w:hAnsi="宋体" w:cs="宋体"/>
          <w:color w:val="auto"/>
          <w:szCs w:val="21"/>
          <w:highlight w:val="none"/>
        </w:rPr>
        <w:t xml:space="preserve">2）当承包人投标报价中的单价高于基准价时： </w:t>
      </w:r>
    </w:p>
    <w:p>
      <w:pPr>
        <w:autoSpaceDE w:val="0"/>
        <w:autoSpaceDN w:val="0"/>
        <w:spacing w:line="356" w:lineRule="exact"/>
        <w:ind w:left="1166" w:leftChars="480" w:right="272" w:hanging="110" w:hangingChars="50"/>
        <w:rPr>
          <w:rFonts w:ascii="宋体" w:hAnsi="宋体" w:cs="宋体"/>
          <w:color w:val="auto"/>
          <w:szCs w:val="21"/>
          <w:highlight w:val="none"/>
        </w:rPr>
      </w:pPr>
      <w:r>
        <w:rPr>
          <w:rFonts w:hint="eastAsia" w:ascii="宋体" w:hAnsi="宋体" w:cs="宋体"/>
          <w:color w:val="auto"/>
          <w:szCs w:val="21"/>
          <w:highlight w:val="none"/>
        </w:rPr>
        <w:t xml:space="preserve">物价波动变化幅度（涨幅）=（施工期市场价-投标单价）/投标单价×100% 物价波动变化幅度（跌幅）=（施工期市场价-基准价）/基准价×100% </w:t>
      </w:r>
    </w:p>
    <w:p>
      <w:pPr>
        <w:numPr>
          <w:ilvl w:val="0"/>
          <w:numId w:val="67"/>
        </w:numPr>
        <w:autoSpaceDE w:val="0"/>
        <w:autoSpaceDN w:val="0"/>
        <w:spacing w:line="356" w:lineRule="exact"/>
        <w:ind w:hanging="319"/>
        <w:rPr>
          <w:rFonts w:ascii="宋体" w:hAnsi="宋体" w:cs="宋体"/>
          <w:color w:val="auto"/>
          <w:szCs w:val="21"/>
          <w:highlight w:val="none"/>
        </w:rPr>
      </w:pPr>
      <w:r>
        <w:rPr>
          <w:rFonts w:hint="eastAsia" w:ascii="宋体" w:hAnsi="宋体" w:cs="宋体"/>
          <w:color w:val="auto"/>
          <w:szCs w:val="21"/>
          <w:highlight w:val="none"/>
        </w:rPr>
        <w:t>当承包人投标报价中的单价等于基准价时：</w:t>
      </w:r>
    </w:p>
    <w:p>
      <w:pPr>
        <w:autoSpaceDE w:val="0"/>
        <w:autoSpaceDN w:val="0"/>
        <w:spacing w:line="356" w:lineRule="exact"/>
        <w:ind w:left="880" w:leftChars="400" w:right="1535" w:firstLine="220" w:firstLineChars="100"/>
        <w:rPr>
          <w:rFonts w:ascii="宋体" w:hAnsi="宋体" w:cs="宋体"/>
          <w:color w:val="auto"/>
          <w:szCs w:val="21"/>
          <w:highlight w:val="none"/>
        </w:rPr>
      </w:pPr>
      <w:r>
        <w:rPr>
          <w:rFonts w:hint="eastAsia" w:ascii="宋体" w:hAnsi="宋体" w:cs="宋体"/>
          <w:color w:val="auto"/>
          <w:szCs w:val="21"/>
          <w:highlight w:val="none"/>
        </w:rPr>
        <w:t>物价波动变化幅度=（施工期市场价-基准价）/基准价×100%</w:t>
      </w:r>
    </w:p>
    <w:p>
      <w:pPr>
        <w:autoSpaceDE w:val="0"/>
        <w:autoSpaceDN w:val="0"/>
        <w:spacing w:line="356" w:lineRule="exact"/>
        <w:ind w:right="1535" w:firstLine="660" w:firstLineChars="300"/>
        <w:rPr>
          <w:rFonts w:ascii="宋体" w:hAnsi="宋体" w:cs="宋体"/>
          <w:color w:val="auto"/>
          <w:szCs w:val="21"/>
          <w:highlight w:val="none"/>
        </w:rPr>
      </w:pPr>
      <w:r>
        <w:rPr>
          <w:rFonts w:hint="eastAsia" w:ascii="宋体" w:hAnsi="宋体" w:cs="宋体"/>
          <w:color w:val="auto"/>
          <w:szCs w:val="21"/>
          <w:highlight w:val="none"/>
        </w:rPr>
        <w:t xml:space="preserve">16.1.2.3 物价波动引起价格调整的方法 </w:t>
      </w:r>
    </w:p>
    <w:p>
      <w:pPr>
        <w:numPr>
          <w:ilvl w:val="0"/>
          <w:numId w:val="68"/>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第 16.1.2.1 目中约定的人工、材料、设备和机械台班的物价波动变化幅度超过风险幅度时，其计算价格调整差额的方法见合同条款专用部分。</w:t>
      </w:r>
    </w:p>
    <w:p>
      <w:pPr>
        <w:numPr>
          <w:ilvl w:val="0"/>
          <w:numId w:val="68"/>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第 16.1.2.1 目中约定的人工的物价波动变化幅度超过风险幅度时，应当计算全部价格差额，其价格差额由发包人承担或受益，其价格差额不计取规费，只计取税金。</w:t>
      </w:r>
    </w:p>
    <w:p>
      <w:pPr>
        <w:numPr>
          <w:ilvl w:val="0"/>
          <w:numId w:val="68"/>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第 16.1.2.1 目中约定的材料、设备和机械台班的物价波动变化幅度超过风险幅 度时，应当计算超过部分的价格差额，其价格差额由发包人承担或受益，其价格差额不计取规费，只计取税金。</w:t>
      </w:r>
    </w:p>
    <w:p>
      <w:pPr>
        <w:autoSpaceDE w:val="0"/>
        <w:autoSpaceDN w:val="0"/>
        <w:spacing w:line="356" w:lineRule="exact"/>
        <w:ind w:left="769"/>
        <w:rPr>
          <w:rFonts w:ascii="宋体" w:hAnsi="宋体" w:cs="宋体"/>
          <w:color w:val="auto"/>
          <w:szCs w:val="21"/>
          <w:highlight w:val="none"/>
        </w:rPr>
      </w:pPr>
      <w:r>
        <w:rPr>
          <w:rFonts w:hint="eastAsia" w:ascii="宋体" w:hAnsi="宋体" w:cs="宋体"/>
          <w:color w:val="auto"/>
          <w:szCs w:val="21"/>
          <w:highlight w:val="none"/>
        </w:rPr>
        <w:t xml:space="preserve">16.1.2.4 物价波动引起价格调整的其他约定见合同条款专用部分。 </w:t>
      </w:r>
    </w:p>
    <w:p>
      <w:pPr>
        <w:numPr>
          <w:ilvl w:val="2"/>
          <w:numId w:val="65"/>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物价波动引起价格调整的其他方法见合同条款专用部分。</w:t>
      </w:r>
    </w:p>
    <w:p>
      <w:pPr>
        <w:keepNext/>
        <w:keepLines/>
        <w:numPr>
          <w:ilvl w:val="1"/>
          <w:numId w:val="65"/>
        </w:numPr>
        <w:spacing w:before="1" w:line="356" w:lineRule="exact"/>
        <w:ind w:left="619" w:hanging="482"/>
        <w:textAlignment w:val="baseline"/>
        <w:outlineLvl w:val="4"/>
        <w:rPr>
          <w:rFonts w:ascii="宋体" w:hAnsi="宋体" w:cs="宋体"/>
          <w:b/>
          <w:color w:val="auto"/>
          <w:highlight w:val="none"/>
        </w:rPr>
      </w:pPr>
      <w:r>
        <w:rPr>
          <w:rFonts w:hint="eastAsia" w:ascii="宋体" w:hAnsi="宋体" w:cs="宋体"/>
          <w:b/>
          <w:color w:val="auto"/>
          <w:sz w:val="24"/>
          <w:szCs w:val="24"/>
          <w:highlight w:val="none"/>
        </w:rPr>
        <w:t xml:space="preserve">法律变化引起的价格调整 </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 xml:space="preserve">在基准日后，因法律变化导致承包人在合同履行中所需要的工程费用发生除第 16.1 款约定以外的增减时，监理人应根据法律、国家或省、自治区、直辖市有关部门的规定，按第3.5 款商定或确定需调整的合同价款。 </w:t>
      </w:r>
    </w:p>
    <w:p>
      <w:pPr>
        <w:keepNext/>
        <w:keepLines/>
        <w:numPr>
          <w:ilvl w:val="0"/>
          <w:numId w:val="8"/>
        </w:numPr>
        <w:spacing w:before="260" w:after="260" w:line="356" w:lineRule="exact"/>
        <w:outlineLvl w:val="1"/>
        <w:rPr>
          <w:rFonts w:ascii="Arial" w:hAnsi="Arial"/>
          <w:b/>
          <w:color w:val="auto"/>
          <w:sz w:val="28"/>
          <w:szCs w:val="24"/>
          <w:highlight w:val="none"/>
        </w:rPr>
      </w:pPr>
      <w:bookmarkStart w:id="766" w:name="_Toc9605"/>
      <w:bookmarkStart w:id="767" w:name="_Toc16268"/>
      <w:bookmarkStart w:id="768" w:name="_Toc101357728"/>
      <w:r>
        <w:rPr>
          <w:rFonts w:hint="eastAsia" w:ascii="Arial" w:hAnsi="Arial"/>
          <w:b/>
          <w:color w:val="auto"/>
          <w:sz w:val="28"/>
          <w:szCs w:val="24"/>
          <w:highlight w:val="none"/>
        </w:rPr>
        <w:t>计量与支付</w:t>
      </w:r>
      <w:bookmarkEnd w:id="766"/>
      <w:bookmarkEnd w:id="767"/>
      <w:bookmarkEnd w:id="768"/>
    </w:p>
    <w:p>
      <w:pPr>
        <w:keepNext/>
        <w:keepLines/>
        <w:spacing w:before="280" w:after="290" w:line="356" w:lineRule="exact"/>
        <w:ind w:left="138"/>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17.1 计 量 </w:t>
      </w:r>
    </w:p>
    <w:p>
      <w:pPr>
        <w:autoSpaceDE w:val="0"/>
        <w:autoSpaceDN w:val="0"/>
        <w:spacing w:before="1" w:line="356" w:lineRule="exact"/>
        <w:rPr>
          <w:rFonts w:ascii="宋体" w:hAnsi="宋体" w:cs="宋体"/>
          <w:color w:val="auto"/>
          <w:szCs w:val="21"/>
          <w:highlight w:val="none"/>
        </w:rPr>
      </w:pPr>
      <w:r>
        <w:rPr>
          <w:rFonts w:hint="eastAsia" w:ascii="宋体" w:hAnsi="宋体" w:cs="宋体"/>
          <w:color w:val="auto"/>
          <w:szCs w:val="21"/>
          <w:highlight w:val="none"/>
        </w:rPr>
        <w:t xml:space="preserve">17.1.1  计量单位 </w:t>
      </w:r>
    </w:p>
    <w:p>
      <w:p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计量采用国家法定的计量单位。</w:t>
      </w:r>
    </w:p>
    <w:p>
      <w:p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17.1.2 计量方法 </w:t>
      </w:r>
    </w:p>
    <w:p>
      <w:pPr>
        <w:autoSpaceDE w:val="0"/>
        <w:autoSpaceDN w:val="0"/>
        <w:spacing w:before="1"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工程量计算规则执行工程量清单中约定的计量计价规范版本。除合同另有约定外，承包人实际完成的工程量按约定的工程量计算规则和有合同约束力的图纸进行计量。</w:t>
      </w:r>
    </w:p>
    <w:p>
      <w:p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17.1.3 计量周期 </w:t>
      </w:r>
    </w:p>
    <w:p>
      <w:pPr>
        <w:numPr>
          <w:ilvl w:val="0"/>
          <w:numId w:val="69"/>
        </w:numPr>
        <w:autoSpaceDE w:val="0"/>
        <w:autoSpaceDN w:val="0"/>
        <w:spacing w:line="356" w:lineRule="exact"/>
        <w:ind w:right="311" w:firstLine="419"/>
        <w:rPr>
          <w:rFonts w:ascii="宋体" w:hAnsi="宋体" w:cs="宋体"/>
          <w:color w:val="auto"/>
          <w:szCs w:val="21"/>
          <w:highlight w:val="none"/>
        </w:rPr>
      </w:pPr>
      <w:r>
        <w:rPr>
          <w:rFonts w:hint="eastAsia" w:ascii="宋体" w:hAnsi="宋体" w:cs="宋体"/>
          <w:color w:val="auto"/>
          <w:szCs w:val="21"/>
          <w:highlight w:val="none"/>
        </w:rPr>
        <w:t>本合同的计量周期为月，当月计量截止日期（不含当日）和下月计量起始日期（ 含当日）见合同条款专用部分。</w:t>
      </w:r>
    </w:p>
    <w:p>
      <w:pPr>
        <w:numPr>
          <w:ilvl w:val="0"/>
          <w:numId w:val="69"/>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单价子目已完成工程量是否按月计量见合同条款专用部分。</w:t>
      </w:r>
    </w:p>
    <w:p>
      <w:pPr>
        <w:numPr>
          <w:ilvl w:val="0"/>
          <w:numId w:val="69"/>
        </w:numPr>
        <w:autoSpaceDE w:val="0"/>
        <w:autoSpaceDN w:val="0"/>
        <w:spacing w:line="356" w:lineRule="exact"/>
        <w:ind w:left="1094" w:right="3005" w:hanging="527"/>
        <w:jc w:val="left"/>
        <w:rPr>
          <w:rFonts w:ascii="宋体" w:hAnsi="宋体" w:cs="宋体"/>
          <w:color w:val="auto"/>
          <w:szCs w:val="21"/>
          <w:highlight w:val="none"/>
        </w:rPr>
      </w:pPr>
      <w:r>
        <w:rPr>
          <w:rFonts w:hint="eastAsia" w:ascii="宋体" w:hAnsi="宋体" w:cs="宋体"/>
          <w:color w:val="auto"/>
          <w:szCs w:val="21"/>
          <w:highlight w:val="none"/>
        </w:rPr>
        <w:t>总价子目计量方法见合同条款专用部分。</w:t>
      </w:r>
    </w:p>
    <w:p>
      <w:pPr>
        <w:autoSpaceDE w:val="0"/>
        <w:autoSpaceDN w:val="0"/>
        <w:spacing w:line="356" w:lineRule="exact"/>
        <w:ind w:right="3895"/>
        <w:rPr>
          <w:rFonts w:ascii="宋体" w:hAnsi="宋体" w:cs="宋体"/>
          <w:color w:val="auto"/>
          <w:szCs w:val="21"/>
          <w:highlight w:val="none"/>
        </w:rPr>
      </w:pPr>
      <w:r>
        <w:rPr>
          <w:rFonts w:hint="eastAsia" w:ascii="宋体" w:hAnsi="宋体" w:cs="宋体"/>
          <w:color w:val="auto"/>
          <w:szCs w:val="21"/>
          <w:highlight w:val="none"/>
        </w:rPr>
        <w:t>17.1.4 单价子目的计量</w:t>
      </w:r>
    </w:p>
    <w:p>
      <w:pPr>
        <w:numPr>
          <w:ilvl w:val="0"/>
          <w:numId w:val="7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已标价工程量清单中的单价子目工程量为估算工程量。结算工程量是承包人实际完成的，并按合同约定的计量方法进行计量的工程量。</w:t>
      </w:r>
    </w:p>
    <w:p>
      <w:pPr>
        <w:numPr>
          <w:ilvl w:val="0"/>
          <w:numId w:val="7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承包人对已完成的工程进行计量，向监理人提交进度付款申请单、已完成工程量报表和有关计量资料。</w:t>
      </w:r>
    </w:p>
    <w:p>
      <w:pPr>
        <w:numPr>
          <w:ilvl w:val="0"/>
          <w:numId w:val="70"/>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pPr>
        <w:numPr>
          <w:ilvl w:val="0"/>
          <w:numId w:val="7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监理人认为有必要时，可通知承包人共同进行联合测量、计量，承包人应遵照执行。</w:t>
      </w:r>
    </w:p>
    <w:p>
      <w:pPr>
        <w:numPr>
          <w:ilvl w:val="0"/>
          <w:numId w:val="7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numPr>
          <w:ilvl w:val="0"/>
          <w:numId w:val="70"/>
        </w:numPr>
        <w:autoSpaceDE w:val="0"/>
        <w:autoSpaceDN w:val="0"/>
        <w:spacing w:before="72"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监理人应在收到承包人提交的工程量报表后的 7 天内进行复核，监理人未在约定时间内复核的，承包人提交的工程量报表中的工程量视为承包人实际完成的工程量，据此计算工程价款。</w:t>
      </w:r>
    </w:p>
    <w:p>
      <w:p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17.1.5 总价子目的计量（适用于采用支付分解报告） </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总价子目按照有合同约束力的支付分解表支付。承包人应根据合同条款第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天内，将支付分解报告以及形成支付分解报告的分项计量和总价分解等支持性资料报监理人审批，监理人应当在收到承包人报送的支付分解报告后 7 天内给予批复或提出修改意见，经监理人批准的支付分解报告为有合同约束力的支付分解表。支付分解表应根据合同条款第 10.2 款约定的修订合同进度计划进行修正，修正的程序和期限应当依照本项上述约定，经修正的支付分解表为有合同约束力的支付分解表。</w:t>
      </w:r>
    </w:p>
    <w:p>
      <w:pPr>
        <w:numPr>
          <w:ilvl w:val="0"/>
          <w:numId w:val="71"/>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总价子目的价格调整方法见合同条款专用部分。 </w:t>
      </w:r>
    </w:p>
    <w:p>
      <w:pPr>
        <w:numPr>
          <w:ilvl w:val="0"/>
          <w:numId w:val="71"/>
        </w:numPr>
        <w:autoSpaceDE w:val="0"/>
        <w:autoSpaceDN w:val="0"/>
        <w:spacing w:before="129"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列入每月进度付款申请单中各总价子目的价值为有合同约束力的支付分解表中对应月份的总价子目总价值。 </w:t>
      </w:r>
    </w:p>
    <w:p>
      <w:pPr>
        <w:numPr>
          <w:ilvl w:val="0"/>
          <w:numId w:val="71"/>
        </w:num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监理人根据有合同约束力的支付分解表复核列入每月进度付款申请单中的总价子目的总价值。</w:t>
      </w:r>
    </w:p>
    <w:p>
      <w:pPr>
        <w:numPr>
          <w:ilvl w:val="0"/>
          <w:numId w:val="71"/>
        </w:numPr>
        <w:autoSpaceDE w:val="0"/>
        <w:autoSpaceDN w:val="0"/>
        <w:spacing w:line="356" w:lineRule="exact"/>
        <w:ind w:left="138" w:right="220" w:firstLine="419"/>
        <w:rPr>
          <w:rFonts w:ascii="宋体" w:hAnsi="宋体" w:cs="宋体"/>
          <w:color w:val="auto"/>
          <w:szCs w:val="21"/>
          <w:highlight w:val="none"/>
        </w:rPr>
      </w:pPr>
      <w:r>
        <w:rPr>
          <w:rFonts w:hint="eastAsia" w:ascii="宋体" w:hAnsi="宋体" w:cs="宋体"/>
          <w:color w:val="auto"/>
          <w:szCs w:val="21"/>
          <w:highlight w:val="none"/>
        </w:rPr>
        <w:t>除按照第 15 条约定的变更外，在竣工结算时总价子目的工程量不应当重新计量， 签约合同价所基于的工程量即是用于竣工结算的最终工程量。</w:t>
      </w:r>
    </w:p>
    <w:p>
      <w:p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17.1.5 总价子目的计量（适用于采用按实际完成工程量计量） </w:t>
      </w:r>
    </w:p>
    <w:p>
      <w:pPr>
        <w:autoSpaceDE w:val="0"/>
        <w:autoSpaceDN w:val="0"/>
        <w:spacing w:before="1" w:line="356" w:lineRule="exact"/>
        <w:ind w:left="138" w:right="309" w:firstLine="440" w:firstLineChars="200"/>
        <w:rPr>
          <w:rFonts w:ascii="宋体" w:hAnsi="宋体" w:cs="宋体"/>
          <w:color w:val="auto"/>
          <w:szCs w:val="21"/>
          <w:highlight w:val="none"/>
        </w:rPr>
      </w:pPr>
      <w:r>
        <w:rPr>
          <w:rFonts w:hint="eastAsia" w:ascii="宋体" w:hAnsi="宋体" w:cs="宋体"/>
          <w:color w:val="auto"/>
          <w:szCs w:val="21"/>
          <w:highlight w:val="none"/>
        </w:rPr>
        <w:t>（1）总价子目的计量和支付应以总价为基础，对承包人实际完成的工程量进行计量， 是进行工程目标管理和控制进度款支付的依据。总价子目的价格调整方法见合同条款专用部分。</w:t>
      </w:r>
    </w:p>
    <w:p>
      <w:pPr>
        <w:autoSpaceDE w:val="0"/>
        <w:autoSpaceDN w:val="0"/>
        <w:spacing w:line="356" w:lineRule="exact"/>
        <w:ind w:left="138" w:right="309"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（2）承包人在合同条款专用部分第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 </w:t>
      </w:r>
    </w:p>
    <w:p>
      <w:pPr>
        <w:autoSpaceDE w:val="0"/>
        <w:autoSpaceDN w:val="0"/>
        <w:spacing w:line="356" w:lineRule="exact"/>
        <w:ind w:left="138" w:right="309" w:firstLine="440" w:firstLineChars="200"/>
        <w:rPr>
          <w:rFonts w:ascii="宋体" w:hAnsi="宋体" w:cs="宋体"/>
          <w:color w:val="auto"/>
          <w:szCs w:val="21"/>
          <w:highlight w:val="none"/>
        </w:rPr>
      </w:pPr>
      <w:r>
        <w:rPr>
          <w:rFonts w:hint="eastAsia" w:ascii="宋体" w:hAnsi="宋体" w:cs="宋体"/>
          <w:color w:val="auto"/>
          <w:szCs w:val="21"/>
          <w:highlight w:val="none"/>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pPr>
        <w:autoSpaceDE w:val="0"/>
        <w:autoSpaceDN w:val="0"/>
        <w:spacing w:before="72" w:line="356" w:lineRule="exact"/>
        <w:ind w:right="309" w:firstLine="440" w:firstLineChars="200"/>
        <w:rPr>
          <w:rFonts w:ascii="宋体" w:hAnsi="宋体" w:cs="宋体"/>
          <w:color w:val="auto"/>
          <w:szCs w:val="21"/>
          <w:highlight w:val="none"/>
        </w:rPr>
      </w:pPr>
      <w:r>
        <w:rPr>
          <w:rFonts w:hint="eastAsia" w:ascii="宋体" w:hAnsi="宋体" w:cs="宋体"/>
          <w:color w:val="auto"/>
          <w:szCs w:val="21"/>
          <w:highlight w:val="none"/>
        </w:rPr>
        <w:t>（4）监理人应在收到承包人提交的工程量报表后的 7 天内进行复核，监理人未在约定时间内复核的，承包人提交的工程量报表中的工程量视为承包人实际完成的工程量，据此计算工程价款。</w:t>
      </w:r>
    </w:p>
    <w:p>
      <w:pPr>
        <w:autoSpaceDE w:val="0"/>
        <w:autoSpaceDN w:val="0"/>
        <w:spacing w:line="356" w:lineRule="exact"/>
        <w:ind w:right="220" w:firstLine="660" w:firstLineChars="300"/>
        <w:rPr>
          <w:rFonts w:ascii="宋体" w:hAnsi="宋体" w:cs="宋体"/>
          <w:color w:val="auto"/>
          <w:szCs w:val="21"/>
          <w:highlight w:val="none"/>
        </w:rPr>
      </w:pPr>
      <w:r>
        <w:rPr>
          <w:rFonts w:hint="eastAsia" w:ascii="宋体" w:hAnsi="宋体" w:cs="宋体"/>
          <w:color w:val="auto"/>
          <w:szCs w:val="21"/>
          <w:highlight w:val="none"/>
        </w:rPr>
        <w:t>（5）除按照第 15 条约定的变更外，在竣工结算时总价子目的工程量不应当重新计量， 签约合同价所基于的工程量即是用于竣工结算的最终工程量。</w:t>
      </w:r>
    </w:p>
    <w:p>
      <w:pPr>
        <w:keepNext/>
        <w:keepLines/>
        <w:numPr>
          <w:ilvl w:val="1"/>
          <w:numId w:val="72"/>
        </w:numPr>
        <w:spacing w:before="135"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预付款 </w:t>
      </w:r>
    </w:p>
    <w:p>
      <w:pPr>
        <w:numPr>
          <w:ilvl w:val="2"/>
          <w:numId w:val="72"/>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预付款 </w:t>
      </w:r>
    </w:p>
    <w:p>
      <w:pPr>
        <w:autoSpaceDE w:val="0"/>
        <w:autoSpaceDN w:val="0"/>
        <w:spacing w:line="356" w:lineRule="exact"/>
        <w:ind w:left="138" w:right="310" w:firstLine="419"/>
        <w:rPr>
          <w:rFonts w:ascii="宋体" w:hAnsi="宋体" w:cs="宋体"/>
          <w:color w:val="auto"/>
          <w:szCs w:val="21"/>
          <w:highlight w:val="none"/>
        </w:rPr>
      </w:pPr>
      <w:r>
        <w:rPr>
          <w:rFonts w:hint="eastAsia" w:ascii="宋体" w:hAnsi="宋体" w:cs="宋体"/>
          <w:color w:val="auto"/>
          <w:szCs w:val="21"/>
          <w:highlight w:val="none"/>
        </w:rPr>
        <w:t>预付款用于承包人为合同工程施工购置材料、工程设备、施工设备、修建临时设施以及组织施工队伍进场等。预付款必须专用于合同工程。预付款的额度和预付办法以及支付时间见合同条款专用部分。</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安全文明施工费用预付款额度及方式见合同条款专用部分。 </w:t>
      </w:r>
    </w:p>
    <w:p>
      <w:p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发包人逾期支付合同约定的预付款，除承担第 22.2 款约定的违约责任外，还应向承包人支付按第 17.3.3(2)目约定的标准和方法计算的逾期付款违约金。</w:t>
      </w:r>
    </w:p>
    <w:p>
      <w:pPr>
        <w:numPr>
          <w:ilvl w:val="2"/>
          <w:numId w:val="72"/>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预付款的扣回与还清</w:t>
      </w:r>
    </w:p>
    <w:p>
      <w:pPr>
        <w:autoSpaceDE w:val="0"/>
        <w:autoSpaceDN w:val="0"/>
        <w:spacing w:line="356" w:lineRule="exact"/>
        <w:ind w:left="138" w:right="220" w:firstLine="419"/>
        <w:rPr>
          <w:rFonts w:ascii="宋体" w:hAnsi="宋体" w:cs="宋体"/>
          <w:color w:val="auto"/>
          <w:szCs w:val="21"/>
          <w:highlight w:val="none"/>
        </w:rPr>
      </w:pPr>
      <w:r>
        <w:rPr>
          <w:rFonts w:hint="eastAsia" w:ascii="宋体" w:hAnsi="宋体" w:cs="宋体"/>
          <w:color w:val="auto"/>
          <w:szCs w:val="21"/>
          <w:highlight w:val="none"/>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pPr>
        <w:keepNext/>
        <w:keepLines/>
        <w:numPr>
          <w:ilvl w:val="1"/>
          <w:numId w:val="72"/>
        </w:numPr>
        <w:spacing w:before="136"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工程进度付款 </w:t>
      </w:r>
    </w:p>
    <w:p>
      <w:pPr>
        <w:numPr>
          <w:ilvl w:val="2"/>
          <w:numId w:val="72"/>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付款周期 </w:t>
      </w:r>
    </w:p>
    <w:p>
      <w:pPr>
        <w:autoSpaceDE w:val="0"/>
        <w:autoSpaceDN w:val="0"/>
        <w:spacing w:before="1" w:line="356" w:lineRule="exact"/>
        <w:ind w:left="440" w:leftChars="200" w:right="5789"/>
        <w:rPr>
          <w:rFonts w:ascii="宋体" w:hAnsi="宋体" w:cs="宋体"/>
          <w:color w:val="auto"/>
          <w:szCs w:val="21"/>
          <w:highlight w:val="none"/>
        </w:rPr>
      </w:pPr>
      <w:r>
        <w:rPr>
          <w:rFonts w:hint="eastAsia" w:ascii="宋体" w:hAnsi="宋体" w:cs="宋体"/>
          <w:color w:val="auto"/>
          <w:szCs w:val="21"/>
          <w:highlight w:val="none"/>
        </w:rPr>
        <w:t>付款周期同计量周期。 17.3.2进度付款申请单</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承包人应在每个付款周期末，按监理人批准的格式和合同约定的份数，向监理人提交进度付款申请单，并附相应的支持性证明文件。承包人提交进度付款申请单份数见合同条款专用部分。</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承包人报送监理人的进度付款申请单应包括下列内容： </w:t>
      </w:r>
    </w:p>
    <w:p>
      <w:pPr>
        <w:numPr>
          <w:ilvl w:val="0"/>
          <w:numId w:val="7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截至本次付款周期末已实施工程的价款；</w:t>
      </w:r>
    </w:p>
    <w:p>
      <w:pPr>
        <w:numPr>
          <w:ilvl w:val="0"/>
          <w:numId w:val="7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 xml:space="preserve">根据第 15 条应增加和扣减的变更金额； </w:t>
      </w:r>
    </w:p>
    <w:p>
      <w:pPr>
        <w:numPr>
          <w:ilvl w:val="0"/>
          <w:numId w:val="7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 xml:space="preserve">根据第 23 条应增加和扣减的索赔金额； </w:t>
      </w:r>
    </w:p>
    <w:p>
      <w:pPr>
        <w:numPr>
          <w:ilvl w:val="0"/>
          <w:numId w:val="73"/>
        </w:numPr>
        <w:autoSpaceDE w:val="0"/>
        <w:autoSpaceDN w:val="0"/>
        <w:spacing w:before="72" w:line="356" w:lineRule="exact"/>
        <w:ind w:hanging="530"/>
        <w:rPr>
          <w:rFonts w:ascii="宋体" w:hAnsi="宋体" w:cs="宋体"/>
          <w:color w:val="auto"/>
          <w:szCs w:val="21"/>
          <w:highlight w:val="none"/>
        </w:rPr>
      </w:pPr>
      <w:r>
        <w:rPr>
          <w:rFonts w:hint="eastAsia" w:ascii="宋体" w:hAnsi="宋体" w:cs="宋体"/>
          <w:color w:val="auto"/>
          <w:szCs w:val="21"/>
          <w:highlight w:val="none"/>
        </w:rPr>
        <w:t>根据第 17.2 款约定应支付的预付款和扣减的返还预付款；</w:t>
      </w:r>
    </w:p>
    <w:p>
      <w:pPr>
        <w:numPr>
          <w:ilvl w:val="0"/>
          <w:numId w:val="73"/>
        </w:numPr>
        <w:autoSpaceDE w:val="0"/>
        <w:autoSpaceDN w:val="0"/>
        <w:spacing w:line="356" w:lineRule="exact"/>
        <w:ind w:hanging="530"/>
        <w:rPr>
          <w:rFonts w:ascii="宋体" w:hAnsi="宋体" w:cs="宋体"/>
          <w:color w:val="auto"/>
          <w:szCs w:val="21"/>
          <w:highlight w:val="none"/>
        </w:rPr>
      </w:pPr>
      <w:r>
        <w:rPr>
          <w:rFonts w:hint="eastAsia" w:ascii="宋体" w:hAnsi="宋体" w:cs="宋体"/>
          <w:color w:val="auto"/>
          <w:szCs w:val="21"/>
          <w:highlight w:val="none"/>
        </w:rPr>
        <w:t>根据第 17.4.1 项约定应扣减的质量保证金；</w:t>
      </w:r>
    </w:p>
    <w:p>
      <w:pPr>
        <w:numPr>
          <w:ilvl w:val="0"/>
          <w:numId w:val="73"/>
        </w:numPr>
        <w:autoSpaceDE w:val="0"/>
        <w:autoSpaceDN w:val="0"/>
        <w:spacing w:before="1" w:line="356" w:lineRule="exact"/>
        <w:ind w:right="1379" w:hanging="530"/>
        <w:rPr>
          <w:rFonts w:ascii="宋体" w:hAnsi="宋体" w:cs="宋体"/>
          <w:color w:val="auto"/>
          <w:szCs w:val="21"/>
          <w:highlight w:val="none"/>
        </w:rPr>
      </w:pPr>
      <w:r>
        <w:rPr>
          <w:rFonts w:hint="eastAsia" w:ascii="宋体" w:hAnsi="宋体" w:cs="宋体"/>
          <w:color w:val="auto"/>
          <w:szCs w:val="21"/>
          <w:highlight w:val="none"/>
        </w:rPr>
        <w:t>根据合同应增加和（或）扣减的其他内容金额见合同条款专用部分。</w:t>
      </w:r>
    </w:p>
    <w:p>
      <w:pPr>
        <w:autoSpaceDE w:val="0"/>
        <w:autoSpaceDN w:val="0"/>
        <w:spacing w:before="1" w:line="356" w:lineRule="exact"/>
        <w:ind w:left="451" w:right="1379"/>
        <w:rPr>
          <w:rFonts w:ascii="宋体" w:hAnsi="宋体" w:cs="宋体"/>
          <w:color w:val="auto"/>
          <w:szCs w:val="21"/>
          <w:highlight w:val="none"/>
        </w:rPr>
      </w:pPr>
      <w:r>
        <w:rPr>
          <w:rFonts w:hint="eastAsia" w:ascii="宋体" w:hAnsi="宋体" w:cs="宋体"/>
          <w:color w:val="auto"/>
          <w:szCs w:val="21"/>
          <w:highlight w:val="none"/>
        </w:rPr>
        <w:t>17.3.3 进度付款证书和支付时间</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（1）监理人在收到承包人进度付款申请单以及相应的支持性证明文件后的 14 天内完成核查，提出发包人到期应支付给承包人的金额以及相应的支持性材料，经发包人审查同意后， 由监理人向承包人出具经发包人签认的进度付款证书。监理人有权扣发承包人未能按照合同要求履行任何工作或义务的相应金额。</w:t>
      </w:r>
    </w:p>
    <w:p>
      <w:pPr>
        <w:autoSpaceDE w:val="0"/>
        <w:autoSpaceDN w:val="0"/>
        <w:spacing w:line="356" w:lineRule="exact"/>
        <w:ind w:firstLine="440" w:firstLineChars="200"/>
        <w:rPr>
          <w:rFonts w:ascii="宋体" w:hAnsi="宋体" w:cs="宋体"/>
          <w:color w:val="auto"/>
          <w:highlight w:val="none"/>
        </w:rPr>
      </w:pPr>
      <w:r>
        <w:rPr>
          <w:rFonts w:hint="eastAsia" w:ascii="宋体" w:hAnsi="宋体" w:cs="宋体"/>
          <w:color w:val="auto"/>
          <w:szCs w:val="21"/>
          <w:highlight w:val="none"/>
        </w:rPr>
        <w:t>（2）发包人应在监理人收到进度付款申请单后的 28 天内，将进度应付款支付给承包人。发包人未按第 17.2.1(2)目、第 17.3.3(2)目、第 17.5.2(2)目和第17.6.2(2)目约定的期限支付承包人依合同约定应当得到的款项，应当从应付之日起按照合同约定的计算标准和计算方法向承包人支付逾期付款违约金。承包人应当按第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r>
        <w:rPr>
          <w:rFonts w:hint="eastAsia" w:ascii="宋体" w:hAnsi="宋体" w:cs="宋体"/>
          <w:color w:val="auto"/>
          <w:highlight w:val="none"/>
        </w:rPr>
        <w:t xml:space="preserve">22.2 款约定的其他违约责任的权利。逾期付款违约金计算标准和计算方法见合同条款专用部分。 </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（3）监理人出具进度付款证书，不应视为监理人已同意、批准或接受了承包人完成的该部分工作。</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（4）进度付款涉及政府投资资金的，按照国库集中支付等国家相关规定和合同约定办理。进度付款涉及政府性资金的支付方法见合同条款专用部分。</w:t>
      </w:r>
    </w:p>
    <w:p>
      <w:pPr>
        <w:numPr>
          <w:ilvl w:val="2"/>
          <w:numId w:val="74"/>
        </w:numPr>
        <w:autoSpaceDE w:val="0"/>
        <w:autoSpaceDN w:val="0"/>
        <w:spacing w:line="356" w:lineRule="exact"/>
        <w:ind w:left="0" w:firstLine="440" w:firstLineChars="200"/>
        <w:rPr>
          <w:rFonts w:ascii="宋体" w:hAnsi="宋体" w:cs="宋体"/>
          <w:color w:val="auto"/>
          <w:szCs w:val="21"/>
          <w:highlight w:val="none"/>
        </w:rPr>
      </w:pPr>
      <w:r>
        <w:rPr>
          <w:rFonts w:hint="eastAsia" w:ascii="宋体" w:hAnsi="宋体" w:cs="宋体"/>
          <w:color w:val="auto"/>
          <w:szCs w:val="21"/>
          <w:highlight w:val="none"/>
        </w:rPr>
        <w:t>工程进度付款的修正</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pPr>
        <w:numPr>
          <w:ilvl w:val="2"/>
          <w:numId w:val="7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临时付款证书</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 xml:space="preserve">在合同约定的期限内，承包人和监理人无法对当期已完工程量和按合同约定应当支付的其他款项达成一致的，监理人应当在收到承包人报送的进度付款申请单等文件后 14 天内， 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 天内，将临时付款证书中确定的应付金额支付给承包人。发包人和监理人均不得以任何理由延期支付工程进度付款。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对临时付款证书中承包人有异议部分的金额，承包人应当按照监理人要求，提交进一步的支持性文件，经监理人进一步审核并认可的应付金额，应当按第 17.3.4 项的约定纳入到下一期进度付款证书中。经过进一步努力，承包人仍有异议的，按合同条款第 24 条的约定办理。</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 xml:space="preserve">有异议款项中经监理人进一步审核后认可的，或者经过合同条款第 24 条约定的争议解决方式确定的应付金额，其应付之日为引发异议的进度付款证书的应付之日，承包人有权得到按第 17.3.3（2）目约定计算的逾期付款违约金。 </w:t>
      </w:r>
    </w:p>
    <w:p>
      <w:pPr>
        <w:keepNext/>
        <w:keepLines/>
        <w:numPr>
          <w:ilvl w:val="1"/>
          <w:numId w:val="75"/>
        </w:numPr>
        <w:spacing w:before="135" w:line="356" w:lineRule="exact"/>
        <w:ind w:hanging="482"/>
        <w:textAlignment w:val="baseline"/>
        <w:outlineLvl w:val="4"/>
        <w:rPr>
          <w:rFonts w:ascii="宋体" w:hAnsi="宋体" w:cs="宋体"/>
          <w:b/>
          <w:color w:val="auto"/>
          <w:highlight w:val="none"/>
        </w:rPr>
      </w:pPr>
      <w:r>
        <w:rPr>
          <w:rFonts w:hint="eastAsia" w:ascii="宋体" w:hAnsi="宋体" w:cs="宋体"/>
          <w:b/>
          <w:color w:val="auto"/>
          <w:sz w:val="24"/>
          <w:szCs w:val="24"/>
          <w:highlight w:val="none"/>
        </w:rPr>
        <w:t xml:space="preserve">质量保证金 </w:t>
      </w:r>
    </w:p>
    <w:p>
      <w:pPr>
        <w:numPr>
          <w:ilvl w:val="2"/>
          <w:numId w:val="75"/>
        </w:numPr>
        <w:autoSpaceDE w:val="0"/>
        <w:autoSpaceDN w:val="0"/>
        <w:spacing w:before="1" w:line="356" w:lineRule="exact"/>
        <w:rPr>
          <w:rFonts w:ascii="宋体" w:hAnsi="宋体" w:cs="宋体"/>
          <w:color w:val="auto"/>
          <w:szCs w:val="21"/>
          <w:highlight w:val="none"/>
        </w:rPr>
      </w:pPr>
      <w:r>
        <w:rPr>
          <w:rFonts w:hint="eastAsia" w:ascii="宋体" w:hAnsi="宋体" w:cs="宋体"/>
          <w:color w:val="auto"/>
          <w:szCs w:val="21"/>
          <w:highlight w:val="none"/>
        </w:rPr>
        <w:t>质量保证金处理</w:t>
      </w:r>
    </w:p>
    <w:p>
      <w:pPr>
        <w:numPr>
          <w:ilvl w:val="0"/>
          <w:numId w:val="76"/>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合同条款专用部分第 4.2.1 项约定不提交履约担保，采用扣留质量保证金的，质量保证金由监理人从第一个付款周期开始按进度付款证书确认的已实施工程的价款、根据合同条款第 15 条增加和扣减的变更金额、根据合同条款第 23 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采用质量保证金保函担保形式的，工程竣工前，不得扣留质量保证金。 </w:t>
      </w:r>
    </w:p>
    <w:p>
      <w:pPr>
        <w:numPr>
          <w:ilvl w:val="0"/>
          <w:numId w:val="76"/>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合同条款专用部分第 4.2.1 项约定提交履约担保，采用扣留质量保证金的，在第</w:t>
      </w:r>
    </w:p>
    <w:p>
      <w:pPr>
        <w:autoSpaceDE w:val="0"/>
        <w:autoSpaceDN w:val="0"/>
        <w:spacing w:line="356" w:lineRule="exact"/>
        <w:ind w:left="138" w:right="308"/>
        <w:rPr>
          <w:rFonts w:ascii="宋体" w:hAnsi="宋体" w:cs="宋体"/>
          <w:color w:val="auto"/>
          <w:szCs w:val="21"/>
          <w:highlight w:val="none"/>
        </w:rPr>
      </w:pPr>
      <w:r>
        <w:rPr>
          <w:rFonts w:hint="eastAsia" w:ascii="宋体" w:hAnsi="宋体" w:cs="宋体"/>
          <w:color w:val="auto"/>
          <w:szCs w:val="21"/>
          <w:highlight w:val="none"/>
        </w:rPr>
        <w:t xml:space="preserve">17.5款竣工结算中，应当按照竣工结算合同总价约定的比例扣留质量保证金，当应支付的竣工付款金额不足应扣留的质量保证金金额时，承包人应返款差额部分；采用质量保证金保函担保形式的，工程竣工前，不得扣留质量保证金； </w:t>
      </w:r>
    </w:p>
    <w:p>
      <w:pPr>
        <w:numPr>
          <w:ilvl w:val="0"/>
          <w:numId w:val="76"/>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质量保证金的形式与约定比例见合同条款专用部分。</w:t>
      </w:r>
    </w:p>
    <w:p>
      <w:pPr>
        <w:numPr>
          <w:ilvl w:val="2"/>
          <w:numId w:val="77"/>
        </w:numPr>
        <w:autoSpaceDE w:val="0"/>
        <w:autoSpaceDN w:val="0"/>
        <w:spacing w:before="1" w:line="356" w:lineRule="exact"/>
        <w:rPr>
          <w:rFonts w:ascii="宋体" w:hAnsi="宋体" w:cs="宋体"/>
          <w:color w:val="auto"/>
          <w:szCs w:val="21"/>
          <w:highlight w:val="none"/>
        </w:rPr>
      </w:pPr>
      <w:r>
        <w:rPr>
          <w:rFonts w:hint="eastAsia" w:ascii="宋体" w:hAnsi="宋体" w:cs="宋体"/>
          <w:color w:val="auto"/>
          <w:szCs w:val="21"/>
          <w:highlight w:val="none"/>
        </w:rPr>
        <w:t>在第 1.1.4.5 目约定的缺陷责任期满时，承包人向发包人申请到期应返还承包</w:t>
      </w:r>
    </w:p>
    <w:p>
      <w:pPr>
        <w:autoSpaceDE w:val="0"/>
        <w:autoSpaceDN w:val="0"/>
        <w:spacing w:line="356" w:lineRule="exact"/>
        <w:ind w:left="138" w:right="308"/>
        <w:rPr>
          <w:rFonts w:ascii="宋体" w:hAnsi="宋体" w:cs="宋体"/>
          <w:color w:val="auto"/>
          <w:szCs w:val="21"/>
          <w:highlight w:val="none"/>
        </w:rPr>
      </w:pPr>
      <w:r>
        <w:rPr>
          <w:rFonts w:hint="eastAsia" w:ascii="宋体" w:hAnsi="宋体" w:cs="宋体"/>
          <w:color w:val="auto"/>
          <w:szCs w:val="21"/>
          <w:highlight w:val="none"/>
        </w:rPr>
        <w:t xml:space="preserve">人剩余的质量保证金金额或退还保函担保，发包人应在 14 天内会同承包人按照合同约定的内容核实承包人是否完成缺陷责任。如无异议，发包人应当在核实后将剩余保证金返还承包人或将其保函退还承包人。 </w:t>
      </w:r>
    </w:p>
    <w:p>
      <w:pPr>
        <w:numPr>
          <w:ilvl w:val="2"/>
          <w:numId w:val="77"/>
        </w:num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在第 1.1.4.5 目约定的缺陷责任期满时，承包人没有完成缺陷责任的，发包人有权扣留与未履行责任剩余工作所需金额相应的质量保证金余额或依据其保函担保约定追究责任，并有权根据第 19.3 款约定要求延长缺陷责任期，直至完成剩余工作为止。</w:t>
      </w:r>
    </w:p>
    <w:p>
      <w:pPr>
        <w:keepNext/>
        <w:keepLines/>
        <w:numPr>
          <w:ilvl w:val="1"/>
          <w:numId w:val="78"/>
        </w:numPr>
        <w:spacing w:before="66"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竣工结算 </w:t>
      </w:r>
    </w:p>
    <w:p>
      <w:pPr>
        <w:numPr>
          <w:ilvl w:val="2"/>
          <w:numId w:val="7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竣工付款申请单</w:t>
      </w:r>
    </w:p>
    <w:p>
      <w:pPr>
        <w:autoSpaceDE w:val="0"/>
        <w:autoSpaceDN w:val="0"/>
        <w:spacing w:line="356" w:lineRule="exact"/>
        <w:ind w:left="557" w:right="208" w:firstLine="419"/>
        <w:rPr>
          <w:rFonts w:ascii="宋体" w:hAnsi="宋体" w:cs="宋体"/>
          <w:color w:val="auto"/>
          <w:szCs w:val="21"/>
          <w:highlight w:val="none"/>
        </w:rPr>
      </w:pPr>
      <w:r>
        <w:rPr>
          <w:rFonts w:hint="eastAsia" w:ascii="宋体" w:hAnsi="宋体" w:cs="宋体"/>
          <w:color w:val="auto"/>
          <w:szCs w:val="21"/>
          <w:highlight w:val="none"/>
        </w:rPr>
        <w:t>（1）工程接收证书颁发后，承包人应按合同约定的份数和期限向监理人提交竣工付款申请单，并提供相关证明材料。承包人提交竣工付款申请单份数和期限见合同条款专用部分。</w:t>
      </w:r>
    </w:p>
    <w:p>
      <w:pPr>
        <w:autoSpaceDE w:val="0"/>
        <w:autoSpaceDN w:val="0"/>
        <w:spacing w:line="356" w:lineRule="exact"/>
        <w:ind w:left="557" w:right="309" w:firstLine="419"/>
        <w:rPr>
          <w:rFonts w:ascii="宋体" w:hAnsi="宋体" w:cs="宋体"/>
          <w:color w:val="auto"/>
          <w:szCs w:val="21"/>
          <w:highlight w:val="none"/>
        </w:rPr>
      </w:pPr>
      <w:r>
        <w:rPr>
          <w:rFonts w:hint="eastAsia" w:ascii="宋体" w:hAnsi="宋体" w:cs="宋体"/>
          <w:color w:val="auto"/>
          <w:szCs w:val="21"/>
          <w:highlight w:val="none"/>
        </w:rPr>
        <w:t xml:space="preserve">（2）竣工付款申请单应包括下列内容：竣工结算合同总价、发包人已支付承包人的工程价款、应扣留的质量保证金、应支付的竣工付款金额和应支付或扣减的其他内容金额。竣工付款申请单的其他内容见合同条款专用部分。 </w:t>
      </w:r>
    </w:p>
    <w:p>
      <w:pPr>
        <w:autoSpaceDE w:val="0"/>
        <w:autoSpaceDN w:val="0"/>
        <w:spacing w:line="356" w:lineRule="exact"/>
        <w:ind w:left="557" w:right="309" w:firstLine="419"/>
        <w:rPr>
          <w:rFonts w:ascii="宋体" w:hAnsi="宋体" w:cs="宋体"/>
          <w:color w:val="auto"/>
          <w:szCs w:val="21"/>
          <w:highlight w:val="none"/>
        </w:rPr>
      </w:pPr>
      <w:r>
        <w:rPr>
          <w:rFonts w:hint="eastAsia" w:ascii="宋体" w:hAnsi="宋体" w:cs="宋体"/>
          <w:color w:val="auto"/>
          <w:szCs w:val="21"/>
          <w:highlight w:val="none"/>
        </w:rPr>
        <w:t xml:space="preserve">(3）监理人对竣工付款申请单有异议的，有权要求承包人进行修正和提供补充资料。经监理人和承包人协商后，由承包人向监理人提交修正后的竣工付款申请单。 </w:t>
      </w:r>
    </w:p>
    <w:p>
      <w:pPr>
        <w:autoSpaceDE w:val="0"/>
        <w:autoSpaceDN w:val="0"/>
        <w:spacing w:line="356" w:lineRule="exact"/>
        <w:ind w:left="557" w:right="203" w:firstLine="419"/>
        <w:rPr>
          <w:rFonts w:ascii="宋体" w:hAnsi="宋体" w:cs="宋体"/>
          <w:color w:val="auto"/>
          <w:szCs w:val="21"/>
          <w:highlight w:val="none"/>
        </w:rPr>
      </w:pPr>
      <w:r>
        <w:rPr>
          <w:rFonts w:hint="eastAsia" w:ascii="宋体" w:hAnsi="宋体" w:cs="宋体"/>
          <w:color w:val="auto"/>
          <w:szCs w:val="21"/>
          <w:highlight w:val="none"/>
        </w:rPr>
        <w:t>（4）承包人未按本项约定的期限和内容提交竣工付款申请单或者未按第 17.5.1（3)目约定提交修正后的竣工付款申请单，经监理人催促后 14 天内仍未提交或者没有明确答复的， 监理人和发包人有权根据已有资料进行审查，审查确定的竣工结算合同总价和竣工付款金额视同是经承包人认可的工程竣工结算合同总价和竣工付款金额。</w:t>
      </w:r>
    </w:p>
    <w:p>
      <w:pPr>
        <w:numPr>
          <w:ilvl w:val="2"/>
          <w:numId w:val="7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竣工付款证书及支付时间</w:t>
      </w:r>
    </w:p>
    <w:p>
      <w:pPr>
        <w:numPr>
          <w:ilvl w:val="0"/>
          <w:numId w:val="79"/>
        </w:numPr>
        <w:autoSpaceDE w:val="0"/>
        <w:autoSpaceDN w:val="0"/>
        <w:spacing w:line="356" w:lineRule="exact"/>
        <w:ind w:left="138" w:right="208" w:firstLine="527"/>
        <w:rPr>
          <w:rFonts w:ascii="宋体" w:hAnsi="宋体" w:cs="宋体"/>
          <w:color w:val="auto"/>
          <w:szCs w:val="21"/>
          <w:highlight w:val="none"/>
        </w:rPr>
      </w:pPr>
      <w:r>
        <w:rPr>
          <w:rFonts w:hint="eastAsia" w:ascii="宋体" w:hAnsi="宋体" w:cs="宋体"/>
          <w:color w:val="auto"/>
          <w:szCs w:val="21"/>
          <w:highlight w:val="none"/>
        </w:rPr>
        <w:t>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pPr>
        <w:numPr>
          <w:ilvl w:val="0"/>
          <w:numId w:val="79"/>
        </w:numPr>
        <w:autoSpaceDE w:val="0"/>
        <w:autoSpaceDN w:val="0"/>
        <w:spacing w:line="356" w:lineRule="exact"/>
        <w:ind w:left="138" w:right="311" w:firstLine="419"/>
        <w:rPr>
          <w:rFonts w:ascii="宋体" w:hAnsi="宋体" w:cs="宋体"/>
          <w:color w:val="auto"/>
          <w:szCs w:val="21"/>
          <w:highlight w:val="none"/>
        </w:rPr>
      </w:pPr>
      <w:r>
        <w:rPr>
          <w:rFonts w:hint="eastAsia" w:ascii="宋体" w:hAnsi="宋体" w:cs="宋体"/>
          <w:color w:val="auto"/>
          <w:szCs w:val="21"/>
          <w:highlight w:val="none"/>
        </w:rPr>
        <w:t>发包人应在监理人出具竣工付款证书后的 14 天内，将应支付款支付给承包人。发包人不按期支付的，按第 17.3.3（2）目的约定，将逾期付款违约金支付给承包人。</w:t>
      </w:r>
    </w:p>
    <w:p>
      <w:pPr>
        <w:numPr>
          <w:ilvl w:val="0"/>
          <w:numId w:val="79"/>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承包人对发包人签认的竣工付款证书有异议的，发包人可出具竣工付款申请单中与承包人达成一致意见部分的临时付款证书。存在争议的部分，按第 24 条“争议的解决” 的约定办理。</w:t>
      </w:r>
    </w:p>
    <w:p>
      <w:pPr>
        <w:numPr>
          <w:ilvl w:val="0"/>
          <w:numId w:val="79"/>
        </w:numPr>
        <w:autoSpaceDE w:val="0"/>
        <w:autoSpaceDN w:val="0"/>
        <w:spacing w:line="356" w:lineRule="exact"/>
        <w:ind w:left="1087" w:hanging="529"/>
        <w:rPr>
          <w:rFonts w:ascii="宋体" w:hAnsi="宋体" w:cs="宋体"/>
          <w:color w:val="auto"/>
          <w:szCs w:val="21"/>
          <w:highlight w:val="none"/>
        </w:rPr>
      </w:pPr>
      <w:r>
        <w:rPr>
          <w:rFonts w:hint="eastAsia" w:ascii="宋体" w:hAnsi="宋体" w:cs="宋体"/>
          <w:color w:val="auto"/>
          <w:szCs w:val="21"/>
          <w:highlight w:val="none"/>
        </w:rPr>
        <w:t>竣工付款涉及政府投资资金的，按第 17.3.3（4）目的约定办理。</w:t>
      </w:r>
    </w:p>
    <w:p>
      <w:pPr>
        <w:numPr>
          <w:ilvl w:val="2"/>
          <w:numId w:val="7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除第 17.5.4 项约定的情况外，发包人和承包人应当在监理人颁发（出具）工</w:t>
      </w:r>
    </w:p>
    <w:p>
      <w:pPr>
        <w:autoSpaceDE w:val="0"/>
        <w:autoSpaceDN w:val="0"/>
        <w:spacing w:line="356" w:lineRule="exact"/>
        <w:ind w:left="138"/>
        <w:rPr>
          <w:rFonts w:ascii="宋体" w:hAnsi="宋体" w:cs="宋体"/>
          <w:color w:val="auto"/>
          <w:szCs w:val="21"/>
          <w:highlight w:val="none"/>
        </w:rPr>
      </w:pPr>
      <w:r>
        <w:rPr>
          <w:rFonts w:hint="eastAsia" w:ascii="宋体" w:hAnsi="宋体" w:cs="宋体"/>
          <w:color w:val="auto"/>
          <w:szCs w:val="21"/>
          <w:highlight w:val="none"/>
        </w:rPr>
        <w:t xml:space="preserve">程接收证书后 56 天内办清竣工结算和竣工付款。 </w:t>
      </w:r>
    </w:p>
    <w:p>
      <w:pPr>
        <w:numPr>
          <w:ilvl w:val="2"/>
          <w:numId w:val="78"/>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政府投资或者以政府投资为主的建设项目纳入审计项目计划的，发包人和承包人均负有配合、接受审计机关审计的义务，竣工结算应当依据审计结论，办清竣工结算和竣工付款的时间按照相关规定执行。 </w:t>
      </w:r>
    </w:p>
    <w:p>
      <w:pPr>
        <w:keepNext/>
        <w:keepLines/>
        <w:numPr>
          <w:ilvl w:val="1"/>
          <w:numId w:val="78"/>
        </w:numPr>
        <w:spacing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最终结清 </w:t>
      </w:r>
    </w:p>
    <w:p>
      <w:pPr>
        <w:numPr>
          <w:ilvl w:val="2"/>
          <w:numId w:val="7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最终结清申请单</w:t>
      </w:r>
    </w:p>
    <w:p>
      <w:pPr>
        <w:numPr>
          <w:ilvl w:val="0"/>
          <w:numId w:val="80"/>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缺陷责任期终止证书签发后，承包人可按合同约定的份数和期限向监理人提交最终结清申请单，并提供相关证明材料。承包人提交最终结清申请单的份数和期限见合同条款专用部分。</w:t>
      </w:r>
    </w:p>
    <w:p>
      <w:pPr>
        <w:autoSpaceDE w:val="0"/>
        <w:autoSpaceDN w:val="0"/>
        <w:spacing w:line="356" w:lineRule="exact"/>
        <w:ind w:left="138" w:right="208" w:firstLine="419"/>
        <w:rPr>
          <w:rFonts w:ascii="宋体" w:hAnsi="宋体" w:cs="宋体"/>
          <w:color w:val="auto"/>
          <w:szCs w:val="21"/>
          <w:highlight w:val="none"/>
        </w:rPr>
      </w:pPr>
      <w:r>
        <w:rPr>
          <w:rFonts w:hint="eastAsia" w:ascii="宋体" w:hAnsi="宋体" w:cs="宋体"/>
          <w:color w:val="auto"/>
          <w:szCs w:val="21"/>
          <w:highlight w:val="none"/>
        </w:rPr>
        <w:t xml:space="preserve">发包人向承包人支付质量保证金利息的，承包人应按照约定的利息计算方法计算利息， 并列入最终结清申请单中。是否支付质量保证金利息及利息计算方法见合同条款专用部分。 </w:t>
      </w:r>
    </w:p>
    <w:p>
      <w:pPr>
        <w:numPr>
          <w:ilvl w:val="0"/>
          <w:numId w:val="8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发包人对最终结清申请单内容有异议的，有权要求承包人进行修正和提供补充资料，由承包人向监理人提交修正后的最终结清申请单。</w:t>
      </w:r>
    </w:p>
    <w:p>
      <w:pPr>
        <w:numPr>
          <w:ilvl w:val="2"/>
          <w:numId w:val="7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最终结清证书和支付时间</w:t>
      </w:r>
    </w:p>
    <w:p>
      <w:pPr>
        <w:numPr>
          <w:ilvl w:val="0"/>
          <w:numId w:val="81"/>
        </w:numPr>
        <w:autoSpaceDE w:val="0"/>
        <w:autoSpaceDN w:val="0"/>
        <w:spacing w:line="356" w:lineRule="exact"/>
        <w:ind w:left="-391" w:right="221" w:firstLine="527"/>
        <w:rPr>
          <w:rFonts w:ascii="宋体" w:hAnsi="宋体" w:cs="宋体"/>
          <w:color w:val="auto"/>
          <w:szCs w:val="21"/>
          <w:highlight w:val="none"/>
        </w:rPr>
      </w:pPr>
      <w:r>
        <w:rPr>
          <w:rFonts w:hint="eastAsia" w:ascii="宋体" w:hAnsi="宋体" w:cs="宋体"/>
          <w:color w:val="auto"/>
          <w:szCs w:val="21"/>
          <w:highlight w:val="none"/>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pPr>
        <w:numPr>
          <w:ilvl w:val="0"/>
          <w:numId w:val="81"/>
        </w:numPr>
        <w:autoSpaceDE w:val="0"/>
        <w:autoSpaceDN w:val="0"/>
        <w:spacing w:line="356" w:lineRule="exact"/>
        <w:ind w:left="138" w:right="340" w:firstLine="419"/>
        <w:rPr>
          <w:rFonts w:ascii="宋体" w:hAnsi="宋体" w:cs="宋体"/>
          <w:color w:val="auto"/>
          <w:szCs w:val="21"/>
          <w:highlight w:val="none"/>
        </w:rPr>
      </w:pPr>
      <w:r>
        <w:rPr>
          <w:rFonts w:hint="eastAsia" w:ascii="宋体" w:hAnsi="宋体" w:cs="宋体"/>
          <w:color w:val="auto"/>
          <w:szCs w:val="21"/>
          <w:highlight w:val="none"/>
        </w:rPr>
        <w:t>发包人应在监理人出具最终结清证书后的 14 天内，将应支付款支付给承包人。发包人不按期支付的，按第 17.3.3（2）目的约定，将逾期付款违约金支付给承包人。</w:t>
      </w:r>
    </w:p>
    <w:p>
      <w:pPr>
        <w:numPr>
          <w:ilvl w:val="0"/>
          <w:numId w:val="81"/>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承包人对发包人签认的最终结清证书有异议的，按第 24 条“争议的解决”的约定办理。</w:t>
      </w:r>
    </w:p>
    <w:p>
      <w:pPr>
        <w:numPr>
          <w:ilvl w:val="0"/>
          <w:numId w:val="81"/>
        </w:numPr>
        <w:autoSpaceDE w:val="0"/>
        <w:autoSpaceDN w:val="0"/>
        <w:spacing w:line="356" w:lineRule="exact"/>
        <w:ind w:left="1087" w:hanging="529"/>
        <w:rPr>
          <w:rFonts w:ascii="宋体" w:hAnsi="宋体" w:cs="宋体"/>
          <w:color w:val="auto"/>
          <w:szCs w:val="21"/>
          <w:highlight w:val="none"/>
        </w:rPr>
      </w:pPr>
      <w:r>
        <w:rPr>
          <w:rFonts w:hint="eastAsia" w:ascii="宋体" w:hAnsi="宋体" w:cs="宋体"/>
          <w:color w:val="auto"/>
          <w:szCs w:val="21"/>
          <w:highlight w:val="none"/>
        </w:rPr>
        <w:t>最终结清付款涉及政府投资资金的，按第 17.3.3（4）目的约定办理。</w:t>
      </w:r>
    </w:p>
    <w:p>
      <w:pPr>
        <w:keepNext/>
        <w:keepLines/>
        <w:numPr>
          <w:ilvl w:val="0"/>
          <w:numId w:val="8"/>
        </w:numPr>
        <w:spacing w:before="260" w:after="260" w:line="356" w:lineRule="exact"/>
        <w:outlineLvl w:val="1"/>
        <w:rPr>
          <w:rFonts w:ascii="Arial" w:hAnsi="Arial"/>
          <w:b/>
          <w:color w:val="auto"/>
          <w:sz w:val="28"/>
          <w:szCs w:val="24"/>
          <w:highlight w:val="none"/>
        </w:rPr>
      </w:pPr>
      <w:bookmarkStart w:id="769" w:name="_Toc10532"/>
      <w:bookmarkStart w:id="770" w:name="_Toc101357729"/>
      <w:bookmarkStart w:id="771" w:name="_Toc12341"/>
      <w:r>
        <w:rPr>
          <w:rFonts w:hint="eastAsia" w:ascii="Arial" w:hAnsi="Arial"/>
          <w:b/>
          <w:color w:val="auto"/>
          <w:sz w:val="28"/>
          <w:szCs w:val="24"/>
          <w:highlight w:val="none"/>
        </w:rPr>
        <w:t>竣工验收</w:t>
      </w:r>
      <w:bookmarkEnd w:id="769"/>
      <w:bookmarkEnd w:id="770"/>
      <w:bookmarkEnd w:id="771"/>
    </w:p>
    <w:p>
      <w:pPr>
        <w:keepNext/>
        <w:keepLines/>
        <w:numPr>
          <w:ilvl w:val="1"/>
          <w:numId w:val="8"/>
        </w:numPr>
        <w:spacing w:before="1"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竣工验收的含义 </w:t>
      </w:r>
    </w:p>
    <w:p>
      <w:pPr>
        <w:numPr>
          <w:ilvl w:val="2"/>
          <w:numId w:val="82"/>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竣工验收指承包人完成了全部合同工作后，发包人按合同要求进行的验收。 </w:t>
      </w:r>
    </w:p>
    <w:p>
      <w:pPr>
        <w:numPr>
          <w:ilvl w:val="2"/>
          <w:numId w:val="82"/>
        </w:num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国家验收是政府有关部门根据法律、规范、规程和政策要求，针对发包人全面组织实施的整个工程正式交付投运前的验收。</w:t>
      </w:r>
    </w:p>
    <w:p>
      <w:pPr>
        <w:numPr>
          <w:ilvl w:val="2"/>
          <w:numId w:val="82"/>
        </w:num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 xml:space="preserve">需要进行国家验收的，竣工验收是国家验收的一部分。竣工验收所采用的各项验收和评定标准应符合国家验收标准。发包人和承包人为竣工验收提供的各项竣工验收资料应符合国家验收的要求。  </w:t>
      </w:r>
    </w:p>
    <w:p>
      <w:pPr>
        <w:keepNext/>
        <w:keepLines/>
        <w:numPr>
          <w:ilvl w:val="1"/>
          <w:numId w:val="8"/>
        </w:numPr>
        <w:spacing w:before="1" w:line="356" w:lineRule="exact"/>
        <w:ind w:left="619" w:hanging="482"/>
        <w:textAlignment w:val="baseline"/>
        <w:outlineLvl w:val="4"/>
        <w:rPr>
          <w:rFonts w:ascii="宋体" w:hAnsi="宋体" w:cs="宋体"/>
          <w:color w:val="auto"/>
          <w:sz w:val="24"/>
          <w:szCs w:val="24"/>
          <w:highlight w:val="none"/>
        </w:rPr>
      </w:pPr>
      <w:r>
        <w:rPr>
          <w:rFonts w:hint="eastAsia" w:ascii="宋体" w:hAnsi="宋体" w:cs="宋体"/>
          <w:b/>
          <w:color w:val="auto"/>
          <w:sz w:val="24"/>
          <w:szCs w:val="24"/>
          <w:highlight w:val="none"/>
        </w:rPr>
        <w:t>竣工验收申请报告</w:t>
      </w:r>
      <w:r>
        <w:rPr>
          <w:rFonts w:hint="eastAsia" w:ascii="宋体" w:hAnsi="宋体" w:cs="宋体"/>
          <w:color w:val="auto"/>
          <w:sz w:val="24"/>
          <w:szCs w:val="24"/>
          <w:highlight w:val="none"/>
        </w:rPr>
        <w:t xml:space="preserve">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当工程具备以下条件时，承包人即可向监理人报送竣工验收申请报告： </w:t>
      </w:r>
    </w:p>
    <w:p>
      <w:pPr>
        <w:numPr>
          <w:ilvl w:val="0"/>
          <w:numId w:val="8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除监理人同意列入缺陷责任期内完成的尾工（甩项）工程和缺陷修补工作外，合同范围内的全部单位工程以及有关工作，包括合同要求的试验、试运行以及检验和验收均已完成，并符合合同要求；</w:t>
      </w:r>
    </w:p>
    <w:p>
      <w:pPr>
        <w:numPr>
          <w:ilvl w:val="0"/>
          <w:numId w:val="8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pPr>
        <w:numPr>
          <w:ilvl w:val="0"/>
          <w:numId w:val="83"/>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已按监理人的要求编制了在缺陷责任期内需完成的尾工（甩项）工程，和缺陷修补工作清单等相应施工计划；</w:t>
      </w:r>
    </w:p>
    <w:p>
      <w:pPr>
        <w:numPr>
          <w:ilvl w:val="0"/>
          <w:numId w:val="83"/>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监理人要求在竣工验收前应完成的其他工作；</w:t>
      </w:r>
    </w:p>
    <w:p>
      <w:pPr>
        <w:numPr>
          <w:ilvl w:val="0"/>
          <w:numId w:val="83"/>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监理人要求提交的竣工验收资料清单。</w:t>
      </w:r>
    </w:p>
    <w:p>
      <w:pPr>
        <w:keepNext/>
        <w:keepLines/>
        <w:spacing w:before="280" w:after="290" w:line="356" w:lineRule="exact"/>
        <w:ind w:left="138"/>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18.3 验 收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监理人收到承包人按第 18.2 款约定提交的竣工验收申请报告后，应审查申请报告的各项内容，并按以下不同情况进行处理。</w:t>
      </w:r>
    </w:p>
    <w:p>
      <w:pPr>
        <w:numPr>
          <w:ilvl w:val="2"/>
          <w:numId w:val="8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监理人审查后认为尚不具备竣工验收条件的，应在收到竣工验收申请报告后的</w:t>
      </w:r>
    </w:p>
    <w:p>
      <w:pPr>
        <w:autoSpaceDE w:val="0"/>
        <w:autoSpaceDN w:val="0"/>
        <w:spacing w:before="1" w:line="356" w:lineRule="exact"/>
        <w:ind w:left="138" w:right="309"/>
        <w:rPr>
          <w:rFonts w:ascii="宋体" w:hAnsi="宋体" w:cs="宋体"/>
          <w:color w:val="auto"/>
          <w:szCs w:val="21"/>
          <w:highlight w:val="none"/>
        </w:rPr>
      </w:pPr>
      <w:r>
        <w:rPr>
          <w:rFonts w:hint="eastAsia" w:ascii="宋体" w:hAnsi="宋体" w:cs="宋体"/>
          <w:color w:val="auto"/>
          <w:szCs w:val="21"/>
          <w:highlight w:val="none"/>
        </w:rPr>
        <w:t xml:space="preserve">28 天内通知承包人，并指出在颁发接收证书前承包人需进行的工作内容。承包人完成监理人通知的全部工作内容后，应再次提交竣工验收申请报告，直至监理人同意为止。 </w:t>
      </w:r>
    </w:p>
    <w:p>
      <w:pPr>
        <w:numPr>
          <w:ilvl w:val="2"/>
          <w:numId w:val="8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监理人审查后认为已具备竣工验收条件的，应在收到竣工验收申请报告后的</w:t>
      </w:r>
    </w:p>
    <w:p>
      <w:pPr>
        <w:autoSpaceDE w:val="0"/>
        <w:autoSpaceDN w:val="0"/>
        <w:spacing w:before="1" w:line="356" w:lineRule="exact"/>
        <w:ind w:left="138"/>
        <w:rPr>
          <w:rFonts w:ascii="宋体" w:hAnsi="宋体" w:cs="宋体"/>
          <w:color w:val="auto"/>
          <w:szCs w:val="21"/>
          <w:highlight w:val="none"/>
        </w:rPr>
      </w:pPr>
      <w:r>
        <w:rPr>
          <w:rFonts w:hint="eastAsia" w:ascii="宋体" w:hAnsi="宋体" w:cs="宋体"/>
          <w:color w:val="auto"/>
          <w:szCs w:val="21"/>
          <w:highlight w:val="none"/>
        </w:rPr>
        <w:t xml:space="preserve">28 天内提请发包人进行工程验收。 </w:t>
      </w:r>
    </w:p>
    <w:p>
      <w:pPr>
        <w:numPr>
          <w:ilvl w:val="2"/>
          <w:numId w:val="8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发包人经过验收后同意接受工程的，应在监理人收到竣工验收申请报告后的</w:t>
      </w:r>
    </w:p>
    <w:p>
      <w:pPr>
        <w:autoSpaceDE w:val="0"/>
        <w:autoSpaceDN w:val="0"/>
        <w:spacing w:line="356" w:lineRule="exact"/>
        <w:ind w:left="138" w:right="220"/>
        <w:rPr>
          <w:rFonts w:ascii="宋体" w:hAnsi="宋体" w:cs="宋体"/>
          <w:color w:val="auto"/>
          <w:szCs w:val="21"/>
          <w:highlight w:val="none"/>
        </w:rPr>
      </w:pPr>
      <w:r>
        <w:rPr>
          <w:rFonts w:hint="eastAsia" w:ascii="宋体" w:hAnsi="宋体" w:cs="宋体"/>
          <w:color w:val="auto"/>
          <w:szCs w:val="21"/>
          <w:highlight w:val="none"/>
        </w:rPr>
        <w:t xml:space="preserve">56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 </w:t>
      </w:r>
    </w:p>
    <w:p>
      <w:pPr>
        <w:numPr>
          <w:ilvl w:val="2"/>
          <w:numId w:val="84"/>
        </w:numPr>
        <w:autoSpaceDE w:val="0"/>
        <w:autoSpaceDN w:val="0"/>
        <w:spacing w:line="356" w:lineRule="exact"/>
        <w:ind w:left="138" w:right="203" w:firstLine="419"/>
        <w:rPr>
          <w:rFonts w:ascii="宋体" w:hAnsi="宋体" w:cs="宋体"/>
          <w:color w:val="auto"/>
          <w:szCs w:val="21"/>
          <w:highlight w:val="none"/>
        </w:rPr>
      </w:pPr>
      <w:r>
        <w:rPr>
          <w:rFonts w:hint="eastAsia" w:ascii="宋体" w:hAnsi="宋体" w:cs="宋体"/>
          <w:color w:val="auto"/>
          <w:szCs w:val="21"/>
          <w:highlight w:val="none"/>
        </w:rPr>
        <w:t xml:space="preserve">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 18.3.1 项、第 18.3.2 项和第 18.3.3 项的约定进行。 </w:t>
      </w:r>
    </w:p>
    <w:p>
      <w:pPr>
        <w:numPr>
          <w:ilvl w:val="2"/>
          <w:numId w:val="84"/>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经验收合格的工程, 实际竣工日期为承包人按照第 18.2 款提交竣工验收申请报告或按照本款重新提交竣工验收申请报告的日期（以两者中时间在后者为准）。</w:t>
      </w:r>
    </w:p>
    <w:p>
      <w:pPr>
        <w:numPr>
          <w:ilvl w:val="2"/>
          <w:numId w:val="84"/>
        </w:numPr>
        <w:autoSpaceDE w:val="0"/>
        <w:autoSpaceDN w:val="0"/>
        <w:spacing w:line="356" w:lineRule="exact"/>
        <w:ind w:left="138" w:right="205" w:firstLine="419"/>
        <w:rPr>
          <w:rFonts w:ascii="宋体" w:hAnsi="宋体" w:cs="宋体"/>
          <w:color w:val="auto"/>
          <w:szCs w:val="21"/>
          <w:highlight w:val="none"/>
        </w:rPr>
      </w:pPr>
      <w:r>
        <w:rPr>
          <w:rFonts w:hint="eastAsia" w:ascii="宋体" w:hAnsi="宋体" w:cs="宋体"/>
          <w:color w:val="auto"/>
          <w:szCs w:val="21"/>
          <w:highlight w:val="none"/>
        </w:rPr>
        <w:t>发包人在收到承包人竣工验收申请报告 56 天后未进行验收的，视为验收合格，实际竣工日期以提交竣工验收申请报告的日期为准，但发包人由于不可抗力不能进行验收的除外。</w:t>
      </w:r>
    </w:p>
    <w:p>
      <w:pPr>
        <w:keepNext/>
        <w:keepLines/>
        <w:numPr>
          <w:ilvl w:val="1"/>
          <w:numId w:val="85"/>
        </w:numPr>
        <w:spacing w:before="135"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单位工程验收 </w:t>
      </w:r>
    </w:p>
    <w:p>
      <w:pPr>
        <w:numPr>
          <w:ilvl w:val="2"/>
          <w:numId w:val="85"/>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发包人根据合同进度计划安排，在全部工程竣工前需要使用已经竣工的单位工程时，或承包人提出经发包人同意时，可进行单位工程验收。验收的程序可参照第 18.2 款与第 18.3 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numPr>
          <w:ilvl w:val="2"/>
          <w:numId w:val="85"/>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发包人在全部工程竣工前，使用已接收的单位工程导致承包人费用增加的，发包人应承担由此增加的费用和（或）工期延误，并支付承包人合理利润。</w:t>
      </w:r>
    </w:p>
    <w:p>
      <w:pPr>
        <w:keepNext/>
        <w:keepLines/>
        <w:numPr>
          <w:ilvl w:val="1"/>
          <w:numId w:val="85"/>
        </w:numPr>
        <w:spacing w:before="135"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施工期运行 </w:t>
      </w:r>
    </w:p>
    <w:p>
      <w:pPr>
        <w:numPr>
          <w:ilvl w:val="2"/>
          <w:numId w:val="85"/>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施工期运行是指合同工程尚未全部竣工，其中某项或某几项单位工程或工程设备安装已竣工，根据合同条款专用部分约定，需要投入施工期运行的，经发包人按第 18.4款的约定验收合格，证明能确保安全后，才能在施工期投入运行。</w:t>
      </w:r>
    </w:p>
    <w:p>
      <w:pPr>
        <w:numPr>
          <w:ilvl w:val="2"/>
          <w:numId w:val="85"/>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在施工期运行中发现工程或工程设备损坏或存在缺陷的，由承包人按第 19.2款约定进行修复。</w:t>
      </w:r>
    </w:p>
    <w:p>
      <w:pPr>
        <w:keepNext/>
        <w:keepLines/>
        <w:numPr>
          <w:ilvl w:val="1"/>
          <w:numId w:val="85"/>
        </w:numPr>
        <w:spacing w:before="136"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试运行 </w:t>
      </w:r>
    </w:p>
    <w:p>
      <w:pPr>
        <w:numPr>
          <w:ilvl w:val="2"/>
          <w:numId w:val="85"/>
        </w:numPr>
        <w:autoSpaceDE w:val="0"/>
        <w:autoSpaceDN w:val="0"/>
        <w:spacing w:before="1" w:line="356" w:lineRule="exact"/>
        <w:ind w:left="1192"/>
        <w:rPr>
          <w:rFonts w:ascii="宋体" w:hAnsi="宋体" w:cs="宋体"/>
          <w:color w:val="auto"/>
          <w:szCs w:val="21"/>
          <w:highlight w:val="none"/>
        </w:rPr>
      </w:pPr>
      <w:r>
        <w:rPr>
          <w:rFonts w:hint="eastAsia" w:ascii="宋体" w:hAnsi="宋体" w:cs="宋体"/>
          <w:color w:val="auto"/>
          <w:szCs w:val="21"/>
          <w:highlight w:val="none"/>
        </w:rPr>
        <w:t>工程及工程设备试运行的组织与费用承担</w:t>
      </w:r>
    </w:p>
    <w:p>
      <w:pPr>
        <w:numPr>
          <w:ilvl w:val="0"/>
          <w:numId w:val="86"/>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工程设备安装具备单机无负荷试运行条件，由承包人组织试运行，费用由承包人承担。</w:t>
      </w:r>
    </w:p>
    <w:p>
      <w:pPr>
        <w:numPr>
          <w:ilvl w:val="0"/>
          <w:numId w:val="86"/>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工程设备安装具备无负荷联动试运行条件，由发包人组织试运行，费用由发包人承担。</w:t>
      </w:r>
    </w:p>
    <w:p>
      <w:pPr>
        <w:numPr>
          <w:ilvl w:val="0"/>
          <w:numId w:val="86"/>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投料试运行应在工程竣工验收后由发包人负责，如发包人要求在工程竣工验收前进行或需要承包人配合时，应征得承包人同意，另行签订补充协议。</w:t>
      </w:r>
    </w:p>
    <w:p>
      <w:pPr>
        <w:numPr>
          <w:ilvl w:val="2"/>
          <w:numId w:val="85"/>
        </w:numPr>
        <w:autoSpaceDE w:val="0"/>
        <w:autoSpaceDN w:val="0"/>
        <w:spacing w:before="72" w:line="356" w:lineRule="exact"/>
        <w:ind w:right="203" w:firstLine="419"/>
        <w:rPr>
          <w:rFonts w:ascii="宋体" w:hAnsi="宋体" w:cs="宋体"/>
          <w:color w:val="auto"/>
          <w:szCs w:val="21"/>
          <w:highlight w:val="none"/>
        </w:rPr>
      </w:pPr>
      <w:r>
        <w:rPr>
          <w:rFonts w:hint="eastAsia" w:ascii="宋体" w:hAnsi="宋体" w:cs="宋体"/>
          <w:color w:val="auto"/>
          <w:szCs w:val="21"/>
          <w:highlight w:val="none"/>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keepNext/>
        <w:keepLines/>
        <w:numPr>
          <w:ilvl w:val="1"/>
          <w:numId w:val="85"/>
        </w:numPr>
        <w:spacing w:before="135"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竣工清场 </w:t>
      </w:r>
    </w:p>
    <w:p>
      <w:pPr>
        <w:numPr>
          <w:ilvl w:val="2"/>
          <w:numId w:val="85"/>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监理人颁发（出具）工程接收证书后，承包人负责按照以下要求对施工场地进行清理，直至监理人检验合格为止。竣工清场费用由承包人承担。</w:t>
      </w:r>
    </w:p>
    <w:p>
      <w:pPr>
        <w:numPr>
          <w:ilvl w:val="0"/>
          <w:numId w:val="8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施工场地内残留的垃圾已全部清除出场；</w:t>
      </w:r>
    </w:p>
    <w:p>
      <w:pPr>
        <w:numPr>
          <w:ilvl w:val="0"/>
          <w:numId w:val="8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临时工程已拆除，场地已按合同要求进行清理、平整或复原；</w:t>
      </w:r>
    </w:p>
    <w:p>
      <w:pPr>
        <w:numPr>
          <w:ilvl w:val="0"/>
          <w:numId w:val="8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按合同约定应撤离的承包人设备和剩余的材料，包括废弃的施工设备和材料，已按计划撤离施工场地；</w:t>
      </w:r>
    </w:p>
    <w:p>
      <w:pPr>
        <w:numPr>
          <w:ilvl w:val="0"/>
          <w:numId w:val="87"/>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工程建筑物周边及其附近道路、河道的施工堆积物，已按监理人指示全部清理；</w:t>
      </w:r>
    </w:p>
    <w:p>
      <w:pPr>
        <w:numPr>
          <w:ilvl w:val="0"/>
          <w:numId w:val="87"/>
        </w:numPr>
        <w:autoSpaceDE w:val="0"/>
        <w:autoSpaceDN w:val="0"/>
        <w:spacing w:line="356" w:lineRule="exact"/>
        <w:rPr>
          <w:rFonts w:ascii="宋体" w:hAnsi="宋体" w:cs="宋体"/>
          <w:color w:val="auto"/>
          <w:sz w:val="15"/>
          <w:szCs w:val="15"/>
          <w:highlight w:val="none"/>
        </w:rPr>
      </w:pPr>
      <w:r>
        <w:rPr>
          <w:rFonts w:hint="eastAsia" w:ascii="宋体" w:hAnsi="宋体" w:cs="宋体"/>
          <w:color w:val="auto"/>
          <w:szCs w:val="21"/>
          <w:highlight w:val="none"/>
        </w:rPr>
        <w:t>监理人指示的其他场地清理工作已全部完成。</w:t>
      </w:r>
    </w:p>
    <w:p>
      <w:pPr>
        <w:numPr>
          <w:ilvl w:val="2"/>
          <w:numId w:val="85"/>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承包人未按监理人的要求恢复临时占地，或者场地清理未达到合同约定的，发包人有权委托其他人恢复或清理，所发生的金额从拟支付给承包人的款项中扣除。</w:t>
      </w:r>
    </w:p>
    <w:p>
      <w:pPr>
        <w:keepNext/>
        <w:keepLines/>
        <w:numPr>
          <w:ilvl w:val="1"/>
          <w:numId w:val="85"/>
        </w:numPr>
        <w:spacing w:before="136"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施工队伍的撤离 </w:t>
      </w:r>
    </w:p>
    <w:p>
      <w:pPr>
        <w:numPr>
          <w:ilvl w:val="2"/>
          <w:numId w:val="85"/>
        </w:numPr>
        <w:autoSpaceDE w:val="0"/>
        <w:autoSpaceDN w:val="0"/>
        <w:spacing w:before="1"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工程接收证书颁发后的 56 天内，除了经监理人同意需在缺陷责任期内继续工作和使用的人员、施工设备和临时工程外，其余的人员、施工设备和临时工程均应撤离施工场地或拆除。</w:t>
      </w:r>
    </w:p>
    <w:p>
      <w:pPr>
        <w:numPr>
          <w:ilvl w:val="2"/>
          <w:numId w:val="85"/>
        </w:numPr>
        <w:autoSpaceDE w:val="0"/>
        <w:autoSpaceDN w:val="0"/>
        <w:spacing w:line="356" w:lineRule="exact"/>
        <w:ind w:right="207" w:firstLine="419"/>
        <w:rPr>
          <w:rFonts w:ascii="宋体" w:hAnsi="宋体" w:cs="宋体"/>
          <w:color w:val="auto"/>
          <w:szCs w:val="21"/>
          <w:highlight w:val="none"/>
        </w:rPr>
      </w:pPr>
      <w:r>
        <w:rPr>
          <w:rFonts w:hint="eastAsia" w:ascii="宋体" w:hAnsi="宋体" w:cs="宋体"/>
          <w:color w:val="auto"/>
          <w:szCs w:val="21"/>
          <w:highlight w:val="none"/>
        </w:rPr>
        <w:t>承包人撤离施工场地（现场）时，监理人和承包人应当办理永久工程和施工场地移交手续，移交手续以书面方式出具，并分别经过发包人、监理人和承包人的签认。但是，监理人和发包人未按第 17.5.1 项约定的期限办清竣工结算和竣工付款的，本工程不得交付使用，发包人和监理人也无权要求承包人按合同约定的期限撤离施工场地（现场）和办理工程移交手续。</w:t>
      </w:r>
    </w:p>
    <w:p>
      <w:pPr>
        <w:numPr>
          <w:ilvl w:val="2"/>
          <w:numId w:val="85"/>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缺陷责任期满时，承包人的人员和施工设备应在合同约定期限内全部撤离施工场地。撤离施工场地的期限要求见合同条款专用部分。</w:t>
      </w:r>
    </w:p>
    <w:p>
      <w:pPr>
        <w:keepNext/>
        <w:keepLines/>
        <w:numPr>
          <w:ilvl w:val="1"/>
          <w:numId w:val="85"/>
        </w:numPr>
        <w:spacing w:before="134"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中间验收 </w:t>
      </w:r>
    </w:p>
    <w:p>
      <w:pPr>
        <w:numPr>
          <w:ilvl w:val="2"/>
          <w:numId w:val="85"/>
        </w:numPr>
        <w:autoSpaceDE w:val="0"/>
        <w:autoSpaceDN w:val="0"/>
        <w:spacing w:line="356" w:lineRule="exact"/>
        <w:ind w:right="308" w:firstLine="419"/>
        <w:rPr>
          <w:rFonts w:ascii="宋体" w:hAnsi="宋体" w:cs="宋体"/>
          <w:color w:val="auto"/>
          <w:sz w:val="23"/>
          <w:szCs w:val="23"/>
          <w:highlight w:val="none"/>
        </w:rPr>
      </w:pPr>
      <w:r>
        <w:rPr>
          <w:rFonts w:hint="eastAsia" w:ascii="宋体" w:hAnsi="宋体" w:cs="宋体"/>
          <w:color w:val="auto"/>
          <w:szCs w:val="21"/>
          <w:highlight w:val="none"/>
        </w:rPr>
        <w:t>本工程需要按照合同约定进行中间验收。进行中间验收的部位见合同条款专用部分。</w:t>
      </w:r>
    </w:p>
    <w:p>
      <w:pPr>
        <w:numPr>
          <w:ilvl w:val="2"/>
          <w:numId w:val="85"/>
        </w:numPr>
        <w:autoSpaceDE w:val="0"/>
        <w:autoSpaceDN w:val="0"/>
        <w:spacing w:before="72" w:line="356" w:lineRule="exact"/>
        <w:ind w:left="1192"/>
        <w:rPr>
          <w:rFonts w:ascii="宋体" w:hAnsi="宋体" w:cs="宋体"/>
          <w:color w:val="auto"/>
          <w:szCs w:val="21"/>
          <w:highlight w:val="none"/>
        </w:rPr>
      </w:pPr>
      <w:r>
        <w:rPr>
          <w:rFonts w:hint="eastAsia" w:ascii="宋体" w:hAnsi="宋体" w:cs="宋体"/>
          <w:color w:val="auto"/>
          <w:szCs w:val="21"/>
          <w:highlight w:val="none"/>
        </w:rPr>
        <w:t>当工程进度达到第 18.9.1 项约定的中间验收部位时，承包人应当进行自检，</w:t>
      </w:r>
    </w:p>
    <w:p>
      <w:pPr>
        <w:autoSpaceDE w:val="0"/>
        <w:autoSpaceDN w:val="0"/>
        <w:spacing w:line="356" w:lineRule="exact"/>
        <w:ind w:left="138" w:right="309"/>
        <w:rPr>
          <w:rFonts w:ascii="宋体" w:hAnsi="宋体" w:cs="宋体"/>
          <w:color w:val="auto"/>
          <w:szCs w:val="21"/>
          <w:highlight w:val="none"/>
        </w:rPr>
      </w:pPr>
      <w:r>
        <w:rPr>
          <w:rFonts w:hint="eastAsia" w:ascii="宋体" w:hAnsi="宋体" w:cs="宋体"/>
          <w:color w:val="auto"/>
          <w:szCs w:val="21"/>
          <w:highlight w:val="none"/>
        </w:rPr>
        <w:t>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pPr>
        <w:numPr>
          <w:ilvl w:val="2"/>
          <w:numId w:val="85"/>
        </w:numPr>
        <w:autoSpaceDE w:val="0"/>
        <w:autoSpaceDN w:val="0"/>
        <w:spacing w:line="356" w:lineRule="exact"/>
        <w:ind w:left="1192"/>
        <w:rPr>
          <w:rFonts w:ascii="宋体" w:hAnsi="宋体" w:cs="宋体"/>
          <w:color w:val="auto"/>
          <w:szCs w:val="21"/>
          <w:highlight w:val="none"/>
        </w:rPr>
      </w:pPr>
      <w:r>
        <w:rPr>
          <w:rFonts w:hint="eastAsia" w:ascii="宋体" w:hAnsi="宋体" w:cs="宋体"/>
          <w:color w:val="auto"/>
          <w:szCs w:val="21"/>
          <w:highlight w:val="none"/>
        </w:rPr>
        <w:t>监理人不能按时进行验收的，应在验收前至少 24 小时以书面形式向承包人提</w:t>
      </w:r>
    </w:p>
    <w:p>
      <w:pPr>
        <w:autoSpaceDE w:val="0"/>
        <w:autoSpaceDN w:val="0"/>
        <w:spacing w:before="1" w:line="356" w:lineRule="exact"/>
        <w:ind w:left="138" w:right="308"/>
        <w:rPr>
          <w:rFonts w:ascii="宋体" w:hAnsi="宋体" w:cs="宋体"/>
          <w:color w:val="auto"/>
          <w:szCs w:val="21"/>
          <w:highlight w:val="none"/>
        </w:rPr>
      </w:pPr>
      <w:r>
        <w:rPr>
          <w:rFonts w:hint="eastAsia" w:ascii="宋体" w:hAnsi="宋体" w:cs="宋体"/>
          <w:color w:val="auto"/>
          <w:szCs w:val="21"/>
          <w:highlight w:val="none"/>
        </w:rPr>
        <w:t>出延期要求，但延期不能超过 48 小时。监理人未能按本款约定的时限提出延期要求，又未按期进行验收的，承包人可自行组织验收，监理人必须认同验收记录。经监理人验收后工程质量符合约定的验收标准，但验收 24 小时后监理人仍不在验收记录签字的，视为监理人已经认可验收记录，承包人可继续施工。</w:t>
      </w:r>
    </w:p>
    <w:p>
      <w:pPr>
        <w:keepNext/>
        <w:keepLines/>
        <w:numPr>
          <w:ilvl w:val="0"/>
          <w:numId w:val="8"/>
        </w:numPr>
        <w:spacing w:before="260" w:after="260" w:line="356" w:lineRule="exact"/>
        <w:outlineLvl w:val="1"/>
        <w:rPr>
          <w:rFonts w:ascii="Arial" w:hAnsi="Arial"/>
          <w:b/>
          <w:color w:val="auto"/>
          <w:sz w:val="28"/>
          <w:szCs w:val="24"/>
          <w:highlight w:val="none"/>
        </w:rPr>
      </w:pPr>
      <w:bookmarkStart w:id="772" w:name="_Toc101357730"/>
      <w:bookmarkStart w:id="773" w:name="_Toc7059"/>
      <w:bookmarkStart w:id="774" w:name="_Toc27338"/>
      <w:r>
        <w:rPr>
          <w:rFonts w:hint="eastAsia" w:ascii="Arial" w:hAnsi="Arial"/>
          <w:b/>
          <w:color w:val="auto"/>
          <w:sz w:val="28"/>
          <w:szCs w:val="24"/>
          <w:highlight w:val="none"/>
        </w:rPr>
        <w:t>缺陷责任与保修责任</w:t>
      </w:r>
      <w:bookmarkEnd w:id="772"/>
      <w:bookmarkEnd w:id="773"/>
      <w:bookmarkEnd w:id="774"/>
      <w:r>
        <w:rPr>
          <w:rFonts w:hint="eastAsia" w:ascii="Arial" w:hAnsi="Arial"/>
          <w:b/>
          <w:color w:val="auto"/>
          <w:sz w:val="28"/>
          <w:szCs w:val="24"/>
          <w:highlight w:val="none"/>
        </w:rPr>
        <w:t xml:space="preserve"> </w:t>
      </w:r>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缺陷责任期的起算时间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缺陷责任期自实际竣工日期起计算。在全部工程竣工验收前，已经发包人提前验收的单位工程，其缺陷责任期的起算日期相应提前。</w:t>
      </w:r>
    </w:p>
    <w:p>
      <w:pPr>
        <w:keepNext/>
        <w:keepLines/>
        <w:numPr>
          <w:ilvl w:val="1"/>
          <w:numId w:val="8"/>
        </w:numPr>
        <w:spacing w:before="13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缺陷责任 </w:t>
      </w:r>
    </w:p>
    <w:p>
      <w:pPr>
        <w:numPr>
          <w:ilvl w:val="2"/>
          <w:numId w:val="88"/>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承包人应在缺陷责任期内对已交付使用的工程承担缺陷责任。 </w:t>
      </w:r>
    </w:p>
    <w:p>
      <w:pPr>
        <w:numPr>
          <w:ilvl w:val="2"/>
          <w:numId w:val="88"/>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pPr>
        <w:numPr>
          <w:ilvl w:val="2"/>
          <w:numId w:val="88"/>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pPr>
        <w:numPr>
          <w:ilvl w:val="2"/>
          <w:numId w:val="88"/>
        </w:numPr>
        <w:autoSpaceDE w:val="0"/>
        <w:autoSpaceDN w:val="0"/>
        <w:spacing w:line="356" w:lineRule="exact"/>
        <w:ind w:left="138" w:right="220" w:firstLine="419"/>
        <w:rPr>
          <w:rFonts w:ascii="宋体" w:hAnsi="宋体" w:cs="宋体"/>
          <w:color w:val="auto"/>
          <w:szCs w:val="21"/>
          <w:highlight w:val="none"/>
        </w:rPr>
      </w:pPr>
      <w:r>
        <w:rPr>
          <w:rFonts w:hint="eastAsia" w:ascii="宋体" w:hAnsi="宋体" w:cs="宋体"/>
          <w:color w:val="auto"/>
          <w:szCs w:val="21"/>
          <w:highlight w:val="none"/>
        </w:rPr>
        <w:t>承包人不能在合理时间内修复缺陷的，发包人可自行修复或委托其他人修复，所需费用和利润的承担，按第 19.2.3 项约定办理。</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缺陷责任期的延长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由于承包人原因造成某项缺陷或损坏，使某项工程或工程设备不能按原定目标使用，需要再次检查、检验和修复的，发包人有权要求承包人相应延长缺陷责任期，但缺陷责任期最长不超过2年</w:t>
      </w:r>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进一步试验和试运行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承包人的进入权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缺陷责任期内承包人为缺陷修复工作需要，有权进入工程现场，但应遵守发包人的保安和保密规定。</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缺陷责任期终止证书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在第 1.1.4.5 目约定的缺陷责任期，包括根据第 19.3 款延长的期限终止后 14 天内，由监理人向承包人出具经发包人签认的缺陷责任期终止证书，并退还剩余的质量保证金或退还保函。</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保修责任 </w:t>
      </w:r>
    </w:p>
    <w:p>
      <w:pPr>
        <w:numPr>
          <w:ilvl w:val="2"/>
          <w:numId w:val="89"/>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pPr>
        <w:numPr>
          <w:ilvl w:val="2"/>
          <w:numId w:val="89"/>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质量保修书是竣工验收申请报告的组成内容。承包人应当按照有关法律法规规定和合同所附的格式出具质量保修书，质量保修书的主要内容应当与本款上述约定内容一致。承包人在递交合同条款第 18.2 款约定的竣工验收报告的同时，将质量保修书一并报送监理人。</w:t>
      </w:r>
    </w:p>
    <w:p>
      <w:pPr>
        <w:keepNext/>
        <w:keepLines/>
        <w:numPr>
          <w:ilvl w:val="0"/>
          <w:numId w:val="8"/>
        </w:numPr>
        <w:spacing w:before="260" w:after="260" w:line="356" w:lineRule="exact"/>
        <w:outlineLvl w:val="1"/>
        <w:rPr>
          <w:rFonts w:ascii="Arial" w:hAnsi="Arial"/>
          <w:b/>
          <w:color w:val="auto"/>
          <w:sz w:val="28"/>
          <w:szCs w:val="24"/>
          <w:highlight w:val="none"/>
        </w:rPr>
      </w:pPr>
      <w:bookmarkStart w:id="775" w:name="_Toc7119"/>
      <w:bookmarkStart w:id="776" w:name="_Toc101357731"/>
      <w:bookmarkStart w:id="777" w:name="_Toc25167"/>
      <w:r>
        <w:rPr>
          <w:rFonts w:hint="eastAsia" w:ascii="Arial" w:hAnsi="Arial"/>
          <w:b/>
          <w:color w:val="auto"/>
          <w:sz w:val="28"/>
          <w:szCs w:val="24"/>
          <w:highlight w:val="none"/>
        </w:rPr>
        <w:t>保险</w:t>
      </w:r>
      <w:bookmarkEnd w:id="775"/>
      <w:bookmarkEnd w:id="776"/>
      <w:bookmarkEnd w:id="777"/>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工程保险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承包人应以发包人和承包人的共同名义向双方同意的保险人投保建筑工程一切险、安装工程一切险。其具体的投保内容、保险金额、保险费率、保险期限等有关内容见合同条款专用部分。</w:t>
      </w:r>
    </w:p>
    <w:p>
      <w:pPr>
        <w:keepNext/>
        <w:keepLines/>
        <w:numPr>
          <w:ilvl w:val="1"/>
          <w:numId w:val="8"/>
        </w:numPr>
        <w:spacing w:before="6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人员工伤事故的保险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20.2.1 承包人员工伤事故的保险 </w:t>
      </w:r>
    </w:p>
    <w:p>
      <w:pPr>
        <w:numPr>
          <w:ilvl w:val="0"/>
          <w:numId w:val="90"/>
        </w:numPr>
        <w:autoSpaceDE w:val="0"/>
        <w:autoSpaceDN w:val="0"/>
        <w:spacing w:line="356" w:lineRule="exact"/>
        <w:ind w:left="0" w:firstLine="527"/>
        <w:jc w:val="left"/>
        <w:rPr>
          <w:rFonts w:ascii="宋体" w:hAnsi="宋体" w:cs="宋体"/>
          <w:color w:val="auto"/>
          <w:szCs w:val="21"/>
          <w:highlight w:val="none"/>
        </w:rPr>
      </w:pPr>
      <w:r>
        <w:rPr>
          <w:rFonts w:hint="eastAsia" w:ascii="宋体" w:hAnsi="宋体" w:cs="宋体"/>
          <w:color w:val="auto"/>
          <w:szCs w:val="21"/>
          <w:highlight w:val="none"/>
        </w:rPr>
        <w:t xml:space="preserve">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（2）承包人工伤事故保险期限自合同工程开工之日起至合同终止之日止。20.2.2 发包人员工伤事故的保险发包人应依照有关法律法规规定参加工伤保险，为其现场机构雇佣的全部人员，缴纳工伤保险费，并要求其监理人也进行此项保险。</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人身意外伤害险 </w:t>
      </w:r>
    </w:p>
    <w:p>
      <w:pPr>
        <w:numPr>
          <w:ilvl w:val="2"/>
          <w:numId w:val="91"/>
        </w:numPr>
        <w:autoSpaceDE w:val="0"/>
        <w:autoSpaceDN w:val="0"/>
        <w:spacing w:before="1" w:line="356" w:lineRule="exact"/>
        <w:ind w:right="321" w:firstLine="419"/>
        <w:rPr>
          <w:rFonts w:ascii="宋体" w:hAnsi="宋体" w:cs="宋体"/>
          <w:color w:val="auto"/>
          <w:szCs w:val="21"/>
          <w:highlight w:val="none"/>
        </w:rPr>
      </w:pPr>
      <w:r>
        <w:rPr>
          <w:rFonts w:hint="eastAsia" w:ascii="宋体" w:hAnsi="宋体" w:cs="宋体"/>
          <w:color w:val="auto"/>
          <w:szCs w:val="21"/>
          <w:highlight w:val="none"/>
        </w:rPr>
        <w:t xml:space="preserve">发包人应在整个施工期间为其现场机构雇用的全部人员，投保人身意外伤害险，缴纳保险费，并要求其监理人也进行此项保险。 </w:t>
      </w:r>
    </w:p>
    <w:p>
      <w:pPr>
        <w:numPr>
          <w:ilvl w:val="2"/>
          <w:numId w:val="91"/>
        </w:numPr>
        <w:autoSpaceDE w:val="0"/>
        <w:autoSpaceDN w:val="0"/>
        <w:spacing w:line="356" w:lineRule="exact"/>
        <w:ind w:right="321" w:firstLine="419"/>
        <w:rPr>
          <w:rFonts w:ascii="宋体" w:hAnsi="宋体" w:cs="宋体"/>
          <w:color w:val="auto"/>
          <w:szCs w:val="21"/>
          <w:highlight w:val="none"/>
        </w:rPr>
      </w:pPr>
      <w:r>
        <w:rPr>
          <w:rFonts w:hint="eastAsia" w:ascii="宋体" w:hAnsi="宋体" w:cs="宋体"/>
          <w:color w:val="auto"/>
          <w:szCs w:val="21"/>
          <w:highlight w:val="none"/>
        </w:rPr>
        <w:t xml:space="preserve">承包人应在整个施工期间为其现场机构雇用的全部人员，投保人身意外伤害险，缴纳保险费，并要求其分包人也进行此项保险。 </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第三者责任险 </w:t>
      </w:r>
    </w:p>
    <w:p>
      <w:pPr>
        <w:numPr>
          <w:ilvl w:val="2"/>
          <w:numId w:val="9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 </w:t>
      </w:r>
    </w:p>
    <w:p>
      <w:pPr>
        <w:numPr>
          <w:ilvl w:val="2"/>
          <w:numId w:val="92"/>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在缺陷责任期终止证书颁发前，承包人应以承包人和发包人的共同名义，投保第20.4.1 项约定的第三者责任险，其保险费率、保险金额、保险费承担人等有关内容见合同条款专用部分。</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其他保险 </w:t>
      </w:r>
    </w:p>
    <w:p>
      <w:pPr>
        <w:autoSpaceDE w:val="0"/>
        <w:autoSpaceDN w:val="0"/>
        <w:spacing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承包人应为其施工设备、进场的材料和工程设备等办理保险。办理保险的险种见合同条款专用部分。</w:t>
      </w:r>
    </w:p>
    <w:p>
      <w:pPr>
        <w:keepNext/>
        <w:keepLines/>
        <w:numPr>
          <w:ilvl w:val="1"/>
          <w:numId w:val="8"/>
        </w:numPr>
        <w:spacing w:before="135"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对各项保险的一般要求 </w:t>
      </w:r>
    </w:p>
    <w:p>
      <w:pPr>
        <w:numPr>
          <w:ilvl w:val="2"/>
          <w:numId w:val="93"/>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保险凭证 </w:t>
      </w:r>
    </w:p>
    <w:p>
      <w:p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承包人应在合同约定的期限内向发包人提交各项保险生效的证据和保险单副本，保险单</w:t>
      </w:r>
    </w:p>
    <w:p>
      <w:pPr>
        <w:autoSpaceDE w:val="0"/>
        <w:autoSpaceDN w:val="0"/>
        <w:spacing w:before="72" w:line="356" w:lineRule="exact"/>
        <w:ind w:right="308"/>
        <w:rPr>
          <w:rFonts w:ascii="宋体" w:hAnsi="宋体" w:cs="宋体"/>
          <w:color w:val="auto"/>
          <w:szCs w:val="21"/>
          <w:highlight w:val="none"/>
        </w:rPr>
      </w:pPr>
      <w:r>
        <w:rPr>
          <w:rFonts w:hint="eastAsia" w:ascii="宋体" w:hAnsi="宋体" w:cs="宋体"/>
          <w:color w:val="auto"/>
          <w:szCs w:val="21"/>
          <w:highlight w:val="none"/>
        </w:rPr>
        <w:t>必须与合同约定的条件保持一致。各项保险生效的证据和保险单副本的期限见合同条款专用部分。</w:t>
      </w:r>
    </w:p>
    <w:p>
      <w:pPr>
        <w:numPr>
          <w:ilvl w:val="2"/>
          <w:numId w:val="93"/>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保险合同条款的变动</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承包人需要变动保险合同条款时，应事先征得发包人同意，并通知监理人。保险人作出变动的，承包人应在收到保险人通知后立即通知发包人和监理人。</w:t>
      </w:r>
    </w:p>
    <w:p>
      <w:pPr>
        <w:numPr>
          <w:ilvl w:val="2"/>
          <w:numId w:val="93"/>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持续保险 </w:t>
      </w:r>
    </w:p>
    <w:p>
      <w:pPr>
        <w:autoSpaceDE w:val="0"/>
        <w:autoSpaceDN w:val="0"/>
        <w:spacing w:before="1"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承包人应与保险人保持联系，使保险人能够随时了解工程实施中的变动，并确保按保险合同条款要求持续保险。</w:t>
      </w:r>
    </w:p>
    <w:p>
      <w:pPr>
        <w:numPr>
          <w:ilvl w:val="2"/>
          <w:numId w:val="93"/>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保险金不足的补偿 </w:t>
      </w:r>
    </w:p>
    <w:p>
      <w:pPr>
        <w:autoSpaceDE w:val="0"/>
        <w:autoSpaceDN w:val="0"/>
        <w:spacing w:before="1"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保险金不足以补偿损失的，应由承包人和（或）发包人按合同约定负责补偿。保险金不足的补偿原则见合同条款专用部分。</w:t>
      </w:r>
    </w:p>
    <w:p>
      <w:pPr>
        <w:numPr>
          <w:ilvl w:val="2"/>
          <w:numId w:val="93"/>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未按约定投保的补救</w:t>
      </w:r>
    </w:p>
    <w:p>
      <w:pPr>
        <w:numPr>
          <w:ilvl w:val="0"/>
          <w:numId w:val="94"/>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由于负有投保义务的一方当事人未按合同约定办理保险，或未能使保险持续有效的，另一方当事人可代为办理，所需费用由对方当事人承担。</w:t>
      </w:r>
    </w:p>
    <w:p>
      <w:pPr>
        <w:numPr>
          <w:ilvl w:val="0"/>
          <w:numId w:val="94"/>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由于负有投保义务的一方当事人未按合同约定办理某项保险，导致受益人未能得到保险人的赔偿，原应从该项保险得到的保险金应由负有投保义务的一方当事人支付。</w:t>
      </w:r>
    </w:p>
    <w:p>
      <w:pPr>
        <w:numPr>
          <w:ilvl w:val="2"/>
          <w:numId w:val="93"/>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报告义务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当保险事故发生时，投保人应按照保险单规定的条件和期限及时向保险人报告。 </w:t>
      </w:r>
    </w:p>
    <w:p>
      <w:pPr>
        <w:keepNext/>
        <w:keepLines/>
        <w:numPr>
          <w:ilvl w:val="0"/>
          <w:numId w:val="8"/>
        </w:numPr>
        <w:spacing w:before="260" w:after="260" w:line="356" w:lineRule="exact"/>
        <w:outlineLvl w:val="1"/>
        <w:rPr>
          <w:rFonts w:ascii="Arial" w:hAnsi="Arial"/>
          <w:b/>
          <w:color w:val="auto"/>
          <w:sz w:val="28"/>
          <w:szCs w:val="24"/>
          <w:highlight w:val="none"/>
        </w:rPr>
      </w:pPr>
      <w:bookmarkStart w:id="778" w:name="_Toc101357732"/>
      <w:bookmarkStart w:id="779" w:name="_Toc4900"/>
      <w:bookmarkStart w:id="780" w:name="_Toc12847"/>
      <w:r>
        <w:rPr>
          <w:rFonts w:hint="eastAsia" w:ascii="Arial" w:hAnsi="Arial"/>
          <w:b/>
          <w:color w:val="auto"/>
          <w:sz w:val="28"/>
          <w:szCs w:val="24"/>
          <w:highlight w:val="none"/>
        </w:rPr>
        <w:t>不可抗力</w:t>
      </w:r>
      <w:bookmarkEnd w:id="778"/>
      <w:bookmarkEnd w:id="779"/>
      <w:bookmarkEnd w:id="780"/>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不可抗力的确认 </w:t>
      </w:r>
    </w:p>
    <w:p>
      <w:pPr>
        <w:numPr>
          <w:ilvl w:val="2"/>
          <w:numId w:val="95"/>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pPr>
        <w:numPr>
          <w:ilvl w:val="2"/>
          <w:numId w:val="95"/>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不可抗力发生后，发包人和承包人应及时认真统计所造成的损失，收集不可抗力造成损失的证据。合同双方对是否属于不可抗力或其损失的意见不一致的，由监理人按第3.5 款商定或确定。发生争议时，按第 24 条的约定办理。 </w:t>
      </w:r>
    </w:p>
    <w:p>
      <w:pPr>
        <w:keepNext/>
        <w:keepLines/>
        <w:numPr>
          <w:ilvl w:val="1"/>
          <w:numId w:val="96"/>
        </w:numPr>
        <w:spacing w:before="1"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不可抗力的通知 </w:t>
      </w:r>
    </w:p>
    <w:p>
      <w:pPr>
        <w:autoSpaceDE w:val="0"/>
        <w:autoSpaceDN w:val="0"/>
        <w:spacing w:line="356" w:lineRule="exact"/>
        <w:ind w:firstLine="440" w:firstLineChars="200"/>
        <w:rPr>
          <w:rFonts w:ascii="宋体" w:hAnsi="宋体" w:cs="宋体"/>
          <w:color w:val="auto"/>
          <w:szCs w:val="21"/>
          <w:highlight w:val="none"/>
        </w:rPr>
      </w:pPr>
      <w:r>
        <w:rPr>
          <w:rFonts w:hint="eastAsia" w:ascii="宋体" w:hAnsi="宋体" w:cs="宋体"/>
          <w:color w:val="auto"/>
          <w:szCs w:val="21"/>
          <w:highlight w:val="none"/>
        </w:rPr>
        <w:t xml:space="preserve">21.2.1 合同一方当事人遇到不可抗力事件，使其履行合同义务受到阻碍时，应立即通知合同另一方当事人和监理人，书面说明不可抗力和受阻碍的详细情况，并提供必要的证明。    21.2.2 如不可抗力持续发生，合同一方当事人应及时向合同另一方当事人和监理人提交中间报告，说明不可抗力和履行合同受阻的情况，并于不可抗力事件结束后 28 天内提交最终报告及有关资料。 </w:t>
      </w:r>
    </w:p>
    <w:p>
      <w:pPr>
        <w:keepNext/>
        <w:keepLines/>
        <w:numPr>
          <w:ilvl w:val="1"/>
          <w:numId w:val="96"/>
        </w:numPr>
        <w:spacing w:before="135" w:line="356" w:lineRule="exact"/>
        <w:ind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不可抗力后果及其处理 </w:t>
      </w:r>
    </w:p>
    <w:p>
      <w:pPr>
        <w:numPr>
          <w:ilvl w:val="2"/>
          <w:numId w:val="96"/>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不可抗力造成损害的责任</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不可抗力导致的人员伤亡、财产损失、费用增加和（或）工期延误等后果，由合同双方按以下原则承担：</w:t>
      </w:r>
    </w:p>
    <w:p>
      <w:pPr>
        <w:numPr>
          <w:ilvl w:val="0"/>
          <w:numId w:val="97"/>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永久工程，包括已运至施工场地的材料和工程设备的损害，以及因工程损害造成的第三者人员伤亡和财产损失由发包人承担；</w:t>
      </w:r>
    </w:p>
    <w:p>
      <w:pPr>
        <w:numPr>
          <w:ilvl w:val="0"/>
          <w:numId w:val="97"/>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 xml:space="preserve"> 承包人设备的损坏由承包人承担；</w:t>
      </w:r>
    </w:p>
    <w:p>
      <w:pPr>
        <w:numPr>
          <w:ilvl w:val="0"/>
          <w:numId w:val="97"/>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 xml:space="preserve"> 发包人和承包人各自承担其人员伤亡和其他财产损失及其相关费用； </w:t>
      </w:r>
    </w:p>
    <w:p>
      <w:pPr>
        <w:numPr>
          <w:ilvl w:val="0"/>
          <w:numId w:val="97"/>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承包人的停工损失由承包人承担，但停工期间应监理人要求照管工程和清理、修复工程的金额由发包人承担；</w:t>
      </w:r>
    </w:p>
    <w:p>
      <w:pPr>
        <w:numPr>
          <w:ilvl w:val="0"/>
          <w:numId w:val="97"/>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不能按期竣工的，应合理延长工期，承包人不需支付逾期竣工违约金。发包人要求赶工的，承包人应采取赶工措施，赶工费用由发包人承担。</w:t>
      </w:r>
    </w:p>
    <w:p>
      <w:pPr>
        <w:numPr>
          <w:ilvl w:val="2"/>
          <w:numId w:val="96"/>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延迟履行期间发生的不可抗力</w:t>
      </w:r>
    </w:p>
    <w:p>
      <w:pPr>
        <w:autoSpaceDE w:val="0"/>
        <w:autoSpaceDN w:val="0"/>
        <w:spacing w:line="356" w:lineRule="exact"/>
        <w:ind w:left="558" w:right="954"/>
        <w:rPr>
          <w:rFonts w:ascii="宋体" w:hAnsi="宋体" w:cs="宋体"/>
          <w:color w:val="auto"/>
          <w:szCs w:val="21"/>
          <w:highlight w:val="none"/>
        </w:rPr>
      </w:pPr>
      <w:r>
        <w:rPr>
          <w:rFonts w:hint="eastAsia" w:ascii="宋体" w:hAnsi="宋体" w:cs="宋体"/>
          <w:color w:val="auto"/>
          <w:szCs w:val="21"/>
          <w:highlight w:val="none"/>
        </w:rPr>
        <w:t>合同一方当事人延迟履行，在延迟履行期间发生不可抗力的，不免除其责。</w:t>
      </w:r>
    </w:p>
    <w:p>
      <w:pPr>
        <w:autoSpaceDE w:val="0"/>
        <w:autoSpaceDN w:val="0"/>
        <w:spacing w:line="356" w:lineRule="exact"/>
        <w:ind w:left="558" w:right="954"/>
        <w:rPr>
          <w:rFonts w:ascii="宋体" w:hAnsi="宋体" w:cs="宋体"/>
          <w:color w:val="auto"/>
          <w:szCs w:val="21"/>
          <w:highlight w:val="none"/>
        </w:rPr>
      </w:pPr>
      <w:r>
        <w:rPr>
          <w:rFonts w:hint="eastAsia" w:ascii="宋体" w:hAnsi="宋体" w:cs="宋体"/>
          <w:color w:val="auto"/>
          <w:szCs w:val="21"/>
          <w:highlight w:val="none"/>
        </w:rPr>
        <w:t xml:space="preserve">21.3.3 避免和减少不可抗力损失 </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不可抗力发生后，发包人和承包人均应采取措施尽量避免和减少损失的扩大，任何一方没有采取有效措施导致损失扩大的，应对扩大的损失承担责任。</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21.3.4 因不可抗力解除合同 </w:t>
      </w:r>
    </w:p>
    <w:p>
      <w:pPr>
        <w:autoSpaceDE w:val="0"/>
        <w:autoSpaceDN w:val="0"/>
        <w:spacing w:line="356" w:lineRule="exact"/>
        <w:ind w:left="138" w:right="203" w:firstLine="419"/>
        <w:rPr>
          <w:rFonts w:ascii="宋体" w:hAnsi="宋体" w:cs="宋体"/>
          <w:color w:val="auto"/>
          <w:szCs w:val="21"/>
          <w:highlight w:val="none"/>
        </w:rPr>
      </w:pPr>
      <w:r>
        <w:rPr>
          <w:rFonts w:hint="eastAsia" w:ascii="宋体" w:hAnsi="宋体" w:cs="宋体"/>
          <w:color w:val="auto"/>
          <w:szCs w:val="21"/>
          <w:highlight w:val="none"/>
        </w:rPr>
        <w:t>合同一方当事人因不可抗力不能履行合同的，应当及时通知对方解除合同。合同解除后， 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w:t>
      </w:r>
    </w:p>
    <w:p>
      <w:pPr>
        <w:keepNext/>
        <w:keepLines/>
        <w:numPr>
          <w:ilvl w:val="0"/>
          <w:numId w:val="8"/>
        </w:numPr>
        <w:spacing w:before="260" w:after="260" w:line="356" w:lineRule="exact"/>
        <w:outlineLvl w:val="1"/>
        <w:rPr>
          <w:rFonts w:ascii="Arial" w:hAnsi="Arial"/>
          <w:b/>
          <w:color w:val="auto"/>
          <w:sz w:val="28"/>
          <w:szCs w:val="24"/>
          <w:highlight w:val="none"/>
        </w:rPr>
      </w:pPr>
      <w:bookmarkStart w:id="781" w:name="_Toc18404"/>
      <w:bookmarkStart w:id="782" w:name="_Toc7109"/>
      <w:bookmarkStart w:id="783" w:name="_Toc101357733"/>
      <w:r>
        <w:rPr>
          <w:rFonts w:hint="eastAsia" w:ascii="Arial" w:hAnsi="Arial"/>
          <w:b/>
          <w:color w:val="auto"/>
          <w:sz w:val="28"/>
          <w:szCs w:val="24"/>
          <w:highlight w:val="none"/>
        </w:rPr>
        <w:t>违约</w:t>
      </w:r>
      <w:bookmarkEnd w:id="781"/>
      <w:bookmarkEnd w:id="782"/>
      <w:bookmarkEnd w:id="783"/>
    </w:p>
    <w:p>
      <w:pPr>
        <w:keepNext/>
        <w:keepLines/>
        <w:spacing w:line="356" w:lineRule="exact"/>
        <w:ind w:left="137"/>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22.1承包人违约 </w:t>
      </w:r>
    </w:p>
    <w:p>
      <w:pPr>
        <w:autoSpaceDE w:val="0"/>
        <w:autoSpaceDN w:val="0"/>
        <w:spacing w:before="1"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22.1.1 承包人违约的情形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在履行合同过程中发生的下列情况属承包人违约： </w:t>
      </w:r>
    </w:p>
    <w:p>
      <w:pPr>
        <w:numPr>
          <w:ilvl w:val="0"/>
          <w:numId w:val="98"/>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承包人违反第 1.8 款或第 4.3 款的约定，私自将合同的全部或部分权利转让给其他人，或私自将合同的全部或部分义务转移给其他人；</w:t>
      </w:r>
    </w:p>
    <w:p>
      <w:pPr>
        <w:numPr>
          <w:ilvl w:val="0"/>
          <w:numId w:val="98"/>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承包人违反第 5.3 款或第 6.4 款的约定，未经监理人批准，私自将已按合同约定进入施工场地的施工设备、临时设施或材料撤离施工场地；</w:t>
      </w:r>
    </w:p>
    <w:p>
      <w:pPr>
        <w:numPr>
          <w:ilvl w:val="0"/>
          <w:numId w:val="98"/>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承包人违反第 5.4 款的约定使用了不合格材料或工程设备，工程质量达不到标准要求，又拒绝清除不合格工程；</w:t>
      </w:r>
    </w:p>
    <w:p>
      <w:pPr>
        <w:numPr>
          <w:ilvl w:val="0"/>
          <w:numId w:val="98"/>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承包人未能按合同进度计划及时完成合同约定的工作，已造成或预期造成工期延误；</w:t>
      </w:r>
    </w:p>
    <w:p>
      <w:pPr>
        <w:numPr>
          <w:ilvl w:val="0"/>
          <w:numId w:val="98"/>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承包人在缺陷责任期内，未能对工程接收证书所列的缺陷清单的内容或缺陷责任期内发生的缺陷进行修复，而又拒绝按监理人指示再进行修补；</w:t>
      </w:r>
    </w:p>
    <w:p>
      <w:pPr>
        <w:numPr>
          <w:ilvl w:val="0"/>
          <w:numId w:val="98"/>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 xml:space="preserve">承包人无法继续履行或明确表示不履行或实质上已停止履行合同； </w:t>
      </w:r>
    </w:p>
    <w:p>
      <w:pPr>
        <w:numPr>
          <w:ilvl w:val="0"/>
          <w:numId w:val="98"/>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承包人不按合同约定履行义务的其他情况。</w:t>
      </w:r>
    </w:p>
    <w:p>
      <w:pPr>
        <w:autoSpaceDE w:val="0"/>
        <w:autoSpaceDN w:val="0"/>
        <w:spacing w:line="356" w:lineRule="exact"/>
        <w:ind w:left="558" w:right="3585"/>
        <w:rPr>
          <w:rFonts w:ascii="宋体" w:hAnsi="宋体" w:cs="宋体"/>
          <w:color w:val="auto"/>
          <w:szCs w:val="21"/>
          <w:highlight w:val="none"/>
        </w:rPr>
      </w:pPr>
      <w:r>
        <w:rPr>
          <w:rFonts w:hint="eastAsia" w:ascii="宋体" w:hAnsi="宋体" w:cs="宋体"/>
          <w:color w:val="auto"/>
          <w:szCs w:val="21"/>
          <w:highlight w:val="none"/>
        </w:rPr>
        <w:t>22.1.2 对承包人违约的处理</w:t>
      </w:r>
    </w:p>
    <w:p>
      <w:pPr>
        <w:numPr>
          <w:ilvl w:val="0"/>
          <w:numId w:val="99"/>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承包人发生第 22.1.1（6）目约定的违约情况时，发包人可通知承包人立即解除合同，并按有关法律处理。 </w:t>
      </w:r>
    </w:p>
    <w:p>
      <w:pPr>
        <w:numPr>
          <w:ilvl w:val="0"/>
          <w:numId w:val="99"/>
        </w:numPr>
        <w:autoSpaceDE w:val="0"/>
        <w:autoSpaceDN w:val="0"/>
        <w:spacing w:line="356" w:lineRule="exact"/>
        <w:ind w:right="205" w:firstLine="419"/>
        <w:rPr>
          <w:rFonts w:ascii="宋体" w:hAnsi="宋体" w:cs="宋体"/>
          <w:color w:val="auto"/>
          <w:szCs w:val="21"/>
          <w:highlight w:val="none"/>
        </w:rPr>
      </w:pPr>
      <w:r>
        <w:rPr>
          <w:rFonts w:hint="eastAsia" w:ascii="宋体" w:hAnsi="宋体" w:cs="宋体"/>
          <w:color w:val="auto"/>
          <w:szCs w:val="21"/>
          <w:highlight w:val="none"/>
        </w:rPr>
        <w:t>承包人发生除第 22.1.1（6）目约定以外的其他违约情况时，监理人可向承包人发出整改通知，要求其在指定的期限内改正。承包人应承担其违约所引起的费用增加和（或） 工期延误。</w:t>
      </w:r>
    </w:p>
    <w:p>
      <w:pPr>
        <w:numPr>
          <w:ilvl w:val="0"/>
          <w:numId w:val="99"/>
        </w:numPr>
        <w:autoSpaceDE w:val="0"/>
        <w:autoSpaceDN w:val="0"/>
        <w:spacing w:line="356" w:lineRule="exact"/>
        <w:ind w:right="309" w:firstLine="419"/>
        <w:rPr>
          <w:highlight w:val="none"/>
        </w:rPr>
      </w:pPr>
      <w:r>
        <w:rPr>
          <w:rFonts w:hint="eastAsia" w:ascii="宋体" w:hAnsi="宋体" w:cs="宋体"/>
          <w:color w:val="auto"/>
          <w:szCs w:val="21"/>
          <w:highlight w:val="none"/>
        </w:rPr>
        <w:t>经检查证明承包人已采取了有效措施纠正违约行为，具备复工条件的，可由监理人签发复工通知复工。</w:t>
      </w:r>
    </w:p>
    <w:p>
      <w:pPr>
        <w:numPr>
          <w:ilvl w:val="2"/>
          <w:numId w:val="100"/>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承包人违约解除合同</w:t>
      </w:r>
    </w:p>
    <w:p>
      <w:pPr>
        <w:autoSpaceDE w:val="0"/>
        <w:autoSpaceDN w:val="0"/>
        <w:spacing w:line="356" w:lineRule="exact"/>
        <w:ind w:left="138" w:right="205" w:firstLine="419"/>
        <w:rPr>
          <w:rFonts w:ascii="宋体" w:hAnsi="宋体" w:cs="宋体"/>
          <w:color w:val="auto"/>
          <w:szCs w:val="21"/>
          <w:highlight w:val="none"/>
        </w:rPr>
      </w:pPr>
      <w:r>
        <w:rPr>
          <w:rFonts w:hint="eastAsia" w:ascii="宋体" w:hAnsi="宋体" w:cs="宋体"/>
          <w:color w:val="auto"/>
          <w:szCs w:val="21"/>
          <w:highlight w:val="none"/>
        </w:rPr>
        <w:t xml:space="preserve">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 </w:t>
      </w:r>
    </w:p>
    <w:p>
      <w:pPr>
        <w:numPr>
          <w:ilvl w:val="2"/>
          <w:numId w:val="100"/>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合同解除后的估价、付款和结清</w:t>
      </w:r>
    </w:p>
    <w:p>
      <w:pPr>
        <w:numPr>
          <w:ilvl w:val="0"/>
          <w:numId w:val="101"/>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合同解除后，监理人按第 3.5 款商定或确定承包人实际完成工作的价值，以及承包人已提供的材料、施工设备、工程设备和临时工程等的价值。</w:t>
      </w:r>
    </w:p>
    <w:p>
      <w:pPr>
        <w:numPr>
          <w:ilvl w:val="0"/>
          <w:numId w:val="101"/>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 xml:space="preserve">合同解除后，发包人应暂停对承包人的一切付款，查清各项付款和已扣款金额， 包括承包人应支付的违约金。 </w:t>
      </w:r>
    </w:p>
    <w:p>
      <w:pPr>
        <w:numPr>
          <w:ilvl w:val="0"/>
          <w:numId w:val="101"/>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合同解除后，发包人应按第 23.4 款的约定向承包人索赔由于解除合同给发包人造成的损失。</w:t>
      </w:r>
    </w:p>
    <w:p>
      <w:pPr>
        <w:numPr>
          <w:ilvl w:val="0"/>
          <w:numId w:val="101"/>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合同双方确认上述往来款项后，出具最终结清付款证书，结清全部合同款项。</w:t>
      </w:r>
    </w:p>
    <w:p>
      <w:pPr>
        <w:numPr>
          <w:ilvl w:val="0"/>
          <w:numId w:val="101"/>
        </w:numPr>
        <w:autoSpaceDE w:val="0"/>
        <w:autoSpaceDN w:val="0"/>
        <w:spacing w:line="356" w:lineRule="exact"/>
        <w:ind w:left="1087"/>
        <w:rPr>
          <w:rFonts w:ascii="宋体" w:hAnsi="宋体" w:cs="宋体"/>
          <w:color w:val="auto"/>
          <w:szCs w:val="21"/>
          <w:highlight w:val="none"/>
        </w:rPr>
      </w:pPr>
      <w:r>
        <w:rPr>
          <w:rFonts w:hint="eastAsia" w:ascii="宋体" w:hAnsi="宋体" w:cs="宋体"/>
          <w:color w:val="auto"/>
          <w:szCs w:val="21"/>
          <w:highlight w:val="none"/>
        </w:rPr>
        <w:t>发包人和承包人未能就解除合同后的结清达成一致而形成争议的，按第 24 条的约定办理。</w:t>
      </w:r>
    </w:p>
    <w:p>
      <w:pPr>
        <w:numPr>
          <w:ilvl w:val="2"/>
          <w:numId w:val="100"/>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协议利益的转让</w:t>
      </w:r>
    </w:p>
    <w:p>
      <w:pPr>
        <w:autoSpaceDE w:val="0"/>
        <w:autoSpaceDN w:val="0"/>
        <w:spacing w:before="1"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因承包人违约解除合同的，发包人有权要求承包人将其为实施合同而签订的材料和设备的订货协议或任何服务协议利益转让给发包人，并在解除合同后的 14 天内，依法办理转让手续。 </w:t>
      </w:r>
    </w:p>
    <w:p>
      <w:pPr>
        <w:numPr>
          <w:ilvl w:val="2"/>
          <w:numId w:val="100"/>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紧急情况下无能力或不愿进行抢救 </w:t>
      </w:r>
    </w:p>
    <w:p>
      <w:pPr>
        <w:autoSpaceDE w:val="0"/>
        <w:autoSpaceDN w:val="0"/>
        <w:spacing w:line="356" w:lineRule="exact"/>
        <w:ind w:left="138" w:right="310" w:firstLine="419"/>
        <w:rPr>
          <w:rFonts w:ascii="宋体" w:hAnsi="宋体" w:cs="宋体"/>
          <w:color w:val="auto"/>
          <w:szCs w:val="21"/>
          <w:highlight w:val="none"/>
        </w:rPr>
      </w:pPr>
      <w:r>
        <w:rPr>
          <w:rFonts w:hint="eastAsia" w:ascii="宋体" w:hAnsi="宋体" w:cs="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keepNext/>
        <w:keepLines/>
        <w:spacing w:before="135" w:line="356" w:lineRule="exact"/>
        <w:ind w:left="137"/>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22.2发包人违约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22.2.1 发包人违约的情形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在履行合同过程中发生的下列情形，属发包人违约：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（1）发包人未能按合同约定支付预付款或合同价款，或拖延、拒绝批准付款申请和支付凭证，导致付款延误的； </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（2）发包人原因造成停工的；</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（3）监理人无正当理由没有在约定期限内发出复工指示，导致承包人无法复工的；</w:t>
      </w:r>
    </w:p>
    <w:p>
      <w:pPr>
        <w:autoSpaceDE w:val="0"/>
        <w:autoSpaceDN w:val="0"/>
        <w:spacing w:line="356" w:lineRule="exact"/>
        <w:ind w:left="558"/>
        <w:rPr>
          <w:rFonts w:ascii="宋体" w:hAnsi="宋体" w:cs="宋体"/>
          <w:color w:val="auto"/>
          <w:szCs w:val="21"/>
          <w:highlight w:val="none"/>
        </w:rPr>
      </w:pPr>
      <w:r>
        <w:rPr>
          <w:rFonts w:hint="eastAsia" w:ascii="宋体" w:hAnsi="宋体" w:cs="宋体"/>
          <w:color w:val="auto"/>
          <w:szCs w:val="21"/>
          <w:highlight w:val="none"/>
        </w:rPr>
        <w:t xml:space="preserve">（4）发包人无法继续履行或明确表示不履行或实质上已停止履行合同的； </w:t>
      </w:r>
    </w:p>
    <w:p>
      <w:pPr>
        <w:autoSpaceDE w:val="0"/>
        <w:autoSpaceDN w:val="0"/>
        <w:spacing w:before="72" w:line="356" w:lineRule="exact"/>
        <w:ind w:left="138" w:right="205" w:firstLine="419"/>
        <w:rPr>
          <w:rFonts w:ascii="宋体" w:hAnsi="宋体" w:cs="宋体"/>
          <w:color w:val="auto"/>
          <w:szCs w:val="21"/>
          <w:highlight w:val="none"/>
        </w:rPr>
      </w:pPr>
      <w:r>
        <w:rPr>
          <w:rFonts w:hint="eastAsia" w:ascii="宋体" w:hAnsi="宋体" w:cs="宋体"/>
          <w:color w:val="auto"/>
          <w:szCs w:val="21"/>
          <w:highlight w:val="none"/>
        </w:rPr>
        <w:t>（5）发包人不履行合同约定其他义务的。</w:t>
      </w:r>
    </w:p>
    <w:p>
      <w:pPr>
        <w:autoSpaceDE w:val="0"/>
        <w:autoSpaceDN w:val="0"/>
        <w:spacing w:before="72" w:line="356" w:lineRule="exact"/>
        <w:ind w:left="138" w:right="205" w:firstLine="419"/>
        <w:rPr>
          <w:rFonts w:ascii="宋体" w:hAnsi="宋体" w:cs="宋体"/>
          <w:color w:val="auto"/>
          <w:szCs w:val="21"/>
          <w:highlight w:val="none"/>
        </w:rPr>
      </w:pPr>
      <w:r>
        <w:rPr>
          <w:rFonts w:hint="eastAsia" w:ascii="宋体" w:hAnsi="宋体" w:cs="宋体"/>
          <w:color w:val="auto"/>
          <w:szCs w:val="21"/>
          <w:highlight w:val="none"/>
        </w:rPr>
        <w:t>22.2.2 承包人有权暂停施工</w:t>
      </w:r>
    </w:p>
    <w:p>
      <w:pPr>
        <w:autoSpaceDE w:val="0"/>
        <w:autoSpaceDN w:val="0"/>
        <w:spacing w:before="72" w:line="356" w:lineRule="exact"/>
        <w:ind w:left="138" w:right="205" w:firstLine="419"/>
        <w:rPr>
          <w:rFonts w:ascii="宋体" w:hAnsi="宋体" w:cs="宋体"/>
          <w:color w:val="auto"/>
          <w:szCs w:val="21"/>
          <w:highlight w:val="none"/>
        </w:rPr>
      </w:pPr>
      <w:r>
        <w:rPr>
          <w:rFonts w:hint="eastAsia" w:ascii="宋体" w:hAnsi="宋体" w:cs="宋体"/>
          <w:color w:val="auto"/>
          <w:szCs w:val="21"/>
          <w:highlight w:val="none"/>
        </w:rPr>
        <w:t>发包人发生除第 22.2.1（4）目以外的违约情况时，承包人可向发包人发出通知，要求发包人采取有效措施纠正违约行为。发包人收到承包人通知后的 28 天内仍不履行合同义务， 承包人有权暂停施工，并通知监理人，发包人应承担由此增加的费用和（或）工期延误，并支付承包人合理利润。</w:t>
      </w:r>
    </w:p>
    <w:p>
      <w:pPr>
        <w:numPr>
          <w:ilvl w:val="2"/>
          <w:numId w:val="102"/>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发包人违约解除合同 </w:t>
      </w:r>
    </w:p>
    <w:p>
      <w:pPr>
        <w:numPr>
          <w:ilvl w:val="0"/>
          <w:numId w:val="103"/>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发生第 22.2.1（4）目的违约情况时，承包人可书面通知发包人解除合同。   </w:t>
      </w:r>
    </w:p>
    <w:p>
      <w:pPr>
        <w:numPr>
          <w:ilvl w:val="0"/>
          <w:numId w:val="103"/>
        </w:num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承包人按第 22.2.2 项暂停施工 28 天后，发包人仍不纠正违约行为的，承包人可向发包人发出解除合同通知。但承包人的这一行动不免除发包人承担的违约责任，也不影响承包人根据合同约定享有的索赔权利。</w:t>
      </w:r>
    </w:p>
    <w:p>
      <w:pPr>
        <w:numPr>
          <w:ilvl w:val="2"/>
          <w:numId w:val="102"/>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解除合同后的付款 </w:t>
      </w:r>
    </w:p>
    <w:p>
      <w:pPr>
        <w:autoSpaceDE w:val="0"/>
        <w:autoSpaceDN w:val="0"/>
        <w:spacing w:line="356" w:lineRule="exact"/>
        <w:ind w:left="138" w:right="232" w:firstLine="419"/>
        <w:rPr>
          <w:rFonts w:ascii="宋体" w:hAnsi="宋体" w:cs="宋体"/>
          <w:color w:val="auto"/>
          <w:szCs w:val="21"/>
          <w:highlight w:val="none"/>
        </w:rPr>
      </w:pPr>
      <w:r>
        <w:rPr>
          <w:rFonts w:hint="eastAsia" w:ascii="宋体" w:hAnsi="宋体" w:cs="宋体"/>
          <w:color w:val="auto"/>
          <w:szCs w:val="21"/>
          <w:highlight w:val="none"/>
        </w:rPr>
        <w:t xml:space="preserve">因发包人违约解除合同的，发包人应在解除合同后 28 天内向承包人支付下列金额，承包人应在此期限内及时向发包人提交要求支付下列金额的有关资料和凭证： </w:t>
      </w:r>
    </w:p>
    <w:p>
      <w:pPr>
        <w:numPr>
          <w:ilvl w:val="0"/>
          <w:numId w:val="10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合同解除日以前所完成工作的价款；</w:t>
      </w:r>
    </w:p>
    <w:p>
      <w:pPr>
        <w:numPr>
          <w:ilvl w:val="0"/>
          <w:numId w:val="104"/>
        </w:numPr>
        <w:autoSpaceDE w:val="0"/>
        <w:autoSpaceDN w:val="0"/>
        <w:spacing w:line="356" w:lineRule="exact"/>
        <w:ind w:left="851" w:firstLine="0"/>
        <w:jc w:val="left"/>
        <w:rPr>
          <w:rFonts w:ascii="宋体" w:hAnsi="宋体" w:cs="宋体"/>
          <w:color w:val="auto"/>
          <w:szCs w:val="21"/>
          <w:highlight w:val="none"/>
        </w:rPr>
      </w:pPr>
      <w:r>
        <w:rPr>
          <w:rFonts w:hint="eastAsia" w:ascii="宋体" w:hAnsi="宋体" w:cs="宋体"/>
          <w:color w:val="auto"/>
          <w:szCs w:val="21"/>
          <w:highlight w:val="none"/>
        </w:rPr>
        <w:t>承包人为该工程施工订购并已付款的材料、工程设备和其他物品的金额。发包人付还后，该材料、工程设备和其他物品归发包人所有；</w:t>
      </w:r>
    </w:p>
    <w:p>
      <w:pPr>
        <w:numPr>
          <w:ilvl w:val="0"/>
          <w:numId w:val="10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承包人为完成工程所发生的，而发包人未支付的金额；</w:t>
      </w:r>
    </w:p>
    <w:p>
      <w:pPr>
        <w:numPr>
          <w:ilvl w:val="0"/>
          <w:numId w:val="10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承包人撤离施工场地以及遣散承包人人员的金额；</w:t>
      </w:r>
    </w:p>
    <w:p>
      <w:pPr>
        <w:numPr>
          <w:ilvl w:val="0"/>
          <w:numId w:val="104"/>
        </w:numPr>
        <w:autoSpaceDE w:val="0"/>
        <w:autoSpaceDN w:val="0"/>
        <w:spacing w:before="1" w:line="356" w:lineRule="exact"/>
        <w:rPr>
          <w:rFonts w:ascii="宋体" w:hAnsi="宋体" w:cs="宋体"/>
          <w:color w:val="auto"/>
          <w:szCs w:val="21"/>
          <w:highlight w:val="none"/>
        </w:rPr>
      </w:pPr>
      <w:r>
        <w:rPr>
          <w:rFonts w:hint="eastAsia" w:ascii="宋体" w:hAnsi="宋体" w:cs="宋体"/>
          <w:color w:val="auto"/>
          <w:szCs w:val="21"/>
          <w:highlight w:val="none"/>
        </w:rPr>
        <w:t>由于解除合同应赔偿的承包人损失；</w:t>
      </w:r>
    </w:p>
    <w:p>
      <w:pPr>
        <w:numPr>
          <w:ilvl w:val="0"/>
          <w:numId w:val="104"/>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按合同约定在合同解除日前应支付给承包人的其他金额。</w:t>
      </w:r>
    </w:p>
    <w:p>
      <w:pPr>
        <w:autoSpaceDE w:val="0"/>
        <w:autoSpaceDN w:val="0"/>
        <w:spacing w:line="356" w:lineRule="exact"/>
        <w:ind w:left="138" w:right="310" w:firstLine="419"/>
        <w:rPr>
          <w:rFonts w:ascii="宋体" w:hAnsi="宋体" w:cs="宋体"/>
          <w:color w:val="auto"/>
          <w:szCs w:val="21"/>
          <w:highlight w:val="none"/>
        </w:rPr>
      </w:pPr>
      <w:r>
        <w:rPr>
          <w:rFonts w:hint="eastAsia" w:ascii="宋体" w:hAnsi="宋体" w:cs="宋体"/>
          <w:color w:val="auto"/>
          <w:szCs w:val="21"/>
          <w:highlight w:val="none"/>
        </w:rPr>
        <w:t xml:space="preserve">发包人应按本项约定支付上述金额并退还质量保证金或退还质量保证金保函和履约担保，但有权要求承包人支付应偿还给发包人的各项金额。 </w:t>
      </w:r>
    </w:p>
    <w:p>
      <w:pPr>
        <w:numPr>
          <w:ilvl w:val="2"/>
          <w:numId w:val="102"/>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解除合同后的承包人撤离</w:t>
      </w:r>
    </w:p>
    <w:p>
      <w:p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因发包人违约而解除合同后，承包人应妥善做好已竣工工程和已购材料、设备的保护和移交工作，按发包人要求将承包人设备和人员撤出施工场地。承包人撤出施工场地应遵守第18.7.1 项的约定，发包人应为承包人撤出提供必要条件。 </w:t>
      </w:r>
    </w:p>
    <w:p>
      <w:pPr>
        <w:keepNext/>
        <w:keepLines/>
        <w:spacing w:before="1" w:line="356" w:lineRule="exact"/>
        <w:ind w:left="137"/>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22.3第三人造成的违约 </w:t>
      </w:r>
    </w:p>
    <w:p>
      <w:pPr>
        <w:autoSpaceDE w:val="0"/>
        <w:autoSpaceDN w:val="0"/>
        <w:spacing w:line="356" w:lineRule="exact"/>
        <w:ind w:left="138" w:right="309" w:firstLine="419"/>
        <w:rPr>
          <w:rFonts w:ascii="宋体" w:hAnsi="宋体" w:cs="宋体"/>
          <w:color w:val="auto"/>
          <w:sz w:val="27"/>
          <w:szCs w:val="27"/>
          <w:highlight w:val="none"/>
        </w:rPr>
      </w:pPr>
      <w:r>
        <w:rPr>
          <w:rFonts w:hint="eastAsia" w:ascii="宋体" w:hAnsi="宋体" w:cs="宋体"/>
          <w:color w:val="auto"/>
          <w:szCs w:val="21"/>
          <w:highlight w:val="none"/>
        </w:rPr>
        <w:t xml:space="preserve">在履行合同过程中，一方当事人因第三人的原因造成违约的，应当向对方当事人承担违约责任。一方当事人和第三人之间的纠纷，依照法律规定或者按照约定解决。 </w:t>
      </w:r>
    </w:p>
    <w:p>
      <w:pPr>
        <w:keepNext/>
        <w:keepLines/>
        <w:numPr>
          <w:ilvl w:val="0"/>
          <w:numId w:val="8"/>
        </w:numPr>
        <w:spacing w:before="260" w:after="260" w:line="356" w:lineRule="exact"/>
        <w:outlineLvl w:val="1"/>
        <w:rPr>
          <w:rFonts w:ascii="Arial" w:hAnsi="Arial"/>
          <w:b/>
          <w:color w:val="auto"/>
          <w:sz w:val="28"/>
          <w:szCs w:val="24"/>
          <w:highlight w:val="none"/>
        </w:rPr>
      </w:pPr>
      <w:bookmarkStart w:id="784" w:name="_Toc101357734"/>
      <w:bookmarkStart w:id="785" w:name="_Toc27545"/>
      <w:r>
        <w:rPr>
          <w:rFonts w:hint="eastAsia" w:ascii="Arial" w:hAnsi="Arial"/>
          <w:b/>
          <w:color w:val="auto"/>
          <w:sz w:val="28"/>
          <w:szCs w:val="24"/>
          <w:highlight w:val="none"/>
        </w:rPr>
        <w:t>索赔</w:t>
      </w:r>
      <w:bookmarkEnd w:id="784"/>
      <w:bookmarkEnd w:id="785"/>
    </w:p>
    <w:p>
      <w:pPr>
        <w:keepNext/>
        <w:keepLines/>
        <w:numPr>
          <w:ilvl w:val="1"/>
          <w:numId w:val="8"/>
        </w:numPr>
        <w:spacing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承包人索赔的提出 </w:t>
      </w:r>
    </w:p>
    <w:p>
      <w:pPr>
        <w:autoSpaceDE w:val="0"/>
        <w:autoSpaceDN w:val="0"/>
        <w:spacing w:before="1" w:line="356" w:lineRule="exact"/>
        <w:ind w:left="138" w:right="311" w:firstLine="419"/>
        <w:rPr>
          <w:rFonts w:ascii="宋体" w:hAnsi="宋体" w:cs="宋体"/>
          <w:color w:val="auto"/>
          <w:szCs w:val="21"/>
          <w:highlight w:val="none"/>
        </w:rPr>
      </w:pPr>
      <w:r>
        <w:rPr>
          <w:rFonts w:hint="eastAsia" w:ascii="宋体" w:hAnsi="宋体" w:cs="宋体"/>
          <w:color w:val="auto"/>
          <w:szCs w:val="21"/>
          <w:highlight w:val="none"/>
        </w:rPr>
        <w:t>根据合同约定，承包人认为有权得到追加付款和（或）延长工期的，应按以下程序向发包人提出索赔：</w:t>
      </w:r>
    </w:p>
    <w:p>
      <w:pPr>
        <w:numPr>
          <w:ilvl w:val="0"/>
          <w:numId w:val="105"/>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承包人应在知道或应当知道索赔事件发生后 28 天内，向监理人递交索赔意向</w:t>
      </w:r>
    </w:p>
    <w:p>
      <w:pPr>
        <w:autoSpaceDE w:val="0"/>
        <w:autoSpaceDN w:val="0"/>
        <w:spacing w:line="356" w:lineRule="exact"/>
        <w:ind w:left="138" w:right="308"/>
        <w:rPr>
          <w:rFonts w:ascii="宋体" w:hAnsi="宋体" w:cs="宋体"/>
          <w:color w:val="auto"/>
          <w:szCs w:val="21"/>
          <w:highlight w:val="none"/>
        </w:rPr>
      </w:pPr>
      <w:r>
        <w:rPr>
          <w:rFonts w:hint="eastAsia" w:ascii="宋体" w:hAnsi="宋体" w:cs="宋体"/>
          <w:color w:val="auto"/>
          <w:szCs w:val="21"/>
          <w:highlight w:val="none"/>
        </w:rPr>
        <w:t>书，并说明发生索赔事件的事由。承包人未在前述 28 天内发出索赔意向通知书的，丧失要求追加付款和（或）延长工期的权利；</w:t>
      </w:r>
    </w:p>
    <w:p>
      <w:pPr>
        <w:numPr>
          <w:ilvl w:val="0"/>
          <w:numId w:val="105"/>
        </w:numPr>
        <w:autoSpaceDE w:val="0"/>
        <w:autoSpaceDN w:val="0"/>
        <w:spacing w:before="1" w:line="356" w:lineRule="exact"/>
        <w:ind w:left="138" w:right="308" w:firstLine="419"/>
        <w:rPr>
          <w:rFonts w:ascii="宋体" w:hAnsi="宋体" w:cs="宋体"/>
          <w:color w:val="auto"/>
          <w:szCs w:val="21"/>
          <w:highlight w:val="none"/>
        </w:rPr>
      </w:pPr>
      <w:r>
        <w:rPr>
          <w:rFonts w:hint="eastAsia" w:ascii="宋体" w:hAnsi="宋体" w:cs="宋体"/>
          <w:color w:val="auto"/>
          <w:szCs w:val="21"/>
          <w:highlight w:val="none"/>
        </w:rPr>
        <w:t>承包人应在发出索赔意向通知书后 28 天内，向监理人正式递交索赔通知书。索赔通知书应详细说明索赔理由以及要求追加的付款金额和（或）延长的工期，并附必要的记录和证明材料；</w:t>
      </w:r>
    </w:p>
    <w:p>
      <w:pPr>
        <w:numPr>
          <w:ilvl w:val="0"/>
          <w:numId w:val="105"/>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索赔事件具有连续影响的，承包人应按合理时间间隔继续递交延续索赔通知，说明连续影响的实际情况和记录，列出累计的追加付款金额和（或）工期延长天数；</w:t>
      </w:r>
    </w:p>
    <w:p>
      <w:pPr>
        <w:numPr>
          <w:ilvl w:val="0"/>
          <w:numId w:val="105"/>
        </w:numPr>
        <w:autoSpaceDE w:val="0"/>
        <w:autoSpaceDN w:val="0"/>
        <w:spacing w:line="356" w:lineRule="exact"/>
        <w:ind w:left="138" w:right="309" w:firstLine="419"/>
        <w:rPr>
          <w:rFonts w:ascii="宋体" w:hAnsi="宋体" w:cs="宋体"/>
          <w:color w:val="auto"/>
          <w:szCs w:val="21"/>
          <w:highlight w:val="none"/>
        </w:rPr>
      </w:pPr>
      <w:r>
        <w:rPr>
          <w:rFonts w:hint="eastAsia" w:ascii="宋体" w:hAnsi="宋体" w:cs="宋体"/>
          <w:color w:val="auto"/>
          <w:szCs w:val="21"/>
          <w:highlight w:val="none"/>
        </w:rPr>
        <w:t xml:space="preserve">在索赔事件影响结束后的 28 天内，承包人应向监理人递交最终索赔通知书，说明最终要求索赔的追加付款金额和延长的工期，并附必要的记录和证明材料。 </w:t>
      </w:r>
    </w:p>
    <w:p>
      <w:pPr>
        <w:keepNext/>
        <w:keepLines/>
        <w:numPr>
          <w:ilvl w:val="1"/>
          <w:numId w:val="8"/>
        </w:numPr>
        <w:spacing w:before="134"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承包人索赔处理程序 </w:t>
      </w:r>
    </w:p>
    <w:p>
      <w:pPr>
        <w:numPr>
          <w:ilvl w:val="0"/>
          <w:numId w:val="106"/>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监理人收到承包人提交的索赔通知书后，应及时审查索赔通知书的内容、查验承包人的记录和证明材料，必要时监理人可要求承包人提交全部原始记录副本。 </w:t>
      </w:r>
    </w:p>
    <w:p>
      <w:pPr>
        <w:numPr>
          <w:ilvl w:val="0"/>
          <w:numId w:val="106"/>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 xml:space="preserve">监理人应按第 3.5 款商定或确定追加的付款和（或）延长的工期，并在收到上述索赔通知书或有关索赔的进一步证明材料后的 42 天内，将索赔处理结果答复承包人。 </w:t>
      </w:r>
    </w:p>
    <w:p>
      <w:pPr>
        <w:numPr>
          <w:ilvl w:val="0"/>
          <w:numId w:val="106"/>
        </w:numPr>
        <w:autoSpaceDE w:val="0"/>
        <w:autoSpaceDN w:val="0"/>
        <w:spacing w:line="356" w:lineRule="exact"/>
        <w:ind w:hanging="527"/>
        <w:rPr>
          <w:rFonts w:ascii="宋体" w:hAnsi="宋体" w:cs="宋体"/>
          <w:color w:val="auto"/>
          <w:szCs w:val="21"/>
          <w:highlight w:val="none"/>
        </w:rPr>
      </w:pPr>
      <w:r>
        <w:rPr>
          <w:rFonts w:hint="eastAsia" w:ascii="宋体" w:hAnsi="宋体" w:cs="宋体"/>
          <w:color w:val="auto"/>
          <w:szCs w:val="21"/>
          <w:highlight w:val="none"/>
        </w:rPr>
        <w:t xml:space="preserve">承包人接受索赔处理结果的，发包人应在作出索赔处理结果答复后 28 天内完成赔付。承包人不接受索赔处理结果的，按第 24 条的约定办理。 </w:t>
      </w:r>
    </w:p>
    <w:p>
      <w:pPr>
        <w:keepNext/>
        <w:keepLines/>
        <w:numPr>
          <w:ilvl w:val="1"/>
          <w:numId w:val="8"/>
        </w:numPr>
        <w:spacing w:before="1"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承包人提出索赔的期限 </w:t>
      </w:r>
    </w:p>
    <w:p>
      <w:pPr>
        <w:numPr>
          <w:ilvl w:val="2"/>
          <w:numId w:val="107"/>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承包人按第 17.5 款的约定接受了竣工付款证书后，应被认为已无权再提出在合同工程接收证书颁发前所发生的任何索赔。</w:t>
      </w:r>
    </w:p>
    <w:p>
      <w:pPr>
        <w:numPr>
          <w:ilvl w:val="2"/>
          <w:numId w:val="107"/>
        </w:numPr>
        <w:autoSpaceDE w:val="0"/>
        <w:autoSpaceDN w:val="0"/>
        <w:spacing w:line="356" w:lineRule="exact"/>
        <w:ind w:right="308" w:firstLine="419"/>
        <w:rPr>
          <w:rFonts w:ascii="宋体" w:hAnsi="宋体" w:cs="宋体"/>
          <w:color w:val="auto"/>
          <w:highlight w:val="none"/>
        </w:rPr>
      </w:pPr>
      <w:r>
        <w:rPr>
          <w:rFonts w:hint="eastAsia" w:ascii="宋体" w:hAnsi="宋体" w:cs="宋体"/>
          <w:color w:val="auto"/>
          <w:szCs w:val="21"/>
          <w:highlight w:val="none"/>
        </w:rPr>
        <w:t>承包人按第 17.6 款的约定提交的最终结清申请单中，只限于提出工程接收证书颁发后发生的索赔。提出索赔的期限自接受最终结清证书时终止。</w:t>
      </w:r>
    </w:p>
    <w:p>
      <w:pPr>
        <w:keepNext/>
        <w:keepLines/>
        <w:numPr>
          <w:ilvl w:val="1"/>
          <w:numId w:val="8"/>
        </w:numPr>
        <w:spacing w:before="66" w:line="356" w:lineRule="exact"/>
        <w:ind w:left="619" w:hanging="482"/>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发包人的索赔 </w:t>
      </w:r>
    </w:p>
    <w:p>
      <w:pPr>
        <w:numPr>
          <w:ilvl w:val="2"/>
          <w:numId w:val="108"/>
        </w:numPr>
        <w:autoSpaceDE w:val="0"/>
        <w:autoSpaceDN w:val="0"/>
        <w:spacing w:line="356" w:lineRule="exact"/>
        <w:ind w:right="308" w:firstLine="419"/>
        <w:rPr>
          <w:rFonts w:ascii="宋体" w:hAnsi="宋体" w:cs="宋体"/>
          <w:color w:val="auto"/>
          <w:szCs w:val="21"/>
          <w:highlight w:val="none"/>
        </w:rPr>
      </w:pPr>
      <w:r>
        <w:rPr>
          <w:rFonts w:hint="eastAsia" w:ascii="宋体" w:hAnsi="宋体" w:cs="宋体"/>
          <w:color w:val="auto"/>
          <w:szCs w:val="21"/>
          <w:highlight w:val="none"/>
        </w:rPr>
        <w:t>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pPr>
        <w:numPr>
          <w:ilvl w:val="2"/>
          <w:numId w:val="108"/>
        </w:numPr>
        <w:autoSpaceDE w:val="0"/>
        <w:autoSpaceDN w:val="0"/>
        <w:spacing w:line="356" w:lineRule="exact"/>
        <w:ind w:right="310" w:firstLine="419"/>
        <w:rPr>
          <w:rFonts w:ascii="宋体" w:hAnsi="宋体" w:cs="宋体"/>
          <w:color w:val="auto"/>
          <w:sz w:val="14"/>
          <w:szCs w:val="14"/>
          <w:highlight w:val="none"/>
        </w:rPr>
      </w:pPr>
      <w:r>
        <w:rPr>
          <w:rFonts w:hint="eastAsia" w:ascii="宋体" w:hAnsi="宋体" w:cs="宋体"/>
          <w:color w:val="auto"/>
          <w:szCs w:val="21"/>
          <w:highlight w:val="none"/>
        </w:rPr>
        <w:t>监理人按第 3.5 款商定或确定发包人从承包人处得到赔付的金额和（或）缺陷责任期的延长期。承包人应付给发包人的金额可从拟支付给承包人的合同价款中扣除，或由承包人以其他方式支付给发包人。</w:t>
      </w:r>
    </w:p>
    <w:p>
      <w:pPr>
        <w:keepNext/>
        <w:keepLines/>
        <w:spacing w:before="260" w:after="260" w:line="356" w:lineRule="exact"/>
        <w:ind w:left="138"/>
        <w:outlineLvl w:val="1"/>
        <w:rPr>
          <w:rFonts w:ascii="Arial" w:hAnsi="Arial"/>
          <w:b/>
          <w:color w:val="auto"/>
          <w:sz w:val="28"/>
          <w:szCs w:val="24"/>
          <w:highlight w:val="none"/>
        </w:rPr>
      </w:pPr>
      <w:bookmarkStart w:id="786" w:name="_Toc17422"/>
      <w:bookmarkStart w:id="787" w:name="_Toc101357735"/>
      <w:bookmarkStart w:id="788" w:name="_Toc4628"/>
      <w:r>
        <w:rPr>
          <w:rFonts w:hint="eastAsia" w:ascii="Arial" w:hAnsi="Arial"/>
          <w:b/>
          <w:color w:val="auto"/>
          <w:sz w:val="28"/>
          <w:szCs w:val="24"/>
          <w:highlight w:val="none"/>
        </w:rPr>
        <w:t>24  争议的解决</w:t>
      </w:r>
      <w:bookmarkEnd w:id="786"/>
      <w:bookmarkEnd w:id="787"/>
      <w:bookmarkEnd w:id="788"/>
    </w:p>
    <w:p>
      <w:pPr>
        <w:keepNext/>
        <w:keepLines/>
        <w:spacing w:before="1" w:line="356" w:lineRule="exact"/>
        <w:ind w:left="137"/>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24.1 争议的解决方式 </w:t>
      </w:r>
    </w:p>
    <w:p>
      <w:pPr>
        <w:autoSpaceDE w:val="0"/>
        <w:autoSpaceDN w:val="0"/>
        <w:spacing w:line="356" w:lineRule="exact"/>
        <w:ind w:left="138" w:right="310" w:firstLine="419"/>
        <w:rPr>
          <w:rFonts w:ascii="宋体" w:hAnsi="宋体" w:cs="宋体"/>
          <w:color w:val="auto"/>
          <w:szCs w:val="21"/>
          <w:highlight w:val="none"/>
        </w:rPr>
      </w:pPr>
      <w:r>
        <w:rPr>
          <w:rFonts w:hint="eastAsia" w:ascii="宋体" w:hAnsi="宋体" w:cs="宋体"/>
          <w:color w:val="auto"/>
          <w:szCs w:val="21"/>
          <w:highlight w:val="none"/>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pPr>
        <w:numPr>
          <w:ilvl w:val="0"/>
          <w:numId w:val="109"/>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向约定的仲裁委员会申请仲裁；</w:t>
      </w:r>
    </w:p>
    <w:p>
      <w:pPr>
        <w:numPr>
          <w:ilvl w:val="0"/>
          <w:numId w:val="109"/>
        </w:numPr>
        <w:autoSpaceDE w:val="0"/>
        <w:autoSpaceDN w:val="0"/>
        <w:spacing w:line="356" w:lineRule="exact"/>
        <w:rPr>
          <w:rFonts w:ascii="宋体" w:hAnsi="宋体" w:cs="宋体"/>
          <w:color w:val="auto"/>
          <w:szCs w:val="21"/>
          <w:highlight w:val="none"/>
        </w:rPr>
      </w:pPr>
      <w:r>
        <w:rPr>
          <w:rFonts w:hint="eastAsia" w:ascii="宋体" w:hAnsi="宋体" w:cs="宋体"/>
          <w:color w:val="auto"/>
          <w:szCs w:val="21"/>
          <w:highlight w:val="none"/>
        </w:rPr>
        <w:t>向有管辖权的人民法院提起诉讼。</w:t>
      </w:r>
    </w:p>
    <w:p>
      <w:pPr>
        <w:keepNext/>
        <w:keepLines/>
        <w:spacing w:line="356" w:lineRule="exact"/>
        <w:ind w:left="137"/>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24.2 友好解决 </w:t>
      </w:r>
    </w:p>
    <w:p>
      <w:pPr>
        <w:autoSpaceDE w:val="0"/>
        <w:autoSpaceDN w:val="0"/>
        <w:spacing w:line="356" w:lineRule="exact"/>
        <w:ind w:left="138" w:right="311" w:firstLine="419"/>
        <w:rPr>
          <w:rFonts w:ascii="宋体" w:hAnsi="宋体" w:cs="宋体"/>
          <w:color w:val="auto"/>
          <w:szCs w:val="21"/>
          <w:highlight w:val="none"/>
        </w:rPr>
      </w:pPr>
      <w:r>
        <w:rPr>
          <w:rFonts w:hint="eastAsia" w:ascii="宋体" w:hAnsi="宋体" w:cs="宋体"/>
          <w:color w:val="auto"/>
          <w:szCs w:val="21"/>
          <w:highlight w:val="none"/>
        </w:rPr>
        <w:t>在提请争议评审、仲裁或者诉讼前，以及在争议评审、仲裁或诉讼过程中，发包人和承包人均可共同努力友好协商解决争议。</w:t>
      </w:r>
    </w:p>
    <w:p>
      <w:pPr>
        <w:keepNext/>
        <w:keepLines/>
        <w:spacing w:before="135" w:line="356" w:lineRule="exact"/>
        <w:ind w:left="137"/>
        <w:textAlignment w:val="baseline"/>
        <w:outlineLvl w:val="4"/>
        <w:rPr>
          <w:rFonts w:ascii="宋体" w:hAnsi="宋体" w:cs="宋体"/>
          <w:b/>
          <w:color w:val="auto"/>
          <w:sz w:val="24"/>
          <w:szCs w:val="24"/>
          <w:highlight w:val="none"/>
        </w:rPr>
      </w:pPr>
      <w:r>
        <w:rPr>
          <w:rFonts w:hint="eastAsia" w:ascii="宋体" w:hAnsi="宋体" w:cs="宋体"/>
          <w:b/>
          <w:color w:val="auto"/>
          <w:sz w:val="24"/>
          <w:szCs w:val="24"/>
          <w:highlight w:val="none"/>
        </w:rPr>
        <w:t xml:space="preserve">24.3争议评审 </w:t>
      </w:r>
    </w:p>
    <w:p>
      <w:pPr>
        <w:numPr>
          <w:ilvl w:val="2"/>
          <w:numId w:val="11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采用争议评审的，发包人和承包人应在开工日后的 28 天内或在争议发生后，协商成立争议评审组。争议评审组由有合同管理和工程实践经验的专家组成。 </w:t>
      </w:r>
    </w:p>
    <w:p>
      <w:pPr>
        <w:numPr>
          <w:ilvl w:val="2"/>
          <w:numId w:val="11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合同双方的争议，应首先由申请人向争议评审组提交一份详细的评审申请报告，并附必要的文件、图纸和证明材料，申请人还应将上述报告的副本同时提交给被申请人和监理人。</w:t>
      </w:r>
    </w:p>
    <w:p>
      <w:pPr>
        <w:numPr>
          <w:ilvl w:val="2"/>
          <w:numId w:val="11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被申请人在收到申请人评审申请报告副本后的 28 天内，向争议评审组提交一份答辩报告，并附证明材料。被申请人应将答辩报告的副本同时提交给申请人和监理人。</w:t>
      </w:r>
    </w:p>
    <w:p>
      <w:pPr>
        <w:numPr>
          <w:ilvl w:val="2"/>
          <w:numId w:val="110"/>
        </w:numPr>
        <w:autoSpaceDE w:val="0"/>
        <w:autoSpaceDN w:val="0"/>
        <w:spacing w:line="356" w:lineRule="exact"/>
        <w:ind w:right="309" w:firstLine="419"/>
        <w:rPr>
          <w:rFonts w:ascii="宋体" w:hAnsi="宋体" w:cs="宋体"/>
          <w:color w:val="auto"/>
          <w:szCs w:val="21"/>
          <w:highlight w:val="none"/>
        </w:rPr>
      </w:pPr>
      <w:r>
        <w:rPr>
          <w:rFonts w:hint="eastAsia" w:ascii="宋体" w:hAnsi="宋体" w:cs="宋体"/>
          <w:color w:val="auto"/>
          <w:szCs w:val="21"/>
          <w:highlight w:val="none"/>
        </w:rPr>
        <w:t xml:space="preserve">争议评审组在收到合同双方报告后的 14 天内，邀请双方代表和有关人员在合同约定的期限内举行调查会，向双方调查争议细节；必要时争议评审组可要求双方进一步提供补充材料。举行调查会的期限见合同条款专用部分。 </w:t>
      </w:r>
    </w:p>
    <w:p>
      <w:pPr>
        <w:numPr>
          <w:ilvl w:val="2"/>
          <w:numId w:val="111"/>
        </w:numPr>
        <w:autoSpaceDE w:val="0"/>
        <w:autoSpaceDN w:val="0"/>
        <w:spacing w:line="356" w:lineRule="exact"/>
        <w:ind w:right="203" w:firstLine="419"/>
        <w:rPr>
          <w:rFonts w:ascii="宋体" w:hAnsi="宋体" w:cs="宋体"/>
          <w:color w:val="auto"/>
          <w:szCs w:val="21"/>
          <w:highlight w:val="none"/>
        </w:rPr>
      </w:pPr>
      <w:r>
        <w:rPr>
          <w:rFonts w:hint="eastAsia" w:ascii="宋体" w:hAnsi="宋体" w:cs="宋体"/>
          <w:color w:val="auto"/>
          <w:szCs w:val="21"/>
          <w:highlight w:val="none"/>
        </w:rPr>
        <w:t>在调查会结束后的 14 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pPr>
        <w:numPr>
          <w:ilvl w:val="2"/>
          <w:numId w:val="111"/>
        </w:numPr>
        <w:autoSpaceDE w:val="0"/>
        <w:autoSpaceDN w:val="0"/>
        <w:spacing w:line="356" w:lineRule="exact"/>
        <w:ind w:right="309" w:firstLine="419"/>
        <w:rPr>
          <w:rFonts w:ascii="宋体" w:hAnsi="宋体" w:cs="宋体"/>
          <w:color w:val="auto"/>
          <w:highlight w:val="none"/>
        </w:rPr>
      </w:pPr>
      <w:r>
        <w:rPr>
          <w:rFonts w:hint="eastAsia" w:ascii="宋体" w:hAnsi="宋体" w:cs="宋体"/>
          <w:color w:val="auto"/>
          <w:szCs w:val="21"/>
          <w:highlight w:val="none"/>
        </w:rPr>
        <w:t>发包人和承包人接受评审意见的，由监理人根据评审意见拟定执行协议，经争议双方签字后作为合同的补充文件，并遵照执行。发包人或承包人不接受评审意见，并要求提交仲裁或提起诉讼的，应在收到评审意见后的 14 天内将仲裁或起诉意向书面通知另一方，并抄送监理人，但在仲裁或诉讼结束前应暂按总监理工程师的确定执行。</w:t>
      </w:r>
    </w:p>
    <w:p>
      <w:pPr>
        <w:spacing w:line="356" w:lineRule="exact"/>
        <w:rPr>
          <w:rFonts w:ascii="宋体" w:hAnsi="宋体" w:cs="宋体"/>
          <w:color w:val="auto"/>
          <w:szCs w:val="21"/>
          <w:highlight w:val="none"/>
        </w:rPr>
      </w:pPr>
    </w:p>
    <w:p>
      <w:pPr>
        <w:spacing w:line="356" w:lineRule="exact"/>
        <w:rPr>
          <w:rFonts w:ascii="宋体" w:hAnsi="宋体" w:cs="宋体"/>
          <w:color w:val="auto"/>
          <w:szCs w:val="21"/>
          <w:highlight w:val="none"/>
        </w:rPr>
      </w:pPr>
    </w:p>
    <w:p>
      <w:pPr>
        <w:spacing w:line="520" w:lineRule="exact"/>
        <w:rPr>
          <w:rFonts w:ascii="宋体" w:hAnsi="宋体"/>
          <w:color w:val="auto"/>
          <w:szCs w:val="21"/>
          <w:highlight w:val="none"/>
        </w:rPr>
        <w:sectPr>
          <w:pgSz w:w="11906" w:h="16838"/>
          <w:pgMar w:top="1440" w:right="1134" w:bottom="1440" w:left="1797" w:header="851" w:footer="992" w:gutter="0"/>
          <w:cols w:space="720" w:num="1"/>
          <w:docGrid w:linePitch="312" w:charSpace="0"/>
        </w:sectPr>
      </w:pPr>
    </w:p>
    <w:p>
      <w:pPr>
        <w:tabs>
          <w:tab w:val="left" w:pos="3855"/>
        </w:tabs>
        <w:snapToGrid w:val="0"/>
        <w:spacing w:line="360" w:lineRule="auto"/>
        <w:jc w:val="center"/>
        <w:rPr>
          <w:rFonts w:ascii="宋体"/>
          <w:b/>
          <w:color w:val="auto"/>
          <w:sz w:val="28"/>
          <w:highlight w:val="none"/>
        </w:rPr>
      </w:pPr>
      <w:r>
        <w:rPr>
          <w:rFonts w:hint="eastAsia" w:ascii="宋体" w:hAnsi="宋体"/>
          <w:b/>
          <w:color w:val="auto"/>
          <w:sz w:val="28"/>
          <w:highlight w:val="none"/>
        </w:rPr>
        <w:t>房屋建筑工程质量保修书</w:t>
      </w:r>
    </w:p>
    <w:p>
      <w:pPr>
        <w:snapToGrid w:val="0"/>
        <w:spacing w:line="360" w:lineRule="auto"/>
        <w:rPr>
          <w:rFonts w:ascii="宋体"/>
          <w:color w:val="auto"/>
          <w:highlight w:val="none"/>
        </w:rPr>
      </w:pPr>
    </w:p>
    <w:p>
      <w:pPr>
        <w:tabs>
          <w:tab w:val="left" w:pos="750"/>
        </w:tabs>
        <w:spacing w:line="360" w:lineRule="auto"/>
        <w:ind w:firstLine="440" w:firstLineChars="200"/>
        <w:rPr>
          <w:rFonts w:ascii="仿宋" w:hAnsi="仿宋" w:eastAsia="仿宋"/>
          <w:bCs/>
          <w:color w:val="auto"/>
          <w:sz w:val="24"/>
          <w:szCs w:val="24"/>
          <w:highlight w:val="none"/>
        </w:rPr>
      </w:pPr>
      <w:r>
        <w:rPr>
          <w:rFonts w:hint="eastAsia" w:ascii="宋体" w:hAnsi="宋体"/>
          <w:color w:val="auto"/>
          <w:highlight w:val="none"/>
        </w:rPr>
        <w:t>发包人：</w:t>
      </w:r>
      <w:r>
        <w:rPr>
          <w:rFonts w:hint="eastAsia" w:ascii="宋体" w:hAnsi="宋体"/>
          <w:color w:val="auto"/>
          <w:highlight w:val="none"/>
          <w:u w:val="single"/>
        </w:rPr>
        <w:t xml:space="preserve">                            </w:t>
      </w:r>
    </w:p>
    <w:p>
      <w:pPr>
        <w:snapToGrid w:val="0"/>
        <w:spacing w:line="360" w:lineRule="auto"/>
        <w:ind w:firstLine="440" w:firstLineChars="200"/>
        <w:rPr>
          <w:rFonts w:ascii="宋体"/>
          <w:color w:val="auto"/>
          <w:highlight w:val="none"/>
          <w:u w:val="single"/>
        </w:rPr>
      </w:pPr>
      <w:r>
        <w:rPr>
          <w:rFonts w:hint="eastAsia" w:ascii="宋体" w:hAnsi="宋体"/>
          <w:color w:val="auto"/>
          <w:highlight w:val="none"/>
        </w:rPr>
        <w:t>承包人：</w:t>
      </w:r>
      <w:r>
        <w:rPr>
          <w:rFonts w:hint="eastAsia" w:ascii="宋体" w:hAnsi="宋体"/>
          <w:color w:val="auto"/>
          <w:highlight w:val="none"/>
          <w:u w:val="single"/>
        </w:rPr>
        <w:t xml:space="preserve">                            </w:t>
      </w:r>
    </w:p>
    <w:p>
      <w:pPr>
        <w:spacing w:line="360" w:lineRule="auto"/>
        <w:ind w:firstLine="440" w:firstLineChars="200"/>
        <w:rPr>
          <w:rFonts w:ascii="宋体" w:hAnsi="宋体"/>
          <w:color w:val="auto"/>
          <w:highlight w:val="none"/>
          <w:u w:val="single"/>
        </w:rPr>
      </w:pPr>
      <w:r>
        <w:rPr>
          <w:rFonts w:hint="eastAsia" w:ascii="宋体" w:hAnsi="宋体"/>
          <w:color w:val="auto"/>
          <w:highlight w:val="none"/>
        </w:rPr>
        <w:t>发包人、承包人根据《中华人民共和国建筑法》、《建设工程质量管理条例》和《房屋建筑工程质量保修办法》，经协商一致，对</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工程</w:t>
      </w:r>
      <w:r>
        <w:rPr>
          <w:rFonts w:hint="eastAsia" w:ascii="宋体" w:hAnsi="宋体"/>
          <w:color w:val="auto"/>
          <w:highlight w:val="none"/>
        </w:rPr>
        <w:t>名称）签订保修书。</w:t>
      </w:r>
    </w:p>
    <w:p>
      <w:pPr>
        <w:snapToGrid w:val="0"/>
        <w:spacing w:line="360" w:lineRule="auto"/>
        <w:ind w:firstLine="440" w:firstLineChars="200"/>
        <w:rPr>
          <w:rFonts w:ascii="宋体"/>
          <w:color w:val="auto"/>
          <w:highlight w:val="none"/>
        </w:rPr>
      </w:pPr>
      <w:r>
        <w:rPr>
          <w:rFonts w:hint="eastAsia" w:ascii="宋体" w:hAnsi="宋体"/>
          <w:color w:val="auto"/>
          <w:highlight w:val="none"/>
        </w:rPr>
        <w:t>一、工程保修范围和内容</w:t>
      </w:r>
    </w:p>
    <w:p>
      <w:pPr>
        <w:snapToGrid w:val="0"/>
        <w:spacing w:line="360" w:lineRule="auto"/>
        <w:ind w:firstLine="440" w:firstLineChars="200"/>
        <w:rPr>
          <w:rFonts w:ascii="宋体"/>
          <w:color w:val="auto"/>
          <w:highlight w:val="none"/>
        </w:rPr>
      </w:pPr>
      <w:r>
        <w:rPr>
          <w:rFonts w:hint="eastAsia" w:ascii="宋体" w:hAnsi="宋体"/>
          <w:color w:val="auto"/>
          <w:highlight w:val="none"/>
        </w:rPr>
        <w:t>承包人在保修期内，按照有关法律、法规、规章的管理规定和双方约定，承担本工程保修责任。</w:t>
      </w:r>
    </w:p>
    <w:p>
      <w:pPr>
        <w:snapToGrid w:val="0"/>
        <w:spacing w:line="360" w:lineRule="auto"/>
        <w:ind w:firstLine="440" w:firstLineChars="200"/>
        <w:rPr>
          <w:rFonts w:ascii="宋体"/>
          <w:color w:val="auto"/>
          <w:highlight w:val="none"/>
        </w:rPr>
      </w:pPr>
      <w:r>
        <w:rPr>
          <w:rFonts w:hint="eastAsia" w:ascii="宋体" w:hAnsi="宋体"/>
          <w:color w:val="auto"/>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napToGrid w:val="0"/>
        <w:spacing w:line="360" w:lineRule="auto"/>
        <w:rPr>
          <w:rFonts w:ascii="宋体"/>
          <w:color w:val="auto"/>
          <w:highlight w:val="none"/>
          <w:u w:val="single"/>
        </w:rPr>
      </w:pPr>
      <w:r>
        <w:rPr>
          <w:rFonts w:hint="eastAsia" w:ascii="宋体" w:hAnsi="宋体"/>
          <w:color w:val="auto"/>
          <w:highlight w:val="none"/>
          <w:u w:val="single"/>
        </w:rPr>
        <w:t>本工程合同文件、施工图、设计变更通知单、工程洽商记录等由承包人施工全部工程内容</w:t>
      </w:r>
      <w:r>
        <w:rPr>
          <w:rFonts w:hint="eastAsia" w:ascii="宋体" w:hAnsi="宋体"/>
          <w:color w:val="auto"/>
          <w:highlight w:val="none"/>
        </w:rPr>
        <w:t>。</w:t>
      </w:r>
    </w:p>
    <w:p>
      <w:pPr>
        <w:snapToGrid w:val="0"/>
        <w:spacing w:line="360" w:lineRule="auto"/>
        <w:ind w:firstLine="440" w:firstLineChars="200"/>
        <w:rPr>
          <w:rFonts w:ascii="宋体"/>
          <w:color w:val="auto"/>
          <w:highlight w:val="none"/>
        </w:rPr>
      </w:pPr>
      <w:r>
        <w:rPr>
          <w:rFonts w:hint="eastAsia" w:ascii="宋体" w:hAnsi="宋体"/>
          <w:color w:val="auto"/>
          <w:highlight w:val="none"/>
        </w:rPr>
        <w:t>二、保修期</w:t>
      </w:r>
    </w:p>
    <w:p>
      <w:pPr>
        <w:snapToGrid w:val="0"/>
        <w:spacing w:line="360" w:lineRule="auto"/>
        <w:ind w:firstLine="440" w:firstLineChars="200"/>
        <w:rPr>
          <w:rFonts w:ascii="宋体"/>
          <w:color w:val="auto"/>
          <w:highlight w:val="none"/>
        </w:rPr>
      </w:pPr>
      <w:r>
        <w:rPr>
          <w:rFonts w:hint="eastAsia" w:ascii="宋体" w:hAnsi="宋体"/>
          <w:color w:val="auto"/>
          <w:highlight w:val="none"/>
        </w:rPr>
        <w:t>双方根据《建设工程质量管理条例》及有关规定，约定本工程的保修期如下：</w:t>
      </w:r>
    </w:p>
    <w:p>
      <w:pPr>
        <w:snapToGrid w:val="0"/>
        <w:spacing w:line="360" w:lineRule="auto"/>
        <w:ind w:firstLine="440" w:firstLineChars="200"/>
        <w:rPr>
          <w:rFonts w:ascii="宋体"/>
          <w:color w:val="auto"/>
          <w:highlight w:val="none"/>
        </w:rPr>
      </w:pPr>
      <w:r>
        <w:rPr>
          <w:rFonts w:hint="eastAsia" w:ascii="宋体" w:hAnsi="宋体"/>
          <w:color w:val="auto"/>
          <w:highlight w:val="none"/>
        </w:rPr>
        <w:t>地基基础工程和主体结构工程为设计文件规定的该工程合理使用年限；</w:t>
      </w:r>
    </w:p>
    <w:p>
      <w:pPr>
        <w:snapToGrid w:val="0"/>
        <w:spacing w:line="360" w:lineRule="auto"/>
        <w:ind w:firstLine="440" w:firstLineChars="200"/>
        <w:rPr>
          <w:rFonts w:ascii="宋体"/>
          <w:color w:val="auto"/>
          <w:highlight w:val="none"/>
        </w:rPr>
      </w:pPr>
      <w:r>
        <w:rPr>
          <w:rFonts w:hint="eastAsia" w:ascii="宋体" w:hAnsi="宋体"/>
          <w:color w:val="auto"/>
          <w:highlight w:val="none"/>
        </w:rPr>
        <w:t>屋面防水工程、有防水要求的卫生间、房间和外墙面的防渗漏为</w:t>
      </w:r>
      <w:r>
        <w:rPr>
          <w:rFonts w:ascii="宋体" w:hAnsi="宋体"/>
          <w:color w:val="auto"/>
          <w:highlight w:val="none"/>
          <w:u w:val="single"/>
        </w:rPr>
        <w:t xml:space="preserve"> </w:t>
      </w: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hint="eastAsia" w:ascii="宋体" w:hAnsi="宋体"/>
          <w:color w:val="auto"/>
          <w:highlight w:val="none"/>
        </w:rPr>
        <w:t>年；</w:t>
      </w:r>
    </w:p>
    <w:p>
      <w:pPr>
        <w:snapToGrid w:val="0"/>
        <w:spacing w:line="360" w:lineRule="auto"/>
        <w:ind w:firstLine="440" w:firstLineChars="200"/>
        <w:rPr>
          <w:rFonts w:ascii="宋体"/>
          <w:color w:val="auto"/>
          <w:highlight w:val="none"/>
        </w:rPr>
      </w:pPr>
      <w:r>
        <w:rPr>
          <w:rFonts w:hint="eastAsia" w:ascii="宋体" w:hAnsi="宋体"/>
          <w:color w:val="auto"/>
          <w:highlight w:val="none"/>
        </w:rPr>
        <w:t>外窗工程为</w:t>
      </w:r>
      <w:r>
        <w:rPr>
          <w:rFonts w:ascii="宋体" w:hAnsi="宋体"/>
          <w:color w:val="auto"/>
          <w:highlight w:val="none"/>
          <w:u w:val="single"/>
        </w:rPr>
        <w:t xml:space="preserve">   </w:t>
      </w:r>
      <w:r>
        <w:rPr>
          <w:rFonts w:hint="eastAsia" w:ascii="宋体" w:hAnsi="宋体"/>
          <w:color w:val="auto"/>
          <w:highlight w:val="none"/>
          <w:u w:val="single"/>
        </w:rPr>
        <w:t>2</w:t>
      </w:r>
      <w:r>
        <w:rPr>
          <w:rFonts w:ascii="宋体" w:hAnsi="宋体"/>
          <w:color w:val="auto"/>
          <w:highlight w:val="none"/>
          <w:u w:val="single"/>
        </w:rPr>
        <w:t xml:space="preserve">   </w:t>
      </w:r>
      <w:r>
        <w:rPr>
          <w:rFonts w:hint="eastAsia" w:ascii="宋体" w:hAnsi="宋体"/>
          <w:color w:val="auto"/>
          <w:highlight w:val="none"/>
        </w:rPr>
        <w:t>年，外窗防渗漏为</w:t>
      </w:r>
      <w:r>
        <w:rPr>
          <w:rFonts w:ascii="宋体" w:hAnsi="宋体"/>
          <w:color w:val="auto"/>
          <w:highlight w:val="none"/>
          <w:u w:val="single"/>
        </w:rPr>
        <w:t xml:space="preserve">   </w:t>
      </w:r>
      <w:r>
        <w:rPr>
          <w:rFonts w:hint="eastAsia" w:ascii="宋体" w:hAnsi="宋体"/>
          <w:color w:val="auto"/>
          <w:highlight w:val="none"/>
          <w:u w:val="single"/>
        </w:rPr>
        <w:t>2</w:t>
      </w:r>
      <w:r>
        <w:rPr>
          <w:rFonts w:ascii="宋体" w:hAnsi="宋体"/>
          <w:color w:val="auto"/>
          <w:highlight w:val="none"/>
          <w:u w:val="single"/>
        </w:rPr>
        <w:t xml:space="preserve">  </w:t>
      </w:r>
      <w:r>
        <w:rPr>
          <w:rFonts w:hint="eastAsia" w:ascii="宋体" w:hAnsi="宋体"/>
          <w:color w:val="auto"/>
          <w:highlight w:val="none"/>
        </w:rPr>
        <w:t>年；</w:t>
      </w:r>
    </w:p>
    <w:p>
      <w:pPr>
        <w:snapToGrid w:val="0"/>
        <w:spacing w:line="360" w:lineRule="auto"/>
        <w:ind w:firstLine="440" w:firstLineChars="200"/>
        <w:rPr>
          <w:rFonts w:ascii="宋体"/>
          <w:color w:val="auto"/>
          <w:highlight w:val="none"/>
        </w:rPr>
      </w:pPr>
      <w:r>
        <w:rPr>
          <w:rFonts w:hint="eastAsia" w:ascii="宋体" w:hAnsi="宋体"/>
          <w:color w:val="auto"/>
          <w:highlight w:val="none"/>
        </w:rPr>
        <w:t>装修工程为</w:t>
      </w:r>
      <w:r>
        <w:rPr>
          <w:rFonts w:ascii="宋体" w:hAnsi="宋体"/>
          <w:color w:val="auto"/>
          <w:highlight w:val="none"/>
          <w:u w:val="single"/>
        </w:rPr>
        <w:t xml:space="preserve">   </w:t>
      </w:r>
      <w:r>
        <w:rPr>
          <w:rFonts w:hint="eastAsia" w:ascii="宋体" w:hAnsi="宋体"/>
          <w:color w:val="auto"/>
          <w:highlight w:val="none"/>
          <w:u w:val="single"/>
        </w:rPr>
        <w:t>2</w:t>
      </w:r>
      <w:r>
        <w:rPr>
          <w:rFonts w:ascii="宋体" w:hAnsi="宋体"/>
          <w:color w:val="auto"/>
          <w:highlight w:val="none"/>
          <w:u w:val="single"/>
        </w:rPr>
        <w:t xml:space="preserve">  </w:t>
      </w:r>
      <w:r>
        <w:rPr>
          <w:rFonts w:hint="eastAsia" w:ascii="宋体" w:hAnsi="宋体"/>
          <w:color w:val="auto"/>
          <w:highlight w:val="none"/>
        </w:rPr>
        <w:t>年；</w:t>
      </w:r>
    </w:p>
    <w:p>
      <w:pPr>
        <w:snapToGrid w:val="0"/>
        <w:spacing w:line="360" w:lineRule="auto"/>
        <w:ind w:firstLine="440" w:firstLineChars="200"/>
        <w:rPr>
          <w:rFonts w:ascii="宋体"/>
          <w:color w:val="auto"/>
          <w:highlight w:val="none"/>
        </w:rPr>
      </w:pPr>
      <w:r>
        <w:rPr>
          <w:rFonts w:hint="eastAsia" w:ascii="宋体" w:hAnsi="宋体"/>
          <w:color w:val="auto"/>
          <w:highlight w:val="none"/>
        </w:rPr>
        <w:t>电气管线、给排水管道、设备安装工程为</w:t>
      </w:r>
      <w:r>
        <w:rPr>
          <w:rFonts w:ascii="宋体" w:hAnsi="宋体"/>
          <w:color w:val="auto"/>
          <w:highlight w:val="none"/>
          <w:u w:val="single"/>
        </w:rPr>
        <w:t xml:space="preserve">  </w:t>
      </w:r>
      <w:r>
        <w:rPr>
          <w:rFonts w:hint="eastAsia" w:ascii="宋体" w:hAnsi="宋体"/>
          <w:color w:val="auto"/>
          <w:highlight w:val="none"/>
          <w:u w:val="single"/>
        </w:rPr>
        <w:t>2</w:t>
      </w:r>
      <w:r>
        <w:rPr>
          <w:rFonts w:ascii="宋体" w:hAnsi="宋体"/>
          <w:color w:val="auto"/>
          <w:highlight w:val="none"/>
          <w:u w:val="single"/>
        </w:rPr>
        <w:t xml:space="preserve">  </w:t>
      </w:r>
      <w:r>
        <w:rPr>
          <w:rFonts w:hint="eastAsia" w:ascii="宋体" w:hAnsi="宋体"/>
          <w:color w:val="auto"/>
          <w:highlight w:val="none"/>
        </w:rPr>
        <w:t>年；</w:t>
      </w:r>
    </w:p>
    <w:p>
      <w:pPr>
        <w:snapToGrid w:val="0"/>
        <w:spacing w:line="360" w:lineRule="auto"/>
        <w:ind w:firstLine="440" w:firstLineChars="200"/>
        <w:rPr>
          <w:rFonts w:ascii="宋体"/>
          <w:color w:val="auto"/>
          <w:highlight w:val="none"/>
        </w:rPr>
      </w:pPr>
      <w:r>
        <w:rPr>
          <w:rFonts w:hint="eastAsia" w:ascii="宋体" w:hAnsi="宋体"/>
          <w:color w:val="auto"/>
          <w:highlight w:val="none"/>
        </w:rPr>
        <w:t>供热与供冷系统为</w:t>
      </w:r>
      <w:r>
        <w:rPr>
          <w:rFonts w:ascii="宋体" w:hAnsi="宋体"/>
          <w:color w:val="auto"/>
          <w:highlight w:val="none"/>
          <w:u w:val="single"/>
        </w:rPr>
        <w:t xml:space="preserve">   </w:t>
      </w:r>
      <w:r>
        <w:rPr>
          <w:rFonts w:hint="eastAsia" w:ascii="宋体" w:hAnsi="宋体"/>
          <w:color w:val="auto"/>
          <w:highlight w:val="none"/>
          <w:u w:val="single"/>
        </w:rPr>
        <w:t xml:space="preserve">2  </w:t>
      </w:r>
      <w:r>
        <w:rPr>
          <w:rFonts w:ascii="宋体" w:hAnsi="宋体"/>
          <w:color w:val="auto"/>
          <w:highlight w:val="none"/>
          <w:u w:val="single"/>
        </w:rPr>
        <w:t xml:space="preserve"> </w:t>
      </w:r>
      <w:r>
        <w:rPr>
          <w:rFonts w:hint="eastAsia" w:ascii="宋体" w:hAnsi="宋体"/>
          <w:color w:val="auto"/>
          <w:highlight w:val="none"/>
        </w:rPr>
        <w:t>个采暖期、供冷期；</w:t>
      </w:r>
    </w:p>
    <w:p>
      <w:pPr>
        <w:snapToGrid w:val="0"/>
        <w:spacing w:line="360" w:lineRule="auto"/>
        <w:ind w:firstLine="440" w:firstLineChars="200"/>
        <w:rPr>
          <w:rFonts w:ascii="宋体"/>
          <w:color w:val="auto"/>
          <w:highlight w:val="none"/>
        </w:rPr>
      </w:pPr>
      <w:r>
        <w:rPr>
          <w:rFonts w:hint="eastAsia" w:ascii="宋体" w:hAnsi="宋体"/>
          <w:color w:val="auto"/>
          <w:highlight w:val="none"/>
        </w:rPr>
        <w:t>住宅小区内的给排水设施、道路等配套工程为</w:t>
      </w: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r>
        <w:rPr>
          <w:rFonts w:hint="eastAsia" w:ascii="宋体" w:hAnsi="宋体"/>
          <w:color w:val="auto"/>
          <w:highlight w:val="none"/>
        </w:rPr>
        <w:t>年；</w:t>
      </w:r>
    </w:p>
    <w:p>
      <w:pPr>
        <w:snapToGrid w:val="0"/>
        <w:spacing w:line="360" w:lineRule="auto"/>
        <w:ind w:firstLine="440" w:firstLineChars="200"/>
        <w:rPr>
          <w:rFonts w:ascii="宋体"/>
          <w:color w:val="auto"/>
          <w:highlight w:val="none"/>
        </w:rPr>
      </w:pPr>
      <w:r>
        <w:rPr>
          <w:rFonts w:hint="eastAsia" w:ascii="宋体" w:hAnsi="宋体"/>
          <w:color w:val="auto"/>
          <w:highlight w:val="none"/>
        </w:rPr>
        <w:t>其他项目保修期限约定如下：</w:t>
      </w:r>
    </w:p>
    <w:p>
      <w:pPr>
        <w:snapToGrid w:val="0"/>
        <w:spacing w:line="360" w:lineRule="auto"/>
        <w:rPr>
          <w:rFonts w:asci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w:t>
      </w:r>
    </w:p>
    <w:p>
      <w:pPr>
        <w:snapToGrid w:val="0"/>
        <w:spacing w:line="360" w:lineRule="auto"/>
        <w:ind w:firstLine="440" w:firstLineChars="200"/>
        <w:rPr>
          <w:rFonts w:ascii="宋体"/>
          <w:color w:val="auto"/>
          <w:highlight w:val="none"/>
        </w:rPr>
      </w:pPr>
      <w:r>
        <w:rPr>
          <w:rFonts w:hint="eastAsia" w:ascii="宋体" w:hAnsi="宋体"/>
          <w:color w:val="auto"/>
          <w:highlight w:val="none"/>
        </w:rPr>
        <w:t>三、保修责任</w:t>
      </w:r>
    </w:p>
    <w:p>
      <w:pPr>
        <w:snapToGrid w:val="0"/>
        <w:spacing w:line="360" w:lineRule="auto"/>
        <w:ind w:firstLine="440" w:firstLineChars="200"/>
        <w:rPr>
          <w:rFonts w:ascii="宋体"/>
          <w:color w:val="auto"/>
          <w:highlight w:val="none"/>
        </w:rPr>
      </w:pPr>
      <w:r>
        <w:rPr>
          <w:rFonts w:ascii="宋体" w:hAnsi="宋体"/>
          <w:color w:val="auto"/>
          <w:highlight w:val="none"/>
        </w:rPr>
        <w:t>1</w:t>
      </w:r>
      <w:r>
        <w:rPr>
          <w:rFonts w:hint="eastAsia" w:ascii="宋体" w:hAnsi="宋体"/>
          <w:color w:val="auto"/>
          <w:highlight w:val="none"/>
        </w:rPr>
        <w:t>、属于责任范围、内容的项目，承包人应当在接到保修通知之日起</w:t>
      </w:r>
      <w:r>
        <w:rPr>
          <w:rFonts w:ascii="宋体" w:hAnsi="宋体"/>
          <w:color w:val="auto"/>
          <w:highlight w:val="none"/>
        </w:rPr>
        <w:t>7</w:t>
      </w:r>
      <w:r>
        <w:rPr>
          <w:rFonts w:hint="eastAsia" w:ascii="宋体" w:hAnsi="宋体"/>
          <w:color w:val="auto"/>
          <w:highlight w:val="none"/>
        </w:rPr>
        <w:t>天内派人保修。承包人不在约定期限内派人保修的，发包人可以委托他人修理。</w:t>
      </w:r>
    </w:p>
    <w:p>
      <w:pPr>
        <w:snapToGrid w:val="0"/>
        <w:spacing w:line="360" w:lineRule="auto"/>
        <w:ind w:firstLine="440" w:firstLineChars="200"/>
        <w:rPr>
          <w:rFonts w:ascii="宋体"/>
          <w:color w:val="auto"/>
          <w:highlight w:val="none"/>
        </w:rPr>
      </w:pPr>
      <w:r>
        <w:rPr>
          <w:rFonts w:ascii="宋体" w:hAnsi="宋体"/>
          <w:color w:val="auto"/>
          <w:highlight w:val="none"/>
        </w:rPr>
        <w:t>2</w:t>
      </w:r>
      <w:r>
        <w:rPr>
          <w:rFonts w:hint="eastAsia" w:ascii="宋体" w:hAnsi="宋体"/>
          <w:color w:val="auto"/>
          <w:highlight w:val="none"/>
        </w:rPr>
        <w:t>、发生紧急抢修事故的，承包人在接到事故通知后，应当立即到达事故现场抢修。</w:t>
      </w:r>
    </w:p>
    <w:p>
      <w:pPr>
        <w:snapToGrid w:val="0"/>
        <w:spacing w:line="360" w:lineRule="auto"/>
        <w:ind w:firstLine="440" w:firstLineChars="200"/>
        <w:rPr>
          <w:rFonts w:ascii="宋体"/>
          <w:color w:val="auto"/>
          <w:highlight w:val="none"/>
        </w:rPr>
      </w:pPr>
      <w:r>
        <w:rPr>
          <w:rFonts w:ascii="宋体" w:hAnsi="宋体"/>
          <w:color w:val="auto"/>
          <w:highlight w:val="none"/>
        </w:rPr>
        <w:t>3</w:t>
      </w:r>
      <w:r>
        <w:rPr>
          <w:rFonts w:hint="eastAsia" w:ascii="宋体" w:hAnsi="宋体"/>
          <w:color w:val="auto"/>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snapToGrid w:val="0"/>
        <w:spacing w:line="360" w:lineRule="auto"/>
        <w:ind w:firstLine="440" w:firstLineChars="200"/>
        <w:rPr>
          <w:rFonts w:ascii="宋体"/>
          <w:color w:val="auto"/>
          <w:highlight w:val="none"/>
        </w:rPr>
      </w:pPr>
      <w:r>
        <w:rPr>
          <w:rFonts w:ascii="宋体" w:hAnsi="宋体"/>
          <w:color w:val="auto"/>
          <w:highlight w:val="none"/>
        </w:rPr>
        <w:t>4</w:t>
      </w:r>
      <w:r>
        <w:rPr>
          <w:rFonts w:hint="eastAsia" w:ascii="宋体" w:hAnsi="宋体"/>
          <w:color w:val="auto"/>
          <w:highlight w:val="none"/>
        </w:rPr>
        <w:t>、质量保修完成后，由发包人组织验收。</w:t>
      </w:r>
    </w:p>
    <w:p>
      <w:pPr>
        <w:snapToGrid w:val="0"/>
        <w:spacing w:line="360" w:lineRule="auto"/>
        <w:ind w:firstLine="440" w:firstLineChars="200"/>
        <w:rPr>
          <w:rFonts w:ascii="宋体"/>
          <w:color w:val="auto"/>
          <w:highlight w:val="none"/>
        </w:rPr>
      </w:pPr>
      <w:r>
        <w:rPr>
          <w:rFonts w:hint="eastAsia" w:ascii="宋体" w:hAnsi="宋体"/>
          <w:color w:val="auto"/>
          <w:highlight w:val="none"/>
        </w:rPr>
        <w:t>四、保修费用</w:t>
      </w:r>
    </w:p>
    <w:p>
      <w:pPr>
        <w:snapToGrid w:val="0"/>
        <w:spacing w:line="360" w:lineRule="auto"/>
        <w:ind w:firstLine="440" w:firstLineChars="200"/>
        <w:rPr>
          <w:rFonts w:ascii="宋体"/>
          <w:color w:val="auto"/>
          <w:highlight w:val="none"/>
          <w:u w:val="single"/>
        </w:rPr>
      </w:pPr>
      <w:r>
        <w:rPr>
          <w:rFonts w:hint="eastAsia" w:ascii="宋体" w:hAnsi="宋体"/>
          <w:color w:val="auto"/>
          <w:highlight w:val="none"/>
        </w:rPr>
        <w:t>保修费用由造成质量缺陷的责任方承担。</w:t>
      </w:r>
    </w:p>
    <w:p>
      <w:pPr>
        <w:snapToGrid w:val="0"/>
        <w:spacing w:line="360" w:lineRule="auto"/>
        <w:ind w:firstLine="440" w:firstLineChars="200"/>
        <w:rPr>
          <w:rFonts w:ascii="宋体"/>
          <w:color w:val="auto"/>
          <w:highlight w:val="none"/>
        </w:rPr>
      </w:pPr>
      <w:r>
        <w:rPr>
          <w:rFonts w:hint="eastAsia" w:ascii="宋体" w:hAnsi="宋体"/>
          <w:color w:val="auto"/>
          <w:highlight w:val="none"/>
        </w:rPr>
        <w:t>五、其</w:t>
      </w:r>
      <w:r>
        <w:rPr>
          <w:rFonts w:ascii="宋体" w:hAnsi="宋体"/>
          <w:color w:val="auto"/>
          <w:highlight w:val="none"/>
        </w:rPr>
        <w:t xml:space="preserve"> </w:t>
      </w:r>
      <w:r>
        <w:rPr>
          <w:rFonts w:hint="eastAsia" w:ascii="宋体" w:hAnsi="宋体"/>
          <w:color w:val="auto"/>
          <w:highlight w:val="none"/>
        </w:rPr>
        <w:t>他</w:t>
      </w:r>
    </w:p>
    <w:p>
      <w:pPr>
        <w:snapToGrid w:val="0"/>
        <w:spacing w:line="360" w:lineRule="auto"/>
        <w:ind w:firstLine="440" w:firstLineChars="200"/>
        <w:rPr>
          <w:rFonts w:ascii="宋体"/>
          <w:color w:val="auto"/>
          <w:highlight w:val="none"/>
        </w:rPr>
      </w:pPr>
      <w:r>
        <w:rPr>
          <w:rFonts w:hint="eastAsia" w:ascii="宋体" w:hAnsi="宋体"/>
          <w:color w:val="auto"/>
          <w:highlight w:val="none"/>
        </w:rPr>
        <w:t>双方约定的其他工程保修责任事项：</w:t>
      </w:r>
    </w:p>
    <w:p>
      <w:pPr>
        <w:snapToGrid w:val="0"/>
        <w:spacing w:line="360" w:lineRule="auto"/>
        <w:rPr>
          <w:rFonts w:ascii="宋体"/>
          <w:color w:val="auto"/>
          <w:highlight w:val="none"/>
        </w:rPr>
      </w:pPr>
      <w:r>
        <w:rPr>
          <w:rFonts w:hint="eastAsia" w:ascii="宋体" w:hAnsi="宋体"/>
          <w:color w:val="auto"/>
          <w:highlight w:val="none"/>
          <w:u w:val="single"/>
        </w:rPr>
        <w:t>建设工程在保修范围和保修期内发生质量问题的，承包人应当履行保修义务承担修复工作并扣除相应的保修金，对造成的损失承担赔偿责任</w:t>
      </w:r>
      <w:r>
        <w:rPr>
          <w:rFonts w:hint="eastAsia" w:ascii="宋体" w:hAnsi="宋体"/>
          <w:color w:val="auto"/>
          <w:highlight w:val="none"/>
        </w:rPr>
        <w:t>。</w:t>
      </w:r>
    </w:p>
    <w:p>
      <w:pPr>
        <w:snapToGrid w:val="0"/>
        <w:spacing w:line="360" w:lineRule="auto"/>
        <w:ind w:firstLine="440" w:firstLineChars="200"/>
        <w:rPr>
          <w:rFonts w:ascii="宋体"/>
          <w:color w:val="auto"/>
          <w:highlight w:val="none"/>
        </w:rPr>
      </w:pPr>
      <w:r>
        <w:rPr>
          <w:rFonts w:hint="eastAsia" w:ascii="宋体" w:hAnsi="宋体"/>
          <w:color w:val="auto"/>
          <w:highlight w:val="none"/>
        </w:rPr>
        <w:t>本工程保修书，由施工合同发包人、承包人双方在竣工验收前共同签署，作为施工合同附件，其有效期限至保修期满。</w:t>
      </w:r>
    </w:p>
    <w:p>
      <w:pPr>
        <w:snapToGrid w:val="0"/>
        <w:spacing w:line="360" w:lineRule="auto"/>
        <w:rPr>
          <w:rFonts w:ascii="宋体"/>
          <w:color w:val="auto"/>
          <w:highlight w:val="none"/>
        </w:rPr>
      </w:pPr>
    </w:p>
    <w:p>
      <w:pPr>
        <w:snapToGrid w:val="0"/>
        <w:spacing w:line="360" w:lineRule="auto"/>
        <w:rPr>
          <w:rFonts w:ascii="宋体"/>
          <w:color w:val="auto"/>
          <w:highlight w:val="none"/>
        </w:rPr>
      </w:pPr>
      <w:r>
        <w:rPr>
          <w:rFonts w:hint="eastAsia" w:ascii="宋体" w:hAnsi="宋体"/>
          <w:color w:val="auto"/>
          <w:highlight w:val="none"/>
        </w:rPr>
        <w:t>发包人：</w:t>
      </w:r>
      <w:r>
        <w:rPr>
          <w:rFonts w:hint="eastAsia" w:ascii="宋体" w:hAnsi="宋体"/>
          <w:color w:val="auto"/>
          <w:highlight w:val="none"/>
          <w:u w:val="single"/>
        </w:rPr>
        <w:t xml:space="preserve">                     </w:t>
      </w:r>
      <w:r>
        <w:rPr>
          <w:rFonts w:hint="eastAsia" w:ascii="宋体" w:hAnsi="宋体"/>
          <w:color w:val="auto"/>
          <w:highlight w:val="none"/>
        </w:rPr>
        <w:t>（公章   ）     承包人：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（公章）</w:t>
      </w:r>
      <w:r>
        <w:rPr>
          <w:rFonts w:ascii="宋体" w:hAnsi="宋体"/>
          <w:color w:val="auto"/>
          <w:highlight w:val="none"/>
        </w:rPr>
        <w:t xml:space="preserve"> </w:t>
      </w:r>
    </w:p>
    <w:p>
      <w:pPr>
        <w:spacing w:line="360" w:lineRule="auto"/>
        <w:ind w:left="5145" w:hanging="5390" w:hangingChars="2450"/>
        <w:jc w:val="left"/>
        <w:rPr>
          <w:rFonts w:hint="eastAsia" w:ascii="宋体" w:hAnsi="宋体"/>
          <w:color w:val="auto"/>
          <w:szCs w:val="21"/>
          <w:highlight w:val="none"/>
          <w:u w:val="single"/>
        </w:rPr>
      </w:pPr>
      <w:r>
        <w:rPr>
          <w:rFonts w:hint="eastAsia" w:ascii="宋体" w:hAnsi="宋体"/>
          <w:color w:val="auto"/>
          <w:highlight w:val="none"/>
        </w:rPr>
        <w:t>法定地址：</w:t>
      </w:r>
      <w:r>
        <w:rPr>
          <w:rFonts w:hint="eastAsia" w:ascii="宋体" w:hAnsi="宋体"/>
          <w:color w:val="auto"/>
          <w:highlight w:val="none"/>
          <w:u w:val="single"/>
        </w:rPr>
        <w:t xml:space="preserve">                         </w:t>
      </w:r>
      <w:r>
        <w:rPr>
          <w:rFonts w:hint="eastAsia" w:ascii="宋体" w:hAnsi="宋体"/>
          <w:color w:val="auto"/>
          <w:highlight w:val="none"/>
        </w:rPr>
        <w:t xml:space="preserve">       法定地址：</w:t>
      </w:r>
      <w:r>
        <w:rPr>
          <w:rFonts w:hint="eastAsia" w:ascii="宋体" w:hAnsi="宋体"/>
          <w:color w:val="auto"/>
          <w:szCs w:val="21"/>
          <w:highlight w:val="none"/>
          <w:u w:val="single"/>
        </w:rPr>
        <w:t xml:space="preserve">                              </w:t>
      </w:r>
    </w:p>
    <w:p>
      <w:pPr>
        <w:snapToGrid w:val="0"/>
        <w:spacing w:line="360" w:lineRule="auto"/>
        <w:rPr>
          <w:rFonts w:ascii="宋体"/>
          <w:color w:val="auto"/>
          <w:highlight w:val="none"/>
        </w:rPr>
      </w:pPr>
      <w:r>
        <w:rPr>
          <w:rFonts w:hint="eastAsia" w:ascii="宋体" w:hAnsi="宋体"/>
          <w:color w:val="auto"/>
          <w:highlight w:val="none"/>
        </w:rPr>
        <w:t>法定代表人或其</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法定代表人或其</w:t>
      </w:r>
    </w:p>
    <w:p>
      <w:pPr>
        <w:snapToGrid w:val="0"/>
        <w:spacing w:line="360" w:lineRule="auto"/>
        <w:rPr>
          <w:rFonts w:ascii="宋体"/>
          <w:color w:val="auto"/>
          <w:highlight w:val="none"/>
        </w:rPr>
      </w:pPr>
      <w:r>
        <w:rPr>
          <w:rFonts w:hint="eastAsia" w:ascii="宋体" w:hAnsi="宋体"/>
          <w:color w:val="auto"/>
          <w:highlight w:val="none"/>
        </w:rPr>
        <w:t>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（签字）</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委托代理人：</w:t>
      </w:r>
      <w:r>
        <w:rPr>
          <w:rFonts w:ascii="宋体" w:hAnsi="宋体"/>
          <w:color w:val="auto"/>
          <w:highlight w:val="none"/>
          <w:u w:val="single"/>
        </w:rPr>
        <w:t xml:space="preserve">            </w:t>
      </w:r>
      <w:r>
        <w:rPr>
          <w:rFonts w:hint="eastAsia" w:ascii="宋体" w:hAnsi="宋体"/>
          <w:color w:val="auto"/>
          <w:highlight w:val="none"/>
        </w:rPr>
        <w:t>（签字）</w:t>
      </w:r>
    </w:p>
    <w:p>
      <w:pPr>
        <w:snapToGrid w:val="0"/>
        <w:spacing w:line="360" w:lineRule="auto"/>
        <w:rPr>
          <w:rFonts w:ascii="宋体"/>
          <w:color w:val="auto"/>
          <w:highlight w:val="none"/>
        </w:rPr>
      </w:pPr>
      <w:r>
        <w:rPr>
          <w:rFonts w:hint="eastAsia" w:ascii="宋体" w:hAnsi="宋体"/>
          <w:color w:val="auto"/>
          <w:highlight w:val="none"/>
        </w:rPr>
        <w:t>电话：</w:t>
      </w:r>
      <w:r>
        <w:rPr>
          <w:rFonts w:hint="eastAsia"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电话：</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rPr>
          <w:rFonts w:ascii="宋体"/>
          <w:color w:val="auto"/>
          <w:highlight w:val="none"/>
        </w:rPr>
      </w:pPr>
      <w:r>
        <w:rPr>
          <w:rFonts w:hint="eastAsia" w:ascii="宋体" w:hAnsi="宋体"/>
          <w:color w:val="auto"/>
          <w:highlight w:val="none"/>
        </w:rPr>
        <w:t>传真：</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传真：</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rPr>
          <w:rFonts w:ascii="宋体"/>
          <w:color w:val="auto"/>
          <w:highlight w:val="none"/>
        </w:rPr>
      </w:pPr>
      <w:r>
        <w:rPr>
          <w:rFonts w:hint="eastAsia" w:ascii="宋体" w:hAnsi="宋体"/>
          <w:color w:val="auto"/>
          <w:highlight w:val="none"/>
        </w:rPr>
        <w:t>电子邮箱：</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电子邮箱：</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ind w:left="4935" w:hanging="5170" w:hangingChars="2350"/>
        <w:rPr>
          <w:rFonts w:ascii="宋体" w:hAnsi="宋体"/>
          <w:color w:val="auto"/>
          <w:highlight w:val="none"/>
        </w:rPr>
      </w:pPr>
      <w:r>
        <w:rPr>
          <w:rFonts w:hint="eastAsia" w:ascii="宋体" w:hAnsi="宋体"/>
          <w:color w:val="auto"/>
          <w:highlight w:val="none"/>
        </w:rPr>
        <w:t>开户银行：</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rPr>
          <w:rFonts w:ascii="宋体"/>
          <w:color w:val="auto"/>
          <w:highlight w:val="none"/>
        </w:rPr>
      </w:pPr>
      <w:r>
        <w:rPr>
          <w:rFonts w:hint="eastAsia" w:ascii="宋体" w:hAnsi="宋体"/>
          <w:color w:val="auto"/>
          <w:highlight w:val="none"/>
        </w:rPr>
        <w:t>帐号：</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帐号：</w:t>
      </w:r>
      <w:r>
        <w:rPr>
          <w:rFonts w:hint="eastAsia" w:ascii="宋体" w:hAnsi="宋体"/>
          <w:color w:val="auto"/>
          <w:highlight w:val="none"/>
          <w:u w:val="single"/>
        </w:rPr>
        <w:t xml:space="preserve">                </w:t>
      </w:r>
      <w:r>
        <w:rPr>
          <w:rFonts w:ascii="宋体" w:hAnsi="宋体"/>
          <w:color w:val="auto"/>
          <w:highlight w:val="none"/>
          <w:u w:val="single"/>
        </w:rPr>
        <w:t xml:space="preserve">           </w:t>
      </w:r>
    </w:p>
    <w:p>
      <w:pPr>
        <w:pStyle w:val="13"/>
        <w:spacing w:after="0" w:line="480" w:lineRule="auto"/>
        <w:ind w:left="0" w:leftChars="0"/>
        <w:rPr>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邮政编码：</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jc w:val="center"/>
        <w:rPr>
          <w:rFonts w:ascii="宋体"/>
          <w:b/>
          <w:color w:val="auto"/>
          <w:sz w:val="28"/>
          <w:highlight w:val="none"/>
        </w:rPr>
      </w:pPr>
      <w:r>
        <w:rPr>
          <w:color w:val="auto"/>
          <w:highlight w:val="none"/>
        </w:rPr>
        <w:br w:type="page"/>
      </w:r>
      <w:r>
        <w:rPr>
          <w:rFonts w:hint="eastAsia" w:ascii="宋体" w:hAnsi="宋体"/>
          <w:b/>
          <w:color w:val="auto"/>
          <w:sz w:val="28"/>
          <w:highlight w:val="none"/>
        </w:rPr>
        <w:t>建设工程廉政责任书</w:t>
      </w:r>
    </w:p>
    <w:p>
      <w:pPr>
        <w:snapToGrid w:val="0"/>
        <w:spacing w:line="360" w:lineRule="auto"/>
        <w:ind w:firstLine="440" w:firstLineChars="200"/>
        <w:rPr>
          <w:rFonts w:ascii="宋体"/>
          <w:color w:val="auto"/>
          <w:highlight w:val="none"/>
        </w:rPr>
      </w:pPr>
    </w:p>
    <w:p>
      <w:pPr>
        <w:tabs>
          <w:tab w:val="left" w:pos="750"/>
        </w:tabs>
        <w:spacing w:line="360" w:lineRule="auto"/>
        <w:ind w:firstLine="440" w:firstLineChars="200"/>
        <w:rPr>
          <w:rFonts w:ascii="仿宋" w:hAnsi="仿宋" w:eastAsia="仿宋"/>
          <w:bCs/>
          <w:color w:val="auto"/>
          <w:sz w:val="24"/>
          <w:szCs w:val="24"/>
          <w:highlight w:val="none"/>
        </w:rPr>
      </w:pPr>
      <w:r>
        <w:rPr>
          <w:rFonts w:hint="eastAsia" w:ascii="宋体" w:hAnsi="宋体"/>
          <w:color w:val="auto"/>
          <w:highlight w:val="none"/>
        </w:rPr>
        <w:t>发包人：</w:t>
      </w:r>
      <w:r>
        <w:rPr>
          <w:rFonts w:hint="eastAsia" w:ascii="宋体" w:hAnsi="宋体"/>
          <w:color w:val="auto"/>
          <w:highlight w:val="none"/>
          <w:u w:val="single"/>
        </w:rPr>
        <w:t xml:space="preserve">                        </w:t>
      </w:r>
    </w:p>
    <w:p>
      <w:pPr>
        <w:tabs>
          <w:tab w:val="left" w:pos="6646"/>
        </w:tabs>
        <w:snapToGrid w:val="0"/>
        <w:spacing w:line="360" w:lineRule="auto"/>
        <w:ind w:firstLine="440" w:firstLineChars="200"/>
        <w:rPr>
          <w:rFonts w:hint="eastAsia" w:ascii="宋体" w:hAnsi="宋体"/>
          <w:color w:val="auto"/>
          <w:highlight w:val="none"/>
          <w:u w:val="single"/>
        </w:rPr>
      </w:pPr>
      <w:r>
        <w:rPr>
          <w:rFonts w:hint="eastAsia" w:ascii="宋体" w:hAnsi="宋体"/>
          <w:color w:val="auto"/>
          <w:highlight w:val="none"/>
        </w:rPr>
        <w:t>承包人：</w:t>
      </w:r>
      <w:r>
        <w:rPr>
          <w:rFonts w:hint="eastAsia" w:ascii="宋体" w:hAnsi="宋体"/>
          <w:color w:val="auto"/>
          <w:highlight w:val="none"/>
          <w:u w:val="single"/>
        </w:rPr>
        <w:t xml:space="preserve">                          </w:t>
      </w:r>
    </w:p>
    <w:p>
      <w:pPr>
        <w:pStyle w:val="2"/>
        <w:rPr>
          <w:rFonts w:hint="eastAsia"/>
          <w:color w:val="auto"/>
          <w:highlight w:val="none"/>
        </w:rPr>
      </w:pPr>
    </w:p>
    <w:p>
      <w:pPr>
        <w:tabs>
          <w:tab w:val="left" w:pos="6646"/>
        </w:tabs>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一、双方的责任</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 xml:space="preserve">1.1 </w:t>
      </w:r>
      <w:r>
        <w:rPr>
          <w:rFonts w:hint="eastAsia" w:ascii="宋体" w:hAnsi="宋体"/>
          <w:color w:val="auto"/>
          <w:szCs w:val="28"/>
          <w:highlight w:val="none"/>
        </w:rPr>
        <w:t>应严格遵守国家关于建设工程的有关法律、法规，相关政策，以及廉政建设的各项规定。</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1</w:t>
      </w:r>
      <w:r>
        <w:rPr>
          <w:rFonts w:ascii="宋体"/>
          <w:color w:val="auto"/>
          <w:szCs w:val="28"/>
          <w:highlight w:val="none"/>
        </w:rPr>
        <w:t>.</w:t>
      </w:r>
      <w:r>
        <w:rPr>
          <w:rFonts w:ascii="宋体" w:hAnsi="宋体"/>
          <w:color w:val="auto"/>
          <w:szCs w:val="28"/>
          <w:highlight w:val="none"/>
        </w:rPr>
        <w:t xml:space="preserve">2 </w:t>
      </w:r>
      <w:r>
        <w:rPr>
          <w:rFonts w:hint="eastAsia" w:ascii="宋体" w:hAnsi="宋体"/>
          <w:color w:val="auto"/>
          <w:szCs w:val="28"/>
          <w:highlight w:val="none"/>
        </w:rPr>
        <w:t>严格执行建设工程合同文件，自觉按合同办事。</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1</w:t>
      </w:r>
      <w:r>
        <w:rPr>
          <w:rFonts w:ascii="宋体"/>
          <w:color w:val="auto"/>
          <w:szCs w:val="28"/>
          <w:highlight w:val="none"/>
        </w:rPr>
        <w:t>.</w:t>
      </w:r>
      <w:r>
        <w:rPr>
          <w:rFonts w:ascii="宋体" w:hAnsi="宋体"/>
          <w:color w:val="auto"/>
          <w:szCs w:val="28"/>
          <w:highlight w:val="none"/>
        </w:rPr>
        <w:t xml:space="preserve">3 </w:t>
      </w:r>
      <w:r>
        <w:rPr>
          <w:rFonts w:hint="eastAsia" w:ascii="宋体" w:hAnsi="宋体"/>
          <w:color w:val="auto"/>
          <w:szCs w:val="28"/>
          <w:highlight w:val="none"/>
        </w:rPr>
        <w:t>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1</w:t>
      </w:r>
      <w:r>
        <w:rPr>
          <w:rFonts w:ascii="宋体"/>
          <w:color w:val="auto"/>
          <w:szCs w:val="28"/>
          <w:highlight w:val="none"/>
        </w:rPr>
        <w:t>.</w:t>
      </w:r>
      <w:r>
        <w:rPr>
          <w:rFonts w:ascii="宋体" w:hAnsi="宋体"/>
          <w:color w:val="auto"/>
          <w:szCs w:val="28"/>
          <w:highlight w:val="none"/>
        </w:rPr>
        <w:t xml:space="preserve">4 </w:t>
      </w:r>
      <w:r>
        <w:rPr>
          <w:rFonts w:hint="eastAsia" w:ascii="宋体" w:hAnsi="宋体"/>
          <w:color w:val="auto"/>
          <w:szCs w:val="28"/>
          <w:highlight w:val="none"/>
        </w:rPr>
        <w:t>发现对方在业务活动中有违规、违纪、违法行为的，应及时提醒对方，情节严重的，应向其上级主管部门或纪检监察、司法等有关机关举报。</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二、发包人责任</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发包人的领导和从事该建设工程项目的工作人员，在工程建设的事前、事中、事后应遵守以下规定：</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2</w:t>
      </w:r>
      <w:r>
        <w:rPr>
          <w:rFonts w:ascii="宋体"/>
          <w:color w:val="auto"/>
          <w:szCs w:val="28"/>
          <w:highlight w:val="none"/>
        </w:rPr>
        <w:t>.</w:t>
      </w:r>
      <w:r>
        <w:rPr>
          <w:rFonts w:ascii="宋体" w:hAnsi="宋体"/>
          <w:color w:val="auto"/>
          <w:szCs w:val="28"/>
          <w:highlight w:val="none"/>
        </w:rPr>
        <w:t>1</w:t>
      </w:r>
      <w:r>
        <w:rPr>
          <w:rFonts w:hint="eastAsia" w:ascii="宋体" w:hAnsi="宋体"/>
          <w:color w:val="auto"/>
          <w:szCs w:val="28"/>
          <w:highlight w:val="none"/>
        </w:rPr>
        <w:t>不得向承包人和相关单位索要或接受回扣、礼金、有价证券、贵重物品和好处费、感谢费等。</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2</w:t>
      </w:r>
      <w:r>
        <w:rPr>
          <w:rFonts w:ascii="宋体"/>
          <w:color w:val="auto"/>
          <w:szCs w:val="28"/>
          <w:highlight w:val="none"/>
        </w:rPr>
        <w:t>.</w:t>
      </w:r>
      <w:r>
        <w:rPr>
          <w:rFonts w:ascii="宋体" w:hAnsi="宋体"/>
          <w:color w:val="auto"/>
          <w:szCs w:val="28"/>
          <w:highlight w:val="none"/>
        </w:rPr>
        <w:t xml:space="preserve">2 </w:t>
      </w:r>
      <w:r>
        <w:rPr>
          <w:rFonts w:hint="eastAsia" w:ascii="宋体" w:hAnsi="宋体"/>
          <w:color w:val="auto"/>
          <w:szCs w:val="28"/>
          <w:highlight w:val="none"/>
        </w:rPr>
        <w:t>不得在承包人和相关单位报销任何应由发包人或个人支付的费用。</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2</w:t>
      </w:r>
      <w:r>
        <w:rPr>
          <w:rFonts w:ascii="宋体"/>
          <w:color w:val="auto"/>
          <w:szCs w:val="28"/>
          <w:highlight w:val="none"/>
        </w:rPr>
        <w:t>.</w:t>
      </w:r>
      <w:r>
        <w:rPr>
          <w:rFonts w:ascii="宋体" w:hAnsi="宋体"/>
          <w:color w:val="auto"/>
          <w:szCs w:val="28"/>
          <w:highlight w:val="none"/>
        </w:rPr>
        <w:t xml:space="preserve">3 </w:t>
      </w:r>
      <w:r>
        <w:rPr>
          <w:rFonts w:hint="eastAsia" w:ascii="宋体" w:hAnsi="宋体"/>
          <w:color w:val="auto"/>
          <w:szCs w:val="28"/>
          <w:highlight w:val="none"/>
        </w:rPr>
        <w:t>不得要求、暗示或接受承包人和相关单位为个人装修住房、婚丧嫁娶、配偶子女的工作安排以及出国（境）、旅游等提供方便。</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2</w:t>
      </w:r>
      <w:r>
        <w:rPr>
          <w:rFonts w:ascii="宋体"/>
          <w:color w:val="auto"/>
          <w:szCs w:val="28"/>
          <w:highlight w:val="none"/>
        </w:rPr>
        <w:t>.</w:t>
      </w:r>
      <w:r>
        <w:rPr>
          <w:rFonts w:ascii="宋体" w:hAnsi="宋体"/>
          <w:color w:val="auto"/>
          <w:szCs w:val="28"/>
          <w:highlight w:val="none"/>
        </w:rPr>
        <w:t xml:space="preserve">4 </w:t>
      </w:r>
      <w:r>
        <w:rPr>
          <w:rFonts w:hint="eastAsia" w:ascii="宋体" w:hAnsi="宋体"/>
          <w:color w:val="auto"/>
          <w:szCs w:val="28"/>
          <w:highlight w:val="none"/>
        </w:rPr>
        <w:t>不得参加有可能影响公正执行公务的承包人和相关单位的宴请、健身、娱乐等活动。</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2</w:t>
      </w:r>
      <w:r>
        <w:rPr>
          <w:rFonts w:ascii="宋体"/>
          <w:color w:val="auto"/>
          <w:szCs w:val="28"/>
          <w:highlight w:val="none"/>
        </w:rPr>
        <w:t>.</w:t>
      </w:r>
      <w:r>
        <w:rPr>
          <w:rFonts w:ascii="宋体" w:hAnsi="宋体"/>
          <w:color w:val="auto"/>
          <w:szCs w:val="28"/>
          <w:highlight w:val="none"/>
        </w:rPr>
        <w:t xml:space="preserve">5 </w:t>
      </w:r>
      <w:r>
        <w:rPr>
          <w:rFonts w:hint="eastAsia" w:ascii="宋体" w:hAnsi="宋体"/>
          <w:color w:val="auto"/>
          <w:szCs w:val="28"/>
          <w:highlight w:val="none"/>
        </w:rPr>
        <w:t>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三、承包人责任</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应与发包人保持正常的业务交往，按照有关法律法规和程序开展业务工作，严格执行工程建设的有关方针、政策，执行工程建设强制性标准，并遵守以下规定：</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3</w:t>
      </w:r>
      <w:r>
        <w:rPr>
          <w:rFonts w:ascii="宋体"/>
          <w:color w:val="auto"/>
          <w:szCs w:val="28"/>
          <w:highlight w:val="none"/>
        </w:rPr>
        <w:t>.</w:t>
      </w:r>
      <w:r>
        <w:rPr>
          <w:rFonts w:ascii="宋体" w:hAnsi="宋体"/>
          <w:color w:val="auto"/>
          <w:szCs w:val="28"/>
          <w:highlight w:val="none"/>
        </w:rPr>
        <w:t xml:space="preserve">1 </w:t>
      </w:r>
      <w:r>
        <w:rPr>
          <w:rFonts w:hint="eastAsia" w:ascii="宋体" w:hAnsi="宋体"/>
          <w:color w:val="auto"/>
          <w:szCs w:val="28"/>
          <w:highlight w:val="none"/>
        </w:rPr>
        <w:t>不得以任何理由向发包人及其工作人员索要、接受或赠送礼金、有价证券、贵重物品及回扣、好处费、感谢费等。</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3</w:t>
      </w:r>
      <w:r>
        <w:rPr>
          <w:rFonts w:ascii="宋体"/>
          <w:color w:val="auto"/>
          <w:szCs w:val="28"/>
          <w:highlight w:val="none"/>
        </w:rPr>
        <w:t>.</w:t>
      </w:r>
      <w:r>
        <w:rPr>
          <w:rFonts w:ascii="宋体" w:hAnsi="宋体"/>
          <w:color w:val="auto"/>
          <w:szCs w:val="28"/>
          <w:highlight w:val="none"/>
        </w:rPr>
        <w:t>2</w:t>
      </w:r>
      <w:r>
        <w:rPr>
          <w:rFonts w:hint="eastAsia" w:ascii="宋体" w:hAnsi="宋体"/>
          <w:color w:val="auto"/>
          <w:szCs w:val="28"/>
          <w:highlight w:val="none"/>
        </w:rPr>
        <w:t>不得以任何理由为发包人和相关单位报销应由对方或个人支付的费用。</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3</w:t>
      </w:r>
      <w:r>
        <w:rPr>
          <w:rFonts w:ascii="宋体"/>
          <w:color w:val="auto"/>
          <w:szCs w:val="28"/>
          <w:highlight w:val="none"/>
        </w:rPr>
        <w:t>.</w:t>
      </w:r>
      <w:r>
        <w:rPr>
          <w:rFonts w:ascii="宋体" w:hAnsi="宋体"/>
          <w:color w:val="auto"/>
          <w:szCs w:val="28"/>
          <w:highlight w:val="none"/>
        </w:rPr>
        <w:t>3</w:t>
      </w:r>
      <w:r>
        <w:rPr>
          <w:rFonts w:hint="eastAsia" w:ascii="宋体" w:hAnsi="宋体"/>
          <w:color w:val="auto"/>
          <w:szCs w:val="28"/>
          <w:highlight w:val="none"/>
        </w:rPr>
        <w:t>不得接受或暗示为发包人、相关单位或个人装修住房、婚丧嫁娶、配偶子女的工作安排以及出国（境）、旅游等提供方便。</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3</w:t>
      </w:r>
      <w:r>
        <w:rPr>
          <w:rFonts w:ascii="宋体"/>
          <w:color w:val="auto"/>
          <w:szCs w:val="28"/>
          <w:highlight w:val="none"/>
        </w:rPr>
        <w:t>.</w:t>
      </w:r>
      <w:r>
        <w:rPr>
          <w:rFonts w:ascii="宋体" w:hAnsi="宋体"/>
          <w:color w:val="auto"/>
          <w:szCs w:val="28"/>
          <w:highlight w:val="none"/>
        </w:rPr>
        <w:t>4</w:t>
      </w:r>
      <w:r>
        <w:rPr>
          <w:rFonts w:hint="eastAsia" w:ascii="宋体" w:hAnsi="宋体"/>
          <w:color w:val="auto"/>
          <w:szCs w:val="28"/>
          <w:highlight w:val="none"/>
        </w:rPr>
        <w:t>不得以任何理由为发包人、相关单位或个人组织有可能影响公正执行公务的宴请、健身、娱乐等活动。</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四、违约责任</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4</w:t>
      </w:r>
      <w:r>
        <w:rPr>
          <w:rFonts w:ascii="宋体"/>
          <w:color w:val="auto"/>
          <w:szCs w:val="28"/>
          <w:highlight w:val="none"/>
        </w:rPr>
        <w:t>.</w:t>
      </w:r>
      <w:r>
        <w:rPr>
          <w:rFonts w:ascii="宋体" w:hAnsi="宋体"/>
          <w:color w:val="auto"/>
          <w:szCs w:val="28"/>
          <w:highlight w:val="none"/>
        </w:rPr>
        <w:t>1</w:t>
      </w:r>
      <w:r>
        <w:rPr>
          <w:rFonts w:hint="eastAsia" w:ascii="宋体" w:hAnsi="宋体"/>
          <w:color w:val="auto"/>
          <w:szCs w:val="28"/>
          <w:highlight w:val="none"/>
        </w:rPr>
        <w:t>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4</w:t>
      </w:r>
      <w:r>
        <w:rPr>
          <w:rFonts w:ascii="宋体"/>
          <w:color w:val="auto"/>
          <w:szCs w:val="28"/>
          <w:highlight w:val="none"/>
        </w:rPr>
        <w:t>.</w:t>
      </w:r>
      <w:r>
        <w:rPr>
          <w:rFonts w:ascii="宋体" w:hAnsi="宋体"/>
          <w:color w:val="auto"/>
          <w:szCs w:val="28"/>
          <w:highlight w:val="none"/>
        </w:rPr>
        <w:t xml:space="preserve">2 </w:t>
      </w:r>
      <w:r>
        <w:rPr>
          <w:rFonts w:hint="eastAsia" w:ascii="宋体" w:hAnsi="宋体"/>
          <w:color w:val="auto"/>
          <w:szCs w:val="28"/>
          <w:highlight w:val="none"/>
        </w:rPr>
        <w:t>承包人工作人员有违反本责任书第一、三条责任行为的，依据有关法律法规处理；涉嫌犯罪的，移交司法机关追究刑事责任；给发包人单位造成经济损失的，应予以赔偿。</w:t>
      </w:r>
    </w:p>
    <w:p>
      <w:pPr>
        <w:snapToGrid w:val="0"/>
        <w:spacing w:line="360" w:lineRule="auto"/>
        <w:ind w:firstLine="440" w:firstLineChars="200"/>
        <w:rPr>
          <w:rFonts w:ascii="宋体"/>
          <w:color w:val="auto"/>
          <w:szCs w:val="28"/>
          <w:highlight w:val="none"/>
        </w:rPr>
      </w:pPr>
      <w:r>
        <w:rPr>
          <w:rFonts w:ascii="宋体" w:hAnsi="宋体"/>
          <w:color w:val="auto"/>
          <w:szCs w:val="28"/>
          <w:highlight w:val="none"/>
        </w:rPr>
        <w:t>4</w:t>
      </w:r>
      <w:r>
        <w:rPr>
          <w:rFonts w:ascii="宋体"/>
          <w:color w:val="auto"/>
          <w:szCs w:val="28"/>
          <w:highlight w:val="none"/>
        </w:rPr>
        <w:t>.</w:t>
      </w:r>
      <w:r>
        <w:rPr>
          <w:rFonts w:ascii="宋体" w:hAnsi="宋体"/>
          <w:color w:val="auto"/>
          <w:szCs w:val="28"/>
          <w:highlight w:val="none"/>
        </w:rPr>
        <w:t xml:space="preserve">3 </w:t>
      </w:r>
      <w:r>
        <w:rPr>
          <w:rFonts w:hint="eastAsia" w:ascii="宋体" w:hAnsi="宋体"/>
          <w:color w:val="auto"/>
          <w:szCs w:val="28"/>
          <w:highlight w:val="none"/>
        </w:rPr>
        <w:t>本责任书作为建设工程合同的组成部分，与建设工程合同具有同等法律效力。经双方签署后立即生效。</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五、责任书有效期</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本责任书的有效期为双方签署之日起至该工程项目竣工验收合格时止。</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六、责任书份数</w:t>
      </w:r>
    </w:p>
    <w:p>
      <w:pPr>
        <w:snapToGrid w:val="0"/>
        <w:spacing w:line="360" w:lineRule="auto"/>
        <w:ind w:firstLine="440" w:firstLineChars="200"/>
        <w:rPr>
          <w:rFonts w:ascii="宋体"/>
          <w:color w:val="auto"/>
          <w:szCs w:val="28"/>
          <w:highlight w:val="none"/>
        </w:rPr>
      </w:pPr>
      <w:r>
        <w:rPr>
          <w:rFonts w:hint="eastAsia" w:ascii="宋体" w:hAnsi="宋体"/>
          <w:color w:val="auto"/>
          <w:szCs w:val="28"/>
          <w:highlight w:val="none"/>
        </w:rPr>
        <w:t>本责任书一式二份，发包人承包人各执一份，具有同等效力。</w:t>
      </w:r>
    </w:p>
    <w:p>
      <w:pPr>
        <w:snapToGrid w:val="0"/>
        <w:spacing w:line="360" w:lineRule="auto"/>
        <w:rPr>
          <w:rFonts w:ascii="宋体"/>
          <w:color w:val="auto"/>
          <w:szCs w:val="28"/>
          <w:highlight w:val="none"/>
        </w:rPr>
      </w:pPr>
    </w:p>
    <w:p>
      <w:pPr>
        <w:snapToGrid w:val="0"/>
        <w:spacing w:line="360" w:lineRule="auto"/>
        <w:rPr>
          <w:rFonts w:ascii="宋体"/>
          <w:color w:val="auto"/>
          <w:highlight w:val="none"/>
        </w:rPr>
      </w:pPr>
      <w:r>
        <w:rPr>
          <w:rFonts w:hint="eastAsia" w:ascii="宋体" w:hAnsi="宋体"/>
          <w:color w:val="auto"/>
          <w:highlight w:val="none"/>
        </w:rPr>
        <w:t>发包人：</w:t>
      </w:r>
      <w:r>
        <w:rPr>
          <w:rFonts w:hint="eastAsia" w:ascii="宋体" w:hAnsi="宋体"/>
          <w:color w:val="auto"/>
          <w:highlight w:val="none"/>
          <w:u w:val="single"/>
        </w:rPr>
        <w:t xml:space="preserve">                     </w:t>
      </w:r>
      <w:r>
        <w:rPr>
          <w:rFonts w:hint="eastAsia" w:ascii="宋体" w:hAnsi="宋体"/>
          <w:color w:val="auto"/>
          <w:highlight w:val="none"/>
        </w:rPr>
        <w:t>（公章）     承包人：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（公章）</w:t>
      </w:r>
      <w:r>
        <w:rPr>
          <w:rFonts w:ascii="宋体" w:hAnsi="宋体"/>
          <w:color w:val="auto"/>
          <w:highlight w:val="none"/>
        </w:rPr>
        <w:t xml:space="preserve"> </w:t>
      </w:r>
    </w:p>
    <w:p>
      <w:pPr>
        <w:spacing w:line="360" w:lineRule="auto"/>
        <w:ind w:left="5145" w:hanging="5390" w:hangingChars="2450"/>
        <w:jc w:val="left"/>
        <w:rPr>
          <w:rFonts w:hint="eastAsia" w:ascii="宋体" w:hAnsi="宋体"/>
          <w:color w:val="auto"/>
          <w:szCs w:val="21"/>
          <w:highlight w:val="none"/>
          <w:u w:val="single"/>
        </w:rPr>
      </w:pPr>
      <w:r>
        <w:rPr>
          <w:rFonts w:hint="eastAsia" w:ascii="宋体" w:hAnsi="宋体"/>
          <w:color w:val="auto"/>
          <w:highlight w:val="none"/>
        </w:rPr>
        <w:t>法定地址：</w:t>
      </w:r>
      <w:r>
        <w:rPr>
          <w:rFonts w:hint="eastAsia" w:ascii="宋体" w:hAnsi="宋体"/>
          <w:color w:val="auto"/>
          <w:highlight w:val="none"/>
          <w:u w:val="single"/>
        </w:rPr>
        <w:t xml:space="preserve">                         </w:t>
      </w:r>
      <w:r>
        <w:rPr>
          <w:rFonts w:hint="eastAsia" w:ascii="宋体" w:hAnsi="宋体"/>
          <w:color w:val="auto"/>
          <w:highlight w:val="none"/>
        </w:rPr>
        <w:t xml:space="preserve">       法定地址：</w:t>
      </w:r>
      <w:r>
        <w:rPr>
          <w:rFonts w:hint="eastAsia" w:ascii="宋体" w:hAnsi="宋体"/>
          <w:color w:val="auto"/>
          <w:szCs w:val="21"/>
          <w:highlight w:val="none"/>
          <w:u w:val="single"/>
        </w:rPr>
        <w:t xml:space="preserve">                         </w:t>
      </w:r>
    </w:p>
    <w:p>
      <w:pPr>
        <w:snapToGrid w:val="0"/>
        <w:spacing w:line="360" w:lineRule="auto"/>
        <w:rPr>
          <w:rFonts w:ascii="宋体"/>
          <w:color w:val="auto"/>
          <w:highlight w:val="none"/>
        </w:rPr>
      </w:pPr>
      <w:r>
        <w:rPr>
          <w:rFonts w:hint="eastAsia" w:ascii="宋体" w:hAnsi="宋体"/>
          <w:color w:val="auto"/>
          <w:highlight w:val="none"/>
        </w:rPr>
        <w:t>法定代表人或其</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法定代表人或其</w:t>
      </w:r>
    </w:p>
    <w:p>
      <w:pPr>
        <w:snapToGrid w:val="0"/>
        <w:spacing w:line="360" w:lineRule="auto"/>
        <w:rPr>
          <w:rFonts w:ascii="宋体"/>
          <w:color w:val="auto"/>
          <w:highlight w:val="none"/>
        </w:rPr>
      </w:pPr>
      <w:r>
        <w:rPr>
          <w:rFonts w:hint="eastAsia" w:ascii="宋体" w:hAnsi="宋体"/>
          <w:color w:val="auto"/>
          <w:highlight w:val="none"/>
        </w:rPr>
        <w:t>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（签字）</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委托代理人：</w:t>
      </w:r>
      <w:r>
        <w:rPr>
          <w:rFonts w:ascii="宋体" w:hAnsi="宋体"/>
          <w:color w:val="auto"/>
          <w:highlight w:val="none"/>
          <w:u w:val="single"/>
        </w:rPr>
        <w:t xml:space="preserve">            </w:t>
      </w:r>
      <w:r>
        <w:rPr>
          <w:rFonts w:hint="eastAsia" w:ascii="宋体" w:hAnsi="宋体"/>
          <w:color w:val="auto"/>
          <w:highlight w:val="none"/>
        </w:rPr>
        <w:t>（签字）</w:t>
      </w:r>
    </w:p>
    <w:p>
      <w:pPr>
        <w:snapToGrid w:val="0"/>
        <w:spacing w:line="360" w:lineRule="auto"/>
        <w:rPr>
          <w:rFonts w:ascii="宋体"/>
          <w:color w:val="auto"/>
          <w:highlight w:val="none"/>
        </w:rPr>
      </w:pPr>
      <w:r>
        <w:rPr>
          <w:rFonts w:hint="eastAsia" w:ascii="宋体" w:hAnsi="宋体"/>
          <w:color w:val="auto"/>
          <w:highlight w:val="none"/>
        </w:rPr>
        <w:t>电话：</w:t>
      </w:r>
      <w:r>
        <w:rPr>
          <w:rFonts w:hint="eastAsia"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电话：</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rPr>
          <w:rFonts w:ascii="宋体"/>
          <w:color w:val="auto"/>
          <w:highlight w:val="none"/>
        </w:rPr>
      </w:pPr>
      <w:r>
        <w:rPr>
          <w:rFonts w:hint="eastAsia" w:ascii="宋体" w:hAnsi="宋体"/>
          <w:color w:val="auto"/>
          <w:highlight w:val="none"/>
        </w:rPr>
        <w:t>传真：</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传真：</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rPr>
          <w:rFonts w:ascii="宋体"/>
          <w:color w:val="auto"/>
          <w:highlight w:val="none"/>
        </w:rPr>
      </w:pPr>
      <w:r>
        <w:rPr>
          <w:rFonts w:hint="eastAsia" w:ascii="宋体" w:hAnsi="宋体"/>
          <w:color w:val="auto"/>
          <w:highlight w:val="none"/>
        </w:rPr>
        <w:t>电子邮箱：</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电子邮箱：</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ind w:left="4935" w:hanging="5170" w:hangingChars="2350"/>
        <w:rPr>
          <w:rFonts w:ascii="宋体" w:hAnsi="宋体"/>
          <w:color w:val="auto"/>
          <w:highlight w:val="none"/>
        </w:rPr>
      </w:pPr>
      <w:r>
        <w:rPr>
          <w:rFonts w:hint="eastAsia" w:ascii="宋体" w:hAnsi="宋体"/>
          <w:color w:val="auto"/>
          <w:highlight w:val="none"/>
        </w:rPr>
        <w:t>开户银行：</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rPr>
          <w:rFonts w:ascii="宋体"/>
          <w:color w:val="auto"/>
          <w:highlight w:val="none"/>
        </w:rPr>
      </w:pPr>
      <w:r>
        <w:rPr>
          <w:rFonts w:hint="eastAsia" w:ascii="宋体" w:hAnsi="宋体"/>
          <w:color w:val="auto"/>
          <w:highlight w:val="none"/>
        </w:rPr>
        <w:t>帐号：</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帐号：</w:t>
      </w:r>
      <w:r>
        <w:rPr>
          <w:rFonts w:hint="eastAsia" w:ascii="宋体" w:hAnsi="宋体"/>
          <w:color w:val="auto"/>
          <w:highlight w:val="none"/>
          <w:u w:val="single"/>
        </w:rPr>
        <w:t xml:space="preserve">                 </w:t>
      </w:r>
      <w:r>
        <w:rPr>
          <w:rFonts w:ascii="宋体" w:hAnsi="宋体"/>
          <w:color w:val="auto"/>
          <w:highlight w:val="none"/>
          <w:u w:val="single"/>
        </w:rPr>
        <w:t xml:space="preserve">            </w:t>
      </w:r>
    </w:p>
    <w:p>
      <w:pPr>
        <w:snapToGrid w:val="0"/>
        <w:spacing w:line="360" w:lineRule="auto"/>
        <w:rPr>
          <w:rFonts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邮政编码：</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p>
    <w:p>
      <w:pPr>
        <w:rPr>
          <w:color w:val="auto"/>
          <w:highlight w:val="none"/>
        </w:rPr>
      </w:pPr>
      <w:r>
        <w:rPr>
          <w:rFonts w:hint="eastAsia" w:ascii="宋体" w:hAnsi="宋体"/>
          <w:color w:val="auto"/>
          <w:highlight w:val="none"/>
        </w:rPr>
        <w:t>监督单位：</w:t>
      </w:r>
      <w:r>
        <w:rPr>
          <w:rFonts w:ascii="宋体" w:hAnsi="宋体"/>
          <w:color w:val="auto"/>
          <w:highlight w:val="none"/>
          <w:u w:val="single"/>
        </w:rPr>
        <w:t xml:space="preserve">                  </w:t>
      </w:r>
      <w:r>
        <w:rPr>
          <w:rFonts w:hint="eastAsia" w:ascii="宋体" w:hAnsi="宋体"/>
          <w:color w:val="auto"/>
          <w:highlight w:val="none"/>
        </w:rPr>
        <w:t>（盖章）          监督单位：</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（盖章）</w:t>
      </w:r>
    </w:p>
    <w:p>
      <w:pPr>
        <w:pStyle w:val="2"/>
        <w:rPr>
          <w:color w:val="auto"/>
          <w:highlight w:val="none"/>
        </w:rPr>
      </w:pPr>
    </w:p>
    <w:p>
      <w:pPr>
        <w:snapToGrid w:val="0"/>
        <w:spacing w:line="360" w:lineRule="auto"/>
        <w:jc w:val="center"/>
        <w:rPr>
          <w:rFonts w:hint="eastAsia" w:ascii="宋体" w:hAnsi="宋体"/>
          <w:b/>
          <w:color w:val="auto"/>
          <w:sz w:val="28"/>
          <w:highlight w:val="none"/>
        </w:rPr>
      </w:pPr>
      <w:r>
        <w:rPr>
          <w:rFonts w:hint="eastAsia" w:ascii="宋体" w:hAnsi="宋体"/>
          <w:b/>
          <w:color w:val="auto"/>
          <w:sz w:val="28"/>
          <w:highlight w:val="none"/>
        </w:rPr>
        <w:t>安全生产协议书</w:t>
      </w:r>
    </w:p>
    <w:p>
      <w:pPr>
        <w:pStyle w:val="2"/>
        <w:rPr>
          <w:color w:val="auto"/>
          <w:highlight w:val="none"/>
        </w:rPr>
      </w:pPr>
    </w:p>
    <w:p>
      <w:pPr>
        <w:snapToGrid w:val="0"/>
        <w:spacing w:line="360" w:lineRule="auto"/>
        <w:rPr>
          <w:rFonts w:ascii="宋体" w:hAnsi="宋体"/>
          <w:color w:val="auto"/>
          <w:highlight w:val="none"/>
          <w:u w:val="single"/>
        </w:rPr>
      </w:pPr>
      <w:r>
        <w:rPr>
          <w:rFonts w:hint="eastAsia" w:ascii="宋体" w:hAnsi="宋体"/>
          <w:color w:val="auto"/>
          <w:highlight w:val="none"/>
        </w:rPr>
        <w:t>发包人：</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p>
    <w:p>
      <w:pPr>
        <w:snapToGrid w:val="0"/>
        <w:spacing w:line="360" w:lineRule="auto"/>
        <w:rPr>
          <w:rFonts w:ascii="宋体" w:hAnsi="宋体"/>
          <w:color w:val="auto"/>
          <w:highlight w:val="none"/>
        </w:rPr>
      </w:pPr>
      <w:r>
        <w:rPr>
          <w:rFonts w:hint="eastAsia" w:ascii="宋体" w:hAnsi="宋体"/>
          <w:color w:val="auto"/>
          <w:highlight w:val="none"/>
        </w:rPr>
        <w:t>承包人：</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p>
    <w:p>
      <w:pPr>
        <w:snapToGrid w:val="0"/>
        <w:spacing w:line="360" w:lineRule="auto"/>
        <w:rPr>
          <w:rFonts w:ascii="宋体" w:hAnsi="宋体"/>
          <w:color w:val="auto"/>
          <w:szCs w:val="28"/>
          <w:highlight w:val="none"/>
        </w:rPr>
      </w:pP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为加强施工现场安全生产管理，依照《中华人民共和国安全生产法》《中华人民共和国建筑法》《中华人民共和国</w:t>
      </w:r>
      <w:r>
        <w:rPr>
          <w:rFonts w:hint="eastAsia" w:ascii="宋体" w:hAnsi="宋体"/>
          <w:color w:val="auto"/>
          <w:szCs w:val="28"/>
          <w:highlight w:val="none"/>
          <w:lang w:eastAsia="zh-CN"/>
        </w:rPr>
        <w:t>民法典</w:t>
      </w:r>
      <w:r>
        <w:rPr>
          <w:rFonts w:hint="eastAsia" w:ascii="宋体" w:hAnsi="宋体"/>
          <w:color w:val="auto"/>
          <w:szCs w:val="28"/>
          <w:highlight w:val="none"/>
        </w:rPr>
        <w:t>》以及《北京市生产安全事故责任划分试行办法》的有关规定，双方本着自愿、平等、公正的原则，签定本协议书。各方均应严格遵守本协议规定的权利、责任和义务，确保施工现场的安全生产。</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安全目标：死亡事故为零、重伤事故为零、无安全生产责任事故</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工程项目安全生产标准化目标：合格</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第一条：公司资质资料备案</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乙方应将单位资质、安全生产资格证书、安全生产条件等的复印件（加盖公章）提供甲方备案，且对资料真实性负责。</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第二条：甲方安全责任及权利</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1、工程开工前，应当依法申请领取施工许可证或办理开工报告批准手续。严格遵守国家有关安全生产的法律法规，认真执行工程承包合同中的有关安全要求。</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2、提供施工场区地下管线、设施的相关资料。</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3、不定期召开或参加安全专题会议，对施工现场出现的违反安全操作规程现象提出纠正和整改意见。</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4、不定期检查乙方的安全管理工作情况，发现存在严重违反安全规定及北京市有关政府部门文件规定的，甲方有权对乙方采取处罚措施。</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第三条：乙方的责任和权利</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全面贯彻落实《建筑法》《建设工程安全生产管理条例》《建筑施工企业安全生产管理规范》《北京市建设工程施工现场管理办法》等有关施工现场安全生产的法律法规。乙方应承担施工现场的安全管理责任。</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2、严格审查分包方施工资质，不得与不具备施工资质或施工资质与承包内容不相符的分包单位签订合同。</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3、施工现场安全生产条件、消防安全通道和消防设备设施、安全防护设施等应满足北京市有关安全标准要求。</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4、不得违反《建筑工程施工转包违法分包等违法行为认定查处管理办法（实行）》等的要求，非法转包、违法分包和挂靠行为。</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5、建立健全施工现场各项安全生产管理制度和安全生产责任制。</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6、设立安全生产管理机构，配备专职安全生产管理人员，应符合《建筑施工企业安全生产管理机构设置及专职安全生产管理人员配备办法》的要求。</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7、根据北京市有关要求，督促专业承包单位、专业分包单位、劳务分包单位按要求配备符合要求的专职安全生产管理人员，且人员落实到位。</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8、做好对分包和劳务单位等应进行安全技术交底、安全教育培训等工作，并符合北京市及朝阳区安全监督站等有关部门的规定。</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9、确保危险性较大的分部分项工程的安全性，并按程序办理验收手续，且签字齐全存档。</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10、大型机具设备投入使用前，应进行验收。起重机械设备的安装和拆卸必须由有资格的单位和专业人员进行，并应有专人定期进行维修和保养，对达不到安全要求又不能修复的机械设备，必须即停用，撤离施工现场。保证项目施工现场内使用的各种设备、设施完好，设施设备必须使用正规厂家的合格产品，严禁使用假冒伪劣等不合格产品，加强维护保养工作，严禁各种设备带病运行。</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11、建立特种作业操作人员档案并报监理单位备案。对特种作业人员进行上岗前的职业技能、安全生产等方面的培训，未经安全生产教育培训及培训不合格和无证人员，不得上岗作业。特种作业人员必须依照有关规定持上岗。</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12、制定生产安全事故应急救援预案报甲方及监理单位备案，建立应急救援组织，配备应急救援人员、器材、设备，并定期组织演练。</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13、现场及生活区安全、场容场貌、消防保卫、绿色施工、食品卫生等的安全管理应符合《建设工程施工现场安全防护、场容卫生及消防保卫标准》《建设工程施工现场生活区设置和管理规范》《建设工程施工现场安全资料管理规程》等国家、北京市标准及规范要求，并按规定报监理单位签字确认。</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14、由于甲方责任造成生产安全事故，导致乙方人员伤亡时，甲方承担相应的事故责任和经济责任。乙方自己责任造成生产安全事故，导致乙方人员伤亡、造成损失的，乙方自行承担。</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15、现场组织施工应遵守建设工程施工现场安全生产有关标准、规定及有关文件中对承包单位的要求。</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16、乙方对安全生产保证资金应专款专用，不得挪作他用。</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17、施工用电及临电设备必须严格按照《施工现场临时用电安全技术用电规范》和《建筑施工安全检查标准》,《北京市建设工程施工现场安全防范标准》和国家、北京市相关规定及甲方要求执行，满足北京市安全文明施工工地要求。</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18、对甲方人员的违反安全生产规定、制度并可能造成安全事故的指令有权拒绝执行，对甲方在安全管理工作中存在的问题有权提出意见和改进建议。</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19、生产安全事故发生后，应当按照国家有关伤亡事故报告和调查处理的规定，及时采取措施积极妥善处理。配合政府有关部门做好全检查工作和安全事故调查工作。</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20、负责对临水、临电、配电箱柜、水泵等临时设施、设备维修、维护、保卫。</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 xml:space="preserve">21、施工期间有关安全施工规范规定及法律法规更新时，乙方应按最新规定组织安全施工管理工作。                              </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第四条：附则</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1、本协议约定的各项条款，经双方签字、盖章后生效，作为合同附件具有同等法律效力。双方应严格遵守本协议规定的各项条款，因违反本协议造成的安全事故或其他事件，由违约方承担相应的法律责任和经济责任。</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2、本协议内容如遇国家的有关法律、法规等不一致，按照国家有关规定执行。</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3、本协议有效期按照合同工期。合同工期变更，本协议有效期相应变更。合同施工内容、范围有变动时，应及时签订补充协议。</w:t>
      </w:r>
    </w:p>
    <w:p>
      <w:pPr>
        <w:spacing w:line="490" w:lineRule="exact"/>
        <w:ind w:firstLine="440" w:firstLineChars="200"/>
        <w:rPr>
          <w:rFonts w:ascii="宋体" w:hAnsi="宋体"/>
          <w:color w:val="auto"/>
          <w:szCs w:val="28"/>
          <w:highlight w:val="none"/>
        </w:rPr>
      </w:pPr>
      <w:r>
        <w:rPr>
          <w:rFonts w:hint="eastAsia" w:ascii="宋体" w:hAnsi="宋体"/>
          <w:color w:val="auto"/>
          <w:szCs w:val="28"/>
          <w:highlight w:val="none"/>
        </w:rPr>
        <w:t>4、本协议书壹式陆份，双方各保存叁份。</w:t>
      </w:r>
    </w:p>
    <w:p>
      <w:pPr>
        <w:pStyle w:val="66"/>
        <w:adjustRightInd w:val="0"/>
        <w:snapToGrid w:val="0"/>
        <w:spacing w:before="0" w:beforeAutospacing="0" w:after="0" w:afterAutospacing="0" w:line="490" w:lineRule="exact"/>
        <w:ind w:firstLine="840" w:firstLineChars="400"/>
        <w:rPr>
          <w:rFonts w:hint="eastAsia"/>
          <w:color w:val="auto"/>
          <w:sz w:val="21"/>
          <w:szCs w:val="28"/>
          <w:highlight w:val="none"/>
        </w:rPr>
      </w:pPr>
    </w:p>
    <w:p>
      <w:pPr>
        <w:pStyle w:val="66"/>
        <w:adjustRightInd w:val="0"/>
        <w:snapToGrid w:val="0"/>
        <w:spacing w:before="0" w:beforeAutospacing="0" w:after="0" w:afterAutospacing="0" w:line="490" w:lineRule="exact"/>
        <w:ind w:firstLine="840" w:firstLineChars="400"/>
        <w:rPr>
          <w:color w:val="auto"/>
          <w:sz w:val="21"/>
          <w:szCs w:val="28"/>
          <w:highlight w:val="none"/>
        </w:rPr>
      </w:pPr>
      <w:r>
        <w:rPr>
          <w:rFonts w:hint="eastAsia"/>
          <w:color w:val="auto"/>
          <w:sz w:val="21"/>
          <w:szCs w:val="28"/>
          <w:highlight w:val="none"/>
        </w:rPr>
        <w:t xml:space="preserve">发包单位：（章）             </w:t>
      </w:r>
      <w:r>
        <w:rPr>
          <w:rFonts w:hint="eastAsia"/>
          <w:color w:val="auto"/>
          <w:sz w:val="21"/>
          <w:szCs w:val="28"/>
          <w:highlight w:val="none"/>
          <w:lang w:val="en-US" w:eastAsia="zh-CN"/>
        </w:rPr>
        <w:t xml:space="preserve">         </w:t>
      </w:r>
      <w:r>
        <w:rPr>
          <w:rFonts w:hint="eastAsia"/>
          <w:color w:val="auto"/>
          <w:sz w:val="21"/>
          <w:szCs w:val="28"/>
          <w:highlight w:val="none"/>
        </w:rPr>
        <w:t xml:space="preserve"> 承包单位：（章）</w:t>
      </w:r>
    </w:p>
    <w:p>
      <w:pPr>
        <w:pStyle w:val="66"/>
        <w:adjustRightInd w:val="0"/>
        <w:snapToGrid w:val="0"/>
        <w:spacing w:before="0" w:beforeAutospacing="0" w:after="0" w:afterAutospacing="0" w:line="490" w:lineRule="exact"/>
        <w:ind w:firstLine="840" w:firstLineChars="400"/>
        <w:rPr>
          <w:color w:val="auto"/>
          <w:sz w:val="21"/>
          <w:szCs w:val="28"/>
          <w:highlight w:val="none"/>
        </w:rPr>
      </w:pPr>
      <w:r>
        <w:rPr>
          <w:rFonts w:hint="eastAsia"/>
          <w:color w:val="auto"/>
          <w:sz w:val="21"/>
          <w:szCs w:val="28"/>
          <w:highlight w:val="none"/>
        </w:rPr>
        <w:t xml:space="preserve">法定代表人或                 </w:t>
      </w:r>
      <w:r>
        <w:rPr>
          <w:rFonts w:hint="eastAsia"/>
          <w:color w:val="auto"/>
          <w:sz w:val="21"/>
          <w:szCs w:val="28"/>
          <w:highlight w:val="none"/>
          <w:lang w:val="en-US" w:eastAsia="zh-CN"/>
        </w:rPr>
        <w:t xml:space="preserve">        </w:t>
      </w:r>
      <w:r>
        <w:rPr>
          <w:rFonts w:hint="eastAsia"/>
          <w:color w:val="auto"/>
          <w:sz w:val="21"/>
          <w:szCs w:val="28"/>
          <w:highlight w:val="none"/>
        </w:rPr>
        <w:t xml:space="preserve"> 法定代表人或</w:t>
      </w:r>
    </w:p>
    <w:p>
      <w:pPr>
        <w:pStyle w:val="66"/>
        <w:adjustRightInd w:val="0"/>
        <w:snapToGrid w:val="0"/>
        <w:spacing w:before="0" w:beforeAutospacing="0" w:after="0" w:afterAutospacing="0" w:line="490" w:lineRule="exact"/>
        <w:ind w:left="660" w:leftChars="300" w:firstLine="210" w:firstLineChars="100"/>
        <w:rPr>
          <w:color w:val="auto"/>
          <w:sz w:val="21"/>
          <w:szCs w:val="28"/>
          <w:highlight w:val="none"/>
        </w:rPr>
      </w:pPr>
      <w:r>
        <w:rPr>
          <w:rFonts w:hint="eastAsia"/>
          <w:color w:val="auto"/>
          <w:sz w:val="21"/>
          <w:szCs w:val="28"/>
          <w:highlight w:val="none"/>
        </w:rPr>
        <w:t xml:space="preserve">其被授权人（签字）：          </w:t>
      </w:r>
      <w:r>
        <w:rPr>
          <w:rFonts w:hint="eastAsia"/>
          <w:color w:val="auto"/>
          <w:sz w:val="21"/>
          <w:szCs w:val="28"/>
          <w:highlight w:val="none"/>
          <w:lang w:val="en-US" w:eastAsia="zh-CN"/>
        </w:rPr>
        <w:t xml:space="preserve">         </w:t>
      </w:r>
      <w:r>
        <w:rPr>
          <w:rFonts w:hint="eastAsia"/>
          <w:color w:val="auto"/>
          <w:sz w:val="21"/>
          <w:szCs w:val="28"/>
          <w:highlight w:val="none"/>
        </w:rPr>
        <w:t xml:space="preserve">其被授权人（签字）：    </w:t>
      </w:r>
    </w:p>
    <w:p>
      <w:pPr>
        <w:pStyle w:val="66"/>
        <w:adjustRightInd w:val="0"/>
        <w:snapToGrid w:val="0"/>
        <w:spacing w:before="0" w:beforeAutospacing="0" w:after="0" w:afterAutospacing="0" w:line="490" w:lineRule="exact"/>
        <w:ind w:firstLine="1050" w:firstLineChars="500"/>
        <w:rPr>
          <w:color w:val="auto"/>
          <w:sz w:val="21"/>
          <w:szCs w:val="28"/>
          <w:highlight w:val="none"/>
        </w:rPr>
      </w:pPr>
      <w:r>
        <w:rPr>
          <w:rFonts w:hint="eastAsia"/>
          <w:color w:val="auto"/>
          <w:sz w:val="21"/>
          <w:szCs w:val="28"/>
          <w:highlight w:val="none"/>
        </w:rPr>
        <w:t xml:space="preserve">年   月   日              </w:t>
      </w:r>
      <w:r>
        <w:rPr>
          <w:rFonts w:hint="eastAsia"/>
          <w:color w:val="auto"/>
          <w:sz w:val="21"/>
          <w:szCs w:val="28"/>
          <w:highlight w:val="none"/>
          <w:lang w:val="en-US" w:eastAsia="zh-CN"/>
        </w:rPr>
        <w:t xml:space="preserve">       </w:t>
      </w:r>
      <w:r>
        <w:rPr>
          <w:rFonts w:hint="eastAsia"/>
          <w:color w:val="auto"/>
          <w:sz w:val="21"/>
          <w:szCs w:val="28"/>
          <w:highlight w:val="none"/>
        </w:rPr>
        <w:t xml:space="preserve">   年   月   日</w:t>
      </w:r>
    </w:p>
    <w:p>
      <w:pPr>
        <w:pStyle w:val="2"/>
        <w:rPr>
          <w:rFonts w:ascii="宋体" w:hAnsi="宋体"/>
          <w:color w:val="auto"/>
          <w:sz w:val="21"/>
          <w:szCs w:val="28"/>
          <w:highlight w:val="none"/>
        </w:rPr>
        <w:sectPr>
          <w:pgSz w:w="11906" w:h="16838"/>
          <w:pgMar w:top="1440" w:right="1797" w:bottom="1440" w:left="1797" w:header="851" w:footer="992" w:gutter="0"/>
          <w:cols w:space="720" w:num="1"/>
          <w:docGrid w:type="lines" w:linePitch="312" w:charSpace="0"/>
        </w:sectPr>
      </w:pPr>
    </w:p>
    <w:p>
      <w:pPr>
        <w:pStyle w:val="2"/>
        <w:rPr>
          <w:rFonts w:ascii="宋体" w:hAnsi="宋体"/>
          <w:color w:val="auto"/>
          <w:kern w:val="0"/>
          <w:sz w:val="24"/>
          <w:szCs w:val="20"/>
          <w:highlight w:val="none"/>
        </w:rPr>
      </w:pPr>
    </w:p>
    <w:p>
      <w:pPr>
        <w:pStyle w:val="2"/>
        <w:rPr>
          <w:rFonts w:ascii="宋体" w:hAnsi="宋体"/>
          <w:color w:val="auto"/>
          <w:kern w:val="0"/>
          <w:sz w:val="24"/>
          <w:szCs w:val="20"/>
          <w:highlight w:val="none"/>
        </w:rPr>
      </w:pPr>
    </w:p>
    <w:p>
      <w:pPr>
        <w:snapToGrid w:val="0"/>
        <w:spacing w:line="360" w:lineRule="auto"/>
        <w:jc w:val="center"/>
        <w:rPr>
          <w:rFonts w:ascii="宋体" w:hAnsi="宋体"/>
          <w:b/>
          <w:color w:val="auto"/>
          <w:sz w:val="28"/>
          <w:highlight w:val="none"/>
        </w:rPr>
      </w:pPr>
      <w:r>
        <w:rPr>
          <w:rFonts w:hint="eastAsia" w:ascii="宋体" w:hAnsi="宋体"/>
          <w:b/>
          <w:color w:val="auto"/>
          <w:sz w:val="28"/>
          <w:highlight w:val="none"/>
        </w:rPr>
        <w:t>北京市工程建设项目</w:t>
      </w:r>
    </w:p>
    <w:p>
      <w:pPr>
        <w:snapToGrid w:val="0"/>
        <w:spacing w:line="360" w:lineRule="auto"/>
        <w:jc w:val="center"/>
        <w:rPr>
          <w:rFonts w:ascii="宋体" w:hAnsi="宋体"/>
          <w:b/>
          <w:color w:val="auto"/>
          <w:sz w:val="28"/>
          <w:highlight w:val="none"/>
        </w:rPr>
      </w:pPr>
      <w:r>
        <w:rPr>
          <w:rFonts w:hint="eastAsia" w:ascii="宋体" w:hAnsi="宋体"/>
          <w:b/>
          <w:color w:val="auto"/>
          <w:sz w:val="28"/>
          <w:highlight w:val="none"/>
        </w:rPr>
        <w:t>保障农民工工资支付工作承诺书</w:t>
      </w: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pStyle w:val="2"/>
        <w:rPr>
          <w:rFonts w:ascii="宋体" w:hAnsi="宋体"/>
          <w:b/>
          <w:color w:val="auto"/>
          <w:sz w:val="28"/>
          <w:highlight w:val="none"/>
        </w:rPr>
      </w:pP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eastAsia="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项目地址：</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pacing w:val="-20"/>
          <w:sz w:val="24"/>
          <w:szCs w:val="24"/>
          <w:highlight w:val="none"/>
        </w:rPr>
      </w:pPr>
    </w:p>
    <w:p>
      <w:pPr>
        <w:snapToGrid w:val="0"/>
        <w:spacing w:line="360" w:lineRule="auto"/>
        <w:rPr>
          <w:rFonts w:ascii="宋体" w:hAnsi="宋体"/>
          <w:color w:val="auto"/>
          <w:highlight w:val="none"/>
          <w:u w:val="single"/>
        </w:rPr>
      </w:pPr>
      <w:r>
        <w:rPr>
          <w:rFonts w:hint="eastAsia" w:ascii="宋体" w:hAnsi="宋体" w:eastAsia="宋体" w:cs="宋体"/>
          <w:color w:val="auto"/>
          <w:spacing w:val="-20"/>
          <w:sz w:val="24"/>
          <w:szCs w:val="24"/>
          <w:highlight w:val="none"/>
        </w:rPr>
        <w:t>施工总承包（专业承包企业）：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8"/>
          <w:szCs w:val="28"/>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p>
    <w:p>
      <w:pPr>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sectPr>
          <w:headerReference r:id="rId9" w:type="default"/>
          <w:footerReference r:id="rId10" w:type="default"/>
          <w:pgSz w:w="11910" w:h="16840"/>
          <w:pgMar w:top="1440" w:right="1797" w:bottom="1440" w:left="1797" w:header="879" w:footer="892" w:gutter="0"/>
          <w:cols w:space="720" w:num="1"/>
        </w:sectPr>
      </w:pPr>
    </w:p>
    <w:p>
      <w:pPr>
        <w:pStyle w:val="2"/>
      </w:pPr>
    </w:p>
    <w:p>
      <w:pPr>
        <w:pStyle w:val="2"/>
        <w:rPr>
          <w:color w:val="auto"/>
          <w:highlight w:val="none"/>
        </w:rPr>
      </w:pPr>
    </w:p>
    <w:p>
      <w:pPr>
        <w:rPr>
          <w:rFonts w:ascii="仿宋_GB2312" w:hAnsi="仿宋_GB2312" w:eastAsia="仿宋_GB2312" w:cs="仿宋_GB2312"/>
          <w:b/>
          <w:bCs/>
          <w:color w:val="auto"/>
          <w:sz w:val="32"/>
          <w:szCs w:val="32"/>
          <w:highlight w:val="none"/>
        </w:rPr>
      </w:pPr>
    </w:p>
    <w:p>
      <w:pPr>
        <w:ind w:firstLine="964" w:firstLineChars="3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北京市解决企业拖欠工资问题协调小组监制</w:t>
      </w:r>
    </w:p>
    <w:p>
      <w:pPr>
        <w:pStyle w:val="2"/>
        <w:rPr>
          <w:rFonts w:ascii="仿宋_GB2312" w:hAnsi="仿宋_GB2312" w:eastAsia="仿宋_GB2312" w:cs="仿宋_GB2312"/>
          <w:b/>
          <w:bCs/>
          <w:color w:val="auto"/>
          <w:sz w:val="32"/>
          <w:szCs w:val="32"/>
          <w:highlight w:val="none"/>
        </w:rPr>
      </w:pPr>
    </w:p>
    <w:p>
      <w:pPr>
        <w:snapToGrid w:val="0"/>
        <w:spacing w:line="360" w:lineRule="auto"/>
        <w:ind w:firstLine="440" w:firstLineChars="200"/>
        <w:rPr>
          <w:rFonts w:ascii="宋体" w:hAnsi="宋体"/>
          <w:color w:val="auto"/>
          <w:szCs w:val="28"/>
          <w:highlight w:val="none"/>
        </w:rPr>
      </w:pPr>
      <w:r>
        <w:rPr>
          <w:rFonts w:hint="eastAsia" w:ascii="宋体" w:hAnsi="宋体"/>
          <w:color w:val="auto"/>
          <w:szCs w:val="28"/>
          <w:highlight w:val="none"/>
        </w:rPr>
        <w:t>为保障农民工工资支付，作为总承包企业（专业承包企业），我单位：</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szCs w:val="28"/>
          <w:highlight w:val="none"/>
        </w:rPr>
        <w:t>现作出郑重承诺，保证遵守以下内容，切实维护本工程项目中农民工的合法权益：</w:t>
      </w:r>
    </w:p>
    <w:p>
      <w:pPr>
        <w:snapToGrid w:val="0"/>
        <w:spacing w:line="360" w:lineRule="auto"/>
        <w:ind w:firstLine="440" w:firstLineChars="200"/>
        <w:rPr>
          <w:rFonts w:ascii="宋体" w:hAnsi="宋体"/>
          <w:color w:val="auto"/>
          <w:szCs w:val="28"/>
          <w:highlight w:val="none"/>
        </w:rPr>
      </w:pPr>
      <w:r>
        <w:rPr>
          <w:rFonts w:hint="eastAsia" w:ascii="宋体" w:hAnsi="宋体"/>
          <w:color w:val="auto"/>
          <w:szCs w:val="28"/>
          <w:highlight w:val="none"/>
        </w:rPr>
        <w:t>一、在工程项目全面落实实名制管理，按月收集并确认《工资表》《考勤表》和《施工人员变更情况周统计表》。</w:t>
      </w:r>
    </w:p>
    <w:p>
      <w:pPr>
        <w:snapToGrid w:val="0"/>
        <w:spacing w:line="360" w:lineRule="auto"/>
        <w:ind w:firstLine="440" w:firstLineChars="200"/>
        <w:rPr>
          <w:rFonts w:ascii="宋体" w:hAnsi="宋体"/>
          <w:color w:val="auto"/>
          <w:szCs w:val="28"/>
          <w:highlight w:val="none"/>
        </w:rPr>
      </w:pPr>
      <w:r>
        <w:rPr>
          <w:rFonts w:hint="eastAsia" w:ascii="宋体" w:hAnsi="宋体"/>
          <w:color w:val="auto"/>
          <w:szCs w:val="28"/>
          <w:highlight w:val="none"/>
        </w:rPr>
        <w:t>二、按照本市有关规定按月足额支付农民工工资。</w:t>
      </w:r>
    </w:p>
    <w:p>
      <w:pPr>
        <w:snapToGrid w:val="0"/>
        <w:spacing w:line="360" w:lineRule="auto"/>
        <w:ind w:firstLine="440" w:firstLineChars="200"/>
        <w:rPr>
          <w:rFonts w:ascii="宋体" w:hAnsi="宋体"/>
          <w:color w:val="auto"/>
          <w:szCs w:val="28"/>
          <w:highlight w:val="none"/>
        </w:rPr>
      </w:pPr>
      <w:r>
        <w:rPr>
          <w:rFonts w:hint="eastAsia" w:ascii="宋体" w:hAnsi="宋体"/>
          <w:color w:val="auto"/>
          <w:szCs w:val="28"/>
          <w:highlight w:val="none"/>
        </w:rPr>
        <w:t>三、妥善解决好工程项目的劳务、劳资纠纷。发生农民工极端或群体性讨薪突发事件的，及时向施工项目所在地人力资源和社会保障行政部门通报情况，并配合人力资源和社会保障行政部门、行业主管部门和公安部门协调处理。</w:t>
      </w:r>
    </w:p>
    <w:p>
      <w:pPr>
        <w:snapToGrid w:val="0"/>
        <w:spacing w:line="360" w:lineRule="auto"/>
        <w:ind w:firstLine="440" w:firstLineChars="200"/>
        <w:rPr>
          <w:rFonts w:ascii="宋体" w:hAnsi="宋体"/>
          <w:color w:val="auto"/>
          <w:szCs w:val="28"/>
          <w:highlight w:val="none"/>
        </w:rPr>
      </w:pPr>
      <w:r>
        <w:rPr>
          <w:rFonts w:hint="eastAsia" w:ascii="宋体" w:hAnsi="宋体"/>
          <w:color w:val="auto"/>
          <w:szCs w:val="28"/>
          <w:highlight w:val="none"/>
        </w:rPr>
        <w:t>特此承诺</w:t>
      </w:r>
    </w:p>
    <w:p>
      <w:pPr>
        <w:snapToGrid w:val="0"/>
        <w:spacing w:line="360" w:lineRule="auto"/>
        <w:ind w:firstLine="440" w:firstLineChars="200"/>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p>
    <w:p>
      <w:pPr>
        <w:pStyle w:val="2"/>
        <w:rPr>
          <w:rFonts w:ascii="宋体" w:hAnsi="宋体"/>
          <w:color w:val="auto"/>
          <w:szCs w:val="28"/>
          <w:highlight w:val="none"/>
        </w:rPr>
      </w:pPr>
    </w:p>
    <w:p>
      <w:pPr>
        <w:pStyle w:val="2"/>
        <w:rPr>
          <w:rFonts w:ascii="宋体" w:hAnsi="宋体"/>
          <w:color w:val="auto"/>
          <w:szCs w:val="28"/>
          <w:highlight w:val="none"/>
        </w:rPr>
      </w:pPr>
    </w:p>
    <w:p>
      <w:pPr>
        <w:pStyle w:val="2"/>
        <w:rPr>
          <w:rFonts w:ascii="宋体" w:hAnsi="宋体"/>
          <w:color w:val="auto"/>
          <w:szCs w:val="28"/>
          <w:highlight w:val="none"/>
        </w:rPr>
      </w:pPr>
    </w:p>
    <w:p>
      <w:pPr>
        <w:pStyle w:val="2"/>
        <w:rPr>
          <w:rFonts w:ascii="宋体" w:hAnsi="宋体"/>
          <w:color w:val="auto"/>
          <w:szCs w:val="28"/>
          <w:highlight w:val="none"/>
        </w:rPr>
      </w:pPr>
    </w:p>
    <w:p>
      <w:pPr>
        <w:pStyle w:val="2"/>
        <w:rPr>
          <w:rFonts w:ascii="宋体" w:hAnsi="宋体"/>
          <w:color w:val="auto"/>
          <w:szCs w:val="28"/>
          <w:highlight w:val="none"/>
        </w:rPr>
      </w:pPr>
    </w:p>
    <w:p>
      <w:pPr>
        <w:pStyle w:val="2"/>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r>
        <w:rPr>
          <w:rFonts w:hint="eastAsia" w:ascii="宋体" w:hAnsi="宋体"/>
          <w:color w:val="auto"/>
          <w:szCs w:val="28"/>
          <w:highlight w:val="none"/>
        </w:rPr>
        <w:t>承诺单位（加盖企业公章或项目部公章）：</w:t>
      </w:r>
    </w:p>
    <w:p>
      <w:pPr>
        <w:snapToGrid w:val="0"/>
        <w:spacing w:line="360" w:lineRule="auto"/>
        <w:ind w:firstLine="440" w:firstLineChars="200"/>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r>
        <w:rPr>
          <w:rFonts w:hint="eastAsia" w:ascii="宋体" w:hAnsi="宋体"/>
          <w:color w:val="auto"/>
          <w:szCs w:val="28"/>
          <w:highlight w:val="none"/>
        </w:rPr>
        <w:t>企业法定代表人或授权委托人签字：</w:t>
      </w:r>
    </w:p>
    <w:p>
      <w:pPr>
        <w:snapToGrid w:val="0"/>
        <w:spacing w:line="360" w:lineRule="auto"/>
        <w:ind w:firstLine="440" w:firstLineChars="200"/>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p>
    <w:p>
      <w:pPr>
        <w:snapToGrid w:val="0"/>
        <w:spacing w:line="360" w:lineRule="auto"/>
        <w:ind w:firstLine="440" w:firstLineChars="200"/>
        <w:rPr>
          <w:rFonts w:ascii="宋体" w:hAnsi="宋体"/>
          <w:color w:val="auto"/>
          <w:szCs w:val="28"/>
          <w:highlight w:val="none"/>
        </w:rPr>
      </w:pPr>
    </w:p>
    <w:p>
      <w:pPr>
        <w:pStyle w:val="12"/>
        <w:spacing w:line="360" w:lineRule="auto"/>
        <w:ind w:firstLine="480" w:firstLineChars="200"/>
        <w:rPr>
          <w:spacing w:val="2"/>
          <w:kern w:val="2"/>
          <w:sz w:val="21"/>
          <w:lang w:eastAsia="zh-CN"/>
        </w:rPr>
      </w:pPr>
      <w:r>
        <w:rPr>
          <w:rFonts w:hint="eastAsia" w:ascii="宋体" w:hAnsi="宋体"/>
          <w:color w:val="auto"/>
          <w:szCs w:val="28"/>
          <w:highlight w:val="none"/>
        </w:rPr>
        <w:t>联系电话：                 日期：</w:t>
      </w:r>
      <w:r>
        <w:rPr>
          <w:spacing w:val="2"/>
          <w:kern w:val="2"/>
          <w:sz w:val="21"/>
          <w:lang w:eastAsia="zh-CN"/>
        </w:rPr>
        <w:t xml:space="preserve"> </w:t>
      </w:r>
    </w:p>
    <w:p>
      <w:pPr>
        <w:spacing w:line="338"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3"/>
        <w:tabs>
          <w:tab w:val="left" w:pos="1670"/>
        </w:tabs>
        <w:spacing w:before="246"/>
        <w:ind w:firstLine="2530" w:firstLineChars="700"/>
        <w:jc w:val="both"/>
        <w:rPr>
          <w:rFonts w:asciiTheme="minorEastAsia" w:hAnsiTheme="minorEastAsia" w:eastAsiaTheme="minorEastAsia"/>
          <w:b/>
          <w:lang w:eastAsia="zh-CN"/>
        </w:rPr>
      </w:pPr>
      <w:bookmarkStart w:id="789" w:name="_TOC_250000"/>
      <w:bookmarkEnd w:id="789"/>
      <w:bookmarkStart w:id="790" w:name="_Toc164263465"/>
      <w:r>
        <w:rPr>
          <w:rFonts w:asciiTheme="minorEastAsia" w:hAnsiTheme="minorEastAsia" w:eastAsiaTheme="minorEastAsia"/>
          <w:b/>
          <w:lang w:eastAsia="zh-CN"/>
        </w:rPr>
        <w:t>第六章响应文件格式</w:t>
      </w:r>
      <w:bookmarkEnd w:id="790"/>
    </w:p>
    <w:p>
      <w:pPr>
        <w:pStyle w:val="12"/>
        <w:ind w:left="121"/>
        <w:rPr>
          <w:rFonts w:asciiTheme="minorEastAsia" w:hAnsiTheme="minorEastAsia" w:eastAsiaTheme="minorEastAsia"/>
          <w:lang w:eastAsia="zh-CN"/>
        </w:rPr>
      </w:pPr>
    </w:p>
    <w:p>
      <w:pPr>
        <w:pStyle w:val="12"/>
        <w:rPr>
          <w:rFonts w:asciiTheme="minorEastAsia" w:hAnsiTheme="minorEastAsia" w:eastAsiaTheme="minorEastAsia"/>
          <w:b/>
          <w:lang w:eastAsia="zh-CN"/>
        </w:rPr>
      </w:pPr>
      <w:r>
        <w:rPr>
          <w:rFonts w:asciiTheme="minorEastAsia" w:hAnsiTheme="minorEastAsia" w:eastAsiaTheme="minorEastAsia"/>
          <w:b/>
          <w:lang w:eastAsia="zh-CN"/>
        </w:rPr>
        <w:t>供应商编制文件须知</w:t>
      </w:r>
    </w:p>
    <w:p>
      <w:pPr>
        <w:pStyle w:val="12"/>
        <w:spacing w:before="154" w:line="340" w:lineRule="auto"/>
        <w:ind w:right="228"/>
        <w:rPr>
          <w:rFonts w:asciiTheme="minorEastAsia" w:hAnsiTheme="minorEastAsia" w:eastAsiaTheme="minorEastAsia"/>
          <w:lang w:eastAsia="zh-CN"/>
        </w:rPr>
      </w:pPr>
      <w:r>
        <w:rPr>
          <w:rFonts w:asciiTheme="minorEastAsia" w:hAnsiTheme="minorEastAsia" w:eastAsiaTheme="minorEastAsia"/>
          <w:spacing w:val="-2"/>
          <w:lang w:eastAsia="zh-CN"/>
        </w:rPr>
        <w:t>1</w:t>
      </w:r>
      <w:r>
        <w:rPr>
          <w:rFonts w:asciiTheme="minorEastAsia" w:hAnsiTheme="minorEastAsia" w:eastAsiaTheme="minorEastAsia"/>
          <w:spacing w:val="-34"/>
          <w:lang w:eastAsia="zh-CN"/>
        </w:rPr>
        <w:t>、</w:t>
      </w:r>
      <w:r>
        <w:rPr>
          <w:rFonts w:hint="eastAsia" w:asciiTheme="minorEastAsia" w:hAnsiTheme="minorEastAsia" w:eastAsiaTheme="minorEastAsia"/>
          <w:lang w:eastAsia="zh-CN"/>
        </w:rPr>
        <w:t>供应商按照本部分的顺序编制响应文件，编制中涉及格式资料的，应按照本部分提供的内容和格式（所有表格的格式可扩展）填写提交。</w:t>
      </w:r>
    </w:p>
    <w:p>
      <w:pPr>
        <w:pStyle w:val="12"/>
        <w:spacing w:before="50" w:line="348" w:lineRule="auto"/>
        <w:ind w:right="106"/>
        <w:rPr>
          <w:rFonts w:asciiTheme="minorEastAsia" w:hAnsiTheme="minorEastAsia" w:eastAsiaTheme="minorEastAsia"/>
          <w:lang w:eastAsia="zh-CN"/>
        </w:rPr>
      </w:pPr>
      <w:r>
        <w:rPr>
          <w:rFonts w:asciiTheme="minorEastAsia" w:hAnsiTheme="minorEastAsia" w:eastAsiaTheme="minorEastAsia"/>
          <w:spacing w:val="-2"/>
          <w:lang w:eastAsia="zh-CN"/>
        </w:rPr>
        <w:t>2</w:t>
      </w:r>
      <w:r>
        <w:rPr>
          <w:rFonts w:asciiTheme="minorEastAsia" w:hAnsiTheme="minorEastAsia" w:eastAsiaTheme="minorEastAsia"/>
          <w:spacing w:val="-56"/>
          <w:lang w:eastAsia="zh-CN"/>
        </w:rPr>
        <w:t>、</w:t>
      </w:r>
      <w:r>
        <w:rPr>
          <w:rFonts w:hint="eastAsia" w:asciiTheme="minorEastAsia" w:hAnsiTheme="minorEastAsia" w:eastAsiaTheme="minorEastAsia"/>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 否则响应无效。未标记“实质性格式”的文件和竞争性磋商文件未提供格式的内容，可由供应商自行编写。</w:t>
      </w:r>
    </w:p>
    <w:p>
      <w:pPr>
        <w:pStyle w:val="12"/>
        <w:spacing w:before="46"/>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全部声明和问题的回答及所附材料必须是真实的、准确的和完整的。</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12"/>
        <w:spacing w:before="26"/>
        <w:ind w:left="9" w:right="94"/>
        <w:rPr>
          <w:rFonts w:asciiTheme="minorEastAsia" w:hAnsiTheme="minorEastAsia" w:eastAsiaTheme="minorEastAsia"/>
          <w:b/>
          <w:lang w:eastAsia="zh-CN"/>
        </w:rPr>
      </w:pPr>
      <w:r>
        <w:rPr>
          <w:rFonts w:asciiTheme="minorEastAsia" w:hAnsiTheme="minorEastAsia" w:eastAsiaTheme="minorEastAsia"/>
          <w:b/>
          <w:lang w:eastAsia="zh-CN"/>
        </w:rPr>
        <w:t>响应文件封面（非实质性格式）</w:t>
      </w:r>
    </w:p>
    <w:p>
      <w:pPr>
        <w:spacing w:before="146"/>
        <w:jc w:val="center"/>
        <w:rPr>
          <w:rFonts w:asciiTheme="minorEastAsia" w:hAnsiTheme="minorEastAsia" w:eastAsiaTheme="minorEastAsia"/>
          <w:sz w:val="84"/>
          <w:szCs w:val="84"/>
          <w:lang w:eastAsia="zh-CN"/>
        </w:rPr>
      </w:pPr>
    </w:p>
    <w:p>
      <w:pPr>
        <w:spacing w:before="146"/>
        <w:jc w:val="center"/>
        <w:rPr>
          <w:rFonts w:asciiTheme="minorEastAsia" w:hAnsiTheme="minorEastAsia" w:eastAsiaTheme="minorEastAsia"/>
          <w:sz w:val="84"/>
          <w:szCs w:val="84"/>
          <w:lang w:eastAsia="zh-CN"/>
        </w:rPr>
      </w:pPr>
    </w:p>
    <w:p>
      <w:pPr>
        <w:spacing w:before="146"/>
        <w:jc w:val="center"/>
        <w:rPr>
          <w:rFonts w:asciiTheme="minorEastAsia" w:hAnsiTheme="minorEastAsia" w:eastAsiaTheme="minorEastAsia"/>
          <w:sz w:val="84"/>
          <w:szCs w:val="84"/>
          <w:lang w:eastAsia="zh-CN"/>
        </w:rPr>
      </w:pPr>
      <w:r>
        <w:rPr>
          <w:rFonts w:asciiTheme="minorEastAsia" w:hAnsiTheme="minorEastAsia" w:eastAsiaTheme="minorEastAsia"/>
          <w:sz w:val="84"/>
          <w:szCs w:val="84"/>
          <w:lang w:eastAsia="zh-CN"/>
        </w:rPr>
        <w:t>响应文件</w:t>
      </w:r>
    </w:p>
    <w:p>
      <w:pPr>
        <w:pStyle w:val="12"/>
        <w:spacing w:before="10"/>
        <w:rPr>
          <w:rFonts w:asciiTheme="minorEastAsia" w:hAnsiTheme="minorEastAsia" w:eastAsiaTheme="minorEastAsia"/>
          <w:sz w:val="108"/>
          <w:lang w:eastAsia="zh-CN"/>
        </w:rPr>
      </w:pPr>
    </w:p>
    <w:p>
      <w:pPr>
        <w:pStyle w:val="12"/>
        <w:spacing w:before="10"/>
        <w:rPr>
          <w:rFonts w:asciiTheme="minorEastAsia" w:hAnsiTheme="minorEastAsia" w:eastAsiaTheme="minorEastAsia"/>
          <w:sz w:val="108"/>
          <w:lang w:eastAsia="zh-CN"/>
        </w:rPr>
      </w:pPr>
    </w:p>
    <w:p>
      <w:pPr>
        <w:pStyle w:val="12"/>
        <w:spacing w:before="10"/>
        <w:rPr>
          <w:rFonts w:asciiTheme="minorEastAsia" w:hAnsiTheme="minorEastAsia" w:eastAsiaTheme="minorEastAsia"/>
          <w:sz w:val="108"/>
          <w:lang w:eastAsia="zh-CN"/>
        </w:rPr>
      </w:pPr>
    </w:p>
    <w:p>
      <w:pPr>
        <w:rPr>
          <w:b/>
          <w:sz w:val="28"/>
          <w:szCs w:val="28"/>
          <w:lang w:eastAsia="zh-CN"/>
        </w:rPr>
      </w:pPr>
      <w:r>
        <w:rPr>
          <w:b/>
          <w:sz w:val="28"/>
          <w:szCs w:val="28"/>
          <w:lang w:eastAsia="zh-CN"/>
        </w:rPr>
        <w:t>项目名称:</w:t>
      </w:r>
    </w:p>
    <w:p>
      <w:pPr>
        <w:rPr>
          <w:b/>
          <w:sz w:val="28"/>
          <w:szCs w:val="28"/>
          <w:lang w:eastAsia="zh-CN"/>
        </w:rPr>
      </w:pPr>
    </w:p>
    <w:p>
      <w:pPr>
        <w:rPr>
          <w:b/>
          <w:sz w:val="28"/>
          <w:szCs w:val="28"/>
          <w:lang w:eastAsia="zh-CN"/>
        </w:rPr>
      </w:pPr>
    </w:p>
    <w:p>
      <w:pPr>
        <w:rPr>
          <w:b/>
          <w:sz w:val="28"/>
          <w:szCs w:val="28"/>
          <w:lang w:eastAsia="zh-CN"/>
        </w:rPr>
      </w:pPr>
      <w:r>
        <w:rPr>
          <w:b/>
          <w:sz w:val="28"/>
          <w:szCs w:val="28"/>
          <w:lang w:eastAsia="zh-CN"/>
        </w:rPr>
        <w:t>项目编号/包号：</w:t>
      </w:r>
    </w:p>
    <w:p>
      <w:pPr>
        <w:rPr>
          <w:b/>
          <w:sz w:val="28"/>
          <w:szCs w:val="28"/>
          <w:lang w:eastAsia="zh-CN"/>
        </w:rPr>
      </w:pPr>
    </w:p>
    <w:p>
      <w:pPr>
        <w:rPr>
          <w:b/>
          <w:sz w:val="28"/>
          <w:szCs w:val="28"/>
          <w:lang w:eastAsia="zh-CN"/>
        </w:rPr>
      </w:pPr>
    </w:p>
    <w:p>
      <w:pPr>
        <w:rPr>
          <w:b/>
          <w:sz w:val="28"/>
          <w:szCs w:val="28"/>
        </w:rPr>
      </w:pPr>
      <w:r>
        <w:rPr>
          <w:b/>
          <w:sz w:val="28"/>
          <w:szCs w:val="28"/>
        </w:rPr>
        <w:t>供应商名称：</w:t>
      </w:r>
    </w:p>
    <w:p>
      <w:pPr>
        <w:widowControl/>
        <w:autoSpaceDE/>
        <w:autoSpaceDN/>
        <w:rPr>
          <w:lang w:eastAsia="zh-CN"/>
        </w:rPr>
      </w:pPr>
      <w:r>
        <w:rPr>
          <w:lang w:eastAsia="zh-CN"/>
        </w:rPr>
        <w:br w:type="page"/>
      </w:r>
    </w:p>
    <w:p>
      <w:pPr>
        <w:pStyle w:val="6"/>
        <w:numPr>
          <w:ilvl w:val="0"/>
          <w:numId w:val="112"/>
        </w:numPr>
        <w:rPr>
          <w:i w:val="0"/>
          <w:lang w:eastAsia="zh-CN"/>
        </w:rPr>
      </w:pPr>
      <w:r>
        <w:rPr>
          <w:i w:val="0"/>
          <w:lang w:eastAsia="zh-CN"/>
        </w:rPr>
        <w:t>满足《中华人民共和国政府采购法》第二十二条规定</w:t>
      </w:r>
    </w:p>
    <w:p>
      <w:pPr>
        <w:pStyle w:val="7"/>
        <w:rPr>
          <w:sz w:val="24"/>
          <w:lang w:eastAsia="zh-CN"/>
        </w:rPr>
      </w:pPr>
      <w:r>
        <w:rPr>
          <w:rFonts w:hint="eastAsia"/>
          <w:sz w:val="24"/>
          <w:lang w:eastAsia="zh-CN"/>
        </w:rPr>
        <w:t xml:space="preserve">1-1 </w:t>
      </w:r>
      <w:r>
        <w:rPr>
          <w:sz w:val="24"/>
          <w:lang w:eastAsia="zh-CN"/>
        </w:rPr>
        <w:t>营业执照等证明文件</w:t>
      </w:r>
    </w:p>
    <w:p>
      <w:pPr>
        <w:widowControl/>
        <w:autoSpaceDE/>
        <w:autoSpaceDN/>
        <w:rPr>
          <w:rFonts w:asciiTheme="minorEastAsia" w:hAnsiTheme="minorEastAsia" w:eastAsiaTheme="minorEastAsia"/>
          <w:sz w:val="24"/>
          <w:lang w:eastAsia="zh-CN"/>
        </w:rPr>
      </w:pPr>
      <w:r>
        <w:rPr>
          <w:rFonts w:asciiTheme="minorEastAsia" w:hAnsiTheme="minorEastAsia" w:eastAsiaTheme="minorEastAsia"/>
          <w:sz w:val="24"/>
          <w:lang w:eastAsia="zh-CN"/>
        </w:rPr>
        <w:br w:type="page"/>
      </w:r>
    </w:p>
    <w:p>
      <w:pPr>
        <w:pStyle w:val="7"/>
        <w:rPr>
          <w:sz w:val="24"/>
          <w:lang w:eastAsia="zh-CN"/>
        </w:rPr>
      </w:pPr>
      <w:r>
        <w:rPr>
          <w:rFonts w:hint="eastAsia"/>
          <w:sz w:val="24"/>
          <w:lang w:eastAsia="zh-CN"/>
        </w:rPr>
        <w:t xml:space="preserve">1-2 </w:t>
      </w:r>
      <w:r>
        <w:rPr>
          <w:sz w:val="24"/>
          <w:lang w:eastAsia="zh-CN"/>
        </w:rPr>
        <w:t>供应商资格声明书</w:t>
      </w:r>
    </w:p>
    <w:p>
      <w:pPr>
        <w:ind w:left="12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供应商资格声明书</w:t>
      </w:r>
    </w:p>
    <w:p>
      <w:pPr>
        <w:pStyle w:val="12"/>
        <w:rPr>
          <w:rFonts w:asciiTheme="minorEastAsia" w:hAnsiTheme="minorEastAsia" w:eastAsiaTheme="minorEastAsia"/>
          <w:sz w:val="20"/>
          <w:lang w:eastAsia="zh-CN"/>
        </w:rPr>
      </w:pPr>
    </w:p>
    <w:p>
      <w:pPr>
        <w:pStyle w:val="12"/>
        <w:spacing w:before="173" w:line="360" w:lineRule="auto"/>
        <w:ind w:left="121"/>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2"/>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在参与本次项目磋商中，我单位承诺：</w:t>
      </w:r>
    </w:p>
    <w:p>
      <w:pPr>
        <w:spacing w:line="360" w:lineRule="auto"/>
        <w:ind w:left="565" w:leftChars="257"/>
        <w:rPr>
          <w:sz w:val="24"/>
          <w:szCs w:val="24"/>
          <w:lang w:eastAsia="zh-CN"/>
        </w:rPr>
      </w:pPr>
      <w:r>
        <w:rPr>
          <w:sz w:val="24"/>
          <w:szCs w:val="24"/>
          <w:lang w:eastAsia="zh-CN"/>
        </w:rPr>
        <w:t>（一）具有良好的商业信誉和健全的财务会计制度；</w:t>
      </w:r>
    </w:p>
    <w:p>
      <w:pPr>
        <w:spacing w:line="360" w:lineRule="auto"/>
        <w:ind w:left="565" w:leftChars="257"/>
        <w:rPr>
          <w:sz w:val="24"/>
          <w:szCs w:val="24"/>
          <w:lang w:eastAsia="zh-CN"/>
        </w:rPr>
      </w:pPr>
      <w:r>
        <w:rPr>
          <w:sz w:val="24"/>
          <w:szCs w:val="24"/>
          <w:lang w:eastAsia="zh-CN"/>
        </w:rPr>
        <w:t>（二）具有履行合同所必需的设备和专业技术能力；</w:t>
      </w:r>
    </w:p>
    <w:p>
      <w:pPr>
        <w:spacing w:line="360" w:lineRule="auto"/>
        <w:ind w:left="565" w:leftChars="257"/>
        <w:rPr>
          <w:sz w:val="24"/>
          <w:szCs w:val="24"/>
          <w:lang w:eastAsia="zh-CN"/>
        </w:rPr>
      </w:pPr>
      <w:r>
        <w:rPr>
          <w:sz w:val="24"/>
          <w:szCs w:val="24"/>
          <w:lang w:eastAsia="zh-CN"/>
        </w:rPr>
        <w:t>（三）有依法缴纳税收和社会保障资金的良好记录；</w:t>
      </w:r>
    </w:p>
    <w:p>
      <w:pPr>
        <w:spacing w:line="360" w:lineRule="auto"/>
        <w:ind w:left="1276" w:leftChars="258" w:hanging="708" w:hangingChars="295"/>
        <w:rPr>
          <w:sz w:val="24"/>
          <w:szCs w:val="24"/>
          <w:lang w:eastAsia="zh-CN"/>
        </w:rPr>
      </w:pPr>
      <w:r>
        <w:rPr>
          <w:sz w:val="24"/>
          <w:szCs w:val="24"/>
          <w:lang w:eastAsia="zh-CN"/>
        </w:rPr>
        <w:t>（四）</w:t>
      </w:r>
      <w:r>
        <w:rPr>
          <w:rFonts w:hint="eastAsia"/>
          <w:sz w:val="24"/>
          <w:szCs w:val="24"/>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ind w:left="1276" w:leftChars="258" w:hanging="708" w:hangingChars="295"/>
        <w:rPr>
          <w:sz w:val="24"/>
          <w:szCs w:val="24"/>
          <w:lang w:eastAsia="zh-CN"/>
        </w:rPr>
      </w:pPr>
      <w:r>
        <w:rPr>
          <w:sz w:val="24"/>
          <w:szCs w:val="24"/>
          <w:lang w:eastAsia="zh-CN"/>
        </w:rPr>
        <w:t>（五）我单位不属于政府采购法律、行政法规规定的公益一类事业单位、或使用事业编制且由财政拨款保障的群团组织（仅适用于政府购买服务项目）；</w:t>
      </w:r>
    </w:p>
    <w:p>
      <w:pPr>
        <w:spacing w:line="360" w:lineRule="auto"/>
        <w:ind w:left="1276" w:leftChars="258" w:hanging="708" w:hangingChars="295"/>
        <w:rPr>
          <w:sz w:val="24"/>
          <w:szCs w:val="24"/>
          <w:lang w:eastAsia="zh-CN"/>
        </w:rPr>
      </w:pPr>
      <w:r>
        <w:rPr>
          <w:sz w:val="24"/>
          <w:szCs w:val="24"/>
          <w:lang w:eastAsia="zh-CN"/>
        </w:rPr>
        <w:t>（六）我单位不存在为采购项目提供整体设计、规范编制或者项目管理、监理、检测等服务后，再参加该采购项目的其他采购活动的情形（单一来源采购项目除外）；</w:t>
      </w:r>
    </w:p>
    <w:p>
      <w:pPr>
        <w:spacing w:line="360" w:lineRule="auto"/>
        <w:ind w:left="1276" w:leftChars="258" w:hanging="708" w:hangingChars="295"/>
        <w:rPr>
          <w:sz w:val="24"/>
          <w:szCs w:val="24"/>
          <w:lang w:eastAsia="zh-CN"/>
        </w:rPr>
      </w:pPr>
      <w:r>
        <w:rPr>
          <w:sz w:val="24"/>
          <w:szCs w:val="24"/>
          <w:lang w:eastAsia="zh-CN"/>
        </w:rPr>
        <w:t>（七）与我单位存在“单位负责人为同一人或者存在直接控股、管理关系”的其他法人单位信息如下（如有，不论其是否参加同一合同项下的政府采购活动均须填写）：</w:t>
      </w:r>
    </w:p>
    <w:p>
      <w:pPr>
        <w:pStyle w:val="12"/>
        <w:spacing w:before="7"/>
        <w:rPr>
          <w:rFonts w:asciiTheme="minorEastAsia" w:hAnsiTheme="minorEastAsia" w:eastAsiaTheme="minorEastAsia"/>
          <w:sz w:val="6"/>
          <w:lang w:eastAsia="zh-CN"/>
        </w:rPr>
      </w:pPr>
    </w:p>
    <w:tbl>
      <w:tblPr>
        <w:tblStyle w:val="40"/>
        <w:tblW w:w="8500"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22"/>
              <w:ind w:left="210" w:right="210"/>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tcPr>
          <w:p>
            <w:pPr>
              <w:pStyle w:val="39"/>
              <w:spacing w:before="22"/>
              <w:ind w:left="1782" w:right="1781"/>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tcPr>
          <w:p>
            <w:pPr>
              <w:pStyle w:val="39"/>
              <w:spacing w:before="22"/>
              <w:ind w:left="984" w:right="982"/>
              <w:jc w:val="center"/>
              <w:rPr>
                <w:rFonts w:asciiTheme="minorEastAsia" w:hAnsiTheme="minorEastAsia" w:eastAsiaTheme="minorEastAsia"/>
                <w:sz w:val="24"/>
              </w:rPr>
            </w:pPr>
            <w:r>
              <w:rPr>
                <w:rFonts w:asciiTheme="minorEastAsia" w:hAnsiTheme="minorEastAsia"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1"/>
              <w:jc w:val="center"/>
              <w:rPr>
                <w:rFonts w:asciiTheme="minorEastAsia" w:hAnsiTheme="minorEastAsia" w:eastAsiaTheme="minorEastAsia"/>
                <w:sz w:val="24"/>
              </w:rPr>
            </w:pPr>
            <w:r>
              <w:rPr>
                <w:rFonts w:asciiTheme="minorEastAsia" w:hAnsiTheme="minorEastAsia" w:eastAsiaTheme="minorEastAsia"/>
                <w:w w:val="102"/>
                <w:sz w:val="24"/>
              </w:rPr>
              <w:t>1</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2"/>
              <w:jc w:val="center"/>
              <w:rPr>
                <w:rFonts w:asciiTheme="minorEastAsia" w:hAnsiTheme="minorEastAsia" w:eastAsiaTheme="minorEastAsia"/>
                <w:sz w:val="24"/>
              </w:rPr>
            </w:pPr>
            <w:r>
              <w:rPr>
                <w:rFonts w:asciiTheme="minorEastAsia" w:hAnsiTheme="minorEastAsia" w:eastAsiaTheme="minorEastAsia"/>
                <w:w w:val="102"/>
                <w:sz w:val="24"/>
              </w:rPr>
              <w:t>2</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1"/>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bl>
    <w:p>
      <w:pPr>
        <w:pStyle w:val="12"/>
        <w:spacing w:before="10"/>
        <w:rPr>
          <w:rFonts w:asciiTheme="minorEastAsia" w:hAnsiTheme="minorEastAsia" w:eastAsiaTheme="minorEastAsia"/>
          <w:sz w:val="13"/>
        </w:rPr>
      </w:pPr>
    </w:p>
    <w:p>
      <w:pPr>
        <w:pStyle w:val="12"/>
        <w:spacing w:before="26"/>
        <w:ind w:left="601"/>
        <w:rPr>
          <w:rFonts w:asciiTheme="minorEastAsia" w:hAnsiTheme="minorEastAsia" w:eastAsiaTheme="minorEastAsia"/>
          <w:lang w:eastAsia="zh-CN"/>
        </w:rPr>
      </w:pPr>
      <w:r>
        <w:rPr>
          <w:rFonts w:asciiTheme="minorEastAsia" w:hAnsiTheme="minorEastAsia" w:eastAsiaTheme="minorEastAsia"/>
          <w:lang w:eastAsia="zh-CN"/>
        </w:rPr>
        <w:t>上述声明真实有效，否则我方负全部责任。</w:t>
      </w:r>
    </w:p>
    <w:p>
      <w:pPr>
        <w:pStyle w:val="12"/>
        <w:spacing w:before="10"/>
        <w:rPr>
          <w:rFonts w:asciiTheme="minorEastAsia" w:hAnsiTheme="minorEastAsia" w:eastAsiaTheme="minorEastAsia"/>
          <w:sz w:val="33"/>
          <w:lang w:eastAsia="zh-CN"/>
        </w:rPr>
      </w:pPr>
    </w:p>
    <w:p>
      <w:pPr>
        <w:pStyle w:val="12"/>
        <w:tabs>
          <w:tab w:val="left" w:pos="7153"/>
          <w:tab w:val="left" w:pos="8364"/>
          <w:tab w:val="left" w:pos="8593"/>
          <w:tab w:val="left" w:pos="8886"/>
        </w:tabs>
        <w:spacing w:line="376" w:lineRule="auto"/>
        <w:ind w:left="4678" w:right="-48"/>
        <w:rPr>
          <w:lang w:eastAsia="zh-CN"/>
        </w:rPr>
      </w:pPr>
      <w:r>
        <w:rPr>
          <w:lang w:eastAsia="zh-CN"/>
        </w:rPr>
        <w:t>供应商名称（加盖公章）：</w:t>
      </w:r>
      <w:r>
        <w:rPr>
          <w:rFonts w:hint="eastAsia"/>
          <w:u w:val="single"/>
          <w:lang w:eastAsia="zh-CN"/>
        </w:rPr>
        <w:t xml:space="preserve">     </w:t>
      </w:r>
    </w:p>
    <w:p>
      <w:pPr>
        <w:pStyle w:val="12"/>
        <w:tabs>
          <w:tab w:val="left" w:pos="7153"/>
          <w:tab w:val="left" w:pos="7873"/>
          <w:tab w:val="left" w:pos="8593"/>
          <w:tab w:val="left" w:pos="8886"/>
        </w:tabs>
        <w:spacing w:line="376" w:lineRule="auto"/>
        <w:ind w:left="4678" w:right="418"/>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2"/>
        <w:spacing w:before="14" w:line="333" w:lineRule="auto"/>
        <w:ind w:left="121" w:right="111"/>
        <w:rPr>
          <w:rFonts w:asciiTheme="minorEastAsia" w:hAnsiTheme="minorEastAsia" w:eastAsiaTheme="minorEastAsia"/>
          <w:lang w:eastAsia="zh-CN"/>
        </w:rPr>
      </w:pPr>
      <w:r>
        <w:rPr>
          <w:rFonts w:asciiTheme="minorEastAsia" w:hAnsiTheme="minorEastAsia" w:eastAsiaTheme="minorEastAsia"/>
          <w:spacing w:val="2"/>
          <w:lang w:eastAsia="zh-CN"/>
        </w:rPr>
        <w:t>说明</w:t>
      </w:r>
      <w:r>
        <w:rPr>
          <w:rFonts w:asciiTheme="minorEastAsia" w:hAnsiTheme="minorEastAsia" w:eastAsiaTheme="minorEastAsia"/>
          <w:lang w:eastAsia="zh-CN"/>
        </w:rPr>
        <w:t>：</w:t>
      </w:r>
      <w:r>
        <w:rPr>
          <w:rFonts w:asciiTheme="minorEastAsia" w:hAnsiTheme="minorEastAsia" w:eastAsiaTheme="minorEastAsia"/>
          <w:spacing w:val="2"/>
          <w:lang w:eastAsia="zh-CN"/>
        </w:rPr>
        <w:t>供应商</w:t>
      </w:r>
      <w:r>
        <w:rPr>
          <w:rFonts w:asciiTheme="minorEastAsia" w:hAnsiTheme="minorEastAsia" w:eastAsiaTheme="minorEastAsia"/>
          <w:lang w:eastAsia="zh-CN"/>
        </w:rPr>
        <w:t>承</w:t>
      </w:r>
      <w:r>
        <w:rPr>
          <w:rFonts w:asciiTheme="minorEastAsia" w:hAnsiTheme="minorEastAsia" w:eastAsiaTheme="minorEastAsia"/>
          <w:spacing w:val="2"/>
          <w:lang w:eastAsia="zh-CN"/>
        </w:rPr>
        <w:t>诺不实</w:t>
      </w:r>
      <w:r>
        <w:rPr>
          <w:rFonts w:asciiTheme="minorEastAsia" w:hAnsiTheme="minorEastAsia" w:eastAsiaTheme="minorEastAsia"/>
          <w:lang w:eastAsia="zh-CN"/>
        </w:rPr>
        <w:t>的</w:t>
      </w:r>
      <w:r>
        <w:rPr>
          <w:rFonts w:asciiTheme="minorEastAsia" w:hAnsiTheme="minorEastAsia" w:eastAsiaTheme="minorEastAsia"/>
          <w:spacing w:val="2"/>
          <w:lang w:eastAsia="zh-CN"/>
        </w:rPr>
        <w:t>，依据</w:t>
      </w:r>
      <w:r>
        <w:rPr>
          <w:rFonts w:asciiTheme="minorEastAsia" w:hAnsiTheme="minorEastAsia" w:eastAsiaTheme="minorEastAsia"/>
          <w:lang w:eastAsia="zh-CN"/>
        </w:rPr>
        <w:t>《</w:t>
      </w:r>
      <w:r>
        <w:rPr>
          <w:rFonts w:asciiTheme="minorEastAsia" w:hAnsiTheme="minorEastAsia" w:eastAsiaTheme="minorEastAsia"/>
          <w:spacing w:val="2"/>
          <w:lang w:eastAsia="zh-CN"/>
        </w:rPr>
        <w:t>政府采购</w:t>
      </w:r>
      <w:r>
        <w:rPr>
          <w:rFonts w:asciiTheme="minorEastAsia" w:hAnsiTheme="minorEastAsia" w:eastAsiaTheme="minorEastAsia"/>
          <w:lang w:eastAsia="zh-CN"/>
        </w:rPr>
        <w:t>法</w:t>
      </w:r>
      <w:r>
        <w:rPr>
          <w:rFonts w:asciiTheme="minorEastAsia" w:hAnsiTheme="minorEastAsia" w:eastAsiaTheme="minorEastAsia"/>
          <w:spacing w:val="2"/>
          <w:lang w:eastAsia="zh-CN"/>
        </w:rPr>
        <w:t>》第七</w:t>
      </w:r>
      <w:r>
        <w:rPr>
          <w:rFonts w:asciiTheme="minorEastAsia" w:hAnsiTheme="minorEastAsia" w:eastAsiaTheme="minorEastAsia"/>
          <w:lang w:eastAsia="zh-CN"/>
        </w:rPr>
        <w:t>十</w:t>
      </w:r>
      <w:r>
        <w:rPr>
          <w:rFonts w:asciiTheme="minorEastAsia" w:hAnsiTheme="minorEastAsia" w:eastAsiaTheme="minorEastAsia"/>
          <w:spacing w:val="2"/>
          <w:lang w:eastAsia="zh-CN"/>
        </w:rPr>
        <w:t>七</w:t>
      </w:r>
      <w:r>
        <w:rPr>
          <w:rFonts w:asciiTheme="minorEastAsia" w:hAnsiTheme="minorEastAsia" w:eastAsiaTheme="minorEastAsia"/>
          <w:spacing w:val="-1"/>
          <w:lang w:eastAsia="zh-CN"/>
        </w:rPr>
        <w:t>条</w:t>
      </w:r>
      <w:r>
        <w:rPr>
          <w:rFonts w:asciiTheme="minorEastAsia" w:hAnsiTheme="minorEastAsia" w:eastAsiaTheme="minorEastAsia"/>
          <w:spacing w:val="2"/>
          <w:w w:val="129"/>
          <w:lang w:eastAsia="zh-CN"/>
        </w:rPr>
        <w:t>“</w:t>
      </w:r>
      <w:r>
        <w:rPr>
          <w:rFonts w:asciiTheme="minorEastAsia" w:hAnsiTheme="minorEastAsia" w:eastAsiaTheme="minorEastAsia"/>
          <w:spacing w:val="2"/>
          <w:lang w:eastAsia="zh-CN"/>
        </w:rPr>
        <w:t>提供</w:t>
      </w:r>
      <w:r>
        <w:rPr>
          <w:rFonts w:asciiTheme="minorEastAsia" w:hAnsiTheme="minorEastAsia" w:eastAsiaTheme="minorEastAsia"/>
          <w:lang w:eastAsia="zh-CN"/>
        </w:rPr>
        <w:t>虚</w:t>
      </w:r>
      <w:r>
        <w:rPr>
          <w:rFonts w:asciiTheme="minorEastAsia" w:hAnsiTheme="minorEastAsia" w:eastAsiaTheme="minorEastAsia"/>
          <w:spacing w:val="2"/>
          <w:lang w:eastAsia="zh-CN"/>
        </w:rPr>
        <w:t>假材料</w:t>
      </w:r>
      <w:r>
        <w:rPr>
          <w:rFonts w:asciiTheme="minorEastAsia" w:hAnsiTheme="minorEastAsia" w:eastAsiaTheme="minorEastAsia"/>
          <w:lang w:eastAsia="zh-CN"/>
        </w:rPr>
        <w:t>谋</w:t>
      </w:r>
      <w:r>
        <w:rPr>
          <w:rFonts w:asciiTheme="minorEastAsia" w:hAnsiTheme="minorEastAsia" w:eastAsiaTheme="minorEastAsia"/>
          <w:spacing w:val="2"/>
          <w:lang w:eastAsia="zh-CN"/>
        </w:rPr>
        <w:t>取中标</w:t>
      </w:r>
      <w:r>
        <w:rPr>
          <w:rFonts w:asciiTheme="minorEastAsia" w:hAnsiTheme="minorEastAsia" w:eastAsiaTheme="minorEastAsia"/>
          <w:lang w:eastAsia="zh-CN"/>
        </w:rPr>
        <w:t>、成交</w:t>
      </w:r>
      <w:r>
        <w:rPr>
          <w:rFonts w:asciiTheme="minorEastAsia" w:hAnsiTheme="minorEastAsia" w:eastAsiaTheme="minorEastAsia"/>
          <w:spacing w:val="-1"/>
          <w:lang w:eastAsia="zh-CN"/>
        </w:rPr>
        <w:t>的</w:t>
      </w:r>
      <w:r>
        <w:rPr>
          <w:rFonts w:asciiTheme="minorEastAsia" w:hAnsiTheme="minorEastAsia" w:eastAsiaTheme="minorEastAsia"/>
          <w:spacing w:val="-2"/>
          <w:w w:val="129"/>
          <w:lang w:eastAsia="zh-CN"/>
        </w:rPr>
        <w:t>”</w:t>
      </w:r>
      <w:r>
        <w:rPr>
          <w:rFonts w:asciiTheme="minorEastAsia" w:hAnsiTheme="minorEastAsia" w:eastAsiaTheme="minorEastAsia"/>
          <w:lang w:eastAsia="zh-CN"/>
        </w:rPr>
        <w:t>有关规定予以处理。</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6"/>
        <w:numPr>
          <w:ilvl w:val="0"/>
          <w:numId w:val="112"/>
        </w:numPr>
        <w:rPr>
          <w:i w:val="0"/>
          <w:lang w:eastAsia="zh-CN"/>
        </w:rPr>
      </w:pPr>
      <w:r>
        <w:rPr>
          <w:i w:val="0"/>
          <w:lang w:eastAsia="zh-CN"/>
        </w:rPr>
        <w:t>落实政府采购政策需满足的资格要求（如有）</w:t>
      </w:r>
    </w:p>
    <w:p>
      <w:pPr>
        <w:pStyle w:val="7"/>
        <w:rPr>
          <w:sz w:val="24"/>
          <w:lang w:eastAsia="zh-CN"/>
        </w:rPr>
      </w:pPr>
      <w:r>
        <w:rPr>
          <w:rFonts w:hint="eastAsia"/>
          <w:sz w:val="24"/>
          <w:lang w:eastAsia="zh-CN"/>
        </w:rPr>
        <w:t xml:space="preserve">2-1 </w:t>
      </w:r>
      <w:r>
        <w:rPr>
          <w:sz w:val="24"/>
          <w:lang w:eastAsia="zh-CN"/>
        </w:rPr>
        <w:t>中小企业证明文件说明：</w:t>
      </w:r>
    </w:p>
    <w:p>
      <w:pPr>
        <w:spacing w:line="420" w:lineRule="exact"/>
        <w:rPr>
          <w:sz w:val="24"/>
          <w:szCs w:val="24"/>
          <w:lang w:eastAsia="zh-CN"/>
        </w:rPr>
      </w:pPr>
      <w:r>
        <w:rPr>
          <w:sz w:val="24"/>
          <w:szCs w:val="24"/>
          <w:lang w:eastAsia="zh-CN"/>
        </w:rPr>
        <w:t>（1）</w:t>
      </w:r>
      <w:r>
        <w:rPr>
          <w:rFonts w:hint="eastAsia"/>
          <w:sz w:val="24"/>
          <w:szCs w:val="24"/>
          <w:lang w:eastAsia="zh-CN"/>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spacing w:line="420" w:lineRule="exact"/>
        <w:rPr>
          <w:sz w:val="24"/>
          <w:szCs w:val="24"/>
          <w:lang w:eastAsia="zh-CN"/>
        </w:rPr>
      </w:pPr>
      <w:r>
        <w:rPr>
          <w:sz w:val="24"/>
          <w:szCs w:val="24"/>
          <w:lang w:eastAsia="zh-CN"/>
        </w:rPr>
        <w:t>（2）</w:t>
      </w:r>
      <w:r>
        <w:rPr>
          <w:rFonts w:hint="eastAsia"/>
          <w:sz w:val="24"/>
          <w:szCs w:val="24"/>
          <w:lang w:eastAsia="zh-CN"/>
        </w:rPr>
        <w:t>如本项目（包）专门面向中小企业采购，响应文件中须提供《中小企业声明函》或《残疾人福利性单位声明函》，或提供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（4）中小企业声明函填写注意事项</w:t>
      </w:r>
    </w:p>
    <w:p>
      <w:pPr>
        <w:spacing w:line="420" w:lineRule="exact"/>
        <w:rPr>
          <w:sz w:val="24"/>
          <w:szCs w:val="24"/>
          <w:lang w:eastAsia="zh-CN"/>
        </w:rPr>
      </w:pPr>
      <w:r>
        <w:rPr>
          <w:sz w:val="24"/>
          <w:szCs w:val="24"/>
          <w:lang w:eastAsia="zh-CN"/>
        </w:rPr>
        <w:t>1）《中小企业声明函》由参加政府采购活动的供应商出具。联合体参与的，《中小企业声明函》可由牵头人出具。</w:t>
      </w:r>
    </w:p>
    <w:p>
      <w:pPr>
        <w:pStyle w:val="12"/>
        <w:spacing w:before="53" w:line="420" w:lineRule="exact"/>
        <w:ind w:right="211"/>
        <w:jc w:val="both"/>
        <w:rPr>
          <w:lang w:eastAsia="zh-CN"/>
        </w:rPr>
      </w:pPr>
      <w:r>
        <w:rPr>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pStyle w:val="12"/>
        <w:spacing w:before="55" w:line="420" w:lineRule="exact"/>
        <w:ind w:right="213"/>
        <w:jc w:val="both"/>
        <w:rPr>
          <w:lang w:eastAsia="zh-CN"/>
        </w:rPr>
      </w:pPr>
      <w:r>
        <w:rPr>
          <w:lang w:eastAsia="zh-CN"/>
        </w:rPr>
        <w:t>3）对于多标的采购项目，供应商应充分、准确地了解所提供货物的制造企业、提供服务的承接企业信息。对相关情况了解不清楚的，不建议填报本声明函。</w:t>
      </w:r>
    </w:p>
    <w:p>
      <w:pPr>
        <w:spacing w:line="420" w:lineRule="exact"/>
        <w:rPr>
          <w:sz w:val="24"/>
          <w:szCs w:val="24"/>
          <w:lang w:eastAsia="zh-CN"/>
        </w:rPr>
      </w:pPr>
      <w:r>
        <w:rPr>
          <w:sz w:val="24"/>
          <w:szCs w:val="24"/>
          <w:lang w:eastAsia="zh-CN"/>
        </w:rPr>
        <w:t>（5）</w:t>
      </w:r>
      <w:r>
        <w:rPr>
          <w:rFonts w:hint="eastAsia"/>
          <w:sz w:val="24"/>
          <w:szCs w:val="24"/>
          <w:lang w:eastAsia="zh-CN"/>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spacing w:line="420" w:lineRule="exact"/>
        <w:rPr>
          <w:sz w:val="24"/>
          <w:szCs w:val="24"/>
          <w:lang w:eastAsia="zh-CN"/>
        </w:rPr>
      </w:pPr>
    </w:p>
    <w:p>
      <w:pPr>
        <w:spacing w:line="352" w:lineRule="auto"/>
        <w:jc w:val="both"/>
        <w:rPr>
          <w:rFonts w:asciiTheme="minorEastAsia" w:hAnsiTheme="minorEastAsia" w:eastAsiaTheme="minorEastAsia"/>
          <w:lang w:eastAsia="zh-CN"/>
        </w:rPr>
      </w:pPr>
    </w:p>
    <w:p>
      <w:pPr>
        <w:spacing w:line="352" w:lineRule="auto"/>
        <w:jc w:val="both"/>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7"/>
        <w:rPr>
          <w:sz w:val="24"/>
          <w:lang w:eastAsia="zh-CN"/>
        </w:rPr>
      </w:pPr>
      <w:r>
        <w:rPr>
          <w:sz w:val="24"/>
          <w:lang w:eastAsia="zh-CN"/>
        </w:rPr>
        <w:t xml:space="preserve">2-1-1  </w:t>
      </w:r>
      <w:r>
        <w:rPr>
          <w:rFonts w:hint="eastAsia"/>
          <w:sz w:val="24"/>
          <w:lang w:eastAsia="zh-CN"/>
        </w:rPr>
        <w:t>中小企业证明文件</w:t>
      </w:r>
    </w:p>
    <w:p>
      <w:pPr>
        <w:spacing w:before="248"/>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中小企业声明函（货物）格式</w:t>
      </w:r>
    </w:p>
    <w:p>
      <w:pPr>
        <w:pStyle w:val="12"/>
        <w:spacing w:before="1"/>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，从业人员______人，营业收入为______万元，资产总额为______万元，属于（中型企业、小型企业、微型企业）；</w:t>
      </w:r>
    </w:p>
    <w:p>
      <w:pPr>
        <w:spacing w:line="360" w:lineRule="auto"/>
        <w:ind w:firstLine="484" w:firstLineChars="200"/>
        <w:rPr>
          <w:rFonts w:asciiTheme="minorEastAsia" w:hAnsiTheme="minorEastAsia" w:eastAsiaTheme="minorEastAsia"/>
          <w:lang w:eastAsia="zh-CN"/>
        </w:rPr>
      </w:pPr>
      <w:r>
        <w:rPr>
          <w:rFonts w:asciiTheme="minorEastAsia" w:hAnsiTheme="minorEastAsia" w:eastAsiaTheme="minorEastAsia"/>
          <w:w w:val="110"/>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2"/>
        <w:rPr>
          <w:rFonts w:asciiTheme="minorEastAsia" w:hAnsiTheme="minorEastAsia" w:eastAsiaTheme="minorEastAsia"/>
          <w:sz w:val="26"/>
          <w:lang w:eastAsia="zh-CN"/>
        </w:rPr>
      </w:pPr>
      <w:r>
        <w:rPr>
          <w:rFonts w:asciiTheme="minorEastAsia" w:hAnsiTheme="minorEastAsia" w:eastAsiaTheme="minorEastAsia"/>
          <w:lang w:eastAsia="zh-CN"/>
        </w:rPr>
        <mc:AlternateContent>
          <mc:Choice Requires="wps">
            <w:drawing>
              <wp:anchor distT="0" distB="0" distL="0" distR="0" simplePos="0" relativeHeight="251665408"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3" o:spid="_x0000_s1026" o:spt="20" style="position:absolute;left:0pt;margin-left:79.65pt;margin-top:17.2pt;height:0pt;width:447.3pt;mso-position-horizontal-relative:page;mso-wrap-distance-bottom:0pt;mso-wrap-distance-top:0pt;z-index:251665408;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et1f2QAAAAoBAAAPAAAAAAAAAAEAIAAAACIAAABkcnMvZG93bnJldi54bWxQSwEC&#10;FAAUAAAACACHTuJA8bauiboBAABsAwAADgAAAAAAAAABACAAAAAo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spacing w:line="383" w:lineRule="exact"/>
        <w:rPr>
          <w:rFonts w:asciiTheme="minorEastAsia" w:hAnsiTheme="minorEastAsia" w:eastAsiaTheme="minorEastAsia"/>
          <w:sz w:val="21"/>
          <w:lang w:eastAsia="zh-CN"/>
        </w:rPr>
        <w:sectPr>
          <w:pgSz w:w="11910" w:h="16840"/>
          <w:pgMar w:top="1440" w:right="1797" w:bottom="1440" w:left="1797" w:header="879" w:footer="892" w:gutter="0"/>
          <w:cols w:space="720" w:num="1"/>
        </w:sectPr>
      </w:pPr>
    </w:p>
    <w:p>
      <w:pPr>
        <w:pStyle w:val="12"/>
        <w:spacing w:before="8"/>
        <w:rPr>
          <w:rFonts w:asciiTheme="minorEastAsia" w:hAnsiTheme="minorEastAsia" w:eastAsiaTheme="minorEastAsia"/>
          <w:sz w:val="17"/>
          <w:lang w:eastAsia="zh-CN"/>
        </w:rPr>
      </w:pPr>
    </w:p>
    <w:p>
      <w:pPr>
        <w:spacing w:line="461" w:lineRule="exact"/>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中小企业声明函（工程、服务）格式</w:t>
      </w:r>
    </w:p>
    <w:p>
      <w:pPr>
        <w:pStyle w:val="12"/>
        <w:spacing w:before="6"/>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万元，属于（中型企业、小型企业、微型企业）；</w:t>
      </w:r>
    </w:p>
    <w:p>
      <w:pPr>
        <w:spacing w:line="360" w:lineRule="auto"/>
        <w:ind w:firstLine="480" w:firstLineChars="200"/>
        <w:rPr>
          <w:sz w:val="24"/>
          <w:szCs w:val="24"/>
          <w:lang w:eastAsia="zh-CN"/>
        </w:rPr>
      </w:pPr>
      <w:r>
        <w:rPr>
          <w:sz w:val="24"/>
          <w:szCs w:val="24"/>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2"/>
        <w:spacing w:before="7"/>
        <w:rPr>
          <w:rFonts w:asciiTheme="minorEastAsia" w:hAnsiTheme="minorEastAsia" w:eastAsiaTheme="minorEastAsia"/>
          <w:sz w:val="21"/>
          <w:lang w:eastAsia="zh-CN"/>
        </w:rPr>
      </w:pPr>
      <w:r>
        <w:rPr>
          <w:rFonts w:asciiTheme="minorEastAsia" w:hAnsiTheme="minorEastAsia" w:eastAsiaTheme="minorEastAsia"/>
          <w:lang w:eastAsia="zh-CN"/>
        </w:rPr>
        <mc:AlternateContent>
          <mc:Choice Requires="wps">
            <w:drawing>
              <wp:anchor distT="0" distB="0" distL="0" distR="0" simplePos="0" relativeHeight="251666432"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2" o:spid="_x0000_s1026" o:spt="20" style="position:absolute;left:0pt;margin-left:79.65pt;margin-top:14.65pt;height:0pt;width:447.3pt;mso-position-horizontal-relative:page;mso-wrap-distance-bottom:0pt;mso-wrap-distance-top:0pt;z-index:251666432;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7Ion2AAAAAoBAAAPAAAAAAAAAAEAIAAAACIAAABkcnMvZG93bnJldi54bWxQSwEC&#10;FAAUAAAACACHTuJA8uKhkrsBAABsAwAADgAAAAAAAAABACAAAAAn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spacing w:line="383" w:lineRule="exact"/>
        <w:rPr>
          <w:rFonts w:asciiTheme="minorEastAsia" w:hAnsiTheme="minorEastAsia" w:eastAsiaTheme="minorEastAsia"/>
          <w:sz w:val="21"/>
          <w:lang w:eastAsia="zh-CN"/>
        </w:rPr>
        <w:sectPr>
          <w:pgSz w:w="11910" w:h="16840"/>
          <w:pgMar w:top="1440" w:right="1797" w:bottom="1440" w:left="1797" w:header="879" w:footer="892" w:gutter="0"/>
          <w:cols w:space="720" w:num="1"/>
        </w:sectPr>
      </w:pP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残疾人福利性单位声明函格式</w:t>
      </w:r>
    </w:p>
    <w:p>
      <w:pPr>
        <w:pStyle w:val="12"/>
        <w:rPr>
          <w:rFonts w:asciiTheme="minorEastAsia" w:hAnsiTheme="minorEastAsia" w:eastAsiaTheme="minorEastAsia"/>
          <w:sz w:val="36"/>
          <w:lang w:eastAsia="zh-CN"/>
        </w:rPr>
      </w:pPr>
    </w:p>
    <w:p>
      <w:pPr>
        <w:spacing w:line="360" w:lineRule="auto"/>
        <w:ind w:firstLine="480" w:firstLineChars="200"/>
        <w:rPr>
          <w:sz w:val="24"/>
          <w:lang w:eastAsia="zh-CN"/>
        </w:rPr>
      </w:pPr>
      <w:r>
        <w:rPr>
          <w:sz w:val="24"/>
          <w:lang w:eastAsia="zh-CN"/>
        </w:rPr>
        <w:t>本单位郑重声明，根据《财政部 民政部 中国残疾人联合会关于促进残疾人就业政府采购政策的通知》（财库〔2017〕141号）的规定，本单位（</w:t>
      </w:r>
      <w:r>
        <w:rPr>
          <w:b/>
          <w:sz w:val="24"/>
          <w:lang w:eastAsia="zh-CN"/>
        </w:rPr>
        <w:t>请进行选择）</w:t>
      </w:r>
      <w:r>
        <w:rPr>
          <w:sz w:val="24"/>
          <w:lang w:eastAsia="zh-CN"/>
        </w:rPr>
        <w:t>：</w:t>
      </w:r>
    </w:p>
    <w:p>
      <w:pPr>
        <w:spacing w:line="360" w:lineRule="auto"/>
        <w:ind w:firstLine="480" w:firstLineChars="200"/>
        <w:rPr>
          <w:sz w:val="24"/>
          <w:lang w:eastAsia="zh-CN"/>
        </w:rPr>
      </w:pPr>
      <w:r>
        <w:rPr>
          <w:sz w:val="24"/>
          <w:lang w:eastAsia="zh-CN"/>
        </w:rPr>
        <w:t>□</w:t>
      </w:r>
      <w:r>
        <w:rPr>
          <w:b/>
          <w:sz w:val="24"/>
          <w:lang w:eastAsia="zh-CN"/>
        </w:rPr>
        <w:t>不属于符合条件的残疾人福利性单位。</w:t>
      </w:r>
    </w:p>
    <w:p>
      <w:pPr>
        <w:spacing w:line="360" w:lineRule="auto"/>
        <w:ind w:firstLine="480" w:firstLineChars="200"/>
        <w:rPr>
          <w:sz w:val="24"/>
          <w:lang w:eastAsia="zh-CN"/>
        </w:rPr>
      </w:pPr>
      <w:r>
        <w:rPr>
          <w:sz w:val="24"/>
          <w:lang w:eastAsia="zh-CN"/>
        </w:rPr>
        <w:t>□</w:t>
      </w:r>
      <w:r>
        <w:rPr>
          <w:b/>
          <w:sz w:val="24"/>
          <w:lang w:eastAsia="zh-CN"/>
        </w:rPr>
        <w:t>属于符合条件的残疾人福利性单位</w:t>
      </w:r>
      <w:r>
        <w:rPr>
          <w:sz w:val="24"/>
          <w:lang w:eastAsia="zh-CN"/>
        </w:rPr>
        <w:t>，且本单位参加</w:t>
      </w:r>
      <w:r>
        <w:rPr>
          <w:rFonts w:hint="eastAsia"/>
          <w:sz w:val="24"/>
          <w:u w:val="single"/>
          <w:lang w:eastAsia="zh-CN"/>
        </w:rPr>
        <w:t xml:space="preserve">    </w:t>
      </w:r>
      <w:r>
        <w:rPr>
          <w:sz w:val="24"/>
          <w:lang w:eastAsia="zh-CN"/>
        </w:rPr>
        <w:t>单位的</w:t>
      </w:r>
      <w:r>
        <w:rPr>
          <w:rFonts w:hint="eastAsia"/>
          <w:sz w:val="24"/>
          <w:u w:val="single"/>
          <w:lang w:eastAsia="zh-CN"/>
        </w:rPr>
        <w:t xml:space="preserve">    </w:t>
      </w:r>
      <w:r>
        <w:rPr>
          <w:sz w:val="24"/>
          <w:lang w:eastAsia="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2" w:firstLineChars="200"/>
        <w:rPr>
          <w:b/>
          <w:sz w:val="24"/>
          <w:lang w:eastAsia="zh-CN"/>
        </w:rPr>
      </w:pPr>
      <w:r>
        <w:rPr>
          <w:b/>
          <w:sz w:val="24"/>
          <w:lang w:eastAsia="zh-CN"/>
        </w:rPr>
        <w:t>本单位对上述声明的真实性负责。如有虚假，将依法承担相应责任。</w:t>
      </w: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widowControl/>
        <w:autoSpaceDE/>
        <w:autoSpaceDN/>
        <w:rPr>
          <w:sz w:val="24"/>
          <w:szCs w:val="24"/>
          <w:u w:val="single"/>
          <w:lang w:eastAsia="zh-CN"/>
        </w:rPr>
      </w:pPr>
      <w:r>
        <w:rPr>
          <w:u w:val="single"/>
          <w:lang w:eastAsia="zh-CN"/>
        </w:rPr>
        <w:br w:type="page"/>
      </w:r>
    </w:p>
    <w:p>
      <w:pPr>
        <w:pStyle w:val="7"/>
        <w:rPr>
          <w:sz w:val="24"/>
          <w:lang w:eastAsia="zh-CN"/>
        </w:rPr>
      </w:pPr>
      <w:r>
        <w:rPr>
          <w:rFonts w:hint="eastAsia"/>
          <w:sz w:val="24"/>
          <w:lang w:eastAsia="zh-CN"/>
        </w:rPr>
        <w:t xml:space="preserve">2-1-2  </w:t>
      </w:r>
      <w:r>
        <w:rPr>
          <w:sz w:val="24"/>
          <w:lang w:eastAsia="zh-CN"/>
        </w:rPr>
        <w:t>拟分包情况说明及分包意向协议说明：</w:t>
      </w:r>
    </w:p>
    <w:p>
      <w:pPr>
        <w:spacing w:line="360" w:lineRule="auto"/>
        <w:rPr>
          <w:sz w:val="24"/>
          <w:lang w:eastAsia="zh-CN"/>
        </w:rPr>
      </w:pPr>
      <w:r>
        <w:rPr>
          <w:sz w:val="24"/>
          <w:lang w:eastAsia="zh-CN"/>
        </w:rPr>
        <w:t>如本项目（包）允许分包，且供应商拟进行分包时，</w:t>
      </w:r>
    </w:p>
    <w:p>
      <w:pPr>
        <w:spacing w:line="360" w:lineRule="auto"/>
        <w:rPr>
          <w:sz w:val="24"/>
          <w:lang w:eastAsia="zh-CN"/>
        </w:rPr>
      </w:pPr>
      <w:r>
        <w:rPr>
          <w:sz w:val="24"/>
          <w:lang w:eastAsia="zh-CN"/>
        </w:rPr>
        <w:t>（1）响应文件中须提供《拟分包情况说明》，否则</w:t>
      </w:r>
      <w:r>
        <w:rPr>
          <w:b/>
          <w:sz w:val="24"/>
          <w:lang w:eastAsia="zh-CN"/>
        </w:rPr>
        <w:t>响应无效</w:t>
      </w:r>
      <w:r>
        <w:rPr>
          <w:sz w:val="24"/>
          <w:lang w:eastAsia="zh-CN"/>
        </w:rPr>
        <w:t>；</w:t>
      </w:r>
    </w:p>
    <w:p>
      <w:pPr>
        <w:spacing w:line="360" w:lineRule="auto"/>
        <w:rPr>
          <w:sz w:val="24"/>
          <w:lang w:eastAsia="zh-CN"/>
        </w:rPr>
      </w:pPr>
      <w:r>
        <w:rPr>
          <w:sz w:val="24"/>
          <w:lang w:eastAsia="zh-CN"/>
        </w:rPr>
        <w:t>（2）当同时符合下列情形时，响应文件还须提供《分包意向协议》，否则</w:t>
      </w:r>
      <w:r>
        <w:rPr>
          <w:b/>
          <w:sz w:val="24"/>
          <w:lang w:eastAsia="zh-CN"/>
        </w:rPr>
        <w:t>响应无效</w:t>
      </w:r>
      <w:r>
        <w:rPr>
          <w:sz w:val="24"/>
          <w:lang w:eastAsia="zh-CN"/>
        </w:rPr>
        <w:t>：</w:t>
      </w:r>
    </w:p>
    <w:p>
      <w:pPr>
        <w:spacing w:line="360" w:lineRule="auto"/>
        <w:ind w:left="565" w:leftChars="257"/>
        <w:rPr>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pPr>
        <w:spacing w:line="360" w:lineRule="auto"/>
        <w:ind w:left="565" w:leftChars="257"/>
        <w:rPr>
          <w:sz w:val="24"/>
          <w:lang w:eastAsia="zh-CN"/>
        </w:rPr>
      </w:pPr>
      <w:r>
        <w:rPr>
          <w:rFonts w:hint="eastAsia"/>
          <w:b/>
          <w:sz w:val="24"/>
          <w:lang w:eastAsia="zh-CN"/>
        </w:rPr>
        <w:t>B.</w:t>
      </w:r>
      <w:r>
        <w:rPr>
          <w:sz w:val="24"/>
          <w:lang w:eastAsia="zh-CN"/>
        </w:rPr>
        <w:t>供应商通过分包方式满足中小企业政策要求的。</w:t>
      </w:r>
    </w:p>
    <w:p>
      <w:pPr>
        <w:spacing w:line="360" w:lineRule="auto"/>
        <w:ind w:firstLine="480" w:firstLineChars="200"/>
        <w:rPr>
          <w:sz w:val="24"/>
          <w:lang w:eastAsia="zh-CN"/>
        </w:rPr>
      </w:pPr>
    </w:p>
    <w:p>
      <w:pPr>
        <w:rPr>
          <w:rFonts w:asciiTheme="minorEastAsia" w:hAnsiTheme="minorEastAsia" w:eastAsiaTheme="minorEastAsia"/>
          <w:lang w:eastAsia="zh-CN"/>
        </w:rPr>
        <w:sectPr>
          <w:footerReference r:id="rId11" w:type="default"/>
          <w:pgSz w:w="11910" w:h="16840"/>
          <w:pgMar w:top="1440" w:right="1797" w:bottom="1440" w:left="1797" w:header="879" w:footer="892" w:gutter="0"/>
          <w:cols w:space="720" w:num="1"/>
        </w:sectPr>
      </w:pPr>
    </w:p>
    <w:p>
      <w:pPr>
        <w:spacing w:line="460" w:lineRule="exact"/>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拟分包情况说明</w:t>
      </w:r>
    </w:p>
    <w:p>
      <w:pPr>
        <w:spacing w:line="360" w:lineRule="auto"/>
        <w:rPr>
          <w:sz w:val="24"/>
          <w:lang w:eastAsia="zh-CN"/>
        </w:rPr>
      </w:pPr>
      <w:r>
        <w:rPr>
          <w:sz w:val="24"/>
          <w:lang w:eastAsia="zh-CN"/>
        </w:rPr>
        <w:t>致：</w:t>
      </w:r>
      <w:r>
        <w:rPr>
          <w:sz w:val="24"/>
          <w:u w:val="single"/>
          <w:lang w:eastAsia="zh-CN"/>
        </w:rPr>
        <w:t>（采购人或采购代理机构）</w:t>
      </w:r>
    </w:p>
    <w:p>
      <w:pPr>
        <w:spacing w:line="360" w:lineRule="auto"/>
        <w:ind w:firstLine="424" w:firstLineChars="177"/>
        <w:rPr>
          <w:sz w:val="24"/>
          <w:lang w:eastAsia="zh-CN"/>
        </w:rPr>
      </w:pPr>
      <w:r>
        <w:rPr>
          <w:sz w:val="24"/>
          <w:lang w:eastAsia="zh-CN"/>
        </w:rPr>
        <w:t>我单位参加贵单位组织采购的项目编号为</w:t>
      </w:r>
      <w:r>
        <w:rPr>
          <w:rFonts w:hint="eastAsia"/>
          <w:sz w:val="24"/>
          <w:u w:val="single"/>
          <w:lang w:eastAsia="zh-CN"/>
        </w:rPr>
        <w:t xml:space="preserve">    </w:t>
      </w:r>
      <w:r>
        <w:rPr>
          <w:sz w:val="24"/>
          <w:lang w:eastAsia="zh-CN"/>
        </w:rPr>
        <w:t>的</w:t>
      </w:r>
      <w:r>
        <w:rPr>
          <w:rFonts w:hint="eastAsia"/>
          <w:sz w:val="24"/>
          <w:u w:val="single"/>
          <w:lang w:eastAsia="zh-CN"/>
        </w:rPr>
        <w:t xml:space="preserve">   </w:t>
      </w:r>
      <w:r>
        <w:rPr>
          <w:sz w:val="24"/>
          <w:lang w:eastAsia="zh-CN"/>
        </w:rPr>
        <w:t>项目（填写采购项目名称）中</w:t>
      </w:r>
      <w:r>
        <w:rPr>
          <w:rFonts w:hint="eastAsia"/>
          <w:sz w:val="24"/>
          <w:u w:val="single"/>
          <w:lang w:eastAsia="zh-CN"/>
        </w:rPr>
        <w:t xml:space="preserve">   </w:t>
      </w:r>
      <w:r>
        <w:rPr>
          <w:sz w:val="24"/>
          <w:lang w:eastAsia="zh-CN"/>
        </w:rPr>
        <w:t>包（填写包号）的磋商。拟签订分包合同的单位情况如下表所示，我单位承诺一旦在该项目中获得采购合同将按下表所列情况进行分包，同时承诺分包承担主体不再次分包。</w:t>
      </w:r>
    </w:p>
    <w:p>
      <w:pPr>
        <w:pStyle w:val="12"/>
        <w:spacing w:before="7"/>
        <w:rPr>
          <w:rFonts w:asciiTheme="minorEastAsia" w:hAnsiTheme="minorEastAsia" w:eastAsiaTheme="minorEastAsia"/>
          <w:sz w:val="5"/>
          <w:lang w:eastAsia="zh-CN"/>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
        <w:gridCol w:w="1189"/>
        <w:gridCol w:w="1399"/>
        <w:gridCol w:w="1041"/>
        <w:gridCol w:w="1444"/>
        <w:gridCol w:w="1385"/>
        <w:gridCol w:w="1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423" w:type="dxa"/>
            <w:vAlign w:val="center"/>
          </w:tcPr>
          <w:p>
            <w:pPr>
              <w:jc w:val="center"/>
            </w:pPr>
            <w:r>
              <w:t>序号</w:t>
            </w:r>
          </w:p>
        </w:tc>
        <w:tc>
          <w:tcPr>
            <w:tcW w:w="1189" w:type="dxa"/>
            <w:vAlign w:val="center"/>
          </w:tcPr>
          <w:p>
            <w:pPr>
              <w:jc w:val="center"/>
              <w:rPr>
                <w:lang w:eastAsia="zh-CN"/>
              </w:rPr>
            </w:pPr>
            <w:r>
              <w:t>分包承担</w:t>
            </w:r>
          </w:p>
          <w:p>
            <w:pPr>
              <w:jc w:val="center"/>
            </w:pPr>
            <w:r>
              <w:t>主体名称</w:t>
            </w:r>
          </w:p>
        </w:tc>
        <w:tc>
          <w:tcPr>
            <w:tcW w:w="1399" w:type="dxa"/>
            <w:vAlign w:val="center"/>
          </w:tcPr>
          <w:p>
            <w:pPr>
              <w:jc w:val="center"/>
              <w:rPr>
                <w:lang w:eastAsia="zh-CN"/>
              </w:rPr>
            </w:pPr>
            <w:r>
              <w:rPr>
                <w:lang w:eastAsia="zh-CN"/>
              </w:rPr>
              <w:t>分包承担</w:t>
            </w:r>
          </w:p>
          <w:p>
            <w:pPr>
              <w:jc w:val="center"/>
              <w:rPr>
                <w:lang w:eastAsia="zh-CN"/>
              </w:rPr>
            </w:pPr>
            <w:r>
              <w:rPr>
                <w:lang w:eastAsia="zh-CN"/>
              </w:rPr>
              <w:t>主体类型</w:t>
            </w:r>
          </w:p>
          <w:p>
            <w:pPr>
              <w:jc w:val="center"/>
              <w:rPr>
                <w:lang w:eastAsia="zh-CN"/>
              </w:rPr>
            </w:pPr>
            <w:r>
              <w:rPr>
                <w:lang w:eastAsia="zh-CN"/>
              </w:rPr>
              <w:t>（选择）</w:t>
            </w:r>
          </w:p>
        </w:tc>
        <w:tc>
          <w:tcPr>
            <w:tcW w:w="1041" w:type="dxa"/>
            <w:vAlign w:val="center"/>
          </w:tcPr>
          <w:p>
            <w:pPr>
              <w:jc w:val="center"/>
            </w:pPr>
            <w:r>
              <w:t>资质等级</w:t>
            </w:r>
          </w:p>
        </w:tc>
        <w:tc>
          <w:tcPr>
            <w:tcW w:w="1444" w:type="dxa"/>
            <w:vAlign w:val="center"/>
          </w:tcPr>
          <w:p>
            <w:pPr>
              <w:jc w:val="center"/>
              <w:rPr>
                <w:lang w:eastAsia="zh-CN"/>
              </w:rPr>
            </w:pPr>
            <w:r>
              <w:t>拟分包</w:t>
            </w:r>
          </w:p>
          <w:p>
            <w:pPr>
              <w:jc w:val="center"/>
            </w:pPr>
            <w:r>
              <w:t>合同内容</w:t>
            </w:r>
          </w:p>
        </w:tc>
        <w:tc>
          <w:tcPr>
            <w:tcW w:w="1385" w:type="dxa"/>
            <w:vAlign w:val="center"/>
          </w:tcPr>
          <w:p>
            <w:pPr>
              <w:jc w:val="center"/>
              <w:rPr>
                <w:lang w:eastAsia="zh-CN"/>
              </w:rPr>
            </w:pPr>
            <w:r>
              <w:rPr>
                <w:lang w:eastAsia="zh-CN"/>
              </w:rPr>
              <w:t>拟分包</w:t>
            </w:r>
          </w:p>
          <w:p>
            <w:pPr>
              <w:jc w:val="center"/>
              <w:rPr>
                <w:lang w:eastAsia="zh-CN"/>
              </w:rPr>
            </w:pPr>
            <w:r>
              <w:rPr>
                <w:lang w:eastAsia="zh-CN"/>
              </w:rPr>
              <w:t>合同金额</w:t>
            </w:r>
          </w:p>
          <w:p>
            <w:pPr>
              <w:jc w:val="center"/>
              <w:rPr>
                <w:lang w:eastAsia="zh-CN"/>
              </w:rPr>
            </w:pPr>
            <w:r>
              <w:rPr>
                <w:lang w:eastAsia="zh-CN"/>
              </w:rPr>
              <w:t>（人民币元）</w:t>
            </w:r>
          </w:p>
        </w:tc>
        <w:tc>
          <w:tcPr>
            <w:tcW w:w="1445" w:type="dxa"/>
            <w:vAlign w:val="center"/>
          </w:tcPr>
          <w:p>
            <w:pPr>
              <w:jc w:val="center"/>
              <w:rPr>
                <w:lang w:eastAsia="zh-CN"/>
              </w:rPr>
            </w:pPr>
            <w:r>
              <w:rPr>
                <w:lang w:eastAsia="zh-CN"/>
              </w:rPr>
              <w:t>占该采购包</w:t>
            </w:r>
          </w:p>
          <w:p>
            <w:pPr>
              <w:jc w:val="center"/>
              <w:rPr>
                <w:b/>
                <w:lang w:eastAsia="zh-CN"/>
              </w:rPr>
            </w:pPr>
            <w:r>
              <w:rPr>
                <w:b/>
                <w:lang w:eastAsia="zh-CN"/>
              </w:rPr>
              <w:t>合同金额的</w:t>
            </w:r>
          </w:p>
          <w:p>
            <w:pPr>
              <w:jc w:val="center"/>
              <w:rPr>
                <w:lang w:eastAsia="zh-CN"/>
              </w:rPr>
            </w:pPr>
            <w:r>
              <w:rPr>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23" w:type="dxa"/>
            <w:vAlign w:val="center"/>
          </w:tcPr>
          <w:p>
            <w:pPr>
              <w:jc w:val="center"/>
            </w:pPr>
            <w:r>
              <w:t>1</w:t>
            </w:r>
          </w:p>
        </w:tc>
        <w:tc>
          <w:tcPr>
            <w:tcW w:w="1189" w:type="dxa"/>
            <w:vAlign w:val="center"/>
          </w:tcPr>
          <w:p>
            <w:pPr>
              <w:jc w:val="center"/>
            </w:pPr>
          </w:p>
        </w:tc>
        <w:tc>
          <w:tcPr>
            <w:tcW w:w="1399"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041" w:type="dxa"/>
            <w:vAlign w:val="center"/>
          </w:tcPr>
          <w:p>
            <w:pPr>
              <w:jc w:val="center"/>
              <w:rPr>
                <w:lang w:eastAsia="zh-CN"/>
              </w:rPr>
            </w:pPr>
          </w:p>
        </w:tc>
        <w:tc>
          <w:tcPr>
            <w:tcW w:w="1444" w:type="dxa"/>
            <w:vAlign w:val="center"/>
          </w:tcPr>
          <w:p>
            <w:pPr>
              <w:jc w:val="center"/>
              <w:rPr>
                <w:lang w:eastAsia="zh-CN"/>
              </w:rPr>
            </w:pPr>
          </w:p>
        </w:tc>
        <w:tc>
          <w:tcPr>
            <w:tcW w:w="1385" w:type="dxa"/>
            <w:vAlign w:val="center"/>
          </w:tcPr>
          <w:p>
            <w:pPr>
              <w:jc w:val="center"/>
              <w:rPr>
                <w:lang w:eastAsia="zh-CN"/>
              </w:rPr>
            </w:pPr>
          </w:p>
        </w:tc>
        <w:tc>
          <w:tcPr>
            <w:tcW w:w="1445"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23" w:type="dxa"/>
            <w:vAlign w:val="center"/>
          </w:tcPr>
          <w:p>
            <w:pPr>
              <w:jc w:val="center"/>
            </w:pPr>
            <w:r>
              <w:t>2</w:t>
            </w:r>
          </w:p>
        </w:tc>
        <w:tc>
          <w:tcPr>
            <w:tcW w:w="1189" w:type="dxa"/>
            <w:vAlign w:val="center"/>
          </w:tcPr>
          <w:p>
            <w:pPr>
              <w:jc w:val="center"/>
            </w:pPr>
          </w:p>
        </w:tc>
        <w:tc>
          <w:tcPr>
            <w:tcW w:w="1399"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041" w:type="dxa"/>
            <w:vAlign w:val="center"/>
          </w:tcPr>
          <w:p>
            <w:pPr>
              <w:jc w:val="center"/>
              <w:rPr>
                <w:lang w:eastAsia="zh-CN"/>
              </w:rPr>
            </w:pPr>
          </w:p>
        </w:tc>
        <w:tc>
          <w:tcPr>
            <w:tcW w:w="1444" w:type="dxa"/>
            <w:vAlign w:val="center"/>
          </w:tcPr>
          <w:p>
            <w:pPr>
              <w:jc w:val="center"/>
              <w:rPr>
                <w:lang w:eastAsia="zh-CN"/>
              </w:rPr>
            </w:pPr>
          </w:p>
        </w:tc>
        <w:tc>
          <w:tcPr>
            <w:tcW w:w="1385" w:type="dxa"/>
            <w:vAlign w:val="center"/>
          </w:tcPr>
          <w:p>
            <w:pPr>
              <w:jc w:val="center"/>
              <w:rPr>
                <w:lang w:eastAsia="zh-CN"/>
              </w:rPr>
            </w:pPr>
          </w:p>
        </w:tc>
        <w:tc>
          <w:tcPr>
            <w:tcW w:w="1445"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423" w:type="dxa"/>
            <w:vAlign w:val="center"/>
          </w:tcPr>
          <w:p>
            <w:pPr>
              <w:jc w:val="center"/>
            </w:pPr>
            <w:r>
              <w:t>…</w:t>
            </w:r>
          </w:p>
        </w:tc>
        <w:tc>
          <w:tcPr>
            <w:tcW w:w="1189" w:type="dxa"/>
            <w:vAlign w:val="center"/>
          </w:tcPr>
          <w:p>
            <w:pPr>
              <w:jc w:val="center"/>
            </w:pPr>
          </w:p>
        </w:tc>
        <w:tc>
          <w:tcPr>
            <w:tcW w:w="1399" w:type="dxa"/>
            <w:vAlign w:val="center"/>
          </w:tcPr>
          <w:p>
            <w:pPr>
              <w:jc w:val="center"/>
            </w:pPr>
          </w:p>
        </w:tc>
        <w:tc>
          <w:tcPr>
            <w:tcW w:w="1041" w:type="dxa"/>
            <w:vAlign w:val="center"/>
          </w:tcPr>
          <w:p>
            <w:pPr>
              <w:jc w:val="center"/>
            </w:pPr>
          </w:p>
        </w:tc>
        <w:tc>
          <w:tcPr>
            <w:tcW w:w="1444" w:type="dxa"/>
            <w:vAlign w:val="center"/>
          </w:tcPr>
          <w:p>
            <w:pPr>
              <w:jc w:val="center"/>
            </w:pPr>
          </w:p>
        </w:tc>
        <w:tc>
          <w:tcPr>
            <w:tcW w:w="1385" w:type="dxa"/>
            <w:vAlign w:val="center"/>
          </w:tcPr>
          <w:p>
            <w:pPr>
              <w:jc w:val="center"/>
            </w:pPr>
          </w:p>
        </w:tc>
        <w:tc>
          <w:tcPr>
            <w:tcW w:w="144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5496" w:type="dxa"/>
            <w:gridSpan w:val="5"/>
            <w:vAlign w:val="center"/>
          </w:tcPr>
          <w:p>
            <w:pPr>
              <w:jc w:val="center"/>
            </w:pPr>
            <w:r>
              <w:t>合计：</w:t>
            </w:r>
          </w:p>
        </w:tc>
        <w:tc>
          <w:tcPr>
            <w:tcW w:w="1385" w:type="dxa"/>
            <w:vAlign w:val="center"/>
          </w:tcPr>
          <w:p>
            <w:pPr>
              <w:jc w:val="center"/>
            </w:pPr>
          </w:p>
        </w:tc>
        <w:tc>
          <w:tcPr>
            <w:tcW w:w="1445" w:type="dxa"/>
            <w:vAlign w:val="center"/>
          </w:tcPr>
          <w:p>
            <w:pPr>
              <w:jc w:val="center"/>
            </w:pPr>
          </w:p>
        </w:tc>
      </w:tr>
    </w:tbl>
    <w:p>
      <w:pPr>
        <w:pStyle w:val="12"/>
        <w:spacing w:before="8"/>
        <w:rPr>
          <w:rFonts w:asciiTheme="minorEastAsia" w:hAnsiTheme="minorEastAsia" w:eastAsiaTheme="minorEastAsia"/>
          <w:sz w:val="28"/>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（1）当供应商属于本部分说明中第（1）类情形，如未提供《拟分包情况说明》，或提供了《拟分包情况说明》但未填写分包承担主体名称、拟分包合同内容、拟分包合同金额，其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（2）当供应商属于本部分说明中第（2）类情形，如未提供《拟分包情况说明》，或提供了《拟分包情况说明》但未填写分包承担主体名称、分包承担主体类型、拟分包合同内容、拟分包合同金额，其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（3）如本采购文件《供应商须知资料表》载明本项目分包承担主体应具备的相应资质条件，则供应商须在本表中列明分包承担主体的资质等级，并后附资质证书电子件，否则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p>
    <w:p>
      <w:pPr>
        <w:rPr>
          <w:rFonts w:asciiTheme="minorEastAsia" w:hAnsiTheme="minorEastAsia" w:eastAsiaTheme="minorEastAsia"/>
          <w:lang w:eastAsia="zh-CN"/>
        </w:rPr>
        <w:sectPr>
          <w:pgSz w:w="11910" w:h="16840"/>
          <w:pgMar w:top="1440" w:right="1797" w:bottom="1440" w:left="1797" w:header="879" w:footer="892" w:gutter="0"/>
          <w:cols w:space="720" w:num="1"/>
        </w:sectPr>
      </w:pP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分包意向协议（实质性格式）</w:t>
      </w:r>
    </w:p>
    <w:p>
      <w:pPr>
        <w:spacing w:line="360" w:lineRule="auto"/>
        <w:rPr>
          <w:sz w:val="24"/>
          <w:lang w:eastAsia="zh-CN"/>
        </w:rPr>
      </w:pPr>
      <w:r>
        <w:rPr>
          <w:sz w:val="24"/>
          <w:lang w:eastAsia="zh-CN"/>
        </w:rPr>
        <w:t>甲方（供应商）：</w:t>
      </w:r>
      <w:r>
        <w:rPr>
          <w:rFonts w:hint="eastAsia"/>
          <w:sz w:val="24"/>
          <w:u w:val="single"/>
          <w:lang w:eastAsia="zh-CN"/>
        </w:rPr>
        <w:t xml:space="preserve">             </w:t>
      </w:r>
    </w:p>
    <w:p>
      <w:pPr>
        <w:spacing w:line="360" w:lineRule="auto"/>
        <w:rPr>
          <w:sz w:val="24"/>
          <w:lang w:eastAsia="zh-CN"/>
        </w:rPr>
      </w:pPr>
      <w:r>
        <w:rPr>
          <w:sz w:val="24"/>
          <w:lang w:eastAsia="zh-CN"/>
        </w:rPr>
        <w:t>乙方（拟分包单位）</w:t>
      </w:r>
      <w:r>
        <w:rPr>
          <w:rFonts w:hint="eastAsia"/>
          <w:sz w:val="24"/>
          <w:u w:val="single"/>
          <w:lang w:eastAsia="zh-CN"/>
        </w:rPr>
        <w:t xml:space="preserve">             </w:t>
      </w:r>
    </w:p>
    <w:p>
      <w:pPr>
        <w:spacing w:line="360" w:lineRule="auto"/>
        <w:rPr>
          <w:sz w:val="24"/>
          <w:lang w:eastAsia="zh-CN"/>
        </w:rPr>
      </w:pPr>
      <w:r>
        <w:rPr>
          <w:sz w:val="24"/>
          <w:lang w:eastAsia="zh-CN"/>
        </w:rPr>
        <w:t>甲方承诺，一旦</w:t>
      </w:r>
      <w:r>
        <w:rPr>
          <w:rFonts w:hint="eastAsia"/>
          <w:sz w:val="24"/>
          <w:u w:val="single"/>
          <w:lang w:eastAsia="zh-CN"/>
        </w:rPr>
        <w:t xml:space="preserve">             </w:t>
      </w:r>
      <w:r>
        <w:rPr>
          <w:sz w:val="24"/>
          <w:lang w:eastAsia="zh-CN"/>
        </w:rPr>
        <w:t>（采购项目名称）（项目编号/包号为：</w:t>
      </w:r>
      <w:r>
        <w:rPr>
          <w:rFonts w:hint="eastAsia"/>
          <w:sz w:val="24"/>
          <w:u w:val="single"/>
          <w:lang w:eastAsia="zh-CN"/>
        </w:rPr>
        <w:t xml:space="preserve">       </w:t>
      </w:r>
      <w:r>
        <w:rPr>
          <w:sz w:val="24"/>
          <w:lang w:eastAsia="zh-CN"/>
        </w:rPr>
        <w:t>）采购项目中获得采购合同，将按照下述约定将合同项下部分内容分包给乙方：</w:t>
      </w:r>
    </w:p>
    <w:p>
      <w:pPr>
        <w:spacing w:line="360" w:lineRule="auto"/>
        <w:rPr>
          <w:sz w:val="24"/>
          <w:lang w:eastAsia="zh-CN"/>
        </w:rPr>
      </w:pPr>
      <w:r>
        <w:rPr>
          <w:sz w:val="24"/>
          <w:lang w:eastAsia="zh-CN"/>
        </w:rPr>
        <w:t>1.分包内容：</w:t>
      </w:r>
      <w:r>
        <w:rPr>
          <w:rFonts w:hint="eastAsia"/>
          <w:sz w:val="24"/>
          <w:u w:val="single"/>
          <w:lang w:eastAsia="zh-CN"/>
        </w:rPr>
        <w:t xml:space="preserve">       </w:t>
      </w:r>
      <w:r>
        <w:rPr>
          <w:sz w:val="24"/>
          <w:lang w:eastAsia="zh-CN"/>
        </w:rPr>
        <w:t>。</w:t>
      </w:r>
    </w:p>
    <w:p>
      <w:pPr>
        <w:spacing w:line="360" w:lineRule="auto"/>
        <w:rPr>
          <w:sz w:val="24"/>
          <w:lang w:eastAsia="zh-CN"/>
        </w:rPr>
      </w:pPr>
      <w:r>
        <w:rPr>
          <w:sz w:val="24"/>
          <w:lang w:eastAsia="zh-CN"/>
        </w:rPr>
        <w:t>2.分包金额：</w:t>
      </w:r>
      <w:r>
        <w:rPr>
          <w:rFonts w:hint="eastAsia"/>
          <w:sz w:val="24"/>
          <w:u w:val="single"/>
          <w:lang w:eastAsia="zh-CN"/>
        </w:rPr>
        <w:t xml:space="preserve">       </w:t>
      </w:r>
      <w:r>
        <w:rPr>
          <w:sz w:val="24"/>
          <w:lang w:eastAsia="zh-CN"/>
        </w:rPr>
        <w:t>，该金额占该采购包合同金额的比例为</w:t>
      </w:r>
      <w:r>
        <w:rPr>
          <w:rFonts w:hint="eastAsia"/>
          <w:sz w:val="24"/>
          <w:u w:val="single"/>
          <w:lang w:eastAsia="zh-CN"/>
        </w:rPr>
        <w:t xml:space="preserve">       </w:t>
      </w:r>
      <w:r>
        <w:rPr>
          <w:sz w:val="24"/>
          <w:lang w:eastAsia="zh-CN"/>
        </w:rPr>
        <w:t xml:space="preserve"> %。乙方承诺将在上述情况下与甲方签订分包合同。</w:t>
      </w:r>
    </w:p>
    <w:p>
      <w:pPr>
        <w:spacing w:line="360" w:lineRule="auto"/>
        <w:rPr>
          <w:sz w:val="24"/>
          <w:lang w:eastAsia="zh-CN"/>
        </w:rPr>
      </w:pPr>
      <w:r>
        <w:rPr>
          <w:sz w:val="24"/>
          <w:lang w:eastAsia="zh-CN"/>
        </w:rPr>
        <w:t>本协议自各方盖章之日起生效，如甲方未在该项目（采购包）成交，本协议自动终止。</w:t>
      </w:r>
    </w:p>
    <w:p>
      <w:pPr>
        <w:pStyle w:val="12"/>
        <w:rPr>
          <w:rFonts w:asciiTheme="minorEastAsia" w:hAnsiTheme="minorEastAsia" w:eastAsiaTheme="minorEastAsia"/>
          <w:sz w:val="20"/>
          <w:lang w:eastAsia="zh-CN"/>
        </w:rPr>
      </w:pPr>
    </w:p>
    <w:p>
      <w:pPr>
        <w:pStyle w:val="12"/>
        <w:tabs>
          <w:tab w:val="left" w:pos="2924"/>
          <w:tab w:val="left" w:pos="5391"/>
          <w:tab w:val="left" w:pos="7724"/>
        </w:tabs>
        <w:spacing w:before="194"/>
        <w:ind w:left="591"/>
        <w:rPr>
          <w:szCs w:val="22"/>
          <w:lang w:eastAsia="zh-CN"/>
        </w:rPr>
      </w:pPr>
      <w:r>
        <w:rPr>
          <w:szCs w:val="22"/>
          <w:lang w:eastAsia="zh-CN"/>
        </w:rPr>
        <w:t>甲方（盖章）：</w:t>
      </w:r>
      <w:r>
        <w:rPr>
          <w:rFonts w:hint="eastAsia"/>
          <w:u w:val="single"/>
          <w:lang w:eastAsia="zh-CN"/>
        </w:rPr>
        <w:t xml:space="preserve">           </w:t>
      </w:r>
      <w:r>
        <w:rPr>
          <w:rFonts w:hint="eastAsia"/>
          <w:lang w:eastAsia="zh-CN"/>
        </w:rPr>
        <w:t xml:space="preserve">   </w:t>
      </w:r>
      <w:r>
        <w:rPr>
          <w:rFonts w:hint="eastAsia"/>
          <w:szCs w:val="22"/>
          <w:lang w:eastAsia="zh-CN"/>
        </w:rPr>
        <w:t xml:space="preserve">          </w:t>
      </w:r>
      <w:r>
        <w:rPr>
          <w:szCs w:val="22"/>
          <w:lang w:eastAsia="zh-CN"/>
        </w:rPr>
        <w:t>乙方（盖章）：</w:t>
      </w:r>
      <w:r>
        <w:rPr>
          <w:rFonts w:hint="eastAsia"/>
          <w:u w:val="single"/>
          <w:lang w:eastAsia="zh-CN"/>
        </w:rPr>
        <w:t xml:space="preserve">        </w:t>
      </w:r>
    </w:p>
    <w:p>
      <w:pPr>
        <w:pStyle w:val="12"/>
        <w:rPr>
          <w:rFonts w:asciiTheme="minorEastAsia" w:hAnsiTheme="minorEastAsia" w:eastAsiaTheme="minorEastAsia"/>
          <w:sz w:val="20"/>
          <w:lang w:eastAsia="zh-CN"/>
        </w:rPr>
      </w:pPr>
    </w:p>
    <w:p>
      <w:pPr>
        <w:pStyle w:val="12"/>
        <w:spacing w:before="9"/>
        <w:rPr>
          <w:rFonts w:asciiTheme="minorEastAsia" w:hAnsiTheme="minorEastAsia" w:eastAsiaTheme="minorEastAsia"/>
          <w:sz w:val="26"/>
          <w:lang w:eastAsia="zh-CN"/>
        </w:rPr>
      </w:pPr>
    </w:p>
    <w:p>
      <w:pPr>
        <w:pStyle w:val="12"/>
        <w:tabs>
          <w:tab w:val="left" w:pos="6673"/>
          <w:tab w:val="left" w:pos="7633"/>
          <w:tab w:val="left" w:pos="8593"/>
        </w:tabs>
        <w:spacing w:before="33"/>
        <w:ind w:left="5233"/>
        <w:rPr>
          <w:rFonts w:asciiTheme="minorEastAsia" w:hAnsiTheme="minorEastAsia" w:eastAsiaTheme="minorEastAsia"/>
          <w:lang w:eastAsia="zh-CN"/>
        </w:rPr>
      </w:pPr>
      <w:r>
        <w:rPr>
          <w:lang w:eastAsia="zh-CN"/>
        </w:rPr>
        <w:t>日 期：</w:t>
      </w:r>
      <w:r>
        <w:rPr>
          <w:rFonts w:hint="eastAsia"/>
          <w:u w:val="single"/>
          <w:lang w:eastAsia="zh-CN"/>
        </w:rPr>
        <w:t xml:space="preserve">               </w:t>
      </w:r>
    </w:p>
    <w:p>
      <w:pPr>
        <w:pStyle w:val="12"/>
        <w:rPr>
          <w:rFonts w:asciiTheme="minorEastAsia" w:hAnsiTheme="minorEastAsia" w:eastAsiaTheme="minorEastAsia"/>
          <w:sz w:val="26"/>
          <w:lang w:eastAsia="zh-CN"/>
        </w:rPr>
      </w:pP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（1）当供应商属于本部分说明中第（2）类情形，必须提供，否则</w:t>
      </w:r>
      <w:r>
        <w:rPr>
          <w:b/>
          <w:sz w:val="24"/>
          <w:lang w:eastAsia="zh-CN"/>
        </w:rPr>
        <w:t>响应无效</w:t>
      </w:r>
      <w:r>
        <w:rPr>
          <w:sz w:val="24"/>
          <w:lang w:eastAsia="zh-CN"/>
        </w:rPr>
        <w:t>；其他情形无须提供；</w:t>
      </w:r>
    </w:p>
    <w:p>
      <w:pPr>
        <w:spacing w:line="360" w:lineRule="auto"/>
        <w:ind w:firstLine="424" w:firstLineChars="177"/>
        <w:rPr>
          <w:sz w:val="24"/>
          <w:lang w:eastAsia="zh-CN"/>
        </w:rPr>
      </w:pPr>
      <w:r>
        <w:rPr>
          <w:sz w:val="24"/>
          <w:lang w:eastAsia="zh-CN"/>
        </w:rPr>
        <w:t>（2）供应商须与所有拟分包单位分别签订《分包意向协议》，每单位签订一份，并在响应文件中提交全部协议原件的电子件，否则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pPr>
        <w:spacing w:line="338"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7"/>
        <w:rPr>
          <w:sz w:val="24"/>
          <w:lang w:eastAsia="zh-CN"/>
        </w:rPr>
      </w:pPr>
      <w:r>
        <w:rPr>
          <w:rFonts w:hint="eastAsia"/>
          <w:sz w:val="24"/>
          <w:lang w:eastAsia="zh-CN"/>
        </w:rPr>
        <w:t xml:space="preserve">2-2 </w:t>
      </w:r>
      <w:r>
        <w:rPr>
          <w:sz w:val="24"/>
          <w:lang w:eastAsia="zh-CN"/>
        </w:rPr>
        <w:t>其它落实政府采购政策的资格要求（如有）</w:t>
      </w:r>
    </w:p>
    <w:p>
      <w:pPr>
        <w:pStyle w:val="7"/>
        <w:rPr>
          <w:sz w:val="24"/>
          <w:lang w:eastAsia="zh-CN"/>
        </w:rPr>
        <w:sectPr>
          <w:pgSz w:w="11910" w:h="16840"/>
          <w:pgMar w:top="1440" w:right="1797" w:bottom="1440" w:left="1797" w:header="879" w:footer="892" w:gutter="0"/>
          <w:cols w:space="720" w:num="1"/>
        </w:sectPr>
      </w:pPr>
    </w:p>
    <w:p>
      <w:pPr>
        <w:pStyle w:val="6"/>
        <w:numPr>
          <w:ilvl w:val="0"/>
          <w:numId w:val="112"/>
        </w:numPr>
        <w:rPr>
          <w:i w:val="0"/>
          <w:lang w:eastAsia="zh-CN"/>
        </w:rPr>
      </w:pPr>
      <w:r>
        <w:rPr>
          <w:i w:val="0"/>
          <w:lang w:eastAsia="zh-CN"/>
        </w:rPr>
        <w:t>本项目的特定资格要求（如有）</w:t>
      </w:r>
    </w:p>
    <w:p>
      <w:pPr>
        <w:pStyle w:val="7"/>
        <w:spacing w:after="240" w:afterLines="100" w:line="377" w:lineRule="auto"/>
        <w:rPr>
          <w:sz w:val="24"/>
          <w:lang w:eastAsia="zh-CN"/>
        </w:rPr>
      </w:pPr>
      <w:r>
        <w:rPr>
          <w:rFonts w:hint="eastAsia"/>
          <w:sz w:val="24"/>
          <w:lang w:eastAsia="zh-CN"/>
        </w:rPr>
        <w:t xml:space="preserve">3-1 </w:t>
      </w:r>
      <w:r>
        <w:rPr>
          <w:sz w:val="24"/>
          <w:lang w:eastAsia="zh-CN"/>
        </w:rPr>
        <w:t>联合协议（如有）</w:t>
      </w:r>
    </w:p>
    <w:p>
      <w:pPr>
        <w:jc w:val="center"/>
        <w:rPr>
          <w:b/>
          <w:sz w:val="36"/>
          <w:lang w:eastAsia="zh-CN"/>
        </w:rPr>
      </w:pPr>
      <w:r>
        <w:rPr>
          <w:b/>
          <w:sz w:val="32"/>
          <w:lang w:eastAsia="zh-CN"/>
        </w:rPr>
        <w:t>联合协议</w:t>
      </w:r>
    </w:p>
    <w:p>
      <w:pPr>
        <w:pStyle w:val="12"/>
        <w:spacing w:before="11"/>
        <w:rPr>
          <w:rFonts w:asciiTheme="minorEastAsia" w:hAnsiTheme="minorEastAsia" w:eastAsiaTheme="minorEastAsia"/>
          <w:sz w:val="15"/>
          <w:lang w:eastAsia="zh-CN"/>
        </w:rPr>
      </w:pPr>
    </w:p>
    <w:p>
      <w:pPr>
        <w:pStyle w:val="12"/>
        <w:tabs>
          <w:tab w:val="left" w:pos="1722"/>
          <w:tab w:val="left" w:pos="2763"/>
          <w:tab w:val="left" w:pos="3735"/>
          <w:tab w:val="left" w:pos="4830"/>
          <w:tab w:val="left" w:pos="7234"/>
        </w:tabs>
        <w:spacing w:before="42" w:line="338" w:lineRule="auto"/>
        <w:ind w:left="121" w:right="111" w:firstLine="828"/>
        <w:rPr>
          <w:rFonts w:asciiTheme="minorEastAsia" w:hAnsiTheme="minorEastAsia" w:eastAsiaTheme="minorEastAsia"/>
          <w:lang w:eastAsia="zh-CN"/>
        </w:rPr>
      </w:pP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及</w:t>
      </w:r>
      <w:r>
        <w:rPr>
          <w:rFonts w:asciiTheme="minorEastAsia" w:hAnsiTheme="minorEastAsia" w:eastAsiaTheme="minorEastAsia"/>
          <w:spacing w:val="4"/>
          <w:w w:val="105"/>
          <w:u w:val="single"/>
          <w:lang w:eastAsia="zh-CN"/>
        </w:rPr>
        <w:t xml:space="preserve"> </w:t>
      </w:r>
      <w:r>
        <w:rPr>
          <w:rFonts w:asciiTheme="minorEastAsia" w:hAnsiTheme="minorEastAsia" w:eastAsiaTheme="minorEastAsia"/>
          <w:w w:val="105"/>
          <w:lang w:eastAsia="zh-CN"/>
        </w:rPr>
        <w:t>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（项目名称）”</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w w:val="105"/>
          <w:lang w:eastAsia="zh-CN"/>
        </w:rPr>
        <w:t>包采购项目的磋商事宜，经各方充分协商一致，达成如下协议：</w:t>
      </w:r>
    </w:p>
    <w:p>
      <w:pPr>
        <w:pStyle w:val="12"/>
        <w:tabs>
          <w:tab w:val="left" w:pos="2101"/>
          <w:tab w:val="left" w:pos="3745"/>
          <w:tab w:val="left" w:pos="4909"/>
        </w:tabs>
        <w:spacing w:before="55" w:line="355" w:lineRule="auto"/>
        <w:ind w:left="901" w:right="111" w:hanging="600"/>
        <w:rPr>
          <w:rFonts w:asciiTheme="minorEastAsia" w:hAnsiTheme="minorEastAsia" w:eastAsiaTheme="minorEastAsia"/>
          <w:lang w:eastAsia="zh-CN"/>
        </w:rPr>
      </w:pPr>
      <w:r>
        <w:rPr>
          <w:rFonts w:asciiTheme="minorEastAsia" w:hAnsiTheme="minorEastAsia" w:eastAsiaTheme="minorEastAsia"/>
          <w:lang w:eastAsia="zh-CN"/>
        </w:rPr>
        <w:t>一、由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13"/>
          <w:lang w:eastAsia="zh-CN"/>
        </w:rPr>
        <w:t>牵头，</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36"/>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lang w:eastAsia="zh-CN"/>
        </w:rPr>
        <w:t>参加，组成联合体共同进行采购项目的磋商工作。</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二、</w:t>
      </w:r>
      <w:r>
        <w:rPr>
          <w:lang w:eastAsia="zh-CN"/>
        </w:rPr>
        <w:t>联合体成交后，联合体各方共同与采购人签订合同，就采购合同约定的事项对采购人承担连带责任。</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三、联合体各方均同意由牵头人代表其他联合体成员单位按竞争性磋商文件要求出具《授权委托书》。</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四、牵头人为项目的总负责单位；组织各参加方进行项目实施工作。</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五、负责，具体工作范围、内容以响应文件及合同为准。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六、负责，具体工作范围、内容以响应文件及合同为准。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七、负责（如有），具体工作范围、内容以响应文件及合同为准。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八、本项目联合协议合同总额为 元，联合体各成员按照如下比例分摊（按联合体成员分别列明）：</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九、以联合体形式参加政府采购活动的，联合体各方不得再单独参加或者与其他供应商另外组成联合体参加同一合同项下的政府采购活动。</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十、其他约定（如有）：</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本协议自各方盖章后生效，采购合同履行完毕后自动失效。如未成交，本协议自动终止。</w:t>
      </w:r>
    </w:p>
    <w:p>
      <w:pPr>
        <w:spacing w:line="357"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12"/>
        <w:spacing w:before="5"/>
        <w:rPr>
          <w:rFonts w:asciiTheme="minorEastAsia" w:hAnsiTheme="minorEastAsia" w:eastAsiaTheme="minorEastAsia"/>
          <w:sz w:val="17"/>
          <w:lang w:eastAsia="zh-CN"/>
        </w:rPr>
      </w:pPr>
    </w:p>
    <w:p>
      <w:pPr>
        <w:pStyle w:val="12"/>
        <w:tabs>
          <w:tab w:val="left" w:pos="2084"/>
          <w:tab w:val="left" w:pos="3524"/>
        </w:tabs>
        <w:spacing w:before="34" w:line="355" w:lineRule="auto"/>
        <w:ind w:left="591"/>
        <w:rPr>
          <w:rFonts w:asciiTheme="minorEastAsia" w:hAnsiTheme="minorEastAsia" w:eastAsiaTheme="minorEastAsia"/>
          <w:u w:val="single"/>
          <w:lang w:eastAsia="zh-CN"/>
        </w:rPr>
      </w:pPr>
      <w:r>
        <w:rPr>
          <w:rFonts w:asciiTheme="minorEastAsia" w:hAnsiTheme="minorEastAsia" w:eastAsiaTheme="minorEastAsia"/>
          <w:lang w:eastAsia="zh-CN"/>
        </w:rPr>
        <w:t>联合体牵头人名称：</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2"/>
        <w:tabs>
          <w:tab w:val="left" w:pos="2084"/>
          <w:tab w:val="left" w:pos="3294"/>
        </w:tabs>
        <w:spacing w:before="34" w:line="355" w:lineRule="auto"/>
        <w:ind w:left="591" w:right="1330" w:firstLine="9"/>
        <w:rPr>
          <w:rFonts w:asciiTheme="minorEastAsia" w:hAnsiTheme="minorEastAsia" w:eastAsiaTheme="minorEastAsia"/>
          <w:lang w:eastAsia="zh-CN"/>
        </w:rPr>
      </w:pP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p>
    <w:p>
      <w:pPr>
        <w:pStyle w:val="12"/>
        <w:tabs>
          <w:tab w:val="left" w:pos="2084"/>
          <w:tab w:val="left" w:pos="3524"/>
        </w:tabs>
        <w:spacing w:before="34" w:line="355" w:lineRule="auto"/>
        <w:ind w:left="591"/>
        <w:rPr>
          <w:rFonts w:asciiTheme="minorEastAsia" w:hAnsiTheme="minorEastAsia" w:eastAsiaTheme="minorEastAsia"/>
          <w:lang w:eastAsia="zh-CN"/>
        </w:rPr>
      </w:pPr>
    </w:p>
    <w:p>
      <w:pPr>
        <w:pStyle w:val="12"/>
        <w:tabs>
          <w:tab w:val="left" w:pos="2094"/>
          <w:tab w:val="left" w:pos="3284"/>
        </w:tabs>
        <w:spacing w:before="186" w:line="357" w:lineRule="auto"/>
        <w:ind w:left="601" w:right="3354" w:hanging="10"/>
        <w:rPr>
          <w:rFonts w:asciiTheme="minorEastAsia" w:hAnsiTheme="minorEastAsia" w:eastAsiaTheme="minorEastAsia"/>
          <w:u w:val="single"/>
          <w:lang w:eastAsia="zh-CN"/>
        </w:rPr>
      </w:pP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2"/>
        <w:tabs>
          <w:tab w:val="left" w:pos="2094"/>
          <w:tab w:val="left" w:pos="3284"/>
        </w:tabs>
        <w:spacing w:before="186" w:line="357" w:lineRule="auto"/>
        <w:ind w:left="601" w:right="3354" w:hanging="10"/>
        <w:rPr>
          <w:rFonts w:asciiTheme="minorEastAsia" w:hAnsiTheme="minorEastAsia" w:eastAsiaTheme="minorEastAsia"/>
          <w:lang w:eastAsia="zh-CN"/>
        </w:rPr>
      </w:pPr>
      <w:r>
        <w:rPr>
          <w:rFonts w:asciiTheme="minorEastAsia" w:hAnsiTheme="minorEastAsia" w:eastAsiaTheme="minorEastAsia"/>
          <w:lang w:eastAsia="zh-CN"/>
        </w:rPr>
        <w:t>盖章：</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p>
    <w:p>
      <w:pPr>
        <w:pStyle w:val="12"/>
        <w:spacing w:before="11"/>
        <w:rPr>
          <w:rFonts w:asciiTheme="minorEastAsia" w:hAnsiTheme="minorEastAsia" w:eastAsiaTheme="minorEastAsia"/>
          <w:sz w:val="22"/>
          <w:lang w:eastAsia="zh-CN"/>
        </w:rPr>
      </w:pPr>
    </w:p>
    <w:p>
      <w:pPr>
        <w:pStyle w:val="12"/>
        <w:tabs>
          <w:tab w:val="left" w:pos="7033"/>
          <w:tab w:val="left" w:pos="7993"/>
          <w:tab w:val="left" w:pos="8953"/>
        </w:tabs>
        <w:spacing w:before="34"/>
        <w:jc w:val="right"/>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p>
      <w:pPr>
        <w:pStyle w:val="12"/>
        <w:spacing w:before="11"/>
        <w:rPr>
          <w:rFonts w:asciiTheme="minorEastAsia" w:hAnsiTheme="minorEastAsia" w:eastAsiaTheme="minorEastAsia"/>
          <w:sz w:val="29"/>
          <w:lang w:eastAsia="zh-CN"/>
        </w:rPr>
      </w:pP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注：</w:t>
      </w:r>
    </w:p>
    <w:p>
      <w:pPr>
        <w:pStyle w:val="12"/>
        <w:spacing w:before="38" w:line="357" w:lineRule="auto"/>
        <w:ind w:left="422" w:leftChars="106" w:right="110" w:hanging="189" w:hangingChars="79"/>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asciiTheme="minorEastAsia" w:hAnsiTheme="minorEastAsia" w:eastAsiaTheme="minorEastAsia"/>
          <w:lang w:eastAsia="zh-CN"/>
        </w:rPr>
        <w:t>如本项目（包）接受供应商以联合体形式参加采购活动，且供应商以联合体形式参与时，须提供《联合协议》，否则响应无效。</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联合体各方成员需在本协议上共同盖章。</w:t>
      </w:r>
    </w:p>
    <w:p>
      <w:pPr>
        <w:spacing w:line="889" w:lineRule="exact"/>
        <w:rPr>
          <w:rFonts w:asciiTheme="minorEastAsia" w:hAnsiTheme="minorEastAsia" w:eastAsiaTheme="minorEastAsia"/>
          <w:sz w:val="24"/>
          <w:lang w:eastAsia="zh-CN"/>
        </w:rPr>
        <w:sectPr>
          <w:type w:val="continuous"/>
          <w:pgSz w:w="11910" w:h="16840"/>
          <w:pgMar w:top="1440" w:right="1797" w:bottom="1440" w:left="1797" w:header="720" w:footer="720" w:gutter="0"/>
          <w:cols w:space="720" w:num="1"/>
        </w:sectPr>
      </w:pPr>
    </w:p>
    <w:p>
      <w:pPr>
        <w:pStyle w:val="7"/>
        <w:spacing w:after="240" w:afterLines="100" w:line="377" w:lineRule="auto"/>
        <w:rPr>
          <w:sz w:val="24"/>
          <w:lang w:eastAsia="zh-CN"/>
        </w:rPr>
      </w:pPr>
      <w:r>
        <w:rPr>
          <w:rFonts w:hint="eastAsia"/>
          <w:sz w:val="24"/>
          <w:lang w:eastAsia="zh-CN"/>
        </w:rPr>
        <w:t xml:space="preserve">3-2 </w:t>
      </w:r>
      <w:r>
        <w:rPr>
          <w:sz w:val="24"/>
          <w:lang w:eastAsia="zh-CN"/>
        </w:rPr>
        <w:t>其他特定资格要求</w:t>
      </w:r>
    </w:p>
    <w:p>
      <w:pPr>
        <w:widowControl/>
        <w:autoSpaceDE/>
        <w:autoSpaceDN/>
        <w:rPr>
          <w:lang w:eastAsia="zh-CN"/>
        </w:rPr>
      </w:pPr>
      <w:r>
        <w:rPr>
          <w:lang w:eastAsia="zh-CN"/>
        </w:rPr>
        <w:br w:type="page"/>
      </w:r>
    </w:p>
    <w:p>
      <w:pPr>
        <w:pStyle w:val="6"/>
        <w:numPr>
          <w:ilvl w:val="0"/>
          <w:numId w:val="112"/>
        </w:numPr>
        <w:rPr>
          <w:i w:val="0"/>
          <w:lang w:eastAsia="zh-CN"/>
        </w:rPr>
      </w:pPr>
      <w:r>
        <w:rPr>
          <w:i w:val="0"/>
          <w:lang w:eastAsia="zh-CN"/>
        </w:rPr>
        <w:t>磋商保证金凭证/交款单据电子件</w:t>
      </w:r>
      <w:r>
        <w:rPr>
          <w:rFonts w:hint="eastAsia"/>
          <w:color w:val="000000"/>
          <w:sz w:val="24"/>
          <w:szCs w:val="20"/>
          <w:lang w:eastAsia="zh-CN"/>
        </w:rPr>
        <w:t>（不适用时无须提交）</w:t>
      </w:r>
    </w:p>
    <w:p>
      <w:pPr>
        <w:widowControl/>
        <w:autoSpaceDE/>
        <w:autoSpaceDN/>
        <w:rPr>
          <w:lang w:eastAsia="zh-CN"/>
        </w:rPr>
      </w:pPr>
      <w:r>
        <w:rPr>
          <w:lang w:eastAsia="zh-CN"/>
        </w:rPr>
        <w:br w:type="page"/>
      </w:r>
    </w:p>
    <w:p>
      <w:pPr>
        <w:pStyle w:val="6"/>
        <w:numPr>
          <w:ilvl w:val="0"/>
          <w:numId w:val="112"/>
        </w:numPr>
        <w:rPr>
          <w:b/>
          <w:bCs/>
          <w:i w:val="0"/>
          <w:lang w:eastAsia="zh-CN"/>
        </w:rPr>
      </w:pPr>
      <w:r>
        <w:rPr>
          <w:b/>
          <w:bCs/>
          <w:i w:val="0"/>
          <w:lang w:eastAsia="zh-CN"/>
        </w:rPr>
        <w:t>响应书（实质性格式）</w:t>
      </w:r>
    </w:p>
    <w:p>
      <w:pPr>
        <w:pStyle w:val="12"/>
        <w:spacing w:before="5"/>
        <w:rPr>
          <w:rFonts w:asciiTheme="minorEastAsia" w:hAnsiTheme="minorEastAsia" w:eastAsiaTheme="minorEastAsia"/>
          <w:sz w:val="21"/>
          <w:lang w:eastAsia="zh-CN"/>
        </w:rPr>
      </w:pPr>
    </w:p>
    <w:p>
      <w:pPr>
        <w:jc w:val="center"/>
        <w:rPr>
          <w:b/>
          <w:sz w:val="32"/>
          <w:lang w:eastAsia="zh-CN"/>
        </w:rPr>
      </w:pPr>
      <w:r>
        <w:rPr>
          <w:b/>
          <w:sz w:val="32"/>
          <w:lang w:eastAsia="zh-CN"/>
        </w:rPr>
        <w:t>响应书</w:t>
      </w:r>
    </w:p>
    <w:p>
      <w:pPr>
        <w:pStyle w:val="12"/>
        <w:spacing w:before="1"/>
        <w:rPr>
          <w:rFonts w:asciiTheme="minorEastAsia" w:hAnsiTheme="minorEastAsia" w:eastAsiaTheme="minorEastAsia"/>
          <w:sz w:val="17"/>
          <w:lang w:eastAsia="zh-CN"/>
        </w:rPr>
      </w:pPr>
    </w:p>
    <w:p>
      <w:pPr>
        <w:pStyle w:val="12"/>
        <w:spacing w:before="38" w:line="357" w:lineRule="auto"/>
        <w:ind w:right="110"/>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2"/>
        <w:spacing w:before="38" w:line="357" w:lineRule="auto"/>
        <w:ind w:right="110" w:firstLine="424" w:firstLineChars="177"/>
        <w:rPr>
          <w:rFonts w:asciiTheme="minorEastAsia" w:hAnsiTheme="minorEastAsia" w:eastAsiaTheme="minorEastAsia"/>
          <w:lang w:eastAsia="zh-CN"/>
        </w:rPr>
      </w:pPr>
      <w:r>
        <w:rPr>
          <w:rFonts w:asciiTheme="minorEastAsia" w:hAnsiTheme="minorEastAsia" w:eastAsiaTheme="minorEastAsia"/>
          <w:lang w:eastAsia="zh-CN"/>
        </w:rPr>
        <w:t>我方参加你方就</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（项目名称，项目编号/包号）组织的采购活动，并对此项目进行磋商。</w:t>
      </w:r>
    </w:p>
    <w:p>
      <w:pPr>
        <w:pStyle w:val="41"/>
        <w:numPr>
          <w:ilvl w:val="0"/>
          <w:numId w:val="113"/>
        </w:numPr>
        <w:rPr>
          <w:sz w:val="24"/>
          <w:szCs w:val="24"/>
          <w:lang w:eastAsia="zh-CN"/>
        </w:rPr>
      </w:pPr>
      <w:r>
        <w:rPr>
          <w:sz w:val="24"/>
          <w:szCs w:val="24"/>
          <w:lang w:eastAsia="zh-CN"/>
        </w:rPr>
        <w:t>我方已详细审查全部竞争性磋商文件，自愿参与磋商并承诺如下：</w:t>
      </w:r>
    </w:p>
    <w:p>
      <w:pPr>
        <w:pStyle w:val="12"/>
        <w:tabs>
          <w:tab w:val="left" w:pos="6464"/>
        </w:tabs>
        <w:spacing w:before="133"/>
        <w:ind w:left="284"/>
        <w:rPr>
          <w:rFonts w:asciiTheme="minorEastAsia" w:hAnsiTheme="minorEastAsia" w:eastAsiaTheme="minorEastAsia"/>
          <w:lang w:eastAsia="zh-CN"/>
        </w:rPr>
      </w:pPr>
      <w:r>
        <w:rPr>
          <w:rFonts w:asciiTheme="minorEastAsia" w:hAnsiTheme="minorEastAsia" w:eastAsiaTheme="minorEastAsia"/>
          <w:lang w:eastAsia="zh-CN"/>
        </w:rPr>
        <w:t>（1）本响应有效期为自响应文件提交截止之日起</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个日历日。</w:t>
      </w:r>
    </w:p>
    <w:p>
      <w:pPr>
        <w:pStyle w:val="12"/>
        <w:spacing w:before="131" w:line="336"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w w:val="114"/>
          <w:lang w:eastAsia="zh-CN"/>
        </w:rPr>
        <w:t>2</w:t>
      </w:r>
      <w:r>
        <w:rPr>
          <w:rFonts w:asciiTheme="minorEastAsia" w:hAnsiTheme="minorEastAsia" w:eastAsiaTheme="minorEastAsia"/>
          <w:spacing w:val="2"/>
          <w:lang w:eastAsia="zh-CN"/>
        </w:rPr>
        <w:t>）除合同条款及采购需</w:t>
      </w:r>
      <w:r>
        <w:rPr>
          <w:rFonts w:asciiTheme="minorEastAsia" w:hAnsiTheme="minorEastAsia" w:eastAsiaTheme="minorEastAsia"/>
          <w:spacing w:val="4"/>
          <w:lang w:eastAsia="zh-CN"/>
        </w:rPr>
        <w:t>求</w:t>
      </w:r>
      <w:r>
        <w:rPr>
          <w:rFonts w:asciiTheme="minorEastAsia" w:hAnsiTheme="minorEastAsia" w:eastAsiaTheme="minorEastAsia"/>
          <w:spacing w:val="2"/>
          <w:lang w:eastAsia="zh-CN"/>
        </w:rPr>
        <w:t>偏离表列出的偏离外，我方响应竞争性磋商文</w:t>
      </w:r>
      <w:r>
        <w:rPr>
          <w:rFonts w:asciiTheme="minorEastAsia" w:hAnsiTheme="minorEastAsia" w:eastAsiaTheme="minorEastAsia"/>
          <w:spacing w:val="4"/>
          <w:lang w:eastAsia="zh-CN"/>
        </w:rPr>
        <w:t>件</w:t>
      </w:r>
      <w:r>
        <w:rPr>
          <w:rFonts w:asciiTheme="minorEastAsia" w:hAnsiTheme="minorEastAsia" w:eastAsiaTheme="minorEastAsia"/>
          <w:spacing w:val="2"/>
          <w:lang w:eastAsia="zh-CN"/>
        </w:rPr>
        <w:t>的</w:t>
      </w:r>
      <w:r>
        <w:rPr>
          <w:rFonts w:asciiTheme="minorEastAsia" w:hAnsiTheme="minorEastAsia" w:eastAsiaTheme="minorEastAsia"/>
          <w:lang w:eastAsia="zh-CN"/>
        </w:rPr>
        <w:t>全部要求。</w:t>
      </w:r>
    </w:p>
    <w:p>
      <w:pPr>
        <w:pStyle w:val="12"/>
        <w:spacing w:before="55"/>
        <w:ind w:left="284"/>
        <w:rPr>
          <w:rFonts w:asciiTheme="minorEastAsia" w:hAnsiTheme="minorEastAsia" w:eastAsiaTheme="minorEastAsia"/>
          <w:lang w:eastAsia="zh-CN"/>
        </w:rPr>
      </w:pPr>
      <w:r>
        <w:rPr>
          <w:rFonts w:asciiTheme="minorEastAsia" w:hAnsiTheme="minorEastAsia" w:eastAsiaTheme="minorEastAsia"/>
          <w:lang w:eastAsia="zh-CN"/>
        </w:rPr>
        <w:t>（3）我方已提供的全部文件资料是真实、准确的，并对此承担一切法律后果。</w:t>
      </w:r>
    </w:p>
    <w:p>
      <w:pPr>
        <w:pStyle w:val="12"/>
        <w:spacing w:before="133" w:line="333"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spacing w:val="3"/>
          <w:w w:val="114"/>
          <w:lang w:eastAsia="zh-CN"/>
        </w:rPr>
        <w:t>4</w:t>
      </w:r>
      <w:r>
        <w:rPr>
          <w:rFonts w:asciiTheme="minorEastAsia" w:hAnsiTheme="minorEastAsia" w:eastAsiaTheme="minorEastAsia"/>
          <w:spacing w:val="2"/>
          <w:lang w:eastAsia="zh-CN"/>
        </w:rPr>
        <w:t>）如</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方成交，</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方将在法律</w:t>
      </w:r>
      <w:r>
        <w:rPr>
          <w:rFonts w:asciiTheme="minorEastAsia" w:hAnsiTheme="minorEastAsia" w:eastAsiaTheme="minorEastAsia"/>
          <w:spacing w:val="4"/>
          <w:lang w:eastAsia="zh-CN"/>
        </w:rPr>
        <w:t>规</w:t>
      </w:r>
      <w:r>
        <w:rPr>
          <w:rFonts w:asciiTheme="minorEastAsia" w:hAnsiTheme="minorEastAsia" w:eastAsiaTheme="minorEastAsia"/>
          <w:spacing w:val="2"/>
          <w:lang w:eastAsia="zh-CN"/>
        </w:rPr>
        <w:t>定的期限</w:t>
      </w:r>
      <w:r>
        <w:rPr>
          <w:rFonts w:asciiTheme="minorEastAsia" w:hAnsiTheme="minorEastAsia" w:eastAsiaTheme="minorEastAsia"/>
          <w:spacing w:val="4"/>
          <w:lang w:eastAsia="zh-CN"/>
        </w:rPr>
        <w:t>内</w:t>
      </w:r>
      <w:r>
        <w:rPr>
          <w:rFonts w:asciiTheme="minorEastAsia" w:hAnsiTheme="minorEastAsia" w:eastAsiaTheme="minorEastAsia"/>
          <w:spacing w:val="2"/>
          <w:lang w:eastAsia="zh-CN"/>
        </w:rPr>
        <w:t>与你方签</w:t>
      </w:r>
      <w:r>
        <w:rPr>
          <w:rFonts w:asciiTheme="minorEastAsia" w:hAnsiTheme="minorEastAsia" w:eastAsiaTheme="minorEastAsia"/>
          <w:spacing w:val="4"/>
          <w:lang w:eastAsia="zh-CN"/>
        </w:rPr>
        <w:t>订</w:t>
      </w:r>
      <w:r>
        <w:rPr>
          <w:rFonts w:asciiTheme="minorEastAsia" w:hAnsiTheme="minorEastAsia" w:eastAsiaTheme="minorEastAsia"/>
          <w:spacing w:val="2"/>
          <w:lang w:eastAsia="zh-CN"/>
        </w:rPr>
        <w:t>合同，按</w:t>
      </w:r>
      <w:r>
        <w:rPr>
          <w:rFonts w:asciiTheme="minorEastAsia" w:hAnsiTheme="minorEastAsia" w:eastAsiaTheme="minorEastAsia"/>
          <w:spacing w:val="4"/>
          <w:lang w:eastAsia="zh-CN"/>
        </w:rPr>
        <w:t>照</w:t>
      </w:r>
      <w:r>
        <w:rPr>
          <w:rFonts w:asciiTheme="minorEastAsia" w:hAnsiTheme="minorEastAsia" w:eastAsiaTheme="minorEastAsia"/>
          <w:spacing w:val="2"/>
          <w:lang w:eastAsia="zh-CN"/>
        </w:rPr>
        <w:t>竞争性磋</w:t>
      </w:r>
      <w:r>
        <w:rPr>
          <w:rFonts w:asciiTheme="minorEastAsia" w:hAnsiTheme="minorEastAsia" w:eastAsiaTheme="minorEastAsia"/>
          <w:lang w:eastAsia="zh-CN"/>
        </w:rPr>
        <w:t>商文件要求提交履约保证金，并在合同约定的期限内完成合同规定的全部义务。</w:t>
      </w:r>
    </w:p>
    <w:p>
      <w:pPr>
        <w:pStyle w:val="41"/>
        <w:numPr>
          <w:ilvl w:val="0"/>
          <w:numId w:val="113"/>
        </w:numPr>
        <w:rPr>
          <w:sz w:val="24"/>
          <w:szCs w:val="24"/>
          <w:lang w:eastAsia="zh-CN"/>
        </w:rPr>
      </w:pPr>
      <w:r>
        <w:rPr>
          <w:sz w:val="24"/>
          <w:szCs w:val="24"/>
          <w:lang w:eastAsia="zh-CN"/>
        </w:rPr>
        <w:t>其他补充条款（如有）：</w:t>
      </w:r>
      <w:r>
        <w:rPr>
          <w:rFonts w:hint="eastAsia"/>
          <w:sz w:val="24"/>
          <w:szCs w:val="24"/>
          <w:u w:val="single"/>
          <w:lang w:eastAsia="zh-CN"/>
        </w:rPr>
        <w:t xml:space="preserve">         </w:t>
      </w:r>
      <w:r>
        <w:rPr>
          <w:sz w:val="24"/>
          <w:szCs w:val="24"/>
          <w:lang w:eastAsia="zh-CN"/>
        </w:rPr>
        <w:t>。</w:t>
      </w:r>
    </w:p>
    <w:p>
      <w:pPr>
        <w:pStyle w:val="12"/>
        <w:spacing w:before="131"/>
        <w:rPr>
          <w:rFonts w:asciiTheme="minorEastAsia" w:hAnsiTheme="minorEastAsia" w:eastAsiaTheme="minorEastAsia"/>
          <w:lang w:eastAsia="zh-CN"/>
        </w:rPr>
      </w:pPr>
      <w:r>
        <w:rPr>
          <w:rFonts w:asciiTheme="minorEastAsia" w:hAnsiTheme="minorEastAsia" w:eastAsiaTheme="minorEastAsia"/>
          <w:lang w:eastAsia="zh-CN"/>
        </w:rPr>
        <w:t>与本磋商有关的一切正式往来信函请寄：</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4741"/>
          <w:tab w:val="left" w:pos="5341"/>
          <w:tab w:val="left" w:pos="8634"/>
        </w:tabs>
        <w:spacing w:before="1"/>
        <w:ind w:left="541"/>
        <w:rPr>
          <w:rFonts w:asciiTheme="minorEastAsia" w:hAnsiTheme="minorEastAsia" w:eastAsiaTheme="minorEastAsia"/>
          <w:lang w:eastAsia="zh-CN"/>
        </w:rPr>
      </w:pPr>
      <w:r>
        <w:rPr>
          <w:rFonts w:asciiTheme="minorEastAsia" w:hAnsiTheme="minorEastAsia" w:eastAsiaTheme="minorEastAsia"/>
          <w:lang w:eastAsia="zh-CN"/>
        </w:rPr>
        <w:t>地址</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传真</w:t>
      </w:r>
      <w:r>
        <w:rPr>
          <w:rFonts w:hint="eastAsia"/>
          <w:u w:val="single"/>
          <w:lang w:eastAsia="zh-CN"/>
        </w:rPr>
        <w:t xml:space="preserve">                    </w:t>
      </w:r>
    </w:p>
    <w:p>
      <w:pPr>
        <w:pStyle w:val="12"/>
        <w:tabs>
          <w:tab w:val="left" w:pos="4741"/>
          <w:tab w:val="left" w:pos="8754"/>
        </w:tabs>
        <w:spacing w:before="154"/>
        <w:ind w:left="541"/>
        <w:rPr>
          <w:rFonts w:asciiTheme="minorEastAsia" w:hAnsiTheme="minorEastAsia" w:eastAsiaTheme="minorEastAsia"/>
          <w:lang w:eastAsia="zh-CN"/>
        </w:rPr>
      </w:pPr>
      <w:r>
        <w:rPr>
          <w:rFonts w:asciiTheme="minorEastAsia" w:hAnsiTheme="minorEastAsia" w:eastAsiaTheme="minorEastAsia"/>
          <w:lang w:eastAsia="zh-CN"/>
        </w:rPr>
        <w:t>电话</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电子函件</w:t>
      </w:r>
      <w:r>
        <w:rPr>
          <w:rFonts w:hint="eastAsia"/>
          <w:u w:val="single"/>
          <w:lang w:eastAsia="zh-CN"/>
        </w:rPr>
        <w:t xml:space="preserve">                </w:t>
      </w: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spacing w:before="10"/>
        <w:rPr>
          <w:rFonts w:asciiTheme="minorEastAsia" w:hAnsiTheme="minorEastAsia" w:eastAsiaTheme="minorEastAsia"/>
          <w:sz w:val="20"/>
          <w:lang w:eastAsia="zh-CN"/>
        </w:rPr>
      </w:pPr>
    </w:p>
    <w:p>
      <w:pPr>
        <w:pStyle w:val="12"/>
        <w:tabs>
          <w:tab w:val="left" w:pos="1681"/>
          <w:tab w:val="left" w:pos="2401"/>
          <w:tab w:val="left" w:pos="3121"/>
          <w:tab w:val="left" w:pos="4014"/>
        </w:tabs>
        <w:spacing w:before="45" w:line="376" w:lineRule="auto"/>
        <w:ind w:left="481" w:right="945"/>
        <w:rPr>
          <w:u w:val="single"/>
          <w:lang w:eastAsia="zh-CN"/>
        </w:rPr>
      </w:pPr>
      <w:r>
        <w:rPr>
          <w:lang w:eastAsia="zh-CN"/>
        </w:rPr>
        <w:t>供应商名称（加盖公章）：</w:t>
      </w:r>
      <w:r>
        <w:rPr>
          <w:rFonts w:hint="eastAsia"/>
          <w:u w:val="single"/>
          <w:lang w:eastAsia="zh-CN"/>
        </w:rPr>
        <w:t xml:space="preserve">                    </w:t>
      </w:r>
    </w:p>
    <w:p>
      <w:pPr>
        <w:pStyle w:val="12"/>
        <w:tabs>
          <w:tab w:val="left" w:pos="1681"/>
          <w:tab w:val="left" w:pos="2401"/>
          <w:tab w:val="left" w:pos="3121"/>
          <w:tab w:val="left" w:pos="4014"/>
        </w:tabs>
        <w:spacing w:before="45" w:line="376" w:lineRule="auto"/>
        <w:ind w:left="481" w:right="945"/>
        <w:rPr>
          <w:rFonts w:asciiTheme="minorEastAsia" w:hAnsiTheme="minorEastAsia" w:eastAsiaTheme="minorEastAsia"/>
          <w:lang w:eastAsia="zh-CN"/>
        </w:rPr>
      </w:pPr>
      <w:r>
        <w:rPr>
          <w:rFonts w:asciiTheme="minorEastAsia" w:hAnsiTheme="minorEastAsia" w:eastAsiaTheme="minorEastAsia"/>
          <w:lang w:eastAsia="zh-CN"/>
        </w:rPr>
        <w:t>日期：</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6"/>
        <w:numPr>
          <w:ilvl w:val="0"/>
          <w:numId w:val="112"/>
        </w:numPr>
        <w:rPr>
          <w:b/>
          <w:bCs/>
          <w:i w:val="0"/>
          <w:lang w:eastAsia="zh-CN"/>
        </w:rPr>
      </w:pPr>
      <w:r>
        <w:rPr>
          <w:b/>
          <w:bCs/>
          <w:i w:val="0"/>
          <w:lang w:eastAsia="zh-CN"/>
        </w:rPr>
        <w:t>授权委托书（实质性格式）</w:t>
      </w:r>
    </w:p>
    <w:p>
      <w:pPr>
        <w:jc w:val="center"/>
        <w:rPr>
          <w:b/>
          <w:sz w:val="32"/>
          <w:lang w:eastAsia="zh-CN"/>
        </w:rPr>
      </w:pPr>
      <w:r>
        <w:rPr>
          <w:b/>
          <w:sz w:val="32"/>
          <w:lang w:eastAsia="zh-CN"/>
        </w:rPr>
        <w:t>授权委托书</w:t>
      </w:r>
    </w:p>
    <w:p>
      <w:pPr>
        <w:spacing w:line="360" w:lineRule="auto"/>
        <w:ind w:firstLine="440" w:firstLineChars="200"/>
        <w:rPr>
          <w:lang w:eastAsia="zh-CN"/>
        </w:rPr>
      </w:pPr>
      <w:r>
        <w:rPr>
          <w:lang w:eastAsia="zh-CN"/>
        </w:rPr>
        <w:t>本人</w:t>
      </w:r>
      <w:r>
        <w:rPr>
          <w:rFonts w:hint="eastAsia"/>
          <w:u w:val="single"/>
          <w:lang w:eastAsia="zh-CN"/>
        </w:rPr>
        <w:t xml:space="preserve">      </w:t>
      </w:r>
      <w:r>
        <w:rPr>
          <w:lang w:eastAsia="zh-CN"/>
        </w:rPr>
        <w:t>（姓名）系</w:t>
      </w:r>
      <w:r>
        <w:rPr>
          <w:rFonts w:hint="eastAsia"/>
          <w:u w:val="single"/>
          <w:lang w:eastAsia="zh-CN"/>
        </w:rPr>
        <w:t xml:space="preserve">     </w:t>
      </w:r>
      <w:r>
        <w:rPr>
          <w:lang w:eastAsia="zh-CN"/>
        </w:rPr>
        <w:t>（供应商名称）的法定代表人（单位负责人），现委托</w:t>
      </w:r>
      <w:r>
        <w:rPr>
          <w:rFonts w:hint="eastAsia"/>
          <w:u w:val="single"/>
          <w:lang w:eastAsia="zh-CN"/>
        </w:rPr>
        <w:t xml:space="preserve">     </w:t>
      </w:r>
      <w:r>
        <w:rPr>
          <w:lang w:eastAsia="zh-CN"/>
        </w:rPr>
        <w:t>（姓名）为我方代理人。代理人根据授权，以我方名义签署、澄清确认、提交、撤回、修改</w:t>
      </w:r>
      <w:r>
        <w:rPr>
          <w:rFonts w:hint="eastAsia"/>
          <w:u w:val="single"/>
          <w:lang w:eastAsia="zh-CN"/>
        </w:rPr>
        <w:t xml:space="preserve">     </w:t>
      </w:r>
      <w:r>
        <w:rPr>
          <w:lang w:eastAsia="zh-CN"/>
        </w:rPr>
        <w:t>（项目名称）响应文件和处理有关事宜，其法律后果由我方承担。</w:t>
      </w:r>
    </w:p>
    <w:p>
      <w:pPr>
        <w:spacing w:line="360" w:lineRule="auto"/>
        <w:ind w:firstLine="440" w:firstLineChars="200"/>
        <w:rPr>
          <w:lang w:eastAsia="zh-CN"/>
        </w:rPr>
      </w:pPr>
      <w:r>
        <w:rPr>
          <w:lang w:eastAsia="zh-CN"/>
        </w:rPr>
        <w:t>委托期限：自本授权委托书签署之日起至响应有效期届满之日止。</w:t>
      </w:r>
    </w:p>
    <w:p>
      <w:pPr>
        <w:spacing w:line="360" w:lineRule="auto"/>
        <w:ind w:firstLine="440" w:firstLineChars="200"/>
        <w:rPr>
          <w:lang w:eastAsia="zh-CN"/>
        </w:rPr>
      </w:pPr>
      <w:r>
        <w:rPr>
          <w:lang w:eastAsia="zh-CN"/>
        </w:rPr>
        <w:t>代理人无转委托权。</w:t>
      </w:r>
    </w:p>
    <w:p>
      <w:pPr>
        <w:pStyle w:val="12"/>
        <w:rPr>
          <w:rFonts w:asciiTheme="minorEastAsia" w:hAnsiTheme="minorEastAsia" w:eastAsiaTheme="minorEastAsia"/>
          <w:sz w:val="35"/>
          <w:lang w:eastAsia="zh-CN"/>
        </w:rPr>
      </w:pPr>
    </w:p>
    <w:p>
      <w:pPr>
        <w:spacing w:line="360" w:lineRule="auto"/>
        <w:ind w:firstLine="440" w:firstLineChars="200"/>
        <w:rPr>
          <w:lang w:eastAsia="zh-CN"/>
        </w:rPr>
      </w:pPr>
      <w:r>
        <w:rPr>
          <w:lang w:eastAsia="zh-CN"/>
        </w:rPr>
        <w:t>供应商名称（加盖公章）：</w:t>
      </w:r>
      <w:r>
        <w:rPr>
          <w:rFonts w:hint="eastAsia"/>
          <w:u w:val="single"/>
          <w:lang w:eastAsia="zh-CN"/>
        </w:rPr>
        <w:t xml:space="preserve">                </w:t>
      </w:r>
    </w:p>
    <w:p>
      <w:pPr>
        <w:spacing w:line="360" w:lineRule="auto"/>
        <w:ind w:firstLine="440" w:firstLineChars="200"/>
        <w:rPr>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委托代理人（签字或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pPr>
        <w:pStyle w:val="12"/>
        <w:spacing w:before="231"/>
        <w:ind w:left="221"/>
        <w:rPr>
          <w:rFonts w:asciiTheme="minorEastAsia" w:hAnsiTheme="minorEastAsia" w:eastAsiaTheme="minorEastAsia"/>
          <w:lang w:eastAsia="zh-CN"/>
        </w:rPr>
      </w:pPr>
      <w:r>
        <w:rPr>
          <w:sz w:val="22"/>
          <w:szCs w:val="22"/>
          <w:lang w:eastAsia="zh-CN"/>
        </w:rPr>
        <w:t>附：</w:t>
      </w:r>
      <w:r>
        <w:rPr>
          <w:rFonts w:hint="eastAsia"/>
          <w:sz w:val="22"/>
          <w:szCs w:val="22"/>
          <w:lang w:eastAsia="zh-CN"/>
        </w:rPr>
        <w:t>法定代表人（单位负责人）及委托代理人身份证明文件电子件：</w:t>
      </w:r>
    </w:p>
    <w:p>
      <w:pPr>
        <w:pStyle w:val="12"/>
        <w:spacing w:before="3"/>
        <w:rPr>
          <w:rFonts w:asciiTheme="minorEastAsia" w:hAnsiTheme="minorEastAsia" w:eastAsiaTheme="minorEastAsia"/>
          <w:sz w:val="11"/>
          <w:lang w:eastAsia="zh-CN"/>
        </w:rPr>
      </w:pPr>
      <w:r>
        <w:rPr>
          <w:rFonts w:asciiTheme="minorEastAsia" w:hAnsiTheme="minorEastAsia" w:eastAsiaTheme="minorEastAsia"/>
          <w:lang w:eastAsia="zh-CN"/>
        </w:rPr>
        <mc:AlternateContent>
          <mc:Choice Requires="wpg">
            <w:drawing>
              <wp:anchor distT="0" distB="0" distL="0" distR="0" simplePos="0" relativeHeight="251667456" behindDoc="0" locked="0" layoutInCell="1" allowOverlap="1">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wpg:cNvGrpSpPr/>
                      <wpg:grpSpPr>
                        <a:xfrm>
                          <a:off x="0" y="0"/>
                          <a:ext cx="5280660" cy="1507490"/>
                          <a:chOff x="1583" y="186"/>
                          <a:chExt cx="8316" cy="2374"/>
                        </a:xfrm>
                      </wpg:grpSpPr>
                      <wps:wsp>
                        <wps:cNvPr id="33" name="Line 11"/>
                        <wps:cNvCnPr/>
                        <wps:spPr bwMode="auto">
                          <a:xfrm>
                            <a:off x="1588" y="196"/>
                            <a:ext cx="8306" cy="0"/>
                          </a:xfrm>
                          <a:prstGeom prst="line">
                            <a:avLst/>
                          </a:prstGeom>
                          <a:noFill/>
                          <a:ln w="6096">
                            <a:solidFill>
                              <a:srgbClr val="000000"/>
                            </a:solidFill>
                            <a:prstDash val="solid"/>
                            <a:round/>
                          </a:ln>
                        </wps:spPr>
                        <wps:bodyPr/>
                      </wps:wsp>
                      <wps:wsp>
                        <wps:cNvPr id="34" name="Line 10"/>
                        <wps:cNvCnPr/>
                        <wps:spPr bwMode="auto">
                          <a:xfrm>
                            <a:off x="1588" y="2555"/>
                            <a:ext cx="8306" cy="0"/>
                          </a:xfrm>
                          <a:prstGeom prst="line">
                            <a:avLst/>
                          </a:prstGeom>
                          <a:noFill/>
                          <a:ln w="6096">
                            <a:solidFill>
                              <a:srgbClr val="000000"/>
                            </a:solidFill>
                            <a:prstDash val="solid"/>
                            <a:round/>
                          </a:ln>
                        </wps:spPr>
                        <wps:bodyPr/>
                      </wps:wsp>
                      <wps:wsp>
                        <wps:cNvPr id="35" name="Line 9"/>
                        <wps:cNvCnPr/>
                        <wps:spPr bwMode="auto">
                          <a:xfrm>
                            <a:off x="1593" y="191"/>
                            <a:ext cx="0" cy="2359"/>
                          </a:xfrm>
                          <a:prstGeom prst="line">
                            <a:avLst/>
                          </a:prstGeom>
                          <a:noFill/>
                          <a:ln w="6096">
                            <a:solidFill>
                              <a:srgbClr val="000000"/>
                            </a:solidFill>
                            <a:prstDash val="solid"/>
                            <a:round/>
                          </a:ln>
                        </wps:spPr>
                        <wps:bodyPr/>
                      </wps:wsp>
                      <wps:wsp>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id="Group 7" o:spid="_x0000_s1026" o:spt="203" style="position:absolute;left:0pt;margin-left:79.15pt;margin-top:9.3pt;height:118.7pt;width:415.8pt;mso-position-horizontal-relative:page;mso-wrap-distance-bottom:0pt;mso-wrap-distance-top:0pt;z-index:251667456;mso-width-relative:page;mso-height-relative:page;" coordorigin="1583,186" coordsize="8316,2374" o:gfxdata="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ml6Z2gAAAAoBAAAPAAAAAAAAAAEAIAAAACIAAABkcnMvZG93bnJl&#10;di54bWxQSwECFAAUAAAACACHTuJA6GTWmm0CAABvCQAADgAAAAAAAAABACAAAAApAQAAZHJzL2Uy&#10;b0RvYy54bWxQSwUGAAAAAAYABgBZAQAACAYAAAAA&#10;">
                <o:lock v:ext="edit" aspectratio="f"/>
                <v:line id="Line 11" o:spid="_x0000_s1026" o:spt="20" style="position:absolute;left:1588;top:196;height:0;width:8306;"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0" o:spid="_x0000_s1026" o:spt="20" style="position:absolute;left:1588;top:2555;height:0;width:8306;"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9" o:spid="_x0000_s1026" o:spt="20" style="position:absolute;left:1593;top:191;height:2359;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8" o:spid="_x0000_s1026" o:spt="20" style="position:absolute;left:9889;top:191;height:235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12"/>
        <w:spacing w:before="231"/>
        <w:ind w:left="221"/>
        <w:rPr>
          <w:sz w:val="22"/>
          <w:szCs w:val="22"/>
          <w:lang w:eastAsia="zh-CN"/>
        </w:rPr>
      </w:pPr>
      <w:r>
        <w:rPr>
          <w:sz w:val="22"/>
          <w:szCs w:val="22"/>
          <w:lang w:eastAsia="zh-CN"/>
        </w:rPr>
        <w:t>说明：</w:t>
      </w:r>
    </w:p>
    <w:p>
      <w:pPr>
        <w:pStyle w:val="12"/>
        <w:spacing w:before="231" w:line="360" w:lineRule="auto"/>
        <w:ind w:left="221"/>
        <w:rPr>
          <w:sz w:val="22"/>
          <w:szCs w:val="22"/>
          <w:lang w:eastAsia="zh-CN"/>
        </w:rPr>
      </w:pPr>
      <w:r>
        <w:rPr>
          <w:sz w:val="22"/>
          <w:szCs w:val="22"/>
          <w:lang w:eastAsia="zh-CN"/>
        </w:rPr>
        <w:t>1.若供应商为事业单位或其他组织或分支机构，则法定代表人（单位负责人）处的签署人可为单位负责人。</w:t>
      </w:r>
    </w:p>
    <w:p>
      <w:pPr>
        <w:pStyle w:val="12"/>
        <w:spacing w:before="231" w:line="360" w:lineRule="auto"/>
        <w:ind w:left="221"/>
        <w:rPr>
          <w:sz w:val="22"/>
          <w:szCs w:val="22"/>
          <w:lang w:eastAsia="zh-CN"/>
        </w:rPr>
      </w:pPr>
      <w:r>
        <w:rPr>
          <w:sz w:val="22"/>
          <w:szCs w:val="22"/>
          <w:lang w:eastAsia="zh-CN"/>
        </w:rPr>
        <w:t>2.若响应文件中签字之处均为法定代表人（单位负责人）本人签署，则可不提供本《授权委托书》，但须提供《法定代表人（单位负责人）身份证明》；否则，不需要提供《法定代表人（单位负责人）身份证明》。</w:t>
      </w:r>
    </w:p>
    <w:p>
      <w:pPr>
        <w:pStyle w:val="12"/>
        <w:spacing w:before="231" w:line="360" w:lineRule="auto"/>
        <w:ind w:left="221"/>
        <w:rPr>
          <w:sz w:val="22"/>
          <w:szCs w:val="22"/>
          <w:lang w:eastAsia="zh-CN"/>
        </w:rPr>
      </w:pPr>
      <w:r>
        <w:rPr>
          <w:sz w:val="22"/>
          <w:szCs w:val="22"/>
          <w:lang w:eastAsia="zh-CN"/>
        </w:rPr>
        <w:t>3.供应商为自然人的情形，可不提供本《授权委托书》。</w:t>
      </w:r>
    </w:p>
    <w:p>
      <w:pPr>
        <w:pStyle w:val="12"/>
        <w:spacing w:before="231" w:line="360" w:lineRule="auto"/>
        <w:ind w:left="221"/>
        <w:rPr>
          <w:rFonts w:asciiTheme="minorEastAsia" w:hAnsiTheme="minorEastAsia" w:eastAsiaTheme="minorEastAsia"/>
          <w:sz w:val="19"/>
          <w:lang w:eastAsia="zh-CN"/>
        </w:rPr>
      </w:pPr>
      <w:r>
        <w:rPr>
          <w:sz w:val="22"/>
          <w:szCs w:val="22"/>
          <w:lang w:eastAsia="zh-CN"/>
        </w:rPr>
        <w:t>4.供应商应随本《授权委托书》同时提供法定代表人（单位负责人）及委托代理人的有效的身份证、护照等身份证明文件电子件。提供身份证的，应同时提供身份证双面电子件。</w:t>
      </w:r>
      <w:r>
        <w:rPr>
          <w:rFonts w:asciiTheme="minorEastAsia" w:hAnsiTheme="minorEastAsia" w:eastAsiaTheme="minorEastAsia"/>
          <w:sz w:val="19"/>
          <w:lang w:eastAsia="zh-CN"/>
        </w:rPr>
        <w:br w:type="page"/>
      </w:r>
    </w:p>
    <w:p>
      <w:pPr>
        <w:jc w:val="center"/>
        <w:rPr>
          <w:b/>
          <w:sz w:val="32"/>
          <w:lang w:eastAsia="zh-CN"/>
        </w:rPr>
      </w:pPr>
      <w:r>
        <w:rPr>
          <w:b/>
          <w:sz w:val="32"/>
          <w:lang w:eastAsia="zh-CN"/>
        </w:rPr>
        <w:t>法定代表人（单位负责人）身份证明</w:t>
      </w: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致：</w:t>
      </w:r>
      <w:r>
        <w:rPr>
          <w:rFonts w:hint="eastAsia"/>
          <w:sz w:val="24"/>
          <w:u w:val="single"/>
          <w:lang w:eastAsia="zh-CN"/>
        </w:rPr>
        <w:t xml:space="preserve">               </w:t>
      </w:r>
      <w:r>
        <w:rPr>
          <w:sz w:val="24"/>
          <w:lang w:eastAsia="zh-CN"/>
        </w:rPr>
        <w:t>（采购人或采购代理机构）</w:t>
      </w:r>
    </w:p>
    <w:p>
      <w:pPr>
        <w:spacing w:line="360" w:lineRule="auto"/>
        <w:ind w:firstLine="480" w:firstLineChars="200"/>
        <w:rPr>
          <w:sz w:val="24"/>
          <w:lang w:eastAsia="zh-CN"/>
        </w:rPr>
      </w:pPr>
      <w:r>
        <w:rPr>
          <w:sz w:val="24"/>
          <w:lang w:eastAsia="zh-CN"/>
        </w:rPr>
        <w:t>兹证明，</w:t>
      </w:r>
    </w:p>
    <w:p>
      <w:pPr>
        <w:spacing w:line="360" w:lineRule="auto"/>
        <w:ind w:firstLine="480" w:firstLineChars="200"/>
        <w:rPr>
          <w:sz w:val="24"/>
          <w:lang w:eastAsia="zh-CN"/>
        </w:rPr>
      </w:pPr>
      <w:r>
        <w:rPr>
          <w:sz w:val="24"/>
          <w:lang w:eastAsia="zh-CN"/>
        </w:rPr>
        <w:t>姓名：</w:t>
      </w:r>
      <w:r>
        <w:rPr>
          <w:rFonts w:hint="eastAsia"/>
          <w:sz w:val="24"/>
          <w:u w:val="single"/>
          <w:lang w:eastAsia="zh-CN"/>
        </w:rPr>
        <w:t xml:space="preserve">      </w:t>
      </w:r>
      <w:r>
        <w:rPr>
          <w:sz w:val="24"/>
          <w:lang w:eastAsia="zh-CN"/>
        </w:rPr>
        <w:t>性别：</w:t>
      </w:r>
      <w:r>
        <w:rPr>
          <w:rFonts w:hint="eastAsia"/>
          <w:sz w:val="24"/>
          <w:u w:val="single"/>
          <w:lang w:eastAsia="zh-CN"/>
        </w:rPr>
        <w:t xml:space="preserve">     </w:t>
      </w:r>
      <w:r>
        <w:rPr>
          <w:sz w:val="24"/>
          <w:lang w:eastAsia="zh-CN"/>
        </w:rPr>
        <w:t>年龄：</w:t>
      </w:r>
      <w:r>
        <w:rPr>
          <w:rFonts w:hint="eastAsia"/>
          <w:sz w:val="24"/>
          <w:u w:val="single"/>
          <w:lang w:eastAsia="zh-CN"/>
        </w:rPr>
        <w:t xml:space="preserve">     </w:t>
      </w:r>
      <w:r>
        <w:rPr>
          <w:sz w:val="24"/>
          <w:lang w:eastAsia="zh-CN"/>
        </w:rPr>
        <w:t>职务：</w:t>
      </w:r>
      <w:r>
        <w:rPr>
          <w:rFonts w:hint="eastAsia"/>
          <w:sz w:val="24"/>
          <w:u w:val="single"/>
          <w:lang w:eastAsia="zh-CN"/>
        </w:rPr>
        <w:t xml:space="preserve">     </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系</w:t>
      </w:r>
      <w:r>
        <w:rPr>
          <w:rFonts w:hint="eastAsia"/>
          <w:sz w:val="24"/>
          <w:u w:val="single"/>
          <w:lang w:eastAsia="zh-CN"/>
        </w:rPr>
        <w:t xml:space="preserve">               </w:t>
      </w:r>
      <w:r>
        <w:rPr>
          <w:sz w:val="24"/>
          <w:lang w:eastAsia="zh-CN"/>
        </w:rPr>
        <w:t>（供应商名称）的法定代表人（单位负责人）。</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附：法定代表人（单位负责人）身份证</w:t>
      </w:r>
      <w:r>
        <w:rPr>
          <w:rFonts w:hint="eastAsia"/>
          <w:sz w:val="24"/>
          <w:lang w:eastAsia="zh-CN"/>
        </w:rPr>
        <w:t>或</w:t>
      </w:r>
      <w:r>
        <w:rPr>
          <w:sz w:val="24"/>
          <w:lang w:eastAsia="zh-CN"/>
        </w:rPr>
        <w:t>护照等身份证明文件电子件：</w:t>
      </w:r>
    </w:p>
    <w:p>
      <w:pPr>
        <w:pStyle w:val="12"/>
        <w:rPr>
          <w:rFonts w:asciiTheme="minorEastAsia" w:hAnsiTheme="minorEastAsia" w:eastAsiaTheme="minorEastAsia"/>
          <w:sz w:val="20"/>
          <w:lang w:eastAsia="zh-CN"/>
        </w:rPr>
      </w:pPr>
    </w:p>
    <w:p>
      <w:pPr>
        <w:pStyle w:val="12"/>
        <w:spacing w:before="4"/>
        <w:rPr>
          <w:rFonts w:asciiTheme="minorEastAsia" w:hAnsiTheme="minorEastAsia" w:eastAsiaTheme="minorEastAsia"/>
          <w:sz w:val="13"/>
          <w:lang w:eastAsia="zh-CN"/>
        </w:rPr>
      </w:pPr>
      <w:r>
        <w:rPr>
          <w:rFonts w:asciiTheme="minorEastAsia" w:hAnsiTheme="minorEastAsia" w:eastAsiaTheme="minorEastAsia"/>
          <w:lang w:eastAsia="zh-CN"/>
        </w:rPr>
        <mc:AlternateContent>
          <mc:Choice Requires="wpg">
            <w:drawing>
              <wp:anchor distT="0" distB="0" distL="0" distR="0" simplePos="0" relativeHeight="251668480" behindDoc="0" locked="0" layoutInCell="1" allowOverlap="1">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wpg:cNvGrpSpPr/>
                      <wpg:grpSpPr>
                        <a:xfrm>
                          <a:off x="0" y="0"/>
                          <a:ext cx="5416550" cy="1455420"/>
                          <a:chOff x="1583" y="213"/>
                          <a:chExt cx="9083" cy="2292"/>
                        </a:xfrm>
                      </wpg:grpSpPr>
                      <wps:wsp>
                        <wps:cNvPr id="28" name="Line 6"/>
                        <wps:cNvCnPr/>
                        <wps:spPr bwMode="auto">
                          <a:xfrm>
                            <a:off x="1588" y="223"/>
                            <a:ext cx="9072" cy="0"/>
                          </a:xfrm>
                          <a:prstGeom prst="line">
                            <a:avLst/>
                          </a:prstGeom>
                          <a:noFill/>
                          <a:ln w="6096">
                            <a:solidFill>
                              <a:srgbClr val="000000"/>
                            </a:solidFill>
                            <a:prstDash val="solid"/>
                            <a:round/>
                          </a:ln>
                        </wps:spPr>
                        <wps:bodyPr/>
                      </wps:wsp>
                      <wps:wsp>
                        <wps:cNvPr id="29" name="Line 5"/>
                        <wps:cNvCnPr/>
                        <wps:spPr bwMode="auto">
                          <a:xfrm>
                            <a:off x="1588" y="2500"/>
                            <a:ext cx="9072" cy="0"/>
                          </a:xfrm>
                          <a:prstGeom prst="line">
                            <a:avLst/>
                          </a:prstGeom>
                          <a:noFill/>
                          <a:ln w="6096">
                            <a:solidFill>
                              <a:srgbClr val="000000"/>
                            </a:solidFill>
                            <a:prstDash val="solid"/>
                            <a:round/>
                          </a:ln>
                        </wps:spPr>
                        <wps:bodyPr/>
                      </wps:wsp>
                      <wps:wsp>
                        <wps:cNvPr id="30" name="Line 4"/>
                        <wps:cNvCnPr/>
                        <wps:spPr bwMode="auto">
                          <a:xfrm>
                            <a:off x="1593" y="218"/>
                            <a:ext cx="0" cy="2277"/>
                          </a:xfrm>
                          <a:prstGeom prst="line">
                            <a:avLst/>
                          </a:prstGeom>
                          <a:noFill/>
                          <a:ln w="6096">
                            <a:solidFill>
                              <a:srgbClr val="000000"/>
                            </a:solidFill>
                            <a:prstDash val="solid"/>
                            <a:round/>
                          </a:ln>
                        </wps:spPr>
                        <wps:bodyPr/>
                      </wps:wsp>
                      <wps:wsp>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id="Group 2" o:spid="_x0000_s1026" o:spt="203" style="position:absolute;left:0pt;margin-left:79pt;margin-top:10.85pt;height:114.6pt;width:426.5pt;mso-position-horizontal-relative:page;mso-wrap-distance-bottom:0pt;mso-wrap-distance-top:0pt;z-index:251668480;mso-width-relative:page;mso-height-relative:page;" coordorigin="1583,213" coordsize="9083,2292" o:gfxdata="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iS4i2QAAAAsBAAAPAAAAAAAAAAEAIAAAACIAAABkcnMvZG93bnJl&#10;di54bWxQSwECFAAUAAAACACHTuJA/BQDBG4CAABuCQAADgAAAAAAAAABACAAAAAoAQAAZHJzL2Uy&#10;b0RvYy54bWxQSwUGAAAAAAYABgBZAQAACAYAAAAA&#10;">
                <o:lock v:ext="edit" aspectratio="f"/>
                <v:line id="Line 6" o:spid="_x0000_s1026" o:spt="20" style="position:absolute;left:1588;top:223;height:0;width:9072;"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5" o:spid="_x0000_s1026" o:spt="20" style="position:absolute;left:1588;top:2500;height:0;width:9072;"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4" o:spid="_x0000_s1026" o:spt="20" style="position:absolute;left:1593;top:218;height:2277;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3" o:spid="_x0000_s1026" o:spt="20" style="position:absolute;left:10655;top:218;height:2277;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tabs>
          <w:tab w:val="left" w:pos="3754"/>
        </w:tabs>
        <w:spacing w:before="209"/>
        <w:ind w:left="221"/>
        <w:rPr>
          <w:szCs w:val="22"/>
          <w:lang w:eastAsia="zh-CN"/>
        </w:rPr>
      </w:pPr>
      <w:r>
        <w:rPr>
          <w:szCs w:val="22"/>
          <w:lang w:eastAsia="zh-CN"/>
        </w:rPr>
        <w:t>供应商名称（加盖公章）：</w:t>
      </w:r>
      <w:r>
        <w:rPr>
          <w:rFonts w:hint="eastAsia"/>
          <w:u w:val="single"/>
          <w:lang w:eastAsia="zh-CN"/>
        </w:rPr>
        <w:t xml:space="preserve">          </w:t>
      </w:r>
    </w:p>
    <w:p>
      <w:pPr>
        <w:pStyle w:val="12"/>
        <w:tabs>
          <w:tab w:val="left" w:pos="1421"/>
          <w:tab w:val="left" w:pos="2141"/>
          <w:tab w:val="left" w:pos="2861"/>
          <w:tab w:val="left" w:pos="5486"/>
        </w:tabs>
        <w:spacing w:before="151" w:line="357" w:lineRule="auto"/>
        <w:ind w:left="221" w:right="378"/>
        <w:rPr>
          <w:szCs w:val="22"/>
          <w:lang w:eastAsia="zh-CN"/>
        </w:rPr>
      </w:pPr>
      <w:r>
        <w:rPr>
          <w:szCs w:val="22"/>
          <w:lang w:eastAsia="zh-CN"/>
        </w:rPr>
        <w:t>法定代表人（单位负责人）（签字或</w:t>
      </w:r>
      <w:r>
        <w:rPr>
          <w:rFonts w:hint="eastAsia"/>
          <w:szCs w:val="22"/>
          <w:lang w:eastAsia="zh-CN"/>
        </w:rPr>
        <w:t>盖章</w:t>
      </w:r>
      <w:r>
        <w:rPr>
          <w:szCs w:val="22"/>
          <w:lang w:eastAsia="zh-CN"/>
        </w:rPr>
        <w:t>）：</w:t>
      </w:r>
      <w:r>
        <w:rPr>
          <w:rFonts w:hint="eastAsia"/>
          <w:u w:val="single"/>
          <w:lang w:eastAsia="zh-CN"/>
        </w:rPr>
        <w:t xml:space="preserve">          </w:t>
      </w:r>
    </w:p>
    <w:p>
      <w:pPr>
        <w:pStyle w:val="12"/>
        <w:tabs>
          <w:tab w:val="left" w:pos="1421"/>
          <w:tab w:val="left" w:pos="2141"/>
          <w:tab w:val="left" w:pos="2861"/>
          <w:tab w:val="left" w:pos="5486"/>
        </w:tabs>
        <w:spacing w:before="151" w:line="357" w:lineRule="auto"/>
        <w:ind w:left="221" w:right="378"/>
        <w:rPr>
          <w:szCs w:val="22"/>
          <w:lang w:eastAsia="zh-CN"/>
        </w:rPr>
      </w:pPr>
      <w:r>
        <w:rPr>
          <w:szCs w:val="22"/>
          <w:lang w:eastAsia="zh-CN"/>
        </w:rPr>
        <w:t>日期：</w:t>
      </w:r>
      <w:r>
        <w:rPr>
          <w:rFonts w:hint="eastAsia"/>
          <w:u w:val="single"/>
          <w:lang w:eastAsia="zh-CN"/>
        </w:rPr>
        <w:t xml:space="preserve">     </w:t>
      </w:r>
      <w:r>
        <w:rPr>
          <w:szCs w:val="22"/>
          <w:lang w:eastAsia="zh-CN"/>
        </w:rPr>
        <w:t>年</w:t>
      </w:r>
      <w:r>
        <w:rPr>
          <w:rFonts w:hint="eastAsia"/>
          <w:u w:val="single"/>
          <w:lang w:eastAsia="zh-CN"/>
        </w:rPr>
        <w:t xml:space="preserve">     </w:t>
      </w:r>
      <w:r>
        <w:rPr>
          <w:szCs w:val="22"/>
          <w:lang w:eastAsia="zh-CN"/>
        </w:rPr>
        <w:t>月</w:t>
      </w:r>
      <w:r>
        <w:rPr>
          <w:rFonts w:hint="eastAsia"/>
          <w:u w:val="single"/>
          <w:lang w:eastAsia="zh-CN"/>
        </w:rPr>
        <w:t xml:space="preserve">     </w:t>
      </w:r>
      <w:r>
        <w:rPr>
          <w:szCs w:val="22"/>
          <w:lang w:eastAsia="zh-CN"/>
        </w:rPr>
        <w:t>日</w:t>
      </w:r>
    </w:p>
    <w:p>
      <w:pPr>
        <w:widowControl/>
        <w:autoSpaceDE/>
        <w:autoSpaceDN/>
        <w:rPr>
          <w:sz w:val="24"/>
          <w:lang w:eastAsia="zh-CN"/>
        </w:rPr>
        <w:sectPr>
          <w:headerReference r:id="rId12" w:type="default"/>
          <w:footerReference r:id="rId13" w:type="default"/>
          <w:pgSz w:w="11910" w:h="16840"/>
          <w:pgMar w:top="1797" w:right="1440" w:bottom="1797" w:left="1440" w:header="878" w:footer="891" w:gutter="0"/>
          <w:cols w:space="720" w:num="1"/>
          <w:docGrid w:linePitch="299" w:charSpace="0"/>
        </w:sectPr>
      </w:pPr>
    </w:p>
    <w:p>
      <w:pPr>
        <w:pStyle w:val="6"/>
        <w:numPr>
          <w:ilvl w:val="0"/>
          <w:numId w:val="112"/>
        </w:numPr>
        <w:rPr>
          <w:b/>
          <w:bCs/>
          <w:i w:val="0"/>
          <w:lang w:eastAsia="zh-CN"/>
        </w:rPr>
      </w:pPr>
      <w:r>
        <w:rPr>
          <w:b/>
          <w:bCs/>
          <w:i w:val="0"/>
          <w:lang w:eastAsia="zh-CN"/>
        </w:rPr>
        <w:t>报价一览表</w:t>
      </w:r>
    </w:p>
    <w:p>
      <w:pPr>
        <w:jc w:val="center"/>
        <w:rPr>
          <w:b/>
          <w:sz w:val="32"/>
          <w:lang w:eastAsia="zh-CN"/>
        </w:rPr>
      </w:pPr>
      <w:r>
        <w:rPr>
          <w:b/>
          <w:sz w:val="32"/>
          <w:lang w:eastAsia="zh-CN"/>
        </w:rPr>
        <w:t>报价一览表</w:t>
      </w:r>
    </w:p>
    <w:p>
      <w:pPr>
        <w:pStyle w:val="12"/>
        <w:spacing w:before="8"/>
        <w:rPr>
          <w:rFonts w:asciiTheme="minorEastAsia" w:hAnsiTheme="minorEastAsia" w:eastAsiaTheme="minorEastAsia"/>
          <w:sz w:val="28"/>
          <w:lang w:eastAsia="zh-CN"/>
        </w:rPr>
      </w:pPr>
    </w:p>
    <w:p>
      <w:pPr>
        <w:rPr>
          <w:i/>
          <w:color w:val="FF0000"/>
          <w:sz w:val="24"/>
          <w:lang w:eastAsia="zh-CN"/>
        </w:rPr>
      </w:pPr>
      <w:r>
        <w:rPr>
          <w:i/>
          <w:color w:val="FF0000"/>
          <w:sz w:val="24"/>
          <w:lang w:eastAsia="zh-CN"/>
        </w:rPr>
        <w:t>（格式示例：适用于投报总价的项目）</w:t>
      </w:r>
    </w:p>
    <w:p>
      <w:pPr>
        <w:rPr>
          <w:rFonts w:asciiTheme="minorEastAsia" w:hAnsiTheme="minorEastAsia" w:eastAsiaTheme="minorEastAsia"/>
          <w:lang w:eastAsia="zh-CN"/>
        </w:rPr>
      </w:pPr>
      <w:r>
        <w:rPr>
          <w:rFonts w:asciiTheme="minorEastAsia" w:hAnsiTheme="minorEastAsia" w:eastAsiaTheme="minorEastAsia"/>
          <w:lang w:eastAsia="zh-CN"/>
        </w:rPr>
        <w:t>项目编号：</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w:t>
      </w:r>
      <w:r>
        <w:rPr>
          <w:rFonts w:hint="eastAsia" w:asciiTheme="minorEastAsia" w:hAnsiTheme="minorEastAsia" w:eastAsiaTheme="minorEastAsia"/>
          <w:u w:val="single"/>
          <w:lang w:eastAsia="zh-CN"/>
        </w:rPr>
        <w:t xml:space="preserve">          </w:t>
      </w:r>
    </w:p>
    <w:p>
      <w:pPr>
        <w:pStyle w:val="12"/>
        <w:spacing w:before="6"/>
        <w:rPr>
          <w:rFonts w:asciiTheme="minorEastAsia" w:hAnsiTheme="minorEastAsia" w:eastAsiaTheme="minorEastAsia"/>
          <w:sz w:val="16"/>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3544"/>
        <w:gridCol w:w="2242"/>
        <w:gridCol w:w="2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96" w:type="dxa"/>
            <w:vMerge w:val="restart"/>
            <w:vAlign w:val="center"/>
          </w:tcPr>
          <w:p>
            <w:pPr>
              <w:pStyle w:val="39"/>
              <w:ind w:left="160"/>
              <w:jc w:val="center"/>
              <w:rPr>
                <w:rFonts w:asciiTheme="minorEastAsia" w:hAnsiTheme="minorEastAsia" w:eastAsiaTheme="minorEastAsia"/>
                <w:sz w:val="24"/>
              </w:rPr>
            </w:pPr>
            <w:r>
              <w:rPr>
                <w:rFonts w:asciiTheme="minorEastAsia" w:hAnsiTheme="minorEastAsia" w:eastAsiaTheme="minorEastAsia"/>
                <w:sz w:val="24"/>
              </w:rPr>
              <w:t>包号</w:t>
            </w:r>
          </w:p>
        </w:tc>
        <w:tc>
          <w:tcPr>
            <w:tcW w:w="3544" w:type="dxa"/>
            <w:vMerge w:val="restart"/>
            <w:vAlign w:val="center"/>
          </w:tcPr>
          <w:p>
            <w:pPr>
              <w:pStyle w:val="39"/>
              <w:ind w:left="996"/>
              <w:jc w:val="center"/>
              <w:rPr>
                <w:rFonts w:asciiTheme="minorEastAsia" w:hAnsiTheme="minorEastAsia" w:eastAsiaTheme="minorEastAsia"/>
                <w:sz w:val="24"/>
              </w:rPr>
            </w:pPr>
            <w:r>
              <w:rPr>
                <w:rFonts w:asciiTheme="minorEastAsia" w:hAnsiTheme="minorEastAsia" w:eastAsiaTheme="minorEastAsia"/>
                <w:sz w:val="24"/>
              </w:rPr>
              <w:t>供应商名称</w:t>
            </w:r>
          </w:p>
        </w:tc>
        <w:tc>
          <w:tcPr>
            <w:tcW w:w="4600" w:type="dxa"/>
            <w:gridSpan w:val="2"/>
            <w:vAlign w:val="center"/>
          </w:tcPr>
          <w:p>
            <w:pPr>
              <w:pStyle w:val="39"/>
              <w:spacing w:before="71"/>
              <w:ind w:left="1814" w:right="1814"/>
              <w:jc w:val="center"/>
              <w:rPr>
                <w:rFonts w:asciiTheme="minorEastAsia" w:hAnsiTheme="minorEastAsia" w:eastAsiaTheme="minorEastAsia"/>
                <w:sz w:val="24"/>
              </w:rPr>
            </w:pPr>
            <w:r>
              <w:rPr>
                <w:rFonts w:asciiTheme="minorEastAsia" w:hAnsiTheme="minorEastAsia" w:eastAsiaTheme="minorEastAsia"/>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96" w:type="dxa"/>
            <w:vMerge w:val="continue"/>
            <w:vAlign w:val="center"/>
          </w:tcPr>
          <w:p>
            <w:pPr>
              <w:jc w:val="center"/>
              <w:rPr>
                <w:rFonts w:asciiTheme="minorEastAsia" w:hAnsiTheme="minorEastAsia" w:eastAsiaTheme="minorEastAsia"/>
              </w:rPr>
            </w:pPr>
          </w:p>
        </w:tc>
        <w:tc>
          <w:tcPr>
            <w:tcW w:w="3544" w:type="dxa"/>
            <w:vMerge w:val="continue"/>
            <w:vAlign w:val="center"/>
          </w:tcPr>
          <w:p>
            <w:pPr>
              <w:jc w:val="center"/>
              <w:rPr>
                <w:rFonts w:asciiTheme="minorEastAsia" w:hAnsiTheme="minorEastAsia" w:eastAsiaTheme="minorEastAsia"/>
              </w:rPr>
            </w:pPr>
          </w:p>
        </w:tc>
        <w:tc>
          <w:tcPr>
            <w:tcW w:w="2242" w:type="dxa"/>
            <w:vAlign w:val="center"/>
          </w:tcPr>
          <w:p>
            <w:pPr>
              <w:pStyle w:val="39"/>
              <w:spacing w:before="142"/>
              <w:ind w:left="748" w:right="748"/>
              <w:jc w:val="center"/>
              <w:rPr>
                <w:rFonts w:asciiTheme="minorEastAsia" w:hAnsiTheme="minorEastAsia" w:eastAsiaTheme="minorEastAsia"/>
                <w:sz w:val="24"/>
              </w:rPr>
            </w:pPr>
            <w:r>
              <w:rPr>
                <w:rFonts w:asciiTheme="minorEastAsia" w:hAnsiTheme="minorEastAsia" w:eastAsiaTheme="minorEastAsia"/>
                <w:sz w:val="24"/>
              </w:rPr>
              <w:t>大写</w:t>
            </w:r>
          </w:p>
        </w:tc>
        <w:tc>
          <w:tcPr>
            <w:tcW w:w="2358" w:type="dxa"/>
            <w:vAlign w:val="center"/>
          </w:tcPr>
          <w:p>
            <w:pPr>
              <w:pStyle w:val="39"/>
              <w:spacing w:before="142"/>
              <w:ind w:left="801" w:right="801"/>
              <w:jc w:val="center"/>
              <w:rPr>
                <w:rFonts w:asciiTheme="minorEastAsia" w:hAnsiTheme="minorEastAsia" w:eastAsiaTheme="minorEastAsia"/>
                <w:sz w:val="24"/>
              </w:rPr>
            </w:pPr>
            <w:r>
              <w:rPr>
                <w:rFonts w:asciiTheme="minorEastAsia" w:hAnsiTheme="minorEastAsia" w:eastAsiaTheme="minorEastAsia"/>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96" w:type="dxa"/>
            <w:vAlign w:val="center"/>
          </w:tcPr>
          <w:p>
            <w:pPr>
              <w:jc w:val="center"/>
              <w:rPr>
                <w:rFonts w:asciiTheme="minorEastAsia" w:hAnsiTheme="minorEastAsia" w:eastAsiaTheme="minorEastAsia"/>
              </w:rPr>
            </w:pPr>
          </w:p>
        </w:tc>
        <w:tc>
          <w:tcPr>
            <w:tcW w:w="3544" w:type="dxa"/>
            <w:vAlign w:val="center"/>
          </w:tcPr>
          <w:p>
            <w:pPr>
              <w:jc w:val="center"/>
              <w:rPr>
                <w:rFonts w:asciiTheme="minorEastAsia" w:hAnsiTheme="minorEastAsia" w:eastAsiaTheme="minorEastAsia"/>
              </w:rPr>
            </w:pPr>
          </w:p>
        </w:tc>
        <w:tc>
          <w:tcPr>
            <w:tcW w:w="2242" w:type="dxa"/>
            <w:vAlign w:val="center"/>
          </w:tcPr>
          <w:p>
            <w:pPr>
              <w:jc w:val="center"/>
              <w:rPr>
                <w:rFonts w:asciiTheme="minorEastAsia" w:hAnsiTheme="minorEastAsia" w:eastAsiaTheme="minorEastAsia"/>
              </w:rPr>
            </w:pPr>
          </w:p>
        </w:tc>
        <w:tc>
          <w:tcPr>
            <w:tcW w:w="2358" w:type="dxa"/>
            <w:vAlign w:val="center"/>
          </w:tcPr>
          <w:p>
            <w:pPr>
              <w:jc w:val="center"/>
              <w:rPr>
                <w:rFonts w:asciiTheme="minorEastAsia" w:hAnsiTheme="minorEastAsia" w:eastAsiaTheme="minorEastAsia"/>
              </w:rPr>
            </w:pPr>
          </w:p>
        </w:tc>
      </w:tr>
    </w:tbl>
    <w:p>
      <w:pPr>
        <w:pStyle w:val="12"/>
        <w:spacing w:before="3"/>
        <w:rPr>
          <w:rFonts w:asciiTheme="minorEastAsia" w:hAnsiTheme="minorEastAsia" w:eastAsiaTheme="minorEastAsia"/>
          <w:sz w:val="17"/>
        </w:rPr>
      </w:pPr>
    </w:p>
    <w:p>
      <w:pPr>
        <w:pStyle w:val="12"/>
        <w:spacing w:before="43" w:line="321" w:lineRule="exact"/>
        <w:ind w:left="121"/>
        <w:rPr>
          <w:rFonts w:asciiTheme="minorEastAsia" w:hAnsiTheme="minorEastAsia" w:eastAsiaTheme="minorEastAsia"/>
          <w:lang w:eastAsia="zh-CN"/>
        </w:rPr>
      </w:pPr>
      <w:r>
        <w:rPr>
          <w:rFonts w:asciiTheme="minorEastAsia" w:hAnsiTheme="minorEastAsia" w:eastAsiaTheme="minorEastAsia"/>
          <w:lang w:eastAsia="zh-CN"/>
        </w:rPr>
        <w:t>注：1.此表中，每包的报价应和《分项报价表》中的总价相一致。</w:t>
      </w:r>
    </w:p>
    <w:p>
      <w:pPr>
        <w:pStyle w:val="12"/>
        <w:spacing w:line="321" w:lineRule="exact"/>
        <w:ind w:left="601"/>
        <w:rPr>
          <w:rFonts w:asciiTheme="minorEastAsia" w:hAnsiTheme="minorEastAsia" w:eastAsiaTheme="minorEastAsia"/>
          <w:lang w:eastAsia="zh-CN"/>
        </w:rPr>
      </w:pPr>
      <w:r>
        <w:rPr>
          <w:rFonts w:asciiTheme="minorEastAsia" w:hAnsiTheme="minorEastAsia" w:eastAsiaTheme="minorEastAsia"/>
          <w:lang w:eastAsia="zh-CN"/>
        </w:rPr>
        <w:t>2.本表必须按包分别填写。</w:t>
      </w:r>
    </w:p>
    <w:p>
      <w:pPr>
        <w:pStyle w:val="12"/>
        <w:rPr>
          <w:rFonts w:asciiTheme="minorEastAsia" w:hAnsiTheme="minorEastAsia" w:eastAsiaTheme="minorEastAsia"/>
          <w:sz w:val="28"/>
          <w:lang w:eastAsia="zh-CN"/>
        </w:rPr>
      </w:pPr>
    </w:p>
    <w:p>
      <w:pPr>
        <w:pStyle w:val="12"/>
        <w:rPr>
          <w:rFonts w:asciiTheme="minorEastAsia" w:hAnsiTheme="minorEastAsia" w:eastAsiaTheme="minorEastAsia"/>
          <w:sz w:val="28"/>
          <w:lang w:eastAsia="zh-CN"/>
        </w:rPr>
      </w:pPr>
    </w:p>
    <w:p>
      <w:pPr>
        <w:pStyle w:val="12"/>
        <w:spacing w:before="6"/>
        <w:rPr>
          <w:rFonts w:asciiTheme="minorEastAsia" w:hAnsiTheme="minorEastAsia" w:eastAsiaTheme="minorEastAsia"/>
          <w:sz w:val="33"/>
          <w:lang w:eastAsia="zh-CN"/>
        </w:rPr>
      </w:pPr>
    </w:p>
    <w:p>
      <w:pPr>
        <w:spacing w:line="360" w:lineRule="auto"/>
        <w:rPr>
          <w:sz w:val="24"/>
          <w:lang w:eastAsia="zh-CN"/>
        </w:rPr>
      </w:pPr>
      <w:r>
        <w:rPr>
          <w:sz w:val="24"/>
          <w:lang w:eastAsia="zh-CN"/>
        </w:rPr>
        <w:t>供应商名称（加盖公章）：</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rPr>
          <w:sz w:val="24"/>
          <w:lang w:eastAsia="zh-CN"/>
        </w:rPr>
        <w:sectPr>
          <w:pgSz w:w="11910" w:h="16840"/>
          <w:pgMar w:top="1797" w:right="1440" w:bottom="1797" w:left="1440" w:header="878" w:footer="891" w:gutter="0"/>
          <w:cols w:space="720" w:num="1"/>
          <w:docGrid w:linePitch="299" w:charSpace="0"/>
        </w:sectPr>
      </w:pPr>
      <w:r>
        <w:rPr>
          <w:sz w:val="24"/>
          <w:lang w:eastAsia="zh-CN"/>
        </w:rPr>
        <w:br w:type="page"/>
      </w:r>
    </w:p>
    <w:p>
      <w:pPr>
        <w:pStyle w:val="2"/>
        <w:rPr>
          <w:lang w:eastAsia="zh-CN"/>
        </w:rPr>
      </w:pPr>
    </w:p>
    <w:p>
      <w:pPr>
        <w:pStyle w:val="2"/>
        <w:rPr>
          <w:lang w:eastAsia="zh-CN"/>
        </w:rPr>
      </w:pPr>
    </w:p>
    <w:p>
      <w:pPr>
        <w:pStyle w:val="12"/>
        <w:spacing w:before="4"/>
        <w:rPr>
          <w:rFonts w:asciiTheme="minorEastAsia" w:hAnsiTheme="minorEastAsia" w:eastAsiaTheme="minorEastAsia"/>
          <w:sz w:val="18"/>
          <w:lang w:eastAsia="zh-CN"/>
        </w:rPr>
      </w:pPr>
    </w:p>
    <w:p>
      <w:pPr>
        <w:pStyle w:val="4"/>
        <w:ind w:left="0"/>
        <w:rPr>
          <w:b/>
          <w:sz w:val="24"/>
          <w:lang w:eastAsia="zh-CN"/>
        </w:rPr>
      </w:pPr>
      <w:r>
        <w:rPr>
          <w:rFonts w:hint="eastAsia"/>
          <w:b/>
          <w:sz w:val="24"/>
          <w:lang w:eastAsia="zh-CN"/>
        </w:rPr>
        <w:t xml:space="preserve">8 </w:t>
      </w:r>
      <w:r>
        <w:rPr>
          <w:b/>
          <w:sz w:val="24"/>
          <w:lang w:eastAsia="zh-CN"/>
        </w:rPr>
        <w:t>分项报价表</w:t>
      </w:r>
    </w:p>
    <w:p>
      <w:pPr>
        <w:jc w:val="center"/>
        <w:rPr>
          <w:b/>
          <w:sz w:val="32"/>
          <w:lang w:eastAsia="zh-CN"/>
        </w:rPr>
      </w:pPr>
      <w:r>
        <w:rPr>
          <w:b/>
          <w:sz w:val="32"/>
          <w:lang w:eastAsia="zh-CN"/>
        </w:rPr>
        <w:t>分项报价表</w:t>
      </w:r>
    </w:p>
    <w:p>
      <w:pPr>
        <w:pStyle w:val="12"/>
        <w:rPr>
          <w:rFonts w:asciiTheme="minorEastAsia" w:hAnsiTheme="minorEastAsia" w:eastAsiaTheme="minorEastAsia"/>
          <w:sz w:val="20"/>
          <w:lang w:eastAsia="zh-CN"/>
        </w:rPr>
      </w:pPr>
    </w:p>
    <w:p>
      <w:pPr>
        <w:rPr>
          <w:i/>
          <w:color w:val="FF0000"/>
          <w:sz w:val="24"/>
          <w:lang w:eastAsia="zh-CN"/>
        </w:rPr>
      </w:pPr>
      <w:r>
        <w:rPr>
          <w:i/>
          <w:color w:val="FF0000"/>
          <w:sz w:val="24"/>
          <w:lang w:eastAsia="zh-CN"/>
        </w:rPr>
        <w:t>（格式示例一，适用于设备采购）</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tbl>
      <w:tblPr>
        <w:tblStyle w:val="40"/>
        <w:tblW w:w="1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277"/>
        <w:gridCol w:w="1074"/>
        <w:gridCol w:w="1206"/>
        <w:gridCol w:w="1212"/>
        <w:gridCol w:w="801"/>
        <w:gridCol w:w="939"/>
        <w:gridCol w:w="843"/>
        <w:gridCol w:w="498"/>
        <w:gridCol w:w="1339"/>
        <w:gridCol w:w="1074"/>
        <w:gridCol w:w="53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4" w:hRule="exact"/>
        </w:trPr>
        <w:tc>
          <w:tcPr>
            <w:tcW w:w="675"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2277" w:type="dxa"/>
            <w:vAlign w:val="center"/>
          </w:tcPr>
          <w:p>
            <w:pPr>
              <w:jc w:val="center"/>
              <w:rPr>
                <w:rFonts w:asciiTheme="minorEastAsia" w:hAnsiTheme="minorEastAsia" w:eastAsiaTheme="minorEastAsia"/>
                <w:b/>
              </w:rPr>
            </w:pPr>
            <w:r>
              <w:rPr>
                <w:rFonts w:asciiTheme="minorEastAsia" w:hAnsiTheme="minorEastAsia" w:eastAsiaTheme="minorEastAsia"/>
                <w:b/>
              </w:rPr>
              <w:t>分项名称</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制造商</w:t>
            </w:r>
          </w:p>
        </w:tc>
        <w:tc>
          <w:tcPr>
            <w:tcW w:w="1206" w:type="dxa"/>
            <w:vAlign w:val="center"/>
          </w:tcPr>
          <w:p>
            <w:pPr>
              <w:jc w:val="center"/>
              <w:rPr>
                <w:rFonts w:asciiTheme="minorEastAsia" w:hAnsiTheme="minorEastAsia" w:eastAsiaTheme="minorEastAsia"/>
                <w:b/>
              </w:rPr>
            </w:pPr>
            <w:r>
              <w:rPr>
                <w:rFonts w:asciiTheme="minorEastAsia" w:hAnsiTheme="minorEastAsia" w:eastAsiaTheme="minorEastAsia"/>
                <w:b/>
              </w:rPr>
              <w:t>产地/</w:t>
            </w:r>
          </w:p>
          <w:p>
            <w:pPr>
              <w:jc w:val="center"/>
              <w:rPr>
                <w:rFonts w:asciiTheme="minorEastAsia" w:hAnsiTheme="minorEastAsia" w:eastAsiaTheme="minorEastAsia"/>
                <w:b/>
              </w:rPr>
            </w:pPr>
            <w:r>
              <w:rPr>
                <w:rFonts w:asciiTheme="minorEastAsia" w:hAnsiTheme="minorEastAsia" w:eastAsiaTheme="minorEastAsia"/>
                <w:b/>
              </w:rPr>
              <w:t>国别</w:t>
            </w:r>
          </w:p>
        </w:tc>
        <w:tc>
          <w:tcPr>
            <w:tcW w:w="1212" w:type="dxa"/>
            <w:vAlign w:val="center"/>
          </w:tcPr>
          <w:p>
            <w:pPr>
              <w:jc w:val="center"/>
              <w:rPr>
                <w:rFonts w:asciiTheme="minorEastAsia" w:hAnsiTheme="minorEastAsia" w:eastAsiaTheme="minorEastAsia"/>
                <w:b/>
              </w:rPr>
            </w:pPr>
            <w:r>
              <w:rPr>
                <w:rFonts w:asciiTheme="minorEastAsia" w:hAnsiTheme="minorEastAsia" w:eastAsiaTheme="minorEastAsia"/>
                <w:b/>
              </w:rPr>
              <w:t>制造商统一信用代码</w:t>
            </w:r>
          </w:p>
        </w:tc>
        <w:tc>
          <w:tcPr>
            <w:tcW w:w="801"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制造商规模</w:t>
            </w:r>
          </w:p>
        </w:tc>
        <w:tc>
          <w:tcPr>
            <w:tcW w:w="939"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制造商所属性别</w:t>
            </w:r>
          </w:p>
        </w:tc>
        <w:tc>
          <w:tcPr>
            <w:tcW w:w="843" w:type="dxa"/>
            <w:vAlign w:val="center"/>
          </w:tcPr>
          <w:p>
            <w:pPr>
              <w:jc w:val="center"/>
              <w:rPr>
                <w:rFonts w:asciiTheme="minorEastAsia" w:hAnsiTheme="minorEastAsia" w:eastAsiaTheme="minorEastAsia"/>
                <w:b/>
                <w:lang w:eastAsia="zh-CN"/>
              </w:rPr>
            </w:pPr>
            <w:r>
              <w:rPr>
                <w:rFonts w:hint="eastAsia" w:asciiTheme="minorEastAsia" w:hAnsiTheme="minorEastAsia" w:eastAsiaTheme="minorEastAsia"/>
                <w:b/>
                <w:lang w:eastAsia="zh-CN"/>
              </w:rPr>
              <w:t>外商投资类型</w:t>
            </w:r>
          </w:p>
        </w:tc>
        <w:tc>
          <w:tcPr>
            <w:tcW w:w="498" w:type="dxa"/>
            <w:vAlign w:val="center"/>
          </w:tcPr>
          <w:p>
            <w:pPr>
              <w:jc w:val="center"/>
              <w:rPr>
                <w:rFonts w:asciiTheme="minorEastAsia" w:hAnsiTheme="minorEastAsia" w:eastAsiaTheme="minorEastAsia"/>
                <w:b/>
              </w:rPr>
            </w:pPr>
            <w:r>
              <w:rPr>
                <w:rFonts w:asciiTheme="minorEastAsia" w:hAnsiTheme="minorEastAsia" w:eastAsiaTheme="minorEastAsia"/>
                <w:b/>
              </w:rPr>
              <w:t>品牌</w:t>
            </w:r>
          </w:p>
        </w:tc>
        <w:tc>
          <w:tcPr>
            <w:tcW w:w="1339" w:type="dxa"/>
            <w:vAlign w:val="center"/>
          </w:tcPr>
          <w:p>
            <w:pPr>
              <w:jc w:val="center"/>
              <w:rPr>
                <w:rFonts w:asciiTheme="minorEastAsia" w:hAnsiTheme="minorEastAsia" w:eastAsiaTheme="minorEastAsia"/>
                <w:b/>
              </w:rPr>
            </w:pPr>
            <w:r>
              <w:rPr>
                <w:rFonts w:asciiTheme="minorEastAsia" w:hAnsiTheme="minorEastAsia" w:eastAsiaTheme="minorEastAsia"/>
                <w:b/>
              </w:rPr>
              <w:t>规格、型号</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单价（元）</w:t>
            </w:r>
          </w:p>
        </w:tc>
        <w:tc>
          <w:tcPr>
            <w:tcW w:w="536" w:type="dxa"/>
            <w:vAlign w:val="center"/>
          </w:tcPr>
          <w:p>
            <w:pPr>
              <w:jc w:val="center"/>
              <w:rPr>
                <w:rFonts w:asciiTheme="minorEastAsia" w:hAnsiTheme="minorEastAsia" w:eastAsiaTheme="minorEastAsia"/>
                <w:b/>
              </w:rPr>
            </w:pPr>
            <w:r>
              <w:rPr>
                <w:rFonts w:asciiTheme="minorEastAsia" w:hAnsiTheme="minorEastAsia" w:eastAsiaTheme="minorEastAsia"/>
                <w:b/>
              </w:rPr>
              <w:t>数量</w:t>
            </w:r>
          </w:p>
        </w:tc>
        <w:tc>
          <w:tcPr>
            <w:tcW w:w="782" w:type="dxa"/>
            <w:vAlign w:val="center"/>
          </w:tcPr>
          <w:p>
            <w:pPr>
              <w:jc w:val="center"/>
              <w:rPr>
                <w:rFonts w:asciiTheme="minorEastAsia" w:hAnsiTheme="minorEastAsia" w:eastAsiaTheme="minorEastAsia"/>
                <w:b/>
              </w:rPr>
            </w:pPr>
            <w:r>
              <w:rPr>
                <w:rFonts w:asciiTheme="minorEastAsia" w:hAnsiTheme="minorEastAsia" w:eastAsiaTheme="minorEastAsia"/>
                <w:b/>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exact"/>
        </w:trPr>
        <w:tc>
          <w:tcPr>
            <w:tcW w:w="675" w:type="dxa"/>
          </w:tcPr>
          <w:p>
            <w:pPr>
              <w:wordWrap w:val="0"/>
              <w:spacing w:before="171"/>
              <w:ind w:right="1"/>
              <w:jc w:val="center"/>
              <w:rPr>
                <w:sz w:val="24"/>
              </w:rPr>
            </w:pPr>
            <w:r>
              <w:rPr>
                <w:w w:val="114"/>
                <w:sz w:val="24"/>
              </w:rPr>
              <w:t>1</w:t>
            </w:r>
          </w:p>
        </w:tc>
        <w:tc>
          <w:tcPr>
            <w:tcW w:w="2277" w:type="dxa"/>
          </w:tcPr>
          <w:p>
            <w:pPr>
              <w:wordWrap w:val="0"/>
              <w:spacing w:line="302" w:lineRule="exact"/>
              <w:ind w:left="121" w:right="119"/>
              <w:jc w:val="center"/>
              <w:rPr>
                <w:sz w:val="24"/>
                <w:lang w:eastAsia="zh-CN"/>
              </w:rPr>
            </w:pPr>
          </w:p>
        </w:tc>
        <w:tc>
          <w:tcPr>
            <w:tcW w:w="1074" w:type="dxa"/>
            <w:vAlign w:val="center"/>
          </w:tcPr>
          <w:p>
            <w:pPr>
              <w:wordWrap w:val="0"/>
              <w:jc w:val="center"/>
              <w:rPr>
                <w:lang w:eastAsia="zh-CN"/>
              </w:rPr>
            </w:pPr>
          </w:p>
        </w:tc>
        <w:tc>
          <w:tcPr>
            <w:tcW w:w="1206" w:type="dxa"/>
            <w:vAlign w:val="center"/>
          </w:tcPr>
          <w:p>
            <w:pPr>
              <w:wordWrap w:val="0"/>
              <w:jc w:val="center"/>
              <w:rPr>
                <w:lang w:eastAsia="zh-CN"/>
              </w:rPr>
            </w:pPr>
          </w:p>
        </w:tc>
        <w:tc>
          <w:tcPr>
            <w:tcW w:w="1212" w:type="dxa"/>
            <w:vAlign w:val="center"/>
          </w:tcPr>
          <w:p>
            <w:pPr>
              <w:wordWrap w:val="0"/>
              <w:jc w:val="center"/>
              <w:rPr>
                <w:lang w:eastAsia="zh-CN"/>
              </w:rPr>
            </w:pPr>
          </w:p>
        </w:tc>
        <w:tc>
          <w:tcPr>
            <w:tcW w:w="801" w:type="dxa"/>
            <w:vAlign w:val="center"/>
          </w:tcPr>
          <w:p>
            <w:pPr>
              <w:wordWrap w:val="0"/>
              <w:jc w:val="center"/>
              <w:rPr>
                <w:lang w:eastAsia="zh-CN"/>
              </w:rPr>
            </w:pPr>
          </w:p>
        </w:tc>
        <w:tc>
          <w:tcPr>
            <w:tcW w:w="939" w:type="dxa"/>
            <w:vAlign w:val="center"/>
          </w:tcPr>
          <w:p>
            <w:pPr>
              <w:wordWrap w:val="0"/>
              <w:jc w:val="center"/>
              <w:rPr>
                <w:lang w:eastAsia="zh-CN"/>
              </w:rPr>
            </w:pPr>
          </w:p>
        </w:tc>
        <w:tc>
          <w:tcPr>
            <w:tcW w:w="843" w:type="dxa"/>
            <w:vAlign w:val="center"/>
          </w:tcPr>
          <w:p>
            <w:pPr>
              <w:wordWrap w:val="0"/>
              <w:jc w:val="center"/>
              <w:rPr>
                <w:lang w:eastAsia="zh-CN"/>
              </w:rPr>
            </w:pPr>
          </w:p>
        </w:tc>
        <w:tc>
          <w:tcPr>
            <w:tcW w:w="498" w:type="dxa"/>
            <w:vAlign w:val="center"/>
          </w:tcPr>
          <w:p>
            <w:pPr>
              <w:wordWrap w:val="0"/>
              <w:jc w:val="center"/>
              <w:rPr>
                <w:lang w:eastAsia="zh-CN"/>
              </w:rPr>
            </w:pPr>
          </w:p>
        </w:tc>
        <w:tc>
          <w:tcPr>
            <w:tcW w:w="1339" w:type="dxa"/>
            <w:vAlign w:val="center"/>
          </w:tcPr>
          <w:p>
            <w:pPr>
              <w:wordWrap w:val="0"/>
              <w:jc w:val="center"/>
              <w:rPr>
                <w:lang w:eastAsia="zh-CN"/>
              </w:rPr>
            </w:pPr>
          </w:p>
        </w:tc>
        <w:tc>
          <w:tcPr>
            <w:tcW w:w="1074" w:type="dxa"/>
            <w:vAlign w:val="center"/>
          </w:tcPr>
          <w:p>
            <w:pPr>
              <w:wordWrap w:val="0"/>
              <w:jc w:val="center"/>
              <w:rPr>
                <w:lang w:eastAsia="zh-CN"/>
              </w:rPr>
            </w:pPr>
          </w:p>
        </w:tc>
        <w:tc>
          <w:tcPr>
            <w:tcW w:w="536" w:type="dxa"/>
            <w:vAlign w:val="center"/>
          </w:tcPr>
          <w:p>
            <w:pPr>
              <w:wordWrap w:val="0"/>
              <w:jc w:val="center"/>
              <w:rPr>
                <w:lang w:eastAsia="zh-CN"/>
              </w:rPr>
            </w:pPr>
          </w:p>
        </w:tc>
        <w:tc>
          <w:tcPr>
            <w:tcW w:w="782" w:type="dxa"/>
            <w:vAlign w:val="center"/>
          </w:tcPr>
          <w:p>
            <w:pPr>
              <w:wordWrap w:val="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4"/>
              <w:ind w:right="1"/>
              <w:jc w:val="center"/>
              <w:rPr>
                <w:sz w:val="24"/>
              </w:rPr>
            </w:pPr>
            <w:r>
              <w:rPr>
                <w:w w:val="114"/>
                <w:sz w:val="24"/>
              </w:rPr>
              <w:t>2</w:t>
            </w:r>
          </w:p>
        </w:tc>
        <w:tc>
          <w:tcPr>
            <w:tcW w:w="2277" w:type="dxa"/>
          </w:tcPr>
          <w:p>
            <w:pPr>
              <w:wordWrap w:val="0"/>
              <w:spacing w:line="277" w:lineRule="exact"/>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3"/>
              <w:ind w:right="1"/>
              <w:jc w:val="center"/>
              <w:rPr>
                <w:sz w:val="24"/>
              </w:rPr>
            </w:pPr>
            <w:r>
              <w:rPr>
                <w:w w:val="114"/>
                <w:sz w:val="24"/>
              </w:rPr>
              <w:t>3</w:t>
            </w:r>
          </w:p>
        </w:tc>
        <w:tc>
          <w:tcPr>
            <w:tcW w:w="2277" w:type="dxa"/>
          </w:tcPr>
          <w:p>
            <w:pPr>
              <w:wordWrap w:val="0"/>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exact"/>
        </w:trPr>
        <w:tc>
          <w:tcPr>
            <w:tcW w:w="675" w:type="dxa"/>
          </w:tcPr>
          <w:p>
            <w:pPr>
              <w:wordWrap w:val="0"/>
              <w:spacing w:before="14"/>
              <w:ind w:right="1"/>
              <w:jc w:val="center"/>
              <w:rPr>
                <w:sz w:val="24"/>
              </w:rPr>
            </w:pPr>
            <w:r>
              <w:rPr>
                <w:w w:val="114"/>
                <w:sz w:val="24"/>
              </w:rPr>
              <w:t>4</w:t>
            </w:r>
          </w:p>
        </w:tc>
        <w:tc>
          <w:tcPr>
            <w:tcW w:w="2277" w:type="dxa"/>
          </w:tcPr>
          <w:p>
            <w:pPr>
              <w:wordWrap w:val="0"/>
              <w:spacing w:line="276" w:lineRule="exact"/>
              <w:ind w:left="121"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675" w:type="dxa"/>
          </w:tcPr>
          <w:p>
            <w:pPr>
              <w:wordWrap w:val="0"/>
              <w:spacing w:before="169"/>
              <w:ind w:right="1"/>
              <w:jc w:val="center"/>
              <w:rPr>
                <w:sz w:val="24"/>
              </w:rPr>
            </w:pPr>
          </w:p>
        </w:tc>
        <w:tc>
          <w:tcPr>
            <w:tcW w:w="2277" w:type="dxa"/>
          </w:tcPr>
          <w:p>
            <w:pPr>
              <w:wordWrap w:val="0"/>
              <w:spacing w:line="313" w:lineRule="exact"/>
              <w:ind w:left="2"/>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2" w:hRule="exact"/>
        </w:trPr>
        <w:tc>
          <w:tcPr>
            <w:tcW w:w="12474" w:type="dxa"/>
            <w:gridSpan w:val="12"/>
          </w:tcPr>
          <w:p>
            <w:pPr>
              <w:wordWrap w:val="0"/>
              <w:spacing w:line="277" w:lineRule="exact"/>
              <w:ind w:left="5889" w:right="4984"/>
              <w:jc w:val="center"/>
              <w:rPr>
                <w:b/>
                <w:sz w:val="24"/>
                <w:lang w:eastAsia="zh-CN"/>
              </w:rPr>
            </w:pPr>
            <w:r>
              <w:rPr>
                <w:b/>
                <w:sz w:val="24"/>
              </w:rPr>
              <w:t>总价</w:t>
            </w:r>
            <w:r>
              <w:rPr>
                <w:rFonts w:hint="eastAsia"/>
                <w:b/>
                <w:sz w:val="24"/>
                <w:lang w:eastAsia="zh-CN"/>
              </w:rPr>
              <w:t>（元）</w:t>
            </w:r>
          </w:p>
          <w:p>
            <w:pPr>
              <w:wordWrap w:val="0"/>
              <w:spacing w:line="277" w:lineRule="exact"/>
              <w:ind w:left="5889" w:right="5883"/>
              <w:jc w:val="center"/>
              <w:rPr>
                <w:b/>
                <w:sz w:val="24"/>
              </w:rPr>
            </w:pPr>
          </w:p>
        </w:tc>
        <w:tc>
          <w:tcPr>
            <w:tcW w:w="782" w:type="dxa"/>
            <w:vAlign w:val="center"/>
          </w:tcPr>
          <w:p/>
        </w:tc>
      </w:tr>
    </w:tbl>
    <w:p>
      <w:pPr>
        <w:rPr>
          <w:sz w:val="24"/>
          <w:lang w:eastAsia="zh-CN"/>
        </w:rPr>
      </w:pPr>
    </w:p>
    <w:p>
      <w:pPr>
        <w:rPr>
          <w:sz w:val="24"/>
          <w:lang w:eastAsia="zh-CN"/>
        </w:rPr>
      </w:pPr>
    </w:p>
    <w:p>
      <w:pPr>
        <w:wordWrap w:val="0"/>
        <w:spacing w:before="11"/>
        <w:rPr>
          <w:i/>
          <w:color w:val="FF0000"/>
          <w:sz w:val="24"/>
          <w:szCs w:val="24"/>
          <w:lang w:eastAsia="zh-CN"/>
        </w:rPr>
      </w:pPr>
      <w:r>
        <w:rPr>
          <w:i/>
          <w:color w:val="FF0000"/>
          <w:sz w:val="24"/>
          <w:szCs w:val="24"/>
          <w:lang w:eastAsia="zh-CN"/>
        </w:rPr>
        <w:t>说明：制造商规模请填写“中型”、“小型”、“微型”或“其他”，中小企业的定义见第二章《投标人须知》。</w:t>
      </w:r>
    </w:p>
    <w:p>
      <w:pPr>
        <w:wordWrap w:val="0"/>
        <w:spacing w:before="11"/>
        <w:rPr>
          <w:i/>
          <w:color w:val="FF0000"/>
          <w:sz w:val="24"/>
          <w:szCs w:val="24"/>
          <w:lang w:eastAsia="zh-CN"/>
        </w:rPr>
      </w:pPr>
      <w:r>
        <w:rPr>
          <w:rFonts w:hint="eastAsia"/>
          <w:i/>
          <w:color w:val="FF0000"/>
          <w:sz w:val="24"/>
          <w:szCs w:val="24"/>
          <w:lang w:eastAsia="zh-CN"/>
        </w:rPr>
        <w:t>制造商所属性别请填写“男”或“女”，</w:t>
      </w:r>
      <w:r>
        <w:rPr>
          <w:i/>
          <w:color w:val="FF0000"/>
          <w:sz w:val="24"/>
          <w:szCs w:val="24"/>
          <w:lang w:eastAsia="zh-CN"/>
        </w:rPr>
        <w:t xml:space="preserve"> 指拥有制造商 51%以上绝对所有权的性别；绝对所有权拥有者可以是一个人，也可以是多人合计计算。</w:t>
      </w:r>
    </w:p>
    <w:p>
      <w:pPr>
        <w:wordWrap w:val="0"/>
        <w:spacing w:before="11"/>
        <w:rPr>
          <w:i/>
          <w:color w:val="FF0000"/>
          <w:sz w:val="24"/>
          <w:szCs w:val="24"/>
          <w:lang w:eastAsia="zh-CN"/>
        </w:rPr>
      </w:pPr>
      <w:r>
        <w:rPr>
          <w:rFonts w:hint="eastAsia"/>
          <w:i/>
          <w:color w:val="FF0000"/>
          <w:sz w:val="24"/>
          <w:szCs w:val="24"/>
          <w:lang w:eastAsia="zh-CN"/>
        </w:rPr>
        <w:t>外商投资类型请填写“外商单独投资”、“外商部分投资”或“内资”。</w:t>
      </w:r>
    </w:p>
    <w:p>
      <w:pPr>
        <w:rPr>
          <w:lang w:eastAsia="zh-CN"/>
        </w:rPr>
      </w:pPr>
    </w:p>
    <w:p>
      <w:pPr>
        <w:rPr>
          <w:lang w:eastAsia="zh-CN"/>
        </w:rPr>
        <w:sectPr>
          <w:pgSz w:w="16840" w:h="11910" w:orient="landscape"/>
          <w:pgMar w:top="1440" w:right="1797" w:bottom="1440" w:left="1797" w:header="878" w:footer="891" w:gutter="0"/>
          <w:cols w:space="720" w:num="1"/>
          <w:docGrid w:linePitch="299" w:charSpace="0"/>
        </w:sectPr>
      </w:pPr>
      <w:r>
        <w:rPr>
          <w:rFonts w:hint="eastAsia"/>
          <w:lang w:eastAsia="zh-CN"/>
        </w:rPr>
        <w:br w:type="page"/>
      </w:r>
    </w:p>
    <w:p>
      <w:pPr>
        <w:rPr>
          <w:i/>
          <w:color w:val="FF0000"/>
          <w:sz w:val="24"/>
          <w:lang w:eastAsia="zh-CN"/>
        </w:rPr>
      </w:pPr>
      <w:r>
        <w:rPr>
          <w:i/>
          <w:color w:val="FF0000"/>
          <w:sz w:val="24"/>
          <w:lang w:eastAsia="zh-CN"/>
        </w:rPr>
        <w:t>（格式示例</w:t>
      </w:r>
      <w:r>
        <w:rPr>
          <w:rFonts w:hint="eastAsia"/>
          <w:i/>
          <w:color w:val="FF0000"/>
          <w:sz w:val="24"/>
          <w:lang w:eastAsia="zh-CN"/>
        </w:rPr>
        <w:t>二</w:t>
      </w:r>
      <w:r>
        <w:rPr>
          <w:i/>
          <w:color w:val="FF0000"/>
          <w:sz w:val="24"/>
          <w:lang w:eastAsia="zh-CN"/>
        </w:rPr>
        <w:t>，适用于服务类项目）</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p>
      <w:pPr>
        <w:rPr>
          <w:sz w:val="24"/>
          <w:lang w:eastAsia="zh-CN"/>
        </w:rPr>
      </w:pPr>
    </w:p>
    <w:tbl>
      <w:tblPr>
        <w:tblStyle w:val="4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2858"/>
        <w:gridCol w:w="1311"/>
        <w:gridCol w:w="1309"/>
        <w:gridCol w:w="1309"/>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591" w:type="dxa"/>
            <w:vAlign w:val="center"/>
          </w:tcPr>
          <w:p>
            <w:pPr>
              <w:jc w:val="center"/>
              <w:rPr>
                <w:sz w:val="24"/>
                <w:szCs w:val="24"/>
              </w:rPr>
            </w:pPr>
            <w:r>
              <w:rPr>
                <w:sz w:val="24"/>
                <w:szCs w:val="24"/>
              </w:rPr>
              <w:t>序</w:t>
            </w:r>
          </w:p>
          <w:p>
            <w:pPr>
              <w:jc w:val="center"/>
              <w:rPr>
                <w:sz w:val="24"/>
                <w:szCs w:val="24"/>
              </w:rPr>
            </w:pPr>
            <w:r>
              <w:rPr>
                <w:sz w:val="24"/>
                <w:szCs w:val="24"/>
              </w:rPr>
              <w:t>号</w:t>
            </w:r>
          </w:p>
        </w:tc>
        <w:tc>
          <w:tcPr>
            <w:tcW w:w="2858" w:type="dxa"/>
            <w:vAlign w:val="center"/>
          </w:tcPr>
          <w:p>
            <w:pPr>
              <w:jc w:val="center"/>
              <w:rPr>
                <w:sz w:val="24"/>
                <w:szCs w:val="24"/>
              </w:rPr>
            </w:pPr>
            <w:r>
              <w:rPr>
                <w:sz w:val="24"/>
                <w:szCs w:val="24"/>
              </w:rPr>
              <w:t>分项名称</w:t>
            </w:r>
          </w:p>
        </w:tc>
        <w:tc>
          <w:tcPr>
            <w:tcW w:w="1311" w:type="dxa"/>
            <w:vAlign w:val="center"/>
          </w:tcPr>
          <w:p>
            <w:pPr>
              <w:jc w:val="center"/>
              <w:rPr>
                <w:sz w:val="24"/>
                <w:szCs w:val="24"/>
              </w:rPr>
            </w:pPr>
            <w:r>
              <w:rPr>
                <w:sz w:val="24"/>
                <w:szCs w:val="24"/>
              </w:rPr>
              <w:t>单价（元）</w:t>
            </w:r>
          </w:p>
        </w:tc>
        <w:tc>
          <w:tcPr>
            <w:tcW w:w="1309" w:type="dxa"/>
            <w:vAlign w:val="center"/>
          </w:tcPr>
          <w:p>
            <w:pPr>
              <w:jc w:val="center"/>
              <w:rPr>
                <w:sz w:val="24"/>
                <w:szCs w:val="24"/>
              </w:rPr>
            </w:pPr>
            <w:r>
              <w:rPr>
                <w:sz w:val="24"/>
                <w:szCs w:val="24"/>
              </w:rPr>
              <w:t>数量</w:t>
            </w:r>
          </w:p>
        </w:tc>
        <w:tc>
          <w:tcPr>
            <w:tcW w:w="1309" w:type="dxa"/>
            <w:vAlign w:val="center"/>
          </w:tcPr>
          <w:p>
            <w:pPr>
              <w:jc w:val="center"/>
              <w:rPr>
                <w:sz w:val="24"/>
                <w:szCs w:val="24"/>
              </w:rPr>
            </w:pPr>
            <w:r>
              <w:rPr>
                <w:sz w:val="24"/>
                <w:szCs w:val="24"/>
              </w:rPr>
              <w:t>合价（元）</w:t>
            </w:r>
          </w:p>
        </w:tc>
        <w:tc>
          <w:tcPr>
            <w:tcW w:w="1662" w:type="dxa"/>
            <w:vAlign w:val="center"/>
          </w:tcPr>
          <w:p>
            <w:pPr>
              <w:jc w:val="center"/>
              <w:rPr>
                <w:sz w:val="24"/>
                <w:szCs w:val="24"/>
              </w:rPr>
            </w:pPr>
            <w:r>
              <w:rPr>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9" w:hRule="exact"/>
        </w:trPr>
        <w:tc>
          <w:tcPr>
            <w:tcW w:w="591" w:type="dxa"/>
            <w:vAlign w:val="center"/>
          </w:tcPr>
          <w:p>
            <w:pPr>
              <w:jc w:val="center"/>
              <w:rPr>
                <w:sz w:val="24"/>
                <w:szCs w:val="24"/>
              </w:rPr>
            </w:pPr>
            <w:r>
              <w:rPr>
                <w:sz w:val="24"/>
                <w:szCs w:val="24"/>
              </w:rPr>
              <w:t>1</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trPr>
        <w:tc>
          <w:tcPr>
            <w:tcW w:w="591" w:type="dxa"/>
            <w:vAlign w:val="center"/>
          </w:tcPr>
          <w:p>
            <w:pPr>
              <w:jc w:val="center"/>
              <w:rPr>
                <w:sz w:val="24"/>
                <w:szCs w:val="24"/>
              </w:rPr>
            </w:pPr>
            <w:r>
              <w:rPr>
                <w:sz w:val="24"/>
                <w:szCs w:val="24"/>
              </w:rPr>
              <w:t>2</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591" w:type="dxa"/>
            <w:vAlign w:val="center"/>
          </w:tcPr>
          <w:p>
            <w:pPr>
              <w:jc w:val="center"/>
              <w:rPr>
                <w:sz w:val="24"/>
                <w:szCs w:val="24"/>
              </w:rPr>
            </w:pPr>
            <w:r>
              <w:rPr>
                <w:sz w:val="24"/>
                <w:szCs w:val="24"/>
              </w:rPr>
              <w:t>3</w:t>
            </w:r>
          </w:p>
        </w:tc>
        <w:tc>
          <w:tcPr>
            <w:tcW w:w="2858" w:type="dxa"/>
            <w:vAlign w:val="center"/>
          </w:tcPr>
          <w:p>
            <w:pPr>
              <w:jc w:val="center"/>
              <w:rPr>
                <w:sz w:val="24"/>
                <w:szCs w:val="24"/>
              </w:rPr>
            </w:pPr>
            <w:r>
              <w:rPr>
                <w:sz w:val="24"/>
                <w:szCs w:val="24"/>
              </w:rPr>
              <w:t>…</w:t>
            </w: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6069" w:type="dxa"/>
            <w:gridSpan w:val="4"/>
            <w:vAlign w:val="center"/>
          </w:tcPr>
          <w:p>
            <w:pPr>
              <w:jc w:val="center"/>
              <w:rPr>
                <w:sz w:val="24"/>
                <w:szCs w:val="24"/>
              </w:rPr>
            </w:pPr>
            <w:r>
              <w:rPr>
                <w:sz w:val="24"/>
                <w:szCs w:val="24"/>
              </w:rPr>
              <w:t>总价（元）</w:t>
            </w:r>
          </w:p>
        </w:tc>
        <w:tc>
          <w:tcPr>
            <w:tcW w:w="1309" w:type="dxa"/>
            <w:vAlign w:val="center"/>
          </w:tcPr>
          <w:p>
            <w:pPr>
              <w:jc w:val="center"/>
              <w:rPr>
                <w:sz w:val="24"/>
                <w:szCs w:val="24"/>
              </w:rPr>
            </w:pPr>
          </w:p>
        </w:tc>
        <w:tc>
          <w:tcPr>
            <w:tcW w:w="1662" w:type="dxa"/>
            <w:vAlign w:val="center"/>
          </w:tcPr>
          <w:p>
            <w:pPr>
              <w:jc w:val="center"/>
              <w:rPr>
                <w:sz w:val="24"/>
                <w:szCs w:val="24"/>
              </w:rPr>
            </w:pPr>
          </w:p>
        </w:tc>
      </w:tr>
    </w:tbl>
    <w:p>
      <w:pPr>
        <w:pStyle w:val="12"/>
        <w:rPr>
          <w:rFonts w:asciiTheme="minorEastAsia" w:hAnsiTheme="minorEastAsia" w:eastAsiaTheme="minorEastAsia"/>
          <w:sz w:val="20"/>
        </w:rPr>
      </w:pPr>
    </w:p>
    <w:p>
      <w:pPr>
        <w:pStyle w:val="12"/>
        <w:spacing w:before="10"/>
        <w:rPr>
          <w:rFonts w:asciiTheme="minorEastAsia" w:hAnsiTheme="minorEastAsia" w:eastAsiaTheme="minorEastAsia"/>
          <w:sz w:val="17"/>
        </w:rPr>
      </w:pPr>
    </w:p>
    <w:p>
      <w:pPr>
        <w:rPr>
          <w:i/>
          <w:color w:val="FF0000"/>
          <w:sz w:val="24"/>
          <w:lang w:eastAsia="zh-CN"/>
        </w:rPr>
      </w:pPr>
      <w:r>
        <w:rPr>
          <w:i/>
          <w:color w:val="FF0000"/>
          <w:sz w:val="24"/>
          <w:lang w:eastAsia="zh-CN"/>
        </w:rPr>
        <w:t>（采用工程量清单计价方式的采购项目，应在本部分放置清单计价表格）</w:t>
      </w:r>
    </w:p>
    <w:p>
      <w:pPr>
        <w:pStyle w:val="12"/>
        <w:rPr>
          <w:rFonts w:asciiTheme="minorEastAsia" w:hAnsiTheme="minorEastAsia" w:eastAsiaTheme="minorEastAsia"/>
          <w:i/>
          <w:lang w:eastAsia="zh-CN"/>
        </w:rPr>
      </w:pPr>
    </w:p>
    <w:p>
      <w:pPr>
        <w:pStyle w:val="12"/>
        <w:spacing w:before="3"/>
        <w:rPr>
          <w:rFonts w:asciiTheme="minorEastAsia" w:hAnsiTheme="minorEastAsia" w:eastAsiaTheme="minorEastAsia"/>
          <w:i/>
          <w:sz w:val="18"/>
          <w:lang w:eastAsia="zh-CN"/>
        </w:rPr>
      </w:pPr>
    </w:p>
    <w:p>
      <w:pPr>
        <w:wordWrap w:val="0"/>
        <w:spacing w:before="45" w:line="322" w:lineRule="exact"/>
        <w:ind w:left="221"/>
        <w:rPr>
          <w:sz w:val="24"/>
          <w:szCs w:val="24"/>
          <w:lang w:eastAsia="zh-CN"/>
        </w:rPr>
      </w:pPr>
      <w:r>
        <w:rPr>
          <w:sz w:val="24"/>
          <w:lang w:eastAsia="zh-CN"/>
        </w:rPr>
        <w:t>注：</w:t>
      </w:r>
      <w:r>
        <w:rPr>
          <w:sz w:val="24"/>
          <w:szCs w:val="24"/>
          <w:lang w:eastAsia="zh-CN"/>
        </w:rPr>
        <w:t>1.本表应按包分别填写。</w:t>
      </w:r>
    </w:p>
    <w:p>
      <w:pPr>
        <w:wordWrap w:val="0"/>
        <w:spacing w:line="312" w:lineRule="exact"/>
        <w:ind w:left="701"/>
        <w:rPr>
          <w:sz w:val="24"/>
          <w:szCs w:val="24"/>
          <w:lang w:eastAsia="zh-CN"/>
        </w:rPr>
      </w:pPr>
      <w:r>
        <w:rPr>
          <w:rFonts w:hint="eastAsia"/>
          <w:spacing w:val="-2"/>
          <w:w w:val="114"/>
          <w:sz w:val="24"/>
          <w:szCs w:val="24"/>
          <w:lang w:eastAsia="zh-CN"/>
        </w:rPr>
        <w:t>2</w:t>
      </w:r>
      <w:r>
        <w:rPr>
          <w:w w:val="114"/>
          <w:sz w:val="24"/>
          <w:szCs w:val="24"/>
          <w:lang w:eastAsia="zh-CN"/>
        </w:rPr>
        <w:t>.</w:t>
      </w:r>
      <w:r>
        <w:rPr>
          <w:sz w:val="24"/>
          <w:szCs w:val="24"/>
          <w:lang w:eastAsia="zh-CN"/>
        </w:rPr>
        <w:t>上述各项的详细规格（如有</w:t>
      </w:r>
      <w:r>
        <w:rPr>
          <w:spacing w:val="-120"/>
          <w:sz w:val="24"/>
          <w:szCs w:val="24"/>
          <w:lang w:eastAsia="zh-CN"/>
        </w:rPr>
        <w:t>）</w:t>
      </w:r>
      <w:r>
        <w:rPr>
          <w:sz w:val="24"/>
          <w:szCs w:val="24"/>
          <w:lang w:eastAsia="zh-CN"/>
        </w:rPr>
        <w:t>，可另页描述。</w:t>
      </w:r>
    </w:p>
    <w:p>
      <w:pPr>
        <w:wordWrap w:val="0"/>
        <w:spacing w:before="21" w:line="310" w:lineRule="exact"/>
        <w:ind w:left="221" w:right="111" w:firstLine="480"/>
        <w:rPr>
          <w:sz w:val="24"/>
          <w:szCs w:val="24"/>
          <w:lang w:eastAsia="zh-CN"/>
        </w:rPr>
      </w:pPr>
      <w:r>
        <w:rPr>
          <w:rFonts w:hint="eastAsia"/>
          <w:spacing w:val="-2"/>
          <w:w w:val="114"/>
          <w:sz w:val="24"/>
          <w:szCs w:val="24"/>
          <w:lang w:eastAsia="zh-CN"/>
        </w:rPr>
        <w:t>3</w:t>
      </w:r>
      <w:r>
        <w:rPr>
          <w:w w:val="114"/>
          <w:sz w:val="24"/>
          <w:szCs w:val="24"/>
          <w:lang w:eastAsia="zh-CN"/>
        </w:rPr>
        <w:t>.</w:t>
      </w:r>
      <w:r>
        <w:rPr>
          <w:rFonts w:hint="eastAsia"/>
          <w:sz w:val="24"/>
          <w:szCs w:val="24"/>
          <w:lang w:eastAsia="zh-CN"/>
        </w:rPr>
        <w:t>供应规模列应填写“大型”、“中型”、“小型”、“微型”或“其他”，且不应与《中小企业声明函》或《拟分包情况说明》中内容矛盾。制造商所属性别请填写“男”或“女”，指拥有制造商</w:t>
      </w:r>
      <w:r>
        <w:rPr>
          <w:sz w:val="24"/>
          <w:szCs w:val="24"/>
          <w:lang w:eastAsia="zh-CN"/>
        </w:rPr>
        <w:t xml:space="preserve"> 51%以上绝对所有权的性别；绝对所有权拥有者可以是一个人，也可以是多人合计计算。外商投资类型请填写“外商单独投资”、“外商部分投资”或“内资”。</w:t>
      </w:r>
    </w:p>
    <w:p>
      <w:pPr>
        <w:spacing w:line="360" w:lineRule="auto"/>
        <w:ind w:left="422" w:leftChars="63" w:hanging="283" w:hangingChars="118"/>
        <w:rPr>
          <w:sz w:val="24"/>
          <w:lang w:eastAsia="zh-CN"/>
        </w:rPr>
      </w:pPr>
    </w:p>
    <w:p>
      <w:pPr>
        <w:spacing w:line="360" w:lineRule="auto"/>
        <w:rPr>
          <w:sz w:val="24"/>
          <w:lang w:eastAsia="zh-CN"/>
        </w:rPr>
      </w:pPr>
    </w:p>
    <w:p>
      <w:pPr>
        <w:spacing w:line="360" w:lineRule="auto"/>
        <w:rPr>
          <w:sz w:val="24"/>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9  </w:t>
      </w:r>
      <w:r>
        <w:rPr>
          <w:b/>
          <w:bCs/>
          <w:i w:val="0"/>
          <w:lang w:eastAsia="zh-CN"/>
        </w:rPr>
        <w:t>合同条款偏离表（实质性格式）</w:t>
      </w:r>
    </w:p>
    <w:p>
      <w:pPr>
        <w:pStyle w:val="12"/>
        <w:spacing w:before="7"/>
        <w:rPr>
          <w:rFonts w:asciiTheme="minorEastAsia" w:hAnsiTheme="minorEastAsia" w:eastAsiaTheme="minorEastAsia"/>
          <w:sz w:val="40"/>
          <w:lang w:eastAsia="zh-CN"/>
        </w:rPr>
      </w:pPr>
    </w:p>
    <w:p>
      <w:pPr>
        <w:jc w:val="center"/>
        <w:rPr>
          <w:b/>
          <w:sz w:val="32"/>
          <w:lang w:eastAsia="zh-CN"/>
        </w:rPr>
      </w:pPr>
      <w:r>
        <w:rPr>
          <w:b/>
          <w:sz w:val="32"/>
          <w:lang w:eastAsia="zh-CN"/>
        </w:rPr>
        <w:t>合同条款偏离表</w:t>
      </w:r>
    </w:p>
    <w:p>
      <w:pPr>
        <w:pStyle w:val="12"/>
        <w:rPr>
          <w:rFonts w:asciiTheme="minorEastAsia" w:hAnsiTheme="minorEastAsia" w:eastAsiaTheme="minorEastAsia"/>
          <w:sz w:val="20"/>
          <w:lang w:eastAsia="zh-CN"/>
        </w:rPr>
      </w:pPr>
    </w:p>
    <w:p>
      <w:pPr>
        <w:pStyle w:val="12"/>
        <w:spacing w:before="9"/>
        <w:rPr>
          <w:rFonts w:asciiTheme="minorEastAsia" w:hAnsiTheme="minorEastAsia" w:eastAsiaTheme="minorEastAsia"/>
          <w:sz w:val="27"/>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2"/>
        <w:spacing w:before="8"/>
        <w:rPr>
          <w:rFonts w:asciiTheme="minorEastAsia" w:hAnsiTheme="minorEastAsia" w:eastAsiaTheme="minorEastAsia"/>
          <w:sz w:val="1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519"/>
        <w:gridCol w:w="1728"/>
        <w:gridCol w:w="1730"/>
        <w:gridCol w:w="2124"/>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982" w:type="dxa"/>
            <w:vAlign w:val="center"/>
          </w:tcPr>
          <w:p>
            <w:pPr>
              <w:jc w:val="center"/>
            </w:pPr>
            <w:r>
              <w:t>序号</w:t>
            </w:r>
          </w:p>
        </w:tc>
        <w:tc>
          <w:tcPr>
            <w:tcW w:w="1519" w:type="dxa"/>
            <w:vAlign w:val="center"/>
          </w:tcPr>
          <w:p>
            <w:pPr>
              <w:jc w:val="center"/>
              <w:rPr>
                <w:lang w:eastAsia="zh-CN"/>
              </w:rPr>
            </w:pPr>
            <w:r>
              <w:rPr>
                <w:lang w:eastAsia="zh-CN"/>
              </w:rPr>
              <w:t>竞争性磋商</w:t>
            </w:r>
          </w:p>
          <w:p>
            <w:pPr>
              <w:jc w:val="center"/>
              <w:rPr>
                <w:lang w:eastAsia="zh-CN"/>
              </w:rPr>
            </w:pPr>
            <w:r>
              <w:rPr>
                <w:lang w:eastAsia="zh-CN"/>
              </w:rPr>
              <w:t>文件条目号</w:t>
            </w:r>
          </w:p>
          <w:p>
            <w:pPr>
              <w:jc w:val="center"/>
              <w:rPr>
                <w:lang w:eastAsia="zh-CN"/>
              </w:rPr>
            </w:pPr>
            <w:r>
              <w:rPr>
                <w:lang w:eastAsia="zh-CN"/>
              </w:rPr>
              <w:t>（页码）</w:t>
            </w:r>
          </w:p>
        </w:tc>
        <w:tc>
          <w:tcPr>
            <w:tcW w:w="1728" w:type="dxa"/>
            <w:vAlign w:val="center"/>
          </w:tcPr>
          <w:p>
            <w:pPr>
              <w:jc w:val="center"/>
            </w:pPr>
            <w:r>
              <w:t>竞争性磋商文件要求</w:t>
            </w:r>
          </w:p>
        </w:tc>
        <w:tc>
          <w:tcPr>
            <w:tcW w:w="1730" w:type="dxa"/>
            <w:vAlign w:val="center"/>
          </w:tcPr>
          <w:p>
            <w:pPr>
              <w:jc w:val="center"/>
            </w:pPr>
            <w:r>
              <w:t>响应文件内容</w:t>
            </w:r>
          </w:p>
        </w:tc>
        <w:tc>
          <w:tcPr>
            <w:tcW w:w="2124" w:type="dxa"/>
            <w:vAlign w:val="center"/>
          </w:tcPr>
          <w:p>
            <w:pPr>
              <w:jc w:val="center"/>
            </w:pPr>
            <w:r>
              <w:t>偏离情况</w:t>
            </w:r>
          </w:p>
        </w:tc>
        <w:tc>
          <w:tcPr>
            <w:tcW w:w="957" w:type="dxa"/>
            <w:vAlign w:val="center"/>
          </w:tcPr>
          <w:p>
            <w:pPr>
              <w:jc w:val="center"/>
            </w:pPr>
            <w: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6" w:hRule="exact"/>
        </w:trPr>
        <w:tc>
          <w:tcPr>
            <w:tcW w:w="9040" w:type="dxa"/>
            <w:gridSpan w:val="6"/>
            <w:vAlign w:val="center"/>
          </w:tcPr>
          <w:p>
            <w:pPr>
              <w:jc w:val="both"/>
              <w:rPr>
                <w:lang w:eastAsia="zh-CN"/>
              </w:rPr>
            </w:pPr>
            <w:r>
              <w:rPr>
                <w:b/>
                <w:lang w:eastAsia="zh-CN"/>
              </w:rPr>
              <w:t>对本项目合同条款的偏离情况</w:t>
            </w:r>
            <w:r>
              <w:rPr>
                <w:lang w:eastAsia="zh-CN"/>
              </w:rPr>
              <w:t>（应进行选择，未选择</w:t>
            </w:r>
            <w:r>
              <w:rPr>
                <w:b/>
                <w:lang w:eastAsia="zh-CN"/>
              </w:rPr>
              <w:t>响应无效</w:t>
            </w:r>
            <w:r>
              <w:rPr>
                <w:lang w:eastAsia="zh-CN"/>
              </w:rPr>
              <w:t>）：</w:t>
            </w:r>
          </w:p>
          <w:p>
            <w:pPr>
              <w:jc w:val="both"/>
              <w:rPr>
                <w:lang w:eastAsia="zh-CN"/>
              </w:rPr>
            </w:pPr>
            <w:r>
              <w:rPr>
                <w:lang w:eastAsia="zh-CN"/>
              </w:rPr>
              <w:t>□</w:t>
            </w:r>
            <w:r>
              <w:rPr>
                <w:b/>
                <w:lang w:eastAsia="zh-CN"/>
              </w:rPr>
              <w:t>无偏离</w:t>
            </w:r>
            <w:r>
              <w:rPr>
                <w:lang w:eastAsia="zh-CN"/>
              </w:rPr>
              <w:t>（如无偏离，仅选择无偏离即可；无偏离即为对合同条款中的所有要求，均视作供应商已对之理解和响应。）</w:t>
            </w:r>
          </w:p>
          <w:p>
            <w:pPr>
              <w:jc w:val="both"/>
            </w:pPr>
            <w:r>
              <w:rPr>
                <w:lang w:eastAsia="zh-CN"/>
              </w:rPr>
              <w:t>□</w:t>
            </w:r>
            <w:r>
              <w:rPr>
                <w:b/>
                <w:lang w:eastAsia="zh-CN"/>
              </w:rPr>
              <w:t>有偏离</w:t>
            </w:r>
            <w:r>
              <w:rPr>
                <w:lang w:eastAsia="zh-CN"/>
              </w:rPr>
              <w:t>（如有偏离，则应在本表中对负偏离项逐一列明，否则</w:t>
            </w:r>
            <w:r>
              <w:rPr>
                <w:b/>
                <w:lang w:eastAsia="zh-CN"/>
              </w:rPr>
              <w:t>响应无效</w:t>
            </w:r>
            <w:r>
              <w:rPr>
                <w:lang w:eastAsia="zh-CN"/>
              </w:rPr>
              <w:t>；对合同条款中的所有要求，除本表列明的偏离外，均视作供应商已对之理解和响应。</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bl>
    <w:p>
      <w:pPr>
        <w:pStyle w:val="12"/>
        <w:spacing w:before="2"/>
        <w:rPr>
          <w:rFonts w:asciiTheme="minorEastAsia" w:hAnsiTheme="minorEastAsia" w:eastAsiaTheme="minorEastAsia"/>
          <w:sz w:val="17"/>
        </w:rPr>
      </w:pPr>
    </w:p>
    <w:p>
      <w:pPr>
        <w:rPr>
          <w:sz w:val="24"/>
          <w:lang w:eastAsia="zh-CN"/>
        </w:rPr>
      </w:pPr>
      <w:r>
        <w:rPr>
          <w:sz w:val="24"/>
          <w:lang w:eastAsia="zh-CN"/>
        </w:rPr>
        <w:t>注：“偏离情况”列应据实填写“正偏离”或“负偏离”。</w:t>
      </w:r>
    </w:p>
    <w:p>
      <w:pPr>
        <w:pStyle w:val="12"/>
        <w:rPr>
          <w:rFonts w:asciiTheme="minorEastAsia" w:hAnsiTheme="minorEastAsia" w:eastAsiaTheme="minorEastAsia"/>
          <w:sz w:val="32"/>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10   </w:t>
      </w:r>
      <w:r>
        <w:rPr>
          <w:b/>
          <w:bCs/>
          <w:i w:val="0"/>
          <w:lang w:eastAsia="zh-CN"/>
        </w:rPr>
        <w:t>采购需求偏离表（实质性格式）</w:t>
      </w:r>
    </w:p>
    <w:p>
      <w:pPr>
        <w:jc w:val="center"/>
        <w:rPr>
          <w:b/>
          <w:sz w:val="32"/>
          <w:lang w:eastAsia="zh-CN"/>
        </w:rPr>
      </w:pPr>
      <w:r>
        <w:rPr>
          <w:b/>
          <w:sz w:val="32"/>
          <w:lang w:eastAsia="zh-CN"/>
        </w:rPr>
        <w:t>采购需求偏离表</w:t>
      </w:r>
    </w:p>
    <w:p>
      <w:pPr>
        <w:pStyle w:val="12"/>
        <w:spacing w:before="11"/>
        <w:rPr>
          <w:rFonts w:asciiTheme="minorEastAsia" w:hAnsiTheme="minorEastAsia" w:eastAsiaTheme="minorEastAsia"/>
          <w:sz w:val="15"/>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2"/>
        <w:spacing w:before="10"/>
        <w:rPr>
          <w:rFonts w:asciiTheme="minorEastAsia" w:hAnsiTheme="minorEastAsia" w:eastAsiaTheme="minorEastAsia"/>
          <w:sz w:val="1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388"/>
        <w:gridCol w:w="2233"/>
        <w:gridCol w:w="1991"/>
        <w:gridCol w:w="1756"/>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exact"/>
        </w:trPr>
        <w:tc>
          <w:tcPr>
            <w:tcW w:w="72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388" w:type="dxa"/>
            <w:vAlign w:val="center"/>
          </w:tcPr>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竞争性磋商文件条目号</w:t>
            </w:r>
          </w:p>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(页码)</w:t>
            </w:r>
          </w:p>
        </w:tc>
        <w:tc>
          <w:tcPr>
            <w:tcW w:w="223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竞争性磋商文件要求</w:t>
            </w:r>
          </w:p>
        </w:tc>
        <w:tc>
          <w:tcPr>
            <w:tcW w:w="1991"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响应内容</w:t>
            </w:r>
          </w:p>
        </w:tc>
        <w:tc>
          <w:tcPr>
            <w:tcW w:w="175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偏离情况</w:t>
            </w:r>
          </w:p>
        </w:tc>
        <w:tc>
          <w:tcPr>
            <w:tcW w:w="94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bl>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spacing w:before="3"/>
        <w:rPr>
          <w:rFonts w:asciiTheme="minorEastAsia" w:hAnsiTheme="minorEastAsia" w:eastAsiaTheme="minorEastAsia"/>
          <w:sz w:val="27"/>
        </w:rPr>
      </w:pPr>
    </w:p>
    <w:p>
      <w:pPr>
        <w:rPr>
          <w:sz w:val="24"/>
          <w:lang w:eastAsia="zh-CN"/>
        </w:rPr>
      </w:pPr>
      <w:r>
        <w:rPr>
          <w:sz w:val="24"/>
          <w:lang w:eastAsia="zh-CN"/>
        </w:rPr>
        <w:t>注：</w:t>
      </w:r>
    </w:p>
    <w:p>
      <w:pPr>
        <w:rPr>
          <w:sz w:val="24"/>
          <w:lang w:eastAsia="zh-CN"/>
        </w:rPr>
      </w:pPr>
      <w:r>
        <w:rPr>
          <w:sz w:val="24"/>
          <w:lang w:eastAsia="zh-CN"/>
        </w:rPr>
        <w:t>1.对竞争性磋商文件中的所有商务、技术要求，除本表所列明的所有偏离外，均视作供应商已对之理解和响应。此表中若无任何文字说明，内容为空白的，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pPr>
        <w:rPr>
          <w:sz w:val="24"/>
          <w:lang w:eastAsia="zh-CN"/>
        </w:rPr>
      </w:pPr>
      <w:r>
        <w:rPr>
          <w:sz w:val="24"/>
          <w:lang w:eastAsia="zh-CN"/>
        </w:rPr>
        <w:t>2.“偏离情况”列应据实填写“无偏离”、“正偏离”或“负偏离”。</w:t>
      </w:r>
    </w:p>
    <w:p>
      <w:pPr>
        <w:pStyle w:val="12"/>
        <w:rPr>
          <w:rFonts w:asciiTheme="minorEastAsia" w:hAnsiTheme="minorEastAsia" w:eastAsiaTheme="minorEastAsia"/>
          <w:sz w:val="28"/>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11 竞争性磋商文件要求提供或供应商认为应附的其他材料</w:t>
      </w:r>
    </w:p>
    <w:p>
      <w:pPr>
        <w:rPr>
          <w:sz w:val="25"/>
          <w:szCs w:val="25"/>
          <w:lang w:eastAsia="zh-CN"/>
        </w:rPr>
      </w:pPr>
    </w:p>
    <w:p>
      <w:pPr>
        <w:rPr>
          <w:sz w:val="25"/>
          <w:szCs w:val="25"/>
          <w:lang w:eastAsia="zh-CN"/>
        </w:rPr>
      </w:pPr>
      <w:r>
        <w:rPr>
          <w:rFonts w:hint="eastAsia"/>
          <w:sz w:val="25"/>
          <w:szCs w:val="25"/>
          <w:lang w:eastAsia="zh-CN"/>
        </w:rPr>
        <w:t>11-1 供应商信息采集表</w:t>
      </w:r>
    </w:p>
    <w:tbl>
      <w:tblPr>
        <w:tblStyle w:val="2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3146"/>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r>
              <w:rPr>
                <w:rFonts w:hint="eastAsia"/>
                <w:sz w:val="25"/>
                <w:szCs w:val="25"/>
                <w:lang w:eastAsia="zh-CN"/>
              </w:rPr>
              <w:t>供应商名称</w:t>
            </w:r>
          </w:p>
        </w:tc>
        <w:tc>
          <w:tcPr>
            <w:tcW w:w="3146" w:type="dxa"/>
          </w:tcPr>
          <w:p>
            <w:pPr>
              <w:widowControl/>
              <w:autoSpaceDE/>
              <w:autoSpaceDN/>
              <w:jc w:val="both"/>
              <w:rPr>
                <w:sz w:val="25"/>
                <w:szCs w:val="25"/>
                <w:lang w:eastAsia="zh-CN"/>
              </w:rPr>
            </w:pPr>
            <w:r>
              <w:rPr>
                <w:rFonts w:hint="eastAsia"/>
                <w:sz w:val="25"/>
                <w:szCs w:val="25"/>
                <w:lang w:eastAsia="zh-CN"/>
              </w:rPr>
              <w:t>供应商所属性别</w:t>
            </w:r>
          </w:p>
        </w:tc>
        <w:tc>
          <w:tcPr>
            <w:tcW w:w="3147" w:type="dxa"/>
          </w:tcPr>
          <w:p>
            <w:pPr>
              <w:widowControl/>
              <w:autoSpaceDE/>
              <w:autoSpaceDN/>
              <w:jc w:val="both"/>
              <w:rPr>
                <w:sz w:val="25"/>
                <w:szCs w:val="25"/>
                <w:lang w:eastAsia="zh-CN"/>
              </w:rPr>
            </w:pPr>
            <w:r>
              <w:rPr>
                <w:rFonts w:hint="eastAsia"/>
                <w:sz w:val="25"/>
                <w:szCs w:val="25"/>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bl>
    <w:p>
      <w:pPr>
        <w:widowControl/>
        <w:autoSpaceDE/>
        <w:autoSpaceDN/>
        <w:rPr>
          <w:sz w:val="25"/>
          <w:szCs w:val="25"/>
          <w:lang w:eastAsia="zh-CN"/>
        </w:rPr>
      </w:pPr>
      <w:r>
        <w:rPr>
          <w:rFonts w:hint="eastAsia"/>
          <w:sz w:val="25"/>
          <w:szCs w:val="25"/>
          <w:lang w:eastAsia="zh-CN"/>
        </w:rPr>
        <w:t>注：1.供应商如为联合体，则应填写联合体各成员信息。</w:t>
      </w:r>
    </w:p>
    <w:p>
      <w:pPr>
        <w:widowControl/>
        <w:autoSpaceDE/>
        <w:autoSpaceDN/>
        <w:rPr>
          <w:sz w:val="25"/>
          <w:szCs w:val="25"/>
          <w:lang w:eastAsia="zh-CN"/>
        </w:rPr>
      </w:pPr>
      <w:r>
        <w:rPr>
          <w:rFonts w:hint="eastAsia"/>
          <w:sz w:val="25"/>
          <w:szCs w:val="25"/>
          <w:lang w:eastAsia="zh-CN"/>
        </w:rPr>
        <w:t>2.供应商所属性别请填写“男”或“女”，指拥有供应商 51%以上绝对所有权的性</w:t>
      </w:r>
    </w:p>
    <w:p>
      <w:pPr>
        <w:widowControl/>
        <w:autoSpaceDE/>
        <w:autoSpaceDN/>
        <w:rPr>
          <w:sz w:val="25"/>
          <w:szCs w:val="25"/>
          <w:lang w:eastAsia="zh-CN"/>
        </w:rPr>
      </w:pPr>
      <w:r>
        <w:rPr>
          <w:rFonts w:hint="eastAsia"/>
          <w:sz w:val="25"/>
          <w:szCs w:val="25"/>
          <w:lang w:eastAsia="zh-CN"/>
        </w:rPr>
        <w:t>别；绝对所有权拥有者可以是一个人，也可以是多人合计计算。</w:t>
      </w:r>
    </w:p>
    <w:p>
      <w:pPr>
        <w:widowControl/>
        <w:autoSpaceDE/>
        <w:autoSpaceDN/>
        <w:rPr>
          <w:rFonts w:asciiTheme="minorEastAsia" w:hAnsiTheme="minorEastAsia" w:eastAsiaTheme="minorEastAsia"/>
          <w:sz w:val="16"/>
          <w:szCs w:val="24"/>
          <w:lang w:eastAsia="zh-CN"/>
        </w:rPr>
      </w:pPr>
      <w:r>
        <w:rPr>
          <w:rFonts w:hint="eastAsia"/>
          <w:sz w:val="25"/>
          <w:szCs w:val="25"/>
          <w:lang w:eastAsia="zh-CN"/>
        </w:rPr>
        <w:t>3.外商投资类型请填写“外商单独投资”、“外商部分投资”或“内资”。</w:t>
      </w: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12  </w:t>
      </w:r>
      <w:r>
        <w:rPr>
          <w:b/>
          <w:bCs/>
          <w:i w:val="0"/>
          <w:lang w:eastAsia="zh-CN"/>
        </w:rPr>
        <w:t>最后报价一览表（实质性格式，磋商后提交）</w:t>
      </w:r>
    </w:p>
    <w:p>
      <w:pPr>
        <w:pStyle w:val="12"/>
        <w:spacing w:before="3"/>
        <w:rPr>
          <w:rFonts w:asciiTheme="minorEastAsia" w:hAnsiTheme="minorEastAsia" w:eastAsiaTheme="minorEastAsia"/>
          <w:lang w:eastAsia="zh-CN"/>
        </w:rPr>
      </w:pPr>
    </w:p>
    <w:p>
      <w:pPr>
        <w:jc w:val="center"/>
        <w:rPr>
          <w:b/>
          <w:sz w:val="32"/>
          <w:lang w:eastAsia="zh-CN"/>
        </w:rPr>
      </w:pPr>
      <w:r>
        <w:rPr>
          <w:b/>
          <w:sz w:val="32"/>
          <w:lang w:eastAsia="zh-CN"/>
        </w:rPr>
        <w:t>最后报价一览表</w:t>
      </w:r>
    </w:p>
    <w:p>
      <w:pPr>
        <w:pStyle w:val="12"/>
        <w:spacing w:before="5"/>
        <w:rPr>
          <w:rFonts w:asciiTheme="minorEastAsia" w:hAnsiTheme="minorEastAsia" w:eastAsiaTheme="minorEastAsia"/>
          <w:sz w:val="27"/>
          <w:lang w:eastAsia="zh-CN"/>
        </w:rPr>
      </w:pPr>
    </w:p>
    <w:p>
      <w:pPr>
        <w:rPr>
          <w:sz w:val="24"/>
          <w:u w:val="single"/>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rPr>
          <w:sz w:val="24"/>
          <w:u w:val="single"/>
          <w:lang w:eastAsia="zh-CN"/>
        </w:rPr>
      </w:pPr>
    </w:p>
    <w:p>
      <w:pPr>
        <w:rPr>
          <w:sz w:val="2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708"/>
        <w:gridCol w:w="2014"/>
        <w:gridCol w:w="1794"/>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08" w:type="dxa"/>
            <w:vMerge w:val="restart"/>
            <w:vAlign w:val="center"/>
          </w:tcPr>
          <w:p>
            <w:pPr>
              <w:jc w:val="center"/>
              <w:rPr>
                <w:b/>
                <w:sz w:val="24"/>
              </w:rPr>
            </w:pPr>
            <w:r>
              <w:rPr>
                <w:b/>
                <w:sz w:val="24"/>
              </w:rPr>
              <w:t>序号</w:t>
            </w:r>
          </w:p>
        </w:tc>
        <w:tc>
          <w:tcPr>
            <w:tcW w:w="2708" w:type="dxa"/>
            <w:vMerge w:val="restart"/>
            <w:vAlign w:val="center"/>
          </w:tcPr>
          <w:p>
            <w:pPr>
              <w:jc w:val="center"/>
              <w:rPr>
                <w:b/>
                <w:sz w:val="24"/>
              </w:rPr>
            </w:pPr>
            <w:r>
              <w:rPr>
                <w:b/>
                <w:sz w:val="24"/>
              </w:rPr>
              <w:t>供应商名称</w:t>
            </w:r>
          </w:p>
        </w:tc>
        <w:tc>
          <w:tcPr>
            <w:tcW w:w="3808" w:type="dxa"/>
            <w:gridSpan w:val="2"/>
            <w:vAlign w:val="center"/>
          </w:tcPr>
          <w:p>
            <w:pPr>
              <w:jc w:val="center"/>
              <w:rPr>
                <w:b/>
                <w:sz w:val="24"/>
              </w:rPr>
            </w:pPr>
            <w:r>
              <w:rPr>
                <w:b/>
                <w:sz w:val="24"/>
              </w:rPr>
              <w:t>最后报价</w:t>
            </w:r>
          </w:p>
        </w:tc>
        <w:tc>
          <w:tcPr>
            <w:tcW w:w="1716" w:type="dxa"/>
            <w:vMerge w:val="restart"/>
            <w:vAlign w:val="center"/>
          </w:tcPr>
          <w:p>
            <w:pPr>
              <w:jc w:val="center"/>
              <w:rPr>
                <w:b/>
                <w:sz w:val="24"/>
              </w:rPr>
            </w:pPr>
            <w:r>
              <w:rPr>
                <w:b/>
                <w:sz w:val="24"/>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08" w:type="dxa"/>
            <w:vMerge w:val="continue"/>
            <w:vAlign w:val="center"/>
          </w:tcPr>
          <w:p>
            <w:pPr>
              <w:jc w:val="center"/>
              <w:rPr>
                <w:sz w:val="24"/>
              </w:rPr>
            </w:pPr>
          </w:p>
        </w:tc>
        <w:tc>
          <w:tcPr>
            <w:tcW w:w="2708" w:type="dxa"/>
            <w:vMerge w:val="continue"/>
            <w:vAlign w:val="center"/>
          </w:tcPr>
          <w:p>
            <w:pPr>
              <w:jc w:val="center"/>
              <w:rPr>
                <w:sz w:val="24"/>
              </w:rPr>
            </w:pPr>
          </w:p>
        </w:tc>
        <w:tc>
          <w:tcPr>
            <w:tcW w:w="2014" w:type="dxa"/>
            <w:vAlign w:val="center"/>
          </w:tcPr>
          <w:p>
            <w:pPr>
              <w:jc w:val="center"/>
              <w:rPr>
                <w:b/>
                <w:sz w:val="24"/>
              </w:rPr>
            </w:pPr>
            <w:r>
              <w:rPr>
                <w:b/>
                <w:sz w:val="24"/>
              </w:rPr>
              <w:t>大写</w:t>
            </w:r>
          </w:p>
        </w:tc>
        <w:tc>
          <w:tcPr>
            <w:tcW w:w="1794" w:type="dxa"/>
            <w:vAlign w:val="center"/>
          </w:tcPr>
          <w:p>
            <w:pPr>
              <w:jc w:val="center"/>
              <w:rPr>
                <w:b/>
                <w:sz w:val="24"/>
              </w:rPr>
            </w:pPr>
            <w:r>
              <w:rPr>
                <w:b/>
                <w:sz w:val="24"/>
              </w:rPr>
              <w:t>小写</w:t>
            </w:r>
          </w:p>
        </w:tc>
        <w:tc>
          <w:tcPr>
            <w:tcW w:w="1716" w:type="dxa"/>
            <w:vMerge w:val="continue"/>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08" w:type="dxa"/>
            <w:vAlign w:val="center"/>
          </w:tcPr>
          <w:p>
            <w:pPr>
              <w:jc w:val="center"/>
              <w:rPr>
                <w:sz w:val="24"/>
              </w:rPr>
            </w:pPr>
          </w:p>
        </w:tc>
        <w:tc>
          <w:tcPr>
            <w:tcW w:w="2708" w:type="dxa"/>
            <w:vAlign w:val="center"/>
          </w:tcPr>
          <w:p>
            <w:pPr>
              <w:jc w:val="center"/>
              <w:rPr>
                <w:sz w:val="24"/>
              </w:rPr>
            </w:pPr>
          </w:p>
        </w:tc>
        <w:tc>
          <w:tcPr>
            <w:tcW w:w="2014" w:type="dxa"/>
            <w:vAlign w:val="center"/>
          </w:tcPr>
          <w:p>
            <w:pPr>
              <w:jc w:val="center"/>
              <w:rPr>
                <w:sz w:val="24"/>
              </w:rPr>
            </w:pPr>
          </w:p>
        </w:tc>
        <w:tc>
          <w:tcPr>
            <w:tcW w:w="1794" w:type="dxa"/>
            <w:vAlign w:val="center"/>
          </w:tcPr>
          <w:p>
            <w:pPr>
              <w:jc w:val="center"/>
              <w:rPr>
                <w:sz w:val="24"/>
              </w:rPr>
            </w:pPr>
          </w:p>
        </w:tc>
        <w:tc>
          <w:tcPr>
            <w:tcW w:w="1716" w:type="dxa"/>
            <w:vAlign w:val="center"/>
          </w:tcPr>
          <w:p>
            <w:pPr>
              <w:jc w:val="center"/>
              <w:rPr>
                <w:sz w:val="24"/>
              </w:rPr>
            </w:pPr>
          </w:p>
        </w:tc>
      </w:tr>
    </w:tbl>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rPr>
          <w:sz w:val="24"/>
          <w:lang w:eastAsia="zh-CN"/>
        </w:rPr>
      </w:pPr>
      <w:r>
        <w:rPr>
          <w:sz w:val="24"/>
          <w:lang w:eastAsia="zh-CN"/>
        </w:rPr>
        <w:t>注：1.此表中，每包的最后报价应和《最后分项报价表》中的总价相一致。</w:t>
      </w:r>
    </w:p>
    <w:p>
      <w:pPr>
        <w:ind w:left="425" w:leftChars="193" w:firstLine="139" w:firstLineChars="58"/>
        <w:rPr>
          <w:sz w:val="24"/>
          <w:lang w:eastAsia="zh-CN"/>
        </w:rPr>
      </w:pPr>
      <w:r>
        <w:rPr>
          <w:sz w:val="24"/>
          <w:lang w:eastAsia="zh-CN"/>
        </w:rPr>
        <w:t>2.本表必须按包分别填写。</w:t>
      </w:r>
    </w:p>
    <w:p>
      <w:pPr>
        <w:ind w:left="425" w:leftChars="193" w:firstLine="139" w:firstLineChars="58"/>
        <w:rPr>
          <w:sz w:val="24"/>
          <w:lang w:eastAsia="zh-CN"/>
        </w:rPr>
      </w:pPr>
      <w:r>
        <w:rPr>
          <w:sz w:val="24"/>
          <w:lang w:eastAsia="zh-CN"/>
        </w:rPr>
        <w:t>3.此表无需在响应文件中提交，磋商后供应商按磋商小组要求提交。</w:t>
      </w:r>
    </w:p>
    <w:p>
      <w:pPr>
        <w:pStyle w:val="12"/>
        <w:rPr>
          <w:rFonts w:asciiTheme="minorEastAsia" w:hAnsiTheme="minorEastAsia" w:eastAsiaTheme="minorEastAsia"/>
          <w:sz w:val="28"/>
          <w:lang w:eastAsia="zh-CN"/>
        </w:rPr>
      </w:pPr>
    </w:p>
    <w:p>
      <w:pPr>
        <w:pStyle w:val="12"/>
        <w:rPr>
          <w:rFonts w:asciiTheme="minorEastAsia" w:hAnsiTheme="minorEastAsia" w:eastAsiaTheme="minorEastAsia"/>
          <w:sz w:val="28"/>
          <w:lang w:eastAsia="zh-CN"/>
        </w:rPr>
      </w:pPr>
    </w:p>
    <w:p>
      <w:pPr>
        <w:pStyle w:val="12"/>
        <w:spacing w:before="3"/>
        <w:rPr>
          <w:rFonts w:asciiTheme="minorEastAsia" w:hAnsiTheme="minorEastAsia" w:eastAsiaTheme="minorEastAsia"/>
          <w:sz w:val="33"/>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lang w:eastAsia="zh-CN"/>
        </w:rPr>
        <w:tab/>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lang w:eastAsia="zh-CN"/>
        </w:rPr>
      </w:pP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4" w:type="default"/>
          <w:footerReference r:id="rId15" w:type="default"/>
          <w:pgSz w:w="11910" w:h="16840"/>
          <w:pgMar w:top="1797" w:right="1440" w:bottom="1797" w:left="1440" w:header="878" w:footer="891" w:gutter="0"/>
          <w:cols w:space="720" w:num="1"/>
          <w:docGrid w:linePitch="299" w:charSpace="0"/>
        </w:sectPr>
      </w:pPr>
    </w:p>
    <w:p>
      <w:pPr>
        <w:pStyle w:val="6"/>
        <w:ind w:left="0"/>
        <w:rPr>
          <w:b/>
          <w:bCs/>
          <w:i w:val="0"/>
          <w:lang w:eastAsia="zh-CN"/>
        </w:rPr>
      </w:pPr>
      <w:r>
        <w:rPr>
          <w:rFonts w:hint="eastAsia"/>
          <w:b/>
          <w:bCs/>
          <w:i w:val="0"/>
          <w:lang w:eastAsia="zh-CN"/>
        </w:rPr>
        <w:t xml:space="preserve">13   </w:t>
      </w:r>
      <w:r>
        <w:rPr>
          <w:b/>
          <w:bCs/>
          <w:i w:val="0"/>
          <w:lang w:eastAsia="zh-CN"/>
        </w:rPr>
        <w:t>最后分项报价表（实质性格式，磋商后提交）</w:t>
      </w:r>
    </w:p>
    <w:p>
      <w:pPr>
        <w:pStyle w:val="12"/>
        <w:spacing w:before="8"/>
        <w:rPr>
          <w:rFonts w:asciiTheme="minorEastAsia" w:hAnsiTheme="minorEastAsia" w:eastAsiaTheme="minorEastAsia"/>
          <w:sz w:val="31"/>
          <w:lang w:eastAsia="zh-CN"/>
        </w:rPr>
      </w:pPr>
    </w:p>
    <w:p>
      <w:pPr>
        <w:ind w:firstLine="3213" w:firstLineChars="1000"/>
        <w:jc w:val="both"/>
        <w:rPr>
          <w:rFonts w:asciiTheme="minorEastAsia" w:hAnsiTheme="minorEastAsia" w:eastAsiaTheme="minorEastAsia"/>
          <w:lang w:eastAsia="zh-CN"/>
        </w:rPr>
      </w:pPr>
      <w:r>
        <w:rPr>
          <w:b/>
          <w:sz w:val="32"/>
          <w:lang w:eastAsia="zh-CN"/>
        </w:rPr>
        <w:t>最后分项报价表</w:t>
      </w:r>
    </w:p>
    <w:p>
      <w:pPr>
        <w:pStyle w:val="12"/>
        <w:spacing w:before="5"/>
        <w:rPr>
          <w:rFonts w:asciiTheme="minorEastAsia" w:hAnsiTheme="minorEastAsia" w:eastAsiaTheme="minorEastAsia"/>
          <w:sz w:val="16"/>
          <w:lang w:eastAsia="zh-CN"/>
        </w:rPr>
      </w:pPr>
    </w:p>
    <w:p>
      <w:pPr>
        <w:rPr>
          <w:i/>
          <w:color w:val="FF0000"/>
          <w:sz w:val="24"/>
          <w:lang w:eastAsia="zh-CN"/>
        </w:rPr>
      </w:pPr>
      <w:r>
        <w:rPr>
          <w:i/>
          <w:color w:val="FF0000"/>
          <w:sz w:val="24"/>
          <w:lang w:eastAsia="zh-CN"/>
        </w:rPr>
        <w:t>（格式示例</w:t>
      </w:r>
      <w:r>
        <w:rPr>
          <w:rFonts w:hint="eastAsia"/>
          <w:i/>
          <w:color w:val="FF0000"/>
          <w:sz w:val="24"/>
          <w:lang w:eastAsia="zh-CN"/>
        </w:rPr>
        <w:t>三</w:t>
      </w:r>
      <w:r>
        <w:rPr>
          <w:i/>
          <w:color w:val="FF0000"/>
          <w:sz w:val="24"/>
          <w:lang w:eastAsia="zh-CN"/>
        </w:rPr>
        <w:t>，适用于</w:t>
      </w:r>
      <w:r>
        <w:rPr>
          <w:rFonts w:hint="eastAsia"/>
          <w:i/>
          <w:color w:val="FF0000"/>
          <w:sz w:val="24"/>
          <w:lang w:eastAsia="zh-CN"/>
        </w:rPr>
        <w:t>工程类项目</w:t>
      </w:r>
      <w:r>
        <w:rPr>
          <w:i/>
          <w:color w:val="FF0000"/>
          <w:sz w:val="24"/>
          <w:lang w:eastAsia="zh-CN"/>
        </w:rPr>
        <w:t>，</w:t>
      </w:r>
      <w:r>
        <w:rPr>
          <w:rFonts w:hint="eastAsia"/>
          <w:i/>
          <w:color w:val="FF0000"/>
          <w:sz w:val="24"/>
          <w:lang w:eastAsia="zh-CN"/>
        </w:rPr>
        <w:t>且现场难以重新按工程量清单提供报价的</w:t>
      </w:r>
      <w:r>
        <w:rPr>
          <w:i/>
          <w:color w:val="FF0000"/>
          <w:sz w:val="24"/>
          <w:lang w:eastAsia="zh-CN"/>
        </w:rPr>
        <w:t>）</w:t>
      </w:r>
    </w:p>
    <w:p>
      <w:pPr>
        <w:pStyle w:val="12"/>
        <w:spacing w:before="12" w:after="1"/>
        <w:rPr>
          <w:rFonts w:asciiTheme="minorEastAsia" w:hAnsiTheme="minorEastAsia" w:eastAsiaTheme="minorEastAsia"/>
          <w:i/>
          <w:sz w:val="23"/>
          <w:lang w:eastAsia="zh-CN"/>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4489"/>
        <w:gridCol w:w="1404"/>
        <w:gridCol w:w="1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91" w:type="dxa"/>
            <w:vAlign w:val="center"/>
          </w:tcPr>
          <w:p>
            <w:pPr>
              <w:jc w:val="center"/>
              <w:rPr>
                <w:sz w:val="24"/>
              </w:rPr>
            </w:pPr>
            <w:r>
              <w:rPr>
                <w:sz w:val="24"/>
              </w:rPr>
              <w:t>序号</w:t>
            </w:r>
          </w:p>
        </w:tc>
        <w:tc>
          <w:tcPr>
            <w:tcW w:w="4489" w:type="dxa"/>
            <w:vAlign w:val="center"/>
          </w:tcPr>
          <w:p>
            <w:pPr>
              <w:jc w:val="center"/>
              <w:rPr>
                <w:sz w:val="24"/>
                <w:lang w:eastAsia="zh-CN"/>
              </w:rPr>
            </w:pPr>
            <w:r>
              <w:rPr>
                <w:sz w:val="24"/>
                <w:lang w:eastAsia="zh-CN"/>
              </w:rPr>
              <w:t>最后报价计算过程或说明（可以填写按第一次报价下浮/上浮比例，也可以填写相对第一次报价某部分价格变化情况）</w:t>
            </w:r>
          </w:p>
        </w:tc>
        <w:tc>
          <w:tcPr>
            <w:tcW w:w="1404" w:type="dxa"/>
            <w:vAlign w:val="center"/>
          </w:tcPr>
          <w:p>
            <w:pPr>
              <w:jc w:val="center"/>
              <w:rPr>
                <w:sz w:val="24"/>
              </w:rPr>
            </w:pPr>
            <w:r>
              <w:rPr>
                <w:sz w:val="24"/>
              </w:rPr>
              <w:t>总价（元）</w:t>
            </w:r>
          </w:p>
        </w:tc>
        <w:tc>
          <w:tcPr>
            <w:tcW w:w="1542" w:type="dxa"/>
            <w:vAlign w:val="center"/>
          </w:tcPr>
          <w:p>
            <w:pPr>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5" w:hRule="exact"/>
        </w:trPr>
        <w:tc>
          <w:tcPr>
            <w:tcW w:w="891" w:type="dxa"/>
            <w:vAlign w:val="center"/>
          </w:tcPr>
          <w:p>
            <w:pPr>
              <w:jc w:val="center"/>
              <w:rPr>
                <w:sz w:val="24"/>
              </w:rPr>
            </w:pPr>
            <w:r>
              <w:rPr>
                <w:sz w:val="24"/>
              </w:rPr>
              <w:t>1</w:t>
            </w:r>
          </w:p>
        </w:tc>
        <w:tc>
          <w:tcPr>
            <w:tcW w:w="4489" w:type="dxa"/>
            <w:vAlign w:val="center"/>
          </w:tcPr>
          <w:p>
            <w:pPr>
              <w:jc w:val="center"/>
              <w:rPr>
                <w:sz w:val="24"/>
              </w:rPr>
            </w:pPr>
          </w:p>
        </w:tc>
        <w:tc>
          <w:tcPr>
            <w:tcW w:w="1404" w:type="dxa"/>
            <w:vAlign w:val="center"/>
          </w:tcPr>
          <w:p>
            <w:pPr>
              <w:jc w:val="center"/>
              <w:rPr>
                <w:sz w:val="24"/>
              </w:rPr>
            </w:pPr>
          </w:p>
        </w:tc>
        <w:tc>
          <w:tcPr>
            <w:tcW w:w="1542"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exact"/>
        </w:trPr>
        <w:tc>
          <w:tcPr>
            <w:tcW w:w="5380" w:type="dxa"/>
            <w:gridSpan w:val="2"/>
            <w:vAlign w:val="center"/>
          </w:tcPr>
          <w:p>
            <w:pPr>
              <w:jc w:val="center"/>
              <w:rPr>
                <w:sz w:val="24"/>
              </w:rPr>
            </w:pPr>
            <w:r>
              <w:rPr>
                <w:sz w:val="24"/>
              </w:rPr>
              <w:t>合计（元）</w:t>
            </w:r>
          </w:p>
        </w:tc>
        <w:tc>
          <w:tcPr>
            <w:tcW w:w="1404" w:type="dxa"/>
            <w:vAlign w:val="center"/>
          </w:tcPr>
          <w:p>
            <w:pPr>
              <w:jc w:val="center"/>
              <w:rPr>
                <w:sz w:val="24"/>
              </w:rPr>
            </w:pPr>
          </w:p>
        </w:tc>
        <w:tc>
          <w:tcPr>
            <w:tcW w:w="1542" w:type="dxa"/>
            <w:vAlign w:val="center"/>
          </w:tcPr>
          <w:p>
            <w:pPr>
              <w:jc w:val="center"/>
              <w:rPr>
                <w:sz w:val="24"/>
              </w:rPr>
            </w:pPr>
          </w:p>
        </w:tc>
      </w:tr>
    </w:tbl>
    <w:p>
      <w:pPr>
        <w:pStyle w:val="12"/>
        <w:rPr>
          <w:rFonts w:asciiTheme="minorEastAsia" w:hAnsiTheme="minorEastAsia" w:eastAsiaTheme="minorEastAsia"/>
          <w:i/>
          <w:sz w:val="20"/>
        </w:rPr>
      </w:pPr>
    </w:p>
    <w:p>
      <w:pPr>
        <w:pStyle w:val="12"/>
        <w:rPr>
          <w:rFonts w:asciiTheme="minorEastAsia" w:hAnsiTheme="minorEastAsia" w:eastAsiaTheme="minorEastAsia"/>
          <w:i/>
          <w:sz w:val="20"/>
        </w:rPr>
      </w:pPr>
    </w:p>
    <w:p>
      <w:pPr>
        <w:pStyle w:val="12"/>
        <w:spacing w:before="10"/>
        <w:rPr>
          <w:rFonts w:asciiTheme="minorEastAsia" w:hAnsiTheme="minorEastAsia" w:eastAsiaTheme="minorEastAsia"/>
          <w:i/>
          <w:sz w:val="17"/>
        </w:rPr>
      </w:pPr>
    </w:p>
    <w:p>
      <w:pPr>
        <w:pStyle w:val="12"/>
        <w:spacing w:before="8"/>
        <w:rPr>
          <w:rFonts w:asciiTheme="minorEastAsia" w:hAnsiTheme="minorEastAsia" w:eastAsiaTheme="minorEastAsia"/>
          <w:lang w:eastAsia="zh-CN"/>
        </w:rPr>
      </w:pPr>
      <w:r>
        <w:rPr>
          <w:rFonts w:hint="eastAsia" w:asciiTheme="minorEastAsia" w:hAnsiTheme="minorEastAsia" w:eastAsiaTheme="minorEastAsia"/>
          <w:lang w:eastAsia="zh-CN"/>
        </w:rPr>
        <w:t>注：1.本表应按包分别填写。</w:t>
      </w:r>
    </w:p>
    <w:p>
      <w:pPr>
        <w:pStyle w:val="12"/>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2.上述各项的详细规格（如有），可另页描述。</w:t>
      </w:r>
    </w:p>
    <w:p>
      <w:pPr>
        <w:pStyle w:val="12"/>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3.此表无需在响应文件中提交，磋商后供应商按磋商小组要求提交。</w:t>
      </w:r>
    </w:p>
    <w:p>
      <w:pPr>
        <w:pStyle w:val="12"/>
        <w:spacing w:before="8"/>
        <w:ind w:firstLine="480" w:firstLineChars="200"/>
        <w:rPr>
          <w:rFonts w:asciiTheme="minorEastAsia" w:hAnsiTheme="minorEastAsia" w:eastAsiaTheme="minorEastAsia"/>
          <w:sz w:val="33"/>
          <w:lang w:eastAsia="zh-CN"/>
        </w:rPr>
      </w:pPr>
      <w:r>
        <w:rPr>
          <w:rFonts w:hint="eastAsia" w:asciiTheme="minorEastAsia" w:hAnsiTheme="minorEastAsia" w:eastAsiaTheme="minorEastAsia"/>
          <w:lang w:eastAsia="zh-CN"/>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pPr>
        <w:spacing w:line="360" w:lineRule="auto"/>
        <w:rPr>
          <w:sz w:val="24"/>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6" w:type="default"/>
          <w:footerReference r:id="rId17" w:type="default"/>
          <w:type w:val="continuous"/>
          <w:pgSz w:w="11910" w:h="16840"/>
          <w:pgMar w:top="1440" w:right="1797" w:bottom="1440" w:left="1797" w:header="720" w:footer="720" w:gutter="0"/>
          <w:cols w:space="720" w:num="1"/>
        </w:sectPr>
      </w:pPr>
    </w:p>
    <w:p>
      <w:pPr>
        <w:pStyle w:val="6"/>
        <w:ind w:left="0"/>
        <w:rPr>
          <w:b/>
          <w:bCs/>
          <w:i w:val="0"/>
          <w:lang w:eastAsia="zh-CN"/>
        </w:rPr>
      </w:pPr>
      <w:r>
        <w:rPr>
          <w:rFonts w:hint="eastAsia"/>
          <w:b/>
          <w:bCs/>
          <w:i w:val="0"/>
          <w:lang w:eastAsia="zh-CN"/>
        </w:rPr>
        <w:t xml:space="preserve">14   </w:t>
      </w:r>
      <w:r>
        <w:rPr>
          <w:b/>
          <w:bCs/>
          <w:i w:val="0"/>
          <w:lang w:eastAsia="zh-CN"/>
        </w:rPr>
        <w:t>最后报价构成表（如有，实质性格式，磋商后提交）</w:t>
      </w:r>
    </w:p>
    <w:p>
      <w:pPr>
        <w:pStyle w:val="41"/>
        <w:numPr>
          <w:ilvl w:val="1"/>
          <w:numId w:val="114"/>
        </w:numPr>
        <w:tabs>
          <w:tab w:val="left" w:pos="784"/>
        </w:tabs>
        <w:spacing w:before="130" w:after="15"/>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最终报价中分包情况说明</w:t>
      </w: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775"/>
        <w:gridCol w:w="207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676" w:type="dxa"/>
            <w:vAlign w:val="center"/>
          </w:tcPr>
          <w:p>
            <w:pPr>
              <w:jc w:val="center"/>
              <w:rPr>
                <w:sz w:val="24"/>
              </w:rPr>
            </w:pPr>
            <w:r>
              <w:rPr>
                <w:sz w:val="24"/>
              </w:rPr>
              <w:t>序号</w:t>
            </w:r>
          </w:p>
        </w:tc>
        <w:tc>
          <w:tcPr>
            <w:tcW w:w="3775" w:type="dxa"/>
            <w:vAlign w:val="center"/>
          </w:tcPr>
          <w:p>
            <w:pPr>
              <w:jc w:val="center"/>
              <w:rPr>
                <w:sz w:val="24"/>
              </w:rPr>
            </w:pPr>
            <w:r>
              <w:rPr>
                <w:sz w:val="24"/>
              </w:rPr>
              <w:t>分包承担主体名称</w:t>
            </w:r>
          </w:p>
        </w:tc>
        <w:tc>
          <w:tcPr>
            <w:tcW w:w="2078" w:type="dxa"/>
            <w:vAlign w:val="center"/>
          </w:tcPr>
          <w:p>
            <w:pPr>
              <w:jc w:val="center"/>
              <w:rPr>
                <w:sz w:val="24"/>
                <w:lang w:eastAsia="zh-CN"/>
              </w:rPr>
            </w:pPr>
            <w:r>
              <w:rPr>
                <w:sz w:val="24"/>
                <w:lang w:eastAsia="zh-CN"/>
              </w:rPr>
              <w:t>分包承担主体类型</w:t>
            </w:r>
          </w:p>
          <w:p>
            <w:pPr>
              <w:jc w:val="center"/>
              <w:rPr>
                <w:sz w:val="24"/>
                <w:lang w:eastAsia="zh-CN"/>
              </w:rPr>
            </w:pPr>
            <w:r>
              <w:rPr>
                <w:sz w:val="24"/>
                <w:lang w:eastAsia="zh-CN"/>
              </w:rPr>
              <w:t>（选择）</w:t>
            </w:r>
          </w:p>
        </w:tc>
        <w:tc>
          <w:tcPr>
            <w:tcW w:w="1797" w:type="dxa"/>
            <w:vAlign w:val="center"/>
          </w:tcPr>
          <w:p>
            <w:pPr>
              <w:jc w:val="center"/>
              <w:rPr>
                <w:sz w:val="24"/>
                <w:lang w:eastAsia="zh-CN"/>
              </w:rPr>
            </w:pPr>
            <w:r>
              <w:rPr>
                <w:sz w:val="24"/>
                <w:lang w:eastAsia="zh-CN"/>
              </w:rPr>
              <w:t>拟分包合同金额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676" w:type="dxa"/>
            <w:vAlign w:val="center"/>
          </w:tcPr>
          <w:p>
            <w:pPr>
              <w:jc w:val="center"/>
              <w:rPr>
                <w:sz w:val="24"/>
              </w:rPr>
            </w:pPr>
            <w:r>
              <w:rPr>
                <w:sz w:val="24"/>
              </w:rPr>
              <w:t>1</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2</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76" w:type="dxa"/>
            <w:vAlign w:val="center"/>
          </w:tcPr>
          <w:p>
            <w:pPr>
              <w:jc w:val="center"/>
              <w:rPr>
                <w:sz w:val="24"/>
              </w:rPr>
            </w:pPr>
            <w:r>
              <w:rPr>
                <w:sz w:val="24"/>
              </w:rPr>
              <w:t>…</w:t>
            </w:r>
          </w:p>
        </w:tc>
        <w:tc>
          <w:tcPr>
            <w:tcW w:w="3775" w:type="dxa"/>
            <w:vAlign w:val="center"/>
          </w:tcPr>
          <w:p>
            <w:pPr>
              <w:jc w:val="center"/>
              <w:rPr>
                <w:sz w:val="24"/>
              </w:rPr>
            </w:pPr>
          </w:p>
        </w:tc>
        <w:tc>
          <w:tcPr>
            <w:tcW w:w="2078" w:type="dxa"/>
            <w:vAlign w:val="center"/>
          </w:tcPr>
          <w:p>
            <w:pPr>
              <w:jc w:val="center"/>
              <w:rPr>
                <w:sz w:val="24"/>
              </w:rPr>
            </w:pPr>
          </w:p>
        </w:tc>
        <w:tc>
          <w:tcPr>
            <w:tcW w:w="1797"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529" w:type="dxa"/>
            <w:gridSpan w:val="3"/>
            <w:vAlign w:val="center"/>
          </w:tcPr>
          <w:p>
            <w:pPr>
              <w:jc w:val="center"/>
              <w:rPr>
                <w:sz w:val="24"/>
              </w:rPr>
            </w:pPr>
            <w:r>
              <w:rPr>
                <w:sz w:val="24"/>
              </w:rPr>
              <w:t>合计</w:t>
            </w:r>
          </w:p>
        </w:tc>
        <w:tc>
          <w:tcPr>
            <w:tcW w:w="1797" w:type="dxa"/>
            <w:vAlign w:val="center"/>
          </w:tcPr>
          <w:p>
            <w:pPr>
              <w:jc w:val="center"/>
              <w:rPr>
                <w:sz w:val="24"/>
              </w:rPr>
            </w:pPr>
          </w:p>
        </w:tc>
      </w:tr>
    </w:tbl>
    <w:p>
      <w:pPr>
        <w:pStyle w:val="12"/>
        <w:spacing w:before="1"/>
        <w:rPr>
          <w:rFonts w:asciiTheme="minorEastAsia" w:hAnsiTheme="minorEastAsia" w:eastAsiaTheme="minorEastAsia"/>
          <w:sz w:val="15"/>
        </w:rPr>
      </w:pPr>
    </w:p>
    <w:p>
      <w:pPr>
        <w:pStyle w:val="41"/>
        <w:numPr>
          <w:ilvl w:val="1"/>
          <w:numId w:val="114"/>
        </w:numPr>
        <w:tabs>
          <w:tab w:val="left" w:pos="784"/>
        </w:tabs>
        <w:spacing w:before="45" w:after="13"/>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联合体最终报价情况说明</w:t>
      </w: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775"/>
        <w:gridCol w:w="207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exact"/>
        </w:trPr>
        <w:tc>
          <w:tcPr>
            <w:tcW w:w="676" w:type="dxa"/>
            <w:vAlign w:val="center"/>
          </w:tcPr>
          <w:p>
            <w:pPr>
              <w:jc w:val="center"/>
              <w:rPr>
                <w:sz w:val="24"/>
              </w:rPr>
            </w:pPr>
            <w:r>
              <w:rPr>
                <w:sz w:val="24"/>
              </w:rPr>
              <w:t>序号</w:t>
            </w:r>
          </w:p>
        </w:tc>
        <w:tc>
          <w:tcPr>
            <w:tcW w:w="3775" w:type="dxa"/>
            <w:vAlign w:val="center"/>
          </w:tcPr>
          <w:p>
            <w:pPr>
              <w:jc w:val="center"/>
              <w:rPr>
                <w:sz w:val="24"/>
              </w:rPr>
            </w:pPr>
            <w:r>
              <w:rPr>
                <w:sz w:val="24"/>
              </w:rPr>
              <w:t>联合体成员名称</w:t>
            </w:r>
          </w:p>
        </w:tc>
        <w:tc>
          <w:tcPr>
            <w:tcW w:w="2078" w:type="dxa"/>
            <w:vAlign w:val="center"/>
          </w:tcPr>
          <w:p>
            <w:pPr>
              <w:jc w:val="center"/>
              <w:rPr>
                <w:sz w:val="24"/>
                <w:lang w:eastAsia="zh-CN"/>
              </w:rPr>
            </w:pPr>
            <w:r>
              <w:rPr>
                <w:sz w:val="24"/>
                <w:lang w:eastAsia="zh-CN"/>
              </w:rPr>
              <w:t>联合体成员类型</w:t>
            </w:r>
          </w:p>
          <w:p>
            <w:pPr>
              <w:jc w:val="center"/>
              <w:rPr>
                <w:sz w:val="24"/>
                <w:lang w:eastAsia="zh-CN"/>
              </w:rPr>
            </w:pPr>
            <w:r>
              <w:rPr>
                <w:sz w:val="24"/>
                <w:lang w:eastAsia="zh-CN"/>
              </w:rPr>
              <w:t>（选择）</w:t>
            </w:r>
          </w:p>
        </w:tc>
        <w:tc>
          <w:tcPr>
            <w:tcW w:w="1797" w:type="dxa"/>
            <w:vAlign w:val="center"/>
          </w:tcPr>
          <w:p>
            <w:pPr>
              <w:jc w:val="center"/>
              <w:rPr>
                <w:sz w:val="24"/>
                <w:lang w:eastAsia="zh-CN"/>
              </w:rPr>
            </w:pPr>
            <w:r>
              <w:rPr>
                <w:sz w:val="24"/>
                <w:lang w:eastAsia="zh-CN"/>
              </w:rPr>
              <w:t>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1</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2</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76" w:type="dxa"/>
            <w:vAlign w:val="center"/>
          </w:tcPr>
          <w:p>
            <w:pPr>
              <w:jc w:val="center"/>
              <w:rPr>
                <w:sz w:val="24"/>
              </w:rPr>
            </w:pPr>
            <w:r>
              <w:rPr>
                <w:sz w:val="24"/>
              </w:rPr>
              <w:t>…</w:t>
            </w:r>
          </w:p>
        </w:tc>
        <w:tc>
          <w:tcPr>
            <w:tcW w:w="3775" w:type="dxa"/>
            <w:vAlign w:val="center"/>
          </w:tcPr>
          <w:p>
            <w:pPr>
              <w:jc w:val="center"/>
              <w:rPr>
                <w:sz w:val="24"/>
              </w:rPr>
            </w:pPr>
          </w:p>
        </w:tc>
        <w:tc>
          <w:tcPr>
            <w:tcW w:w="2078" w:type="dxa"/>
            <w:vAlign w:val="center"/>
          </w:tcPr>
          <w:p>
            <w:pPr>
              <w:jc w:val="center"/>
              <w:rPr>
                <w:sz w:val="24"/>
              </w:rPr>
            </w:pPr>
          </w:p>
        </w:tc>
        <w:tc>
          <w:tcPr>
            <w:tcW w:w="1797"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529" w:type="dxa"/>
            <w:gridSpan w:val="3"/>
            <w:vAlign w:val="center"/>
          </w:tcPr>
          <w:p>
            <w:pPr>
              <w:jc w:val="center"/>
              <w:rPr>
                <w:sz w:val="24"/>
              </w:rPr>
            </w:pPr>
            <w:r>
              <w:rPr>
                <w:sz w:val="24"/>
              </w:rPr>
              <w:t>合计</w:t>
            </w:r>
          </w:p>
        </w:tc>
        <w:tc>
          <w:tcPr>
            <w:tcW w:w="1797" w:type="dxa"/>
            <w:vAlign w:val="center"/>
          </w:tcPr>
          <w:p>
            <w:pPr>
              <w:jc w:val="center"/>
              <w:rPr>
                <w:sz w:val="24"/>
              </w:rPr>
            </w:pPr>
          </w:p>
        </w:tc>
      </w:tr>
    </w:tbl>
    <w:p>
      <w:pPr>
        <w:pStyle w:val="12"/>
        <w:rPr>
          <w:rFonts w:asciiTheme="minorEastAsia" w:hAnsiTheme="minorEastAsia" w:eastAsiaTheme="minorEastAsia"/>
          <w:sz w:val="20"/>
        </w:rPr>
      </w:pPr>
    </w:p>
    <w:p>
      <w:pPr>
        <w:pStyle w:val="12"/>
        <w:spacing w:before="6"/>
        <w:rPr>
          <w:rFonts w:asciiTheme="minorEastAsia" w:hAnsiTheme="minorEastAsia" w:eastAsiaTheme="minorEastAsia"/>
          <w:sz w:val="16"/>
        </w:rPr>
      </w:pP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asciiTheme="minorEastAsia" w:hAnsiTheme="minorEastAsia" w:eastAsiaTheme="minorEastAsia"/>
          <w:lang w:eastAsia="zh-CN"/>
        </w:rPr>
        <w:t>注</w:t>
      </w:r>
      <w:r>
        <w:rPr>
          <w:rFonts w:asciiTheme="minorEastAsia" w:hAnsiTheme="minorEastAsia" w:eastAsiaTheme="minorEastAsia"/>
          <w:spacing w:val="-10"/>
          <w:lang w:eastAsia="zh-CN"/>
        </w:rPr>
        <w:t>：</w:t>
      </w:r>
      <w:r>
        <w:rPr>
          <w:rFonts w:hint="eastAsia" w:asciiTheme="minorEastAsia" w:hAnsiTheme="minorEastAsia" w:eastAsiaTheme="minorEastAsia"/>
          <w:spacing w:val="-2"/>
          <w:w w:val="102"/>
          <w:lang w:eastAsia="zh-CN"/>
        </w:rPr>
        <w:t>1. 如供应商为联合体或拟进行合同分包，则必须选择一种表格填报，否则响应无效。</w:t>
      </w: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hint="eastAsia" w:asciiTheme="minorEastAsia" w:hAnsiTheme="minorEastAsia" w:eastAsiaTheme="minorEastAsia"/>
          <w:spacing w:val="-2"/>
          <w:w w:val="102"/>
          <w:lang w:eastAsia="zh-CN"/>
        </w:rPr>
        <w:t>2.本表应按包分别填写。</w:t>
      </w: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hint="eastAsia" w:asciiTheme="minorEastAsia" w:hAnsiTheme="minorEastAsia" w:eastAsiaTheme="minorEastAsia"/>
          <w:spacing w:val="-2"/>
          <w:w w:val="102"/>
          <w:lang w:eastAsia="zh-CN"/>
        </w:rPr>
        <w:t>3.此表无需在响应文件中提交，磋商后供应商按磋商小组要求提交。</w:t>
      </w:r>
    </w:p>
    <w:p>
      <w:pPr>
        <w:spacing w:line="360" w:lineRule="auto"/>
        <w:rPr>
          <w:sz w:val="24"/>
          <w:lang w:eastAsia="zh-CN"/>
        </w:rPr>
      </w:pPr>
      <w:r>
        <w:rPr>
          <w:rFonts w:hint="eastAsia"/>
          <w:sz w:val="24"/>
          <w:lang w:eastAsia="zh-CN"/>
        </w:rPr>
        <w:t>供应商授权代表签字（或加盖供应商公章）</w:t>
      </w:r>
      <w:r>
        <w:rPr>
          <w:sz w:val="24"/>
          <w:lang w:eastAsia="zh-CN"/>
        </w:rPr>
        <w:t>：</w:t>
      </w:r>
      <w:r>
        <w:rPr>
          <w:rFonts w:hint="eastAsia"/>
          <w:sz w:val="24"/>
          <w:u w:val="single"/>
          <w:lang w:eastAsia="zh-CN"/>
        </w:rPr>
        <w:t xml:space="preserve">                  </w:t>
      </w:r>
    </w:p>
    <w:p>
      <w:pPr>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sz w:val="24"/>
          <w:lang w:eastAsia="zh-CN"/>
        </w:rPr>
      </w:pPr>
      <w:r>
        <w:rPr>
          <w:sz w:val="24"/>
          <w:lang w:eastAsia="zh-CN"/>
        </w:rPr>
        <w:br w:type="page"/>
      </w:r>
    </w:p>
    <w:p>
      <w:pPr>
        <w:pStyle w:val="6"/>
        <w:ind w:left="0"/>
        <w:rPr>
          <w:b/>
          <w:bCs/>
          <w:i w:val="0"/>
          <w:lang w:eastAsia="zh-CN"/>
        </w:rPr>
      </w:pPr>
      <w:r>
        <w:rPr>
          <w:rFonts w:hint="eastAsia"/>
          <w:b/>
          <w:bCs/>
          <w:i w:val="0"/>
          <w:lang w:eastAsia="zh-CN"/>
        </w:rPr>
        <w:t>15   服务人员表（实质性格式）</w:t>
      </w:r>
    </w:p>
    <w:p>
      <w:pPr>
        <w:pStyle w:val="41"/>
        <w:tabs>
          <w:tab w:val="left" w:pos="481"/>
          <w:tab w:val="left" w:pos="482"/>
        </w:tabs>
        <w:wordWrap w:val="0"/>
        <w:spacing w:before="43"/>
        <w:ind w:left="481" w:firstLine="0"/>
        <w:rPr>
          <w:sz w:val="24"/>
          <w:lang w:eastAsia="zh-CN"/>
        </w:rPr>
      </w:pPr>
    </w:p>
    <w:tbl>
      <w:tblPr>
        <w:tblStyle w:val="26"/>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lang w:eastAsia="zh-CN"/>
              </w:rPr>
            </w:pPr>
            <w:r>
              <w:rPr>
                <w:rFonts w:hint="eastAsia"/>
                <w:sz w:val="24"/>
                <w:lang w:eastAsia="zh-CN"/>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w:t>
            </w:r>
          </w:p>
          <w:p>
            <w:pPr>
              <w:wordWrap w:val="0"/>
              <w:jc w:val="center"/>
              <w:rPr>
                <w:sz w:val="24"/>
              </w:rPr>
            </w:pPr>
            <w:r>
              <w:rPr>
                <w:rFonts w:hint="eastAsia"/>
                <w:sz w:val="24"/>
              </w:rPr>
              <w:t>技术服务人员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wordWrap w:val="0"/>
        <w:rPr>
          <w:lang w:eastAsia="zh-CN"/>
        </w:rPr>
      </w:pPr>
    </w:p>
    <w:p>
      <w:pPr>
        <w:wordWrap w:val="0"/>
        <w:rPr>
          <w:lang w:eastAsia="zh-CN"/>
        </w:rPr>
      </w:pPr>
      <w:r>
        <w:rPr>
          <w:rFonts w:hint="eastAsia"/>
          <w:lang w:eastAsia="zh-CN"/>
        </w:rPr>
        <w:t>备注：投标人可根据自身情况扩展本表行数。但不能改变内容。</w:t>
      </w:r>
    </w:p>
    <w:p>
      <w:pPr>
        <w:widowControl/>
        <w:autoSpaceDE/>
        <w:autoSpaceDN/>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6"/>
        <w:ind w:left="0"/>
        <w:rPr>
          <w:b/>
          <w:bCs/>
          <w:i w:val="0"/>
          <w:lang w:eastAsia="zh-CN"/>
        </w:rPr>
      </w:pPr>
      <w:r>
        <w:rPr>
          <w:rFonts w:hint="eastAsia"/>
          <w:b/>
          <w:bCs/>
          <w:i w:val="0"/>
          <w:lang w:eastAsia="zh-CN"/>
        </w:rPr>
        <w:t>16  磋商</w:t>
      </w:r>
      <w:r>
        <w:rPr>
          <w:b/>
          <w:bCs/>
          <w:i w:val="0"/>
          <w:lang w:eastAsia="zh-CN"/>
        </w:rPr>
        <w:t>文件要求提供或投标人认为应附的其他材料</w:t>
      </w:r>
    </w:p>
    <w:p>
      <w:pPr>
        <w:rPr>
          <w:i/>
          <w:lang w:eastAsia="zh-CN"/>
        </w:rPr>
      </w:pPr>
      <w:r>
        <w:rPr>
          <w:rFonts w:hint="eastAsia"/>
          <w:i/>
          <w:lang w:eastAsia="zh-CN"/>
        </w:rPr>
        <w:t>（包括但不限于：完成采购需求的全部内容所需要的行业行政主管部门要求的资质证书或行政许可等材料。）</w:t>
      </w:r>
    </w:p>
    <w:sectPr>
      <w:pgSz w:w="11910" w:h="16840"/>
      <w:pgMar w:top="1440" w:right="1797" w:bottom="1440" w:left="1797"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Segoe UI Symbol">
    <w:panose1 w:val="020B0502040204020203"/>
    <w:charset w:val="00"/>
    <w:family w:val="swiss"/>
    <w:pitch w:val="default"/>
    <w:sig w:usb0="800001E3" w:usb1="1200FFEF" w:usb2="00040000" w:usb3="04000000" w:csb0="00000001" w:csb1="40000000"/>
  </w:font>
  <w:font w:name="方正仿宋_GB18030">
    <w:altName w:val="仿宋"/>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154539"/>
    </w:sdtPr>
    <w:sdtContent>
      <w:p>
        <w:pPr>
          <w:pStyle w:val="2"/>
          <w:jc w:val="center"/>
        </w:pPr>
        <w:r>
          <w:fldChar w:fldCharType="begin"/>
        </w:r>
        <w:r>
          <w:instrText xml:space="preserve">PAGE   \* MERGEFORMAT</w:instrText>
        </w:r>
        <w:r>
          <w:fldChar w:fldCharType="separate"/>
        </w:r>
        <w:r>
          <w:rPr>
            <w:lang w:val="zh-CN" w:eastAsia="zh-CN"/>
          </w:rPr>
          <w:t>8</w:t>
        </w:r>
        <w:r>
          <w:fldChar w:fldCharType="end"/>
        </w:r>
      </w:p>
    </w:sdtContent>
  </w:sdt>
  <w:p>
    <w:pPr>
      <w:pStyle w:val="12"/>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89027"/>
    </w:sdtPr>
    <w:sdtContent>
      <w:p>
        <w:pPr>
          <w:pStyle w:val="2"/>
          <w:jc w:val="center"/>
        </w:pPr>
        <w:r>
          <w:fldChar w:fldCharType="begin"/>
        </w:r>
        <w:r>
          <w:instrText xml:space="preserve">PAGE   \* MERGEFORMAT</w:instrText>
        </w:r>
        <w:r>
          <w:fldChar w:fldCharType="separate"/>
        </w:r>
        <w:r>
          <w:rPr>
            <w:lang w:val="zh-CN" w:eastAsia="zh-CN"/>
          </w:rPr>
          <w:t>107</w:t>
        </w:r>
        <w:r>
          <w:fldChar w:fldCharType="end"/>
        </w:r>
      </w:p>
    </w:sdtContent>
  </w:sdt>
  <w:p>
    <w:pPr>
      <w:pStyle w:val="1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82362"/>
    </w:sdtPr>
    <w:sdtContent>
      <w:p>
        <w:pPr>
          <w:pStyle w:val="2"/>
          <w:jc w:val="center"/>
        </w:pPr>
        <w:r>
          <w:fldChar w:fldCharType="begin"/>
        </w:r>
        <w:r>
          <w:instrText xml:space="preserve">PAGE   \* MERGEFORMAT</w:instrText>
        </w:r>
        <w:r>
          <w:fldChar w:fldCharType="separate"/>
        </w:r>
        <w:r>
          <w:rPr>
            <w:lang w:val="zh-CN" w:eastAsia="zh-CN"/>
          </w:rPr>
          <w:t>20</w:t>
        </w:r>
        <w:r>
          <w:fldChar w:fldCharType="end"/>
        </w:r>
      </w:p>
    </w:sdtContent>
  </w:sdt>
  <w:p>
    <w:pPr>
      <w:pStyle w:val="1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819559"/>
    </w:sdtPr>
    <w:sdtContent>
      <w:p>
        <w:pPr>
          <w:pStyle w:val="2"/>
          <w:jc w:val="center"/>
        </w:pPr>
        <w:r>
          <w:fldChar w:fldCharType="begin"/>
        </w:r>
        <w:r>
          <w:instrText xml:space="preserve">PAGE   \* MERGEFORMAT</w:instrText>
        </w:r>
        <w:r>
          <w:fldChar w:fldCharType="separate"/>
        </w:r>
        <w:r>
          <w:rPr>
            <w:lang w:val="zh-CN" w:eastAsia="zh-CN"/>
          </w:rPr>
          <w:t>91</w:t>
        </w:r>
        <w:r>
          <w:fldChar w:fldCharType="end"/>
        </w:r>
      </w:p>
    </w:sdtContent>
  </w:sdt>
  <w:p>
    <w:pPr>
      <w:pStyle w:val="12"/>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184779"/>
    </w:sdtPr>
    <w:sdtContent>
      <w:p>
        <w:pPr>
          <w:pStyle w:val="2"/>
          <w:jc w:val="center"/>
        </w:pPr>
        <w:r>
          <w:fldChar w:fldCharType="begin"/>
        </w:r>
        <w:r>
          <w:instrText xml:space="preserve">PAGE   \* MERGEFORMAT</w:instrText>
        </w:r>
        <w:r>
          <w:fldChar w:fldCharType="separate"/>
        </w:r>
        <w:r>
          <w:rPr>
            <w:lang w:val="zh-CN" w:eastAsia="zh-CN"/>
          </w:rPr>
          <w:t>98</w:t>
        </w:r>
        <w:r>
          <w:fldChar w:fldCharType="end"/>
        </w:r>
      </w:p>
    </w:sdtContent>
  </w:sdt>
  <w:p>
    <w:pPr>
      <w:pStyle w:val="12"/>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498571"/>
    </w:sdtPr>
    <w:sdtContent>
      <w:p>
        <w:pPr>
          <w:pStyle w:val="2"/>
          <w:jc w:val="center"/>
        </w:pPr>
        <w:r>
          <w:fldChar w:fldCharType="begin"/>
        </w:r>
        <w:r>
          <w:instrText xml:space="preserve">PAGE   \* MERGEFORMAT</w:instrText>
        </w:r>
        <w:r>
          <w:fldChar w:fldCharType="separate"/>
        </w:r>
        <w:r>
          <w:rPr>
            <w:lang w:val="zh-CN" w:eastAsia="zh-CN"/>
          </w:rPr>
          <w:t>103</w:t>
        </w:r>
        <w:r>
          <w:fldChar w:fldCharType="end"/>
        </w:r>
      </w:p>
    </w:sdtContent>
  </w:sdt>
  <w:p>
    <w:pPr>
      <w:pStyle w:val="1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1080135</wp:posOffset>
              </wp:positionH>
              <wp:positionV relativeFrom="page">
                <wp:posOffset>703580</wp:posOffset>
              </wp:positionV>
              <wp:extent cx="5760720" cy="0"/>
              <wp:effectExtent l="0" t="0" r="0" b="0"/>
              <wp:wrapNone/>
              <wp:docPr id="26" name="Line 20"/>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ln>
                    </wps:spPr>
                    <wps:bodyPr/>
                  </wps:wsp>
                </a:graphicData>
              </a:graphic>
            </wp:anchor>
          </w:drawing>
        </mc:Choice>
        <mc:Fallback>
          <w:pict>
            <v:line id="Line 20" o:spid="_x0000_s1026" o:spt="20" style="position:absolute;left:0pt;margin-left:85.05pt;margin-top:55.4pt;height:0pt;width:453.6pt;mso-position-horizontal-relative:page;mso-position-vertical-relative:page;z-index:-251657216;mso-width-relative:page;mso-height-relative:page;" filled="f" stroked="t" coordsize="21600,21600" o:gfxdata="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VqQVbYAAAADAEAAA8AAAAAAAAAAQAgAAAAIgAAAGRycy9kb3ducmV2LnhtbFBLAQIU&#10;ABQAAAAIAIdO4kDkjvo4ugEAAGwDAAAOAAAAAAAAAAEAIAAAACcBAABkcnMvZTJvRG9jLnhtbFBL&#10;BQYAAAAABgAGAFkBAABTBQAAAAA=&#10;">
              <v:fill on="f" focussize="0,0"/>
              <v:stroke weight="0.48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25" name="Text Box 19"/>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357.65pt;margin-top:42.95pt;height:11pt;width:182.05pt;mso-position-horizontal-relative:page;mso-position-vertical-relative:page;z-index:-251656192;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wI/N2QAA&#10;AAsBAAAPAAAAAAAAAAEAIAAAACIAAABkcnMvZG93bnJldi54bWxQSwECFAAUAAAACACHTuJA9s0F&#10;SOQBAAC4AwAADgAAAAAAAAABACAAAAAoAQAAZHJzL2Uyb0RvYy54bWxQSwUGAAAAAAYABgBZAQAA&#10;fgU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705485</wp:posOffset>
              </wp:positionV>
              <wp:extent cx="8893175" cy="0"/>
              <wp:effectExtent l="0" t="0" r="0" b="0"/>
              <wp:wrapNone/>
              <wp:docPr id="18" name="Line 12"/>
              <wp:cNvGraphicFramePr/>
              <a:graphic xmlns:a="http://schemas.openxmlformats.org/drawingml/2006/main">
                <a:graphicData uri="http://schemas.microsoft.com/office/word/2010/wordprocessingShape">
                  <wps:wsp>
                    <wps:cNvCnPr>
                      <a:cxnSpLocks noChangeShapeType="1"/>
                    </wps:cNvCnPr>
                    <wps:spPr bwMode="auto">
                      <a:xfrm>
                        <a:off x="0" y="0"/>
                        <a:ext cx="8893175" cy="0"/>
                      </a:xfrm>
                      <a:prstGeom prst="line">
                        <a:avLst/>
                      </a:prstGeom>
                      <a:noFill/>
                      <a:ln w="9143">
                        <a:solidFill>
                          <a:srgbClr val="000000"/>
                        </a:solidFill>
                        <a:prstDash val="solid"/>
                        <a:round/>
                      </a:ln>
                    </wps:spPr>
                    <wps:bodyPr/>
                  </wps:wsp>
                </a:graphicData>
              </a:graphic>
            </wp:anchor>
          </w:drawing>
        </mc:Choice>
        <mc:Fallback>
          <w:pict>
            <v:line id="Line 12" o:spid="_x0000_s1026" o:spt="20" style="position:absolute;left:0pt;margin-left:70.9pt;margin-top:55.55pt;height:0pt;width:700.25pt;mso-position-horizontal-relative:page;mso-position-vertical-relative:page;z-index:-251655168;mso-width-relative:page;mso-height-relative:page;" filled="f" stroked="t" coordsize="21600,21600" o:gfxdata="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hg4dbXAAAADAEAAA8AAAAAAAAAAQAgAAAAIgAAAGRycy9kb3ducmV2LnhtbFBLAQIU&#10;ABQAAAAIAIdO4kCfQpoquwEAAGwDAAAOAAAAAAAAAAEAIAAAACYBAABkcnMvZTJvRG9jLnhtbFBL&#10;BQYAAAAABgAGAFkBAABTBQAAAAA=&#10;">
              <v:fill on="f" focussize="0,0"/>
              <v:stroke weight="0.71992125984252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ge">
                <wp:posOffset>705485</wp:posOffset>
              </wp:positionV>
              <wp:extent cx="8893175" cy="0"/>
              <wp:effectExtent l="0" t="0" r="0" b="0"/>
              <wp:wrapNone/>
              <wp:docPr id="12" name="Line 6"/>
              <wp:cNvGraphicFramePr/>
              <a:graphic xmlns:a="http://schemas.openxmlformats.org/drawingml/2006/main">
                <a:graphicData uri="http://schemas.microsoft.com/office/word/2010/wordprocessingShape">
                  <wps:wsp>
                    <wps:cNvCnPr>
                      <a:cxnSpLocks noChangeShapeType="1"/>
                    </wps:cNvCnPr>
                    <wps:spPr bwMode="auto">
                      <a:xfrm>
                        <a:off x="0" y="0"/>
                        <a:ext cx="8893175" cy="0"/>
                      </a:xfrm>
                      <a:prstGeom prst="line">
                        <a:avLst/>
                      </a:prstGeom>
                      <a:noFill/>
                      <a:ln w="9143">
                        <a:solidFill>
                          <a:srgbClr val="000000"/>
                        </a:solidFill>
                        <a:prstDash val="solid"/>
                        <a:round/>
                      </a:ln>
                    </wps:spPr>
                    <wps:bodyPr/>
                  </wps:wsp>
                </a:graphicData>
              </a:graphic>
            </wp:anchor>
          </w:drawing>
        </mc:Choice>
        <mc:Fallback>
          <w:pict>
            <v:line id="Line 6" o:spid="_x0000_s1026" o:spt="20" style="position:absolute;left:0pt;margin-left:70.9pt;margin-top:55.55pt;height:0pt;width:700.25pt;mso-position-horizontal-relative:page;mso-position-vertical-relative:page;z-index:-251654144;mso-width-relative:page;mso-height-relative:page;" filled="f" stroked="t" coordsize="21600,21600" o:gfxdata="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Dh1tcAAAAMAQAADwAAAAAAAAABACAAAAAiAAAAZHJzL2Rvd25yZXYueG1sUEsBAhQA&#10;FAAAAAgAh07iQG79OH+6AQAAawMAAA4AAAAAAAAAAQAgAAAAJgEAAGRycy9lMm9Eb2MueG1sUEsF&#10;BgAAAAAGAAYAWQEAAFIFAAAAAA==&#10;">
              <v:fill on="f" focussize="0,0"/>
              <v:stroke weight="0.71992125984252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1080135</wp:posOffset>
              </wp:positionH>
              <wp:positionV relativeFrom="page">
                <wp:posOffset>704850</wp:posOffset>
              </wp:positionV>
              <wp:extent cx="5760720" cy="0"/>
              <wp:effectExtent l="0" t="0" r="0" b="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144">
                        <a:solidFill>
                          <a:srgbClr val="000000"/>
                        </a:solidFill>
                        <a:prstDash val="solid"/>
                        <a:round/>
                      </a:ln>
                    </wps:spPr>
                    <wps:bodyPr/>
                  </wps:wsp>
                </a:graphicData>
              </a:graphic>
            </wp:anchor>
          </w:drawing>
        </mc:Choice>
        <mc:Fallback>
          <w:pict>
            <v:line id="Line 3" o:spid="_x0000_s1026" o:spt="20" style="position:absolute;left:0pt;margin-left:85.05pt;margin-top:55.5pt;height:0pt;width:453.6pt;mso-position-horizontal-relative:page;mso-position-vertical-relative:page;z-index:-251653120;mso-width-relative:page;mso-height-relative:page;" filled="f" stroked="t" coordsize="21600,21600" o:gfxdata="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MuCuXWAAAADAEAAA8AAAAAAAAAAQAgAAAAIgAAAGRycy9kb3ducmV2LnhtbFBLAQIUABQA&#10;AAAIAIdO4kCUrNnPuQEAAGoDAAAOAAAAAAAAAAEAIAAAACUBAABkcnMvZTJvRG9jLnhtbFBLBQYA&#10;AAAABgAGAFkBAABQBQ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4384"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57.65pt;margin-top:42.95pt;height:11pt;width:182.05pt;mso-position-horizontal-relative:page;mso-position-vertical-relative:page;z-index:-251652096;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Aj83ZAAAA&#10;CwEAAA8AAAAAAAAAAQAgAAAAIgAAAGRycy9kb3ducmV2LnhtbFBLAQIUABQAAAAIAIdO4kBfuZud&#10;4wEAALYDAAAOAAAAAAAAAAEAIAAAACgBAABkcnMvZTJvRG9jLnhtbFBLBQYAAAAABgAGAFkBAAB9&#10;BQ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57963"/>
    <w:multiLevelType w:val="multilevel"/>
    <w:tmpl w:val="80757963"/>
    <w:lvl w:ilvl="0" w:tentative="0">
      <w:start w:val="15"/>
      <w:numFmt w:val="decimal"/>
      <w:lvlText w:val="%1"/>
      <w:lvlJc w:val="left"/>
      <w:pPr>
        <w:ind w:left="138" w:hanging="635"/>
      </w:pPr>
      <w:rPr>
        <w:rFonts w:hint="default" w:ascii="Times New Roman" w:hAnsi="Times New Roman" w:cs="Times New Roman"/>
      </w:rPr>
    </w:lvl>
    <w:lvl w:ilvl="1" w:tentative="0">
      <w:start w:val="7"/>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
    <w:nsid w:val="82980976"/>
    <w:multiLevelType w:val="multilevel"/>
    <w:tmpl w:val="8298097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2">
    <w:nsid w:val="84964AED"/>
    <w:multiLevelType w:val="multilevel"/>
    <w:tmpl w:val="84964AED"/>
    <w:lvl w:ilvl="0" w:tentative="0">
      <w:start w:val="22"/>
      <w:numFmt w:val="decimal"/>
      <w:lvlText w:val="%1"/>
      <w:lvlJc w:val="left"/>
      <w:pPr>
        <w:ind w:left="1192" w:hanging="635"/>
      </w:pPr>
      <w:rPr>
        <w:rFonts w:hint="default" w:ascii="Times New Roman" w:hAnsi="Times New Roman" w:cs="Times New Roman"/>
      </w:rPr>
    </w:lvl>
    <w:lvl w:ilvl="1" w:tentative="0">
      <w:start w:val="2"/>
      <w:numFmt w:val="decimal"/>
      <w:lvlText w:val="%1.%2"/>
      <w:lvlJc w:val="left"/>
      <w:pPr>
        <w:ind w:left="1192" w:hanging="635"/>
      </w:pPr>
      <w:rPr>
        <w:rFonts w:hint="default" w:ascii="Times New Roman" w:hAnsi="Times New Roman" w:cs="Times New Roman"/>
      </w:rPr>
    </w:lvl>
    <w:lvl w:ilvl="2" w:tentative="0">
      <w:start w:val="3"/>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3">
    <w:nsid w:val="85AD2E87"/>
    <w:multiLevelType w:val="multilevel"/>
    <w:tmpl w:val="85AD2E87"/>
    <w:lvl w:ilvl="0" w:tentative="0">
      <w:start w:val="23"/>
      <w:numFmt w:val="decimal"/>
      <w:lvlText w:val="%1"/>
      <w:lvlJc w:val="left"/>
      <w:pPr>
        <w:ind w:left="138" w:hanging="635"/>
      </w:pPr>
      <w:rPr>
        <w:rFonts w:hint="default" w:ascii="Times New Roman" w:hAnsi="Times New Roman" w:cs="Times New Roman"/>
      </w:rPr>
    </w:lvl>
    <w:lvl w:ilvl="1" w:tentative="0">
      <w:start w:val="4"/>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4">
    <w:nsid w:val="873585DC"/>
    <w:multiLevelType w:val="multilevel"/>
    <w:tmpl w:val="873585DC"/>
    <w:lvl w:ilvl="0" w:tentative="0">
      <w:start w:val="1"/>
      <w:numFmt w:val="decimal"/>
      <w:lvlText w:val="（%1）"/>
      <w:lvlJc w:val="left"/>
      <w:pPr>
        <w:ind w:left="529" w:hanging="529"/>
      </w:pPr>
      <w:rPr>
        <w:rFonts w:hint="eastAsia" w:ascii="宋体" w:hAnsi="宋体" w:eastAsia="宋体" w:cs="宋体"/>
        <w:spacing w:val="-3"/>
        <w:sz w:val="19"/>
        <w:szCs w:val="19"/>
      </w:rPr>
    </w:lvl>
    <w:lvl w:ilvl="1" w:tentative="0">
      <w:start w:val="0"/>
      <w:numFmt w:val="bullet"/>
      <w:lvlText w:val="•"/>
      <w:lvlJc w:val="left"/>
      <w:pPr>
        <w:ind w:left="1290" w:hanging="529"/>
      </w:pPr>
      <w:rPr>
        <w:rFonts w:hint="default" w:ascii="Times New Roman" w:hAnsi="Times New Roman" w:cs="Times New Roman"/>
      </w:rPr>
    </w:lvl>
    <w:lvl w:ilvl="2" w:tentative="0">
      <w:start w:val="0"/>
      <w:numFmt w:val="bullet"/>
      <w:lvlText w:val="•"/>
      <w:lvlJc w:val="left"/>
      <w:pPr>
        <w:ind w:left="2059" w:hanging="529"/>
      </w:pPr>
      <w:rPr>
        <w:rFonts w:hint="default" w:ascii="Times New Roman" w:hAnsi="Times New Roman" w:cs="Times New Roman"/>
      </w:rPr>
    </w:lvl>
    <w:lvl w:ilvl="3" w:tentative="0">
      <w:start w:val="0"/>
      <w:numFmt w:val="bullet"/>
      <w:lvlText w:val="•"/>
      <w:lvlJc w:val="left"/>
      <w:pPr>
        <w:ind w:left="2827" w:hanging="529"/>
      </w:pPr>
      <w:rPr>
        <w:rFonts w:hint="default" w:ascii="Times New Roman" w:hAnsi="Times New Roman" w:cs="Times New Roman"/>
      </w:rPr>
    </w:lvl>
    <w:lvl w:ilvl="4" w:tentative="0">
      <w:start w:val="0"/>
      <w:numFmt w:val="bullet"/>
      <w:lvlText w:val="•"/>
      <w:lvlJc w:val="left"/>
      <w:pPr>
        <w:ind w:left="3596" w:hanging="529"/>
      </w:pPr>
      <w:rPr>
        <w:rFonts w:hint="default" w:ascii="Times New Roman" w:hAnsi="Times New Roman" w:cs="Times New Roman"/>
      </w:rPr>
    </w:lvl>
    <w:lvl w:ilvl="5" w:tentative="0">
      <w:start w:val="0"/>
      <w:numFmt w:val="bullet"/>
      <w:lvlText w:val="•"/>
      <w:lvlJc w:val="left"/>
      <w:pPr>
        <w:ind w:left="4365" w:hanging="529"/>
      </w:pPr>
      <w:rPr>
        <w:rFonts w:hint="default" w:ascii="Times New Roman" w:hAnsi="Times New Roman" w:cs="Times New Roman"/>
      </w:rPr>
    </w:lvl>
    <w:lvl w:ilvl="6" w:tentative="0">
      <w:start w:val="0"/>
      <w:numFmt w:val="bullet"/>
      <w:lvlText w:val="•"/>
      <w:lvlJc w:val="left"/>
      <w:pPr>
        <w:ind w:left="5133" w:hanging="529"/>
      </w:pPr>
      <w:rPr>
        <w:rFonts w:hint="default" w:ascii="Times New Roman" w:hAnsi="Times New Roman" w:cs="Times New Roman"/>
      </w:rPr>
    </w:lvl>
    <w:lvl w:ilvl="7" w:tentative="0">
      <w:start w:val="0"/>
      <w:numFmt w:val="bullet"/>
      <w:lvlText w:val="•"/>
      <w:lvlJc w:val="left"/>
      <w:pPr>
        <w:ind w:left="5902" w:hanging="529"/>
      </w:pPr>
      <w:rPr>
        <w:rFonts w:hint="default" w:ascii="Times New Roman" w:hAnsi="Times New Roman" w:cs="Times New Roman"/>
      </w:rPr>
    </w:lvl>
    <w:lvl w:ilvl="8" w:tentative="0">
      <w:start w:val="0"/>
      <w:numFmt w:val="bullet"/>
      <w:lvlText w:val="•"/>
      <w:lvlJc w:val="left"/>
      <w:pPr>
        <w:ind w:left="6671" w:hanging="529"/>
      </w:pPr>
      <w:rPr>
        <w:rFonts w:hint="default" w:ascii="Times New Roman" w:hAnsi="Times New Roman" w:cs="Times New Roman"/>
      </w:rPr>
    </w:lvl>
  </w:abstractNum>
  <w:abstractNum w:abstractNumId="5">
    <w:nsid w:val="8A421993"/>
    <w:multiLevelType w:val="multilevel"/>
    <w:tmpl w:val="8A421993"/>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
    <w:nsid w:val="8F68C8FD"/>
    <w:multiLevelType w:val="multilevel"/>
    <w:tmpl w:val="8F68C8FD"/>
    <w:lvl w:ilvl="0" w:tentative="0">
      <w:start w:val="4"/>
      <w:numFmt w:val="decimal"/>
      <w:lvlText w:val="%1"/>
      <w:lvlJc w:val="left"/>
      <w:pPr>
        <w:ind w:left="1087" w:hanging="529"/>
      </w:pPr>
      <w:rPr>
        <w:rFonts w:hint="default" w:ascii="Times New Roman" w:hAnsi="Times New Roman" w:cs="Times New Roman"/>
      </w:rPr>
    </w:lvl>
    <w:lvl w:ilvl="1" w:tentative="0">
      <w:start w:val="1"/>
      <w:numFmt w:val="decimal"/>
      <w:lvlText w:val="%1.%2"/>
      <w:lvlJc w:val="left"/>
      <w:pPr>
        <w:ind w:left="1087" w:hanging="529"/>
      </w:pPr>
      <w:rPr>
        <w:rFonts w:hint="default" w:ascii="Times New Roman" w:hAnsi="Times New Roman" w:cs="Times New Roman"/>
      </w:rPr>
    </w:lvl>
    <w:lvl w:ilvl="2" w:tentative="0">
      <w:start w:val="1"/>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7">
    <w:nsid w:val="95641631"/>
    <w:multiLevelType w:val="multilevel"/>
    <w:tmpl w:val="95641631"/>
    <w:lvl w:ilvl="0" w:tentative="0">
      <w:start w:val="7"/>
      <w:numFmt w:val="decimal"/>
      <w:lvlText w:val="%1"/>
      <w:lvlJc w:val="left"/>
      <w:pPr>
        <w:ind w:left="138" w:hanging="529"/>
      </w:pPr>
      <w:rPr>
        <w:rFonts w:hint="default" w:ascii="Times New Roman" w:hAnsi="Times New Roman" w:cs="Times New Roman"/>
      </w:rPr>
    </w:lvl>
    <w:lvl w:ilvl="1" w:tentative="0">
      <w:start w:val="3"/>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8">
    <w:nsid w:val="96A051DD"/>
    <w:multiLevelType w:val="multilevel"/>
    <w:tmpl w:val="96A051DD"/>
    <w:lvl w:ilvl="0" w:tentative="0">
      <w:start w:val="18"/>
      <w:numFmt w:val="decimal"/>
      <w:lvlText w:val="%1"/>
      <w:lvlJc w:val="left"/>
      <w:pPr>
        <w:ind w:left="619" w:hanging="481"/>
      </w:pPr>
      <w:rPr>
        <w:rFonts w:hint="default" w:ascii="Times New Roman" w:hAnsi="Times New Roman" w:cs="Times New Roman"/>
      </w:rPr>
    </w:lvl>
    <w:lvl w:ilvl="1" w:tentative="0">
      <w:start w:val="4"/>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145" w:hanging="635"/>
      </w:pPr>
      <w:rPr>
        <w:rFonts w:hint="default" w:ascii="Times New Roman" w:hAnsi="Times New Roman" w:cs="Times New Roman"/>
      </w:rPr>
    </w:lvl>
    <w:lvl w:ilvl="4" w:tentative="0">
      <w:start w:val="0"/>
      <w:numFmt w:val="bullet"/>
      <w:lvlText w:val="•"/>
      <w:lvlJc w:val="left"/>
      <w:pPr>
        <w:ind w:left="3091" w:hanging="635"/>
      </w:pPr>
      <w:rPr>
        <w:rFonts w:hint="default" w:ascii="Times New Roman" w:hAnsi="Times New Roman" w:cs="Times New Roman"/>
      </w:rPr>
    </w:lvl>
    <w:lvl w:ilvl="5" w:tentative="0">
      <w:start w:val="0"/>
      <w:numFmt w:val="bullet"/>
      <w:lvlText w:val="•"/>
      <w:lvlJc w:val="left"/>
      <w:pPr>
        <w:ind w:left="4037" w:hanging="635"/>
      </w:pPr>
      <w:rPr>
        <w:rFonts w:hint="default" w:ascii="Times New Roman" w:hAnsi="Times New Roman" w:cs="Times New Roman"/>
      </w:rPr>
    </w:lvl>
    <w:lvl w:ilvl="6" w:tentative="0">
      <w:start w:val="0"/>
      <w:numFmt w:val="bullet"/>
      <w:lvlText w:val="•"/>
      <w:lvlJc w:val="left"/>
      <w:pPr>
        <w:ind w:left="4983" w:hanging="635"/>
      </w:pPr>
      <w:rPr>
        <w:rFonts w:hint="default" w:ascii="Times New Roman" w:hAnsi="Times New Roman" w:cs="Times New Roman"/>
      </w:rPr>
    </w:lvl>
    <w:lvl w:ilvl="7" w:tentative="0">
      <w:start w:val="0"/>
      <w:numFmt w:val="bullet"/>
      <w:lvlText w:val="•"/>
      <w:lvlJc w:val="left"/>
      <w:pPr>
        <w:ind w:left="5929" w:hanging="635"/>
      </w:pPr>
      <w:rPr>
        <w:rFonts w:hint="default" w:ascii="Times New Roman" w:hAnsi="Times New Roman" w:cs="Times New Roman"/>
      </w:rPr>
    </w:lvl>
    <w:lvl w:ilvl="8" w:tentative="0">
      <w:start w:val="0"/>
      <w:numFmt w:val="bullet"/>
      <w:lvlText w:val="•"/>
      <w:lvlJc w:val="left"/>
      <w:pPr>
        <w:ind w:left="6874" w:hanging="635"/>
      </w:pPr>
      <w:rPr>
        <w:rFonts w:hint="default" w:ascii="Times New Roman" w:hAnsi="Times New Roman" w:cs="Times New Roman"/>
      </w:rPr>
    </w:lvl>
  </w:abstractNum>
  <w:abstractNum w:abstractNumId="9">
    <w:nsid w:val="96BD09FF"/>
    <w:multiLevelType w:val="multilevel"/>
    <w:tmpl w:val="96BD09FF"/>
    <w:lvl w:ilvl="0" w:tentative="0">
      <w:start w:val="14"/>
      <w:numFmt w:val="decimal"/>
      <w:lvlText w:val="%1"/>
      <w:lvlJc w:val="left"/>
      <w:pPr>
        <w:ind w:left="1192" w:hanging="635"/>
      </w:pPr>
      <w:rPr>
        <w:rFonts w:hint="default" w:ascii="Times New Roman" w:hAnsi="Times New Roman" w:cs="Times New Roman"/>
      </w:rPr>
    </w:lvl>
    <w:lvl w:ilvl="1" w:tentative="0">
      <w:start w:val="2"/>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10">
    <w:nsid w:val="9737B42B"/>
    <w:multiLevelType w:val="multilevel"/>
    <w:tmpl w:val="9737B42B"/>
    <w:lvl w:ilvl="0" w:tentative="0">
      <w:start w:val="16"/>
      <w:numFmt w:val="decimal"/>
      <w:lvlText w:val="%1"/>
      <w:lvlJc w:val="left"/>
      <w:pPr>
        <w:ind w:left="1612" w:hanging="844"/>
      </w:pPr>
      <w:rPr>
        <w:rFonts w:hint="default" w:ascii="Times New Roman" w:hAnsi="Times New Roman" w:cs="Times New Roman"/>
      </w:rPr>
    </w:lvl>
    <w:lvl w:ilvl="1" w:tentative="0">
      <w:start w:val="1"/>
      <w:numFmt w:val="decimal"/>
      <w:lvlText w:val="%1.%2"/>
      <w:lvlJc w:val="left"/>
      <w:pPr>
        <w:ind w:left="1612" w:hanging="844"/>
      </w:pPr>
      <w:rPr>
        <w:rFonts w:hint="default" w:ascii="Times New Roman" w:hAnsi="Times New Roman" w:cs="Times New Roman"/>
      </w:rPr>
    </w:lvl>
    <w:lvl w:ilvl="2" w:tentative="0">
      <w:start w:val="1"/>
      <w:numFmt w:val="decimal"/>
      <w:lvlText w:val="%1.%2.%3"/>
      <w:lvlJc w:val="left"/>
      <w:pPr>
        <w:ind w:left="1612" w:hanging="844"/>
      </w:pPr>
      <w:rPr>
        <w:rFonts w:hint="default" w:ascii="Times New Roman" w:hAnsi="Times New Roman" w:cs="Times New Roman"/>
      </w:rPr>
    </w:lvl>
    <w:lvl w:ilvl="3" w:tentative="0">
      <w:start w:val="1"/>
      <w:numFmt w:val="decimal"/>
      <w:lvlText w:val="%1.%2.%3.%4"/>
      <w:lvlJc w:val="left"/>
      <w:pPr>
        <w:ind w:left="1612" w:hanging="844"/>
      </w:pPr>
      <w:rPr>
        <w:rFonts w:hint="eastAsia" w:ascii="宋体" w:hAnsi="宋体" w:eastAsia="宋体" w:cs="宋体"/>
        <w:spacing w:val="-3"/>
        <w:sz w:val="19"/>
        <w:szCs w:val="19"/>
      </w:rPr>
    </w:lvl>
    <w:lvl w:ilvl="4" w:tentative="0">
      <w:start w:val="0"/>
      <w:numFmt w:val="bullet"/>
      <w:lvlText w:val="•"/>
      <w:lvlJc w:val="left"/>
      <w:pPr>
        <w:ind w:left="4478" w:hanging="844"/>
      </w:pPr>
      <w:rPr>
        <w:rFonts w:hint="default" w:ascii="Times New Roman" w:hAnsi="Times New Roman" w:cs="Times New Roman"/>
      </w:rPr>
    </w:lvl>
    <w:lvl w:ilvl="5" w:tentative="0">
      <w:start w:val="0"/>
      <w:numFmt w:val="bullet"/>
      <w:lvlText w:val="•"/>
      <w:lvlJc w:val="left"/>
      <w:pPr>
        <w:ind w:left="5193" w:hanging="844"/>
      </w:pPr>
      <w:rPr>
        <w:rFonts w:hint="default" w:ascii="Times New Roman" w:hAnsi="Times New Roman" w:cs="Times New Roman"/>
      </w:rPr>
    </w:lvl>
    <w:lvl w:ilvl="6" w:tentative="0">
      <w:start w:val="0"/>
      <w:numFmt w:val="bullet"/>
      <w:lvlText w:val="•"/>
      <w:lvlJc w:val="left"/>
      <w:pPr>
        <w:ind w:left="5907" w:hanging="844"/>
      </w:pPr>
      <w:rPr>
        <w:rFonts w:hint="default" w:ascii="Times New Roman" w:hAnsi="Times New Roman" w:cs="Times New Roman"/>
      </w:rPr>
    </w:lvl>
    <w:lvl w:ilvl="7" w:tentative="0">
      <w:start w:val="0"/>
      <w:numFmt w:val="bullet"/>
      <w:lvlText w:val="•"/>
      <w:lvlJc w:val="left"/>
      <w:pPr>
        <w:ind w:left="6622" w:hanging="844"/>
      </w:pPr>
      <w:rPr>
        <w:rFonts w:hint="default" w:ascii="Times New Roman" w:hAnsi="Times New Roman" w:cs="Times New Roman"/>
      </w:rPr>
    </w:lvl>
    <w:lvl w:ilvl="8" w:tentative="0">
      <w:start w:val="0"/>
      <w:numFmt w:val="bullet"/>
      <w:lvlText w:val="•"/>
      <w:lvlJc w:val="left"/>
      <w:pPr>
        <w:ind w:left="7337" w:hanging="844"/>
      </w:pPr>
      <w:rPr>
        <w:rFonts w:hint="default" w:ascii="Times New Roman" w:hAnsi="Times New Roman" w:cs="Times New Roman"/>
      </w:rPr>
    </w:lvl>
  </w:abstractNum>
  <w:abstractNum w:abstractNumId="11">
    <w:nsid w:val="97591C1E"/>
    <w:multiLevelType w:val="multilevel"/>
    <w:tmpl w:val="97591C1E"/>
    <w:lvl w:ilvl="0" w:tentative="0">
      <w:start w:val="1"/>
      <w:numFmt w:val="decimal"/>
      <w:lvlText w:val="%1"/>
      <w:lvlJc w:val="left"/>
      <w:pPr>
        <w:ind w:left="499" w:hanging="361"/>
      </w:pPr>
      <w:rPr>
        <w:rFonts w:hint="default" w:ascii="Times New Roman" w:hAnsi="Times New Roman" w:cs="Times New Roman"/>
      </w:rPr>
    </w:lvl>
    <w:lvl w:ilvl="1" w:tentative="0">
      <w:start w:val="9"/>
      <w:numFmt w:val="decimal"/>
      <w:lvlText w:val="%1.%2"/>
      <w:lvlJc w:val="left"/>
      <w:pPr>
        <w:ind w:left="499" w:hanging="361"/>
      </w:pPr>
      <w:rPr>
        <w:rFonts w:hint="eastAsia" w:ascii="宋体" w:hAnsi="宋体" w:eastAsia="宋体" w:cs="宋体"/>
        <w:spacing w:val="-1"/>
        <w:sz w:val="22"/>
        <w:szCs w:val="22"/>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336" w:hanging="635"/>
      </w:pPr>
      <w:rPr>
        <w:rFonts w:hint="default" w:ascii="Times New Roman" w:hAnsi="Times New Roman" w:cs="Times New Roman"/>
      </w:rPr>
    </w:lvl>
    <w:lvl w:ilvl="4" w:tentative="0">
      <w:start w:val="0"/>
      <w:numFmt w:val="bullet"/>
      <w:lvlText w:val="•"/>
      <w:lvlJc w:val="left"/>
      <w:pPr>
        <w:ind w:left="3255" w:hanging="635"/>
      </w:pPr>
      <w:rPr>
        <w:rFonts w:hint="default" w:ascii="Times New Roman" w:hAnsi="Times New Roman" w:cs="Times New Roman"/>
      </w:rPr>
    </w:lvl>
    <w:lvl w:ilvl="5" w:tentative="0">
      <w:start w:val="0"/>
      <w:numFmt w:val="bullet"/>
      <w:lvlText w:val="•"/>
      <w:lvlJc w:val="left"/>
      <w:pPr>
        <w:ind w:left="4173" w:hanging="635"/>
      </w:pPr>
      <w:rPr>
        <w:rFonts w:hint="default" w:ascii="Times New Roman" w:hAnsi="Times New Roman" w:cs="Times New Roman"/>
      </w:rPr>
    </w:lvl>
    <w:lvl w:ilvl="6" w:tentative="0">
      <w:start w:val="0"/>
      <w:numFmt w:val="bullet"/>
      <w:lvlText w:val="•"/>
      <w:lvlJc w:val="left"/>
      <w:pPr>
        <w:ind w:left="5092" w:hanging="635"/>
      </w:pPr>
      <w:rPr>
        <w:rFonts w:hint="default" w:ascii="Times New Roman" w:hAnsi="Times New Roman" w:cs="Times New Roman"/>
      </w:rPr>
    </w:lvl>
    <w:lvl w:ilvl="7" w:tentative="0">
      <w:start w:val="0"/>
      <w:numFmt w:val="bullet"/>
      <w:lvlText w:val="•"/>
      <w:lvlJc w:val="left"/>
      <w:pPr>
        <w:ind w:left="6010" w:hanging="635"/>
      </w:pPr>
      <w:rPr>
        <w:rFonts w:hint="default" w:ascii="Times New Roman" w:hAnsi="Times New Roman" w:cs="Times New Roman"/>
      </w:rPr>
    </w:lvl>
    <w:lvl w:ilvl="8" w:tentative="0">
      <w:start w:val="0"/>
      <w:numFmt w:val="bullet"/>
      <w:lvlText w:val="•"/>
      <w:lvlJc w:val="left"/>
      <w:pPr>
        <w:ind w:left="6929" w:hanging="635"/>
      </w:pPr>
      <w:rPr>
        <w:rFonts w:hint="default" w:ascii="Times New Roman" w:hAnsi="Times New Roman" w:cs="Times New Roman"/>
      </w:rPr>
    </w:lvl>
  </w:abstractNum>
  <w:abstractNum w:abstractNumId="12">
    <w:nsid w:val="A13EFA38"/>
    <w:multiLevelType w:val="multilevel"/>
    <w:tmpl w:val="A13EFA38"/>
    <w:lvl w:ilvl="0" w:tentative="0">
      <w:start w:val="3"/>
      <w:numFmt w:val="decimal"/>
      <w:lvlText w:val="%1）"/>
      <w:lvlJc w:val="left"/>
      <w:pPr>
        <w:ind w:left="1449" w:hanging="318"/>
      </w:pPr>
      <w:rPr>
        <w:rFonts w:hint="eastAsia" w:ascii="宋体" w:hAnsi="宋体" w:eastAsia="宋体" w:cs="宋体"/>
        <w:sz w:val="19"/>
        <w:szCs w:val="19"/>
      </w:rPr>
    </w:lvl>
    <w:lvl w:ilvl="1" w:tentative="0">
      <w:start w:val="2"/>
      <w:numFmt w:val="decimal"/>
      <w:lvlText w:val="%2）"/>
      <w:lvlJc w:val="left"/>
      <w:pPr>
        <w:ind w:left="1588" w:hanging="318"/>
      </w:pPr>
      <w:rPr>
        <w:rFonts w:hint="eastAsia" w:ascii="宋体" w:hAnsi="宋体" w:eastAsia="宋体" w:cs="宋体"/>
        <w:spacing w:val="-3"/>
        <w:sz w:val="19"/>
        <w:szCs w:val="19"/>
      </w:rPr>
    </w:lvl>
    <w:lvl w:ilvl="2" w:tentative="0">
      <w:start w:val="0"/>
      <w:numFmt w:val="bullet"/>
      <w:lvlText w:val="•"/>
      <w:lvlJc w:val="left"/>
      <w:pPr>
        <w:ind w:left="2378" w:hanging="318"/>
      </w:pPr>
      <w:rPr>
        <w:rFonts w:hint="default" w:ascii="Times New Roman" w:hAnsi="Times New Roman" w:cs="Times New Roman"/>
      </w:rPr>
    </w:lvl>
    <w:lvl w:ilvl="3" w:tentative="0">
      <w:start w:val="0"/>
      <w:numFmt w:val="bullet"/>
      <w:lvlText w:val="•"/>
      <w:lvlJc w:val="left"/>
      <w:pPr>
        <w:ind w:left="3176" w:hanging="318"/>
      </w:pPr>
      <w:rPr>
        <w:rFonts w:hint="default" w:ascii="Times New Roman" w:hAnsi="Times New Roman" w:cs="Times New Roman"/>
      </w:rPr>
    </w:lvl>
    <w:lvl w:ilvl="4" w:tentative="0">
      <w:start w:val="0"/>
      <w:numFmt w:val="bullet"/>
      <w:lvlText w:val="•"/>
      <w:lvlJc w:val="left"/>
      <w:pPr>
        <w:ind w:left="3975" w:hanging="318"/>
      </w:pPr>
      <w:rPr>
        <w:rFonts w:hint="default" w:ascii="Times New Roman" w:hAnsi="Times New Roman" w:cs="Times New Roman"/>
      </w:rPr>
    </w:lvl>
    <w:lvl w:ilvl="5" w:tentative="0">
      <w:start w:val="0"/>
      <w:numFmt w:val="bullet"/>
      <w:lvlText w:val="•"/>
      <w:lvlJc w:val="left"/>
      <w:pPr>
        <w:ind w:left="4773" w:hanging="318"/>
      </w:pPr>
      <w:rPr>
        <w:rFonts w:hint="default" w:ascii="Times New Roman" w:hAnsi="Times New Roman" w:cs="Times New Roman"/>
      </w:rPr>
    </w:lvl>
    <w:lvl w:ilvl="6" w:tentative="0">
      <w:start w:val="0"/>
      <w:numFmt w:val="bullet"/>
      <w:lvlText w:val="•"/>
      <w:lvlJc w:val="left"/>
      <w:pPr>
        <w:ind w:left="5572" w:hanging="318"/>
      </w:pPr>
      <w:rPr>
        <w:rFonts w:hint="default" w:ascii="Times New Roman" w:hAnsi="Times New Roman" w:cs="Times New Roman"/>
      </w:rPr>
    </w:lvl>
    <w:lvl w:ilvl="7" w:tentative="0">
      <w:start w:val="0"/>
      <w:numFmt w:val="bullet"/>
      <w:lvlText w:val="•"/>
      <w:lvlJc w:val="left"/>
      <w:pPr>
        <w:ind w:left="6370" w:hanging="318"/>
      </w:pPr>
      <w:rPr>
        <w:rFonts w:hint="default" w:ascii="Times New Roman" w:hAnsi="Times New Roman" w:cs="Times New Roman"/>
      </w:rPr>
    </w:lvl>
    <w:lvl w:ilvl="8" w:tentative="0">
      <w:start w:val="0"/>
      <w:numFmt w:val="bullet"/>
      <w:lvlText w:val="•"/>
      <w:lvlJc w:val="left"/>
      <w:pPr>
        <w:ind w:left="7169" w:hanging="318"/>
      </w:pPr>
      <w:rPr>
        <w:rFonts w:hint="default" w:ascii="Times New Roman" w:hAnsi="Times New Roman" w:cs="Times New Roman"/>
      </w:rPr>
    </w:lvl>
  </w:abstractNum>
  <w:abstractNum w:abstractNumId="13">
    <w:nsid w:val="A796D692"/>
    <w:multiLevelType w:val="multilevel"/>
    <w:tmpl w:val="A796D692"/>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4">
    <w:nsid w:val="A7984188"/>
    <w:multiLevelType w:val="multilevel"/>
    <w:tmpl w:val="A7984188"/>
    <w:lvl w:ilvl="0" w:tentative="0">
      <w:start w:val="7"/>
      <w:numFmt w:val="decimal"/>
      <w:lvlText w:val="%1"/>
      <w:lvlJc w:val="left"/>
      <w:pPr>
        <w:ind w:left="138" w:hanging="529"/>
      </w:pPr>
      <w:rPr>
        <w:rFonts w:hint="default" w:ascii="Times New Roman" w:hAnsi="Times New Roman" w:cs="Times New Roman"/>
      </w:rPr>
    </w:lvl>
    <w:lvl w:ilvl="1" w:tentative="0">
      <w:start w:val="2"/>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2"/>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5">
    <w:nsid w:val="A7D966A0"/>
    <w:multiLevelType w:val="multilevel"/>
    <w:tmpl w:val="A7D966A0"/>
    <w:lvl w:ilvl="0" w:tentative="0">
      <w:start w:val="4"/>
      <w:numFmt w:val="decimal"/>
      <w:lvlText w:val="%1"/>
      <w:lvlJc w:val="left"/>
      <w:pPr>
        <w:ind w:left="1087" w:hanging="529"/>
      </w:pPr>
      <w:rPr>
        <w:rFonts w:hint="default" w:ascii="Times New Roman" w:hAnsi="Times New Roman" w:cs="Times New Roman"/>
      </w:rPr>
    </w:lvl>
    <w:lvl w:ilvl="1" w:tentative="0">
      <w:start w:val="1"/>
      <w:numFmt w:val="decimal"/>
      <w:lvlText w:val="%1.%2"/>
      <w:lvlJc w:val="left"/>
      <w:pPr>
        <w:ind w:left="1087" w:hanging="529"/>
      </w:pPr>
      <w:rPr>
        <w:rFonts w:hint="default" w:ascii="Times New Roman" w:hAnsi="Times New Roman" w:cs="Times New Roman"/>
      </w:rPr>
    </w:lvl>
    <w:lvl w:ilvl="2" w:tentative="0">
      <w:start w:val="4"/>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6">
    <w:nsid w:val="A7F3773F"/>
    <w:multiLevelType w:val="multilevel"/>
    <w:tmpl w:val="A7F3773F"/>
    <w:lvl w:ilvl="0" w:tentative="0">
      <w:start w:val="3"/>
      <w:numFmt w:val="decimal"/>
      <w:lvlText w:val="%1"/>
      <w:lvlJc w:val="left"/>
      <w:pPr>
        <w:ind w:left="1087" w:hanging="529"/>
      </w:pPr>
      <w:rPr>
        <w:rFonts w:hint="default" w:ascii="Times New Roman" w:hAnsi="Times New Roman" w:cs="Times New Roman"/>
      </w:rPr>
    </w:lvl>
    <w:lvl w:ilvl="1" w:tentative="0">
      <w:start w:val="4"/>
      <w:numFmt w:val="decimal"/>
      <w:lvlText w:val="%1.%2"/>
      <w:lvlJc w:val="left"/>
      <w:pPr>
        <w:ind w:left="1087" w:hanging="529"/>
      </w:pPr>
      <w:rPr>
        <w:rFonts w:hint="default" w:ascii="Times New Roman" w:hAnsi="Times New Roman" w:cs="Times New Roman"/>
      </w:rPr>
    </w:lvl>
    <w:lvl w:ilvl="2" w:tentative="0">
      <w:start w:val="1"/>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7">
    <w:nsid w:val="A96722C6"/>
    <w:multiLevelType w:val="multilevel"/>
    <w:tmpl w:val="A96722C6"/>
    <w:lvl w:ilvl="0" w:tentative="0">
      <w:start w:val="1"/>
      <w:numFmt w:val="decimal"/>
      <w:lvlText w:val="%1"/>
      <w:lvlJc w:val="left"/>
      <w:pPr>
        <w:ind w:left="1087" w:hanging="529"/>
      </w:pPr>
      <w:rPr>
        <w:rFonts w:hint="default" w:ascii="Times New Roman" w:hAnsi="Times New Roman" w:cs="Times New Roman"/>
      </w:rPr>
    </w:lvl>
    <w:lvl w:ilvl="1" w:tentative="0">
      <w:start w:val="6"/>
      <w:numFmt w:val="decimal"/>
      <w:lvlText w:val="%1.%2"/>
      <w:lvlJc w:val="left"/>
      <w:pPr>
        <w:ind w:left="1087" w:hanging="529"/>
      </w:pPr>
      <w:rPr>
        <w:rFonts w:hint="default" w:ascii="Times New Roman" w:hAnsi="Times New Roman" w:cs="Times New Roman"/>
      </w:rPr>
    </w:lvl>
    <w:lvl w:ilvl="2" w:tentative="0">
      <w:start w:val="3"/>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8">
    <w:nsid w:val="AE156F70"/>
    <w:multiLevelType w:val="multilevel"/>
    <w:tmpl w:val="AE156F7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9">
    <w:nsid w:val="AEA72991"/>
    <w:multiLevelType w:val="multilevel"/>
    <w:tmpl w:val="AEA72991"/>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20">
    <w:nsid w:val="B096CA71"/>
    <w:multiLevelType w:val="multilevel"/>
    <w:tmpl w:val="B096CA71"/>
    <w:lvl w:ilvl="0" w:tentative="0">
      <w:start w:val="1"/>
      <w:numFmt w:val="decimal"/>
      <w:lvlText w:val="（%1）"/>
      <w:lvlJc w:val="left"/>
      <w:pPr>
        <w:ind w:left="138" w:hanging="529"/>
      </w:pPr>
      <w:rPr>
        <w:rFonts w:hint="eastAsia" w:ascii="宋体" w:hAnsi="宋体" w:eastAsia="宋体" w:cs="宋体"/>
        <w:spacing w:val="-46"/>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21">
    <w:nsid w:val="B96119FD"/>
    <w:multiLevelType w:val="multilevel"/>
    <w:tmpl w:val="B96119FD"/>
    <w:lvl w:ilvl="0" w:tentative="0">
      <w:start w:val="5"/>
      <w:numFmt w:val="decimal"/>
      <w:lvlText w:val="%1"/>
      <w:lvlJc w:val="left"/>
      <w:pPr>
        <w:ind w:left="138" w:hanging="529"/>
      </w:pPr>
      <w:rPr>
        <w:rFonts w:hint="default" w:ascii="Times New Roman" w:hAnsi="Times New Roman" w:cs="Times New Roman"/>
      </w:rPr>
    </w:lvl>
    <w:lvl w:ilvl="1" w:tentative="0">
      <w:start w:val="1"/>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22">
    <w:nsid w:val="BA2BD2F9"/>
    <w:multiLevelType w:val="multilevel"/>
    <w:tmpl w:val="BA2BD2F9"/>
    <w:lvl w:ilvl="0" w:tentative="0">
      <w:start w:val="17"/>
      <w:numFmt w:val="decimal"/>
      <w:lvlText w:val="%1"/>
      <w:lvlJc w:val="left"/>
      <w:pPr>
        <w:ind w:left="619" w:hanging="481"/>
      </w:pPr>
      <w:rPr>
        <w:rFonts w:hint="default" w:ascii="Times New Roman" w:hAnsi="Times New Roman" w:cs="Times New Roman"/>
      </w:rPr>
    </w:lvl>
    <w:lvl w:ilvl="1" w:tentative="0">
      <w:start w:val="5"/>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2881" w:hanging="635"/>
      </w:pPr>
      <w:rPr>
        <w:rFonts w:hint="default" w:ascii="Times New Roman" w:hAnsi="Times New Roman" w:cs="Times New Roman"/>
      </w:rPr>
    </w:lvl>
    <w:lvl w:ilvl="4" w:tentative="0">
      <w:start w:val="0"/>
      <w:numFmt w:val="bullet"/>
      <w:lvlText w:val="•"/>
      <w:lvlJc w:val="left"/>
      <w:pPr>
        <w:ind w:left="3722" w:hanging="635"/>
      </w:pPr>
      <w:rPr>
        <w:rFonts w:hint="default" w:ascii="Times New Roman" w:hAnsi="Times New Roman" w:cs="Times New Roman"/>
      </w:rPr>
    </w:lvl>
    <w:lvl w:ilvl="5" w:tentative="0">
      <w:start w:val="0"/>
      <w:numFmt w:val="bullet"/>
      <w:lvlText w:val="•"/>
      <w:lvlJc w:val="left"/>
      <w:pPr>
        <w:ind w:left="4562" w:hanging="635"/>
      </w:pPr>
      <w:rPr>
        <w:rFonts w:hint="default" w:ascii="Times New Roman" w:hAnsi="Times New Roman" w:cs="Times New Roman"/>
      </w:rPr>
    </w:lvl>
    <w:lvl w:ilvl="6" w:tentative="0">
      <w:start w:val="0"/>
      <w:numFmt w:val="bullet"/>
      <w:lvlText w:val="•"/>
      <w:lvlJc w:val="left"/>
      <w:pPr>
        <w:ind w:left="5403" w:hanging="635"/>
      </w:pPr>
      <w:rPr>
        <w:rFonts w:hint="default" w:ascii="Times New Roman" w:hAnsi="Times New Roman" w:cs="Times New Roman"/>
      </w:rPr>
    </w:lvl>
    <w:lvl w:ilvl="7" w:tentative="0">
      <w:start w:val="0"/>
      <w:numFmt w:val="bullet"/>
      <w:lvlText w:val="•"/>
      <w:lvlJc w:val="left"/>
      <w:pPr>
        <w:ind w:left="6244" w:hanging="635"/>
      </w:pPr>
      <w:rPr>
        <w:rFonts w:hint="default" w:ascii="Times New Roman" w:hAnsi="Times New Roman" w:cs="Times New Roman"/>
      </w:rPr>
    </w:lvl>
    <w:lvl w:ilvl="8" w:tentative="0">
      <w:start w:val="0"/>
      <w:numFmt w:val="bullet"/>
      <w:lvlText w:val="•"/>
      <w:lvlJc w:val="left"/>
      <w:pPr>
        <w:ind w:left="7084" w:hanging="635"/>
      </w:pPr>
      <w:rPr>
        <w:rFonts w:hint="default" w:ascii="Times New Roman" w:hAnsi="Times New Roman" w:cs="Times New Roman"/>
      </w:rPr>
    </w:lvl>
  </w:abstractNum>
  <w:abstractNum w:abstractNumId="23">
    <w:nsid w:val="BF24FD4C"/>
    <w:multiLevelType w:val="multilevel"/>
    <w:tmpl w:val="BF24FD4C"/>
    <w:lvl w:ilvl="0" w:tentative="0">
      <w:start w:val="20"/>
      <w:numFmt w:val="decimal"/>
      <w:lvlText w:val="%1"/>
      <w:lvlJc w:val="left"/>
      <w:pPr>
        <w:ind w:left="1192" w:hanging="635"/>
      </w:pPr>
      <w:rPr>
        <w:rFonts w:hint="default" w:ascii="Times New Roman" w:hAnsi="Times New Roman" w:cs="Times New Roman"/>
      </w:rPr>
    </w:lvl>
    <w:lvl w:ilvl="1" w:tentative="0">
      <w:start w:val="6"/>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24">
    <w:nsid w:val="C1741BC7"/>
    <w:multiLevelType w:val="multilevel"/>
    <w:tmpl w:val="C1741BC7"/>
    <w:lvl w:ilvl="0" w:tentative="0">
      <w:start w:val="16"/>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2"/>
      <w:numFmt w:val="decimal"/>
      <w:lvlText w:val="%1.%2.%3"/>
      <w:lvlJc w:val="left"/>
      <w:pPr>
        <w:ind w:left="1192" w:hanging="635"/>
      </w:pPr>
      <w:rPr>
        <w:rFonts w:hint="eastAsia" w:ascii="宋体" w:hAnsi="宋体" w:eastAsia="宋体" w:cs="宋体"/>
        <w:spacing w:val="-3"/>
        <w:sz w:val="19"/>
        <w:szCs w:val="19"/>
      </w:rPr>
    </w:lvl>
    <w:lvl w:ilvl="3" w:tentative="0">
      <w:start w:val="1"/>
      <w:numFmt w:val="decimal"/>
      <w:lvlText w:val="%1.%2.%3.%4"/>
      <w:lvlJc w:val="left"/>
      <w:pPr>
        <w:ind w:left="1612" w:hanging="844"/>
      </w:pPr>
      <w:rPr>
        <w:rFonts w:hint="eastAsia" w:ascii="宋体" w:hAnsi="宋体" w:eastAsia="宋体" w:cs="宋体"/>
        <w:spacing w:val="-3"/>
        <w:sz w:val="19"/>
        <w:szCs w:val="19"/>
      </w:rPr>
    </w:lvl>
    <w:lvl w:ilvl="4" w:tentative="0">
      <w:start w:val="0"/>
      <w:numFmt w:val="bullet"/>
      <w:lvlText w:val="•"/>
      <w:lvlJc w:val="left"/>
      <w:pPr>
        <w:ind w:left="4002" w:hanging="844"/>
      </w:pPr>
      <w:rPr>
        <w:rFonts w:hint="default" w:ascii="Times New Roman" w:hAnsi="Times New Roman" w:cs="Times New Roman"/>
      </w:rPr>
    </w:lvl>
    <w:lvl w:ilvl="5" w:tentative="0">
      <w:start w:val="0"/>
      <w:numFmt w:val="bullet"/>
      <w:lvlText w:val="•"/>
      <w:lvlJc w:val="left"/>
      <w:pPr>
        <w:ind w:left="4796" w:hanging="844"/>
      </w:pPr>
      <w:rPr>
        <w:rFonts w:hint="default" w:ascii="Times New Roman" w:hAnsi="Times New Roman" w:cs="Times New Roman"/>
      </w:rPr>
    </w:lvl>
    <w:lvl w:ilvl="6" w:tentative="0">
      <w:start w:val="0"/>
      <w:numFmt w:val="bullet"/>
      <w:lvlText w:val="•"/>
      <w:lvlJc w:val="left"/>
      <w:pPr>
        <w:ind w:left="5590" w:hanging="844"/>
      </w:pPr>
      <w:rPr>
        <w:rFonts w:hint="default" w:ascii="Times New Roman" w:hAnsi="Times New Roman" w:cs="Times New Roman"/>
      </w:rPr>
    </w:lvl>
    <w:lvl w:ilvl="7" w:tentative="0">
      <w:start w:val="0"/>
      <w:numFmt w:val="bullet"/>
      <w:lvlText w:val="•"/>
      <w:lvlJc w:val="left"/>
      <w:pPr>
        <w:ind w:left="6384" w:hanging="844"/>
      </w:pPr>
      <w:rPr>
        <w:rFonts w:hint="default" w:ascii="Times New Roman" w:hAnsi="Times New Roman" w:cs="Times New Roman"/>
      </w:rPr>
    </w:lvl>
    <w:lvl w:ilvl="8" w:tentative="0">
      <w:start w:val="0"/>
      <w:numFmt w:val="bullet"/>
      <w:lvlText w:val="•"/>
      <w:lvlJc w:val="left"/>
      <w:pPr>
        <w:ind w:left="7178" w:hanging="844"/>
      </w:pPr>
      <w:rPr>
        <w:rFonts w:hint="default" w:ascii="Times New Roman" w:hAnsi="Times New Roman" w:cs="Times New Roman"/>
      </w:rPr>
    </w:lvl>
  </w:abstractNum>
  <w:abstractNum w:abstractNumId="25">
    <w:nsid w:val="C1A8BCC3"/>
    <w:multiLevelType w:val="multilevel"/>
    <w:tmpl w:val="C1A8BCC3"/>
    <w:lvl w:ilvl="0" w:tentative="0">
      <w:start w:val="13"/>
      <w:numFmt w:val="decimal"/>
      <w:lvlText w:val="%1"/>
      <w:lvlJc w:val="left"/>
      <w:pPr>
        <w:ind w:left="1192" w:hanging="635"/>
      </w:pPr>
      <w:rPr>
        <w:rFonts w:hint="default" w:ascii="Times New Roman" w:hAnsi="Times New Roman" w:cs="Times New Roman"/>
      </w:rPr>
    </w:lvl>
    <w:lvl w:ilvl="1" w:tentative="0">
      <w:start w:val="5"/>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26">
    <w:nsid w:val="C2600CC3"/>
    <w:multiLevelType w:val="multilevel"/>
    <w:tmpl w:val="C2600CC3"/>
    <w:lvl w:ilvl="0" w:tentative="0">
      <w:start w:val="5"/>
      <w:numFmt w:val="decimal"/>
      <w:lvlText w:val="%1"/>
      <w:lvlJc w:val="left"/>
      <w:pPr>
        <w:ind w:left="138" w:hanging="529"/>
      </w:pPr>
      <w:rPr>
        <w:rFonts w:hint="default" w:ascii="Times New Roman" w:hAnsi="Times New Roman" w:cs="Times New Roman"/>
      </w:rPr>
    </w:lvl>
    <w:lvl w:ilvl="1" w:tentative="0">
      <w:start w:val="4"/>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25"/>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27">
    <w:nsid w:val="C3B16332"/>
    <w:multiLevelType w:val="multilevel"/>
    <w:tmpl w:val="C3B16332"/>
    <w:lvl w:ilvl="0" w:tentative="0">
      <w:start w:val="12"/>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28">
    <w:nsid w:val="C804B3AE"/>
    <w:multiLevelType w:val="multilevel"/>
    <w:tmpl w:val="C804B3A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29">
    <w:nsid w:val="CA818E08"/>
    <w:multiLevelType w:val="multilevel"/>
    <w:tmpl w:val="CA818E08"/>
    <w:lvl w:ilvl="0" w:tentative="0">
      <w:start w:val="11"/>
      <w:numFmt w:val="decimal"/>
      <w:lvlText w:val="%1"/>
      <w:lvlJc w:val="left"/>
      <w:pPr>
        <w:ind w:left="619" w:hanging="481"/>
      </w:pPr>
      <w:rPr>
        <w:rFonts w:hint="default" w:ascii="Times New Roman" w:hAnsi="Times New Roman" w:cs="Times New Roman"/>
      </w:rPr>
    </w:lvl>
    <w:lvl w:ilvl="1" w:tentative="0">
      <w:start w:val="3"/>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710" w:hanging="529"/>
      </w:pPr>
      <w:rPr>
        <w:rFonts w:hint="default" w:ascii="Times New Roman" w:hAnsi="Times New Roman" w:cs="Times New Roman"/>
      </w:rPr>
    </w:lvl>
    <w:lvl w:ilvl="4" w:tentative="0">
      <w:start w:val="0"/>
      <w:numFmt w:val="bullet"/>
      <w:lvlText w:val="•"/>
      <w:lvlJc w:val="left"/>
      <w:pPr>
        <w:ind w:left="3575" w:hanging="529"/>
      </w:pPr>
      <w:rPr>
        <w:rFonts w:hint="default" w:ascii="Times New Roman" w:hAnsi="Times New Roman" w:cs="Times New Roman"/>
      </w:rPr>
    </w:lvl>
    <w:lvl w:ilvl="5" w:tentative="0">
      <w:start w:val="0"/>
      <w:numFmt w:val="bullet"/>
      <w:lvlText w:val="•"/>
      <w:lvlJc w:val="left"/>
      <w:pPr>
        <w:ind w:left="4440" w:hanging="529"/>
      </w:pPr>
      <w:rPr>
        <w:rFonts w:hint="default" w:ascii="Times New Roman" w:hAnsi="Times New Roman" w:cs="Times New Roman"/>
      </w:rPr>
    </w:lvl>
    <w:lvl w:ilvl="6" w:tentative="0">
      <w:start w:val="0"/>
      <w:numFmt w:val="bullet"/>
      <w:lvlText w:val="•"/>
      <w:lvlJc w:val="left"/>
      <w:pPr>
        <w:ind w:left="5305" w:hanging="529"/>
      </w:pPr>
      <w:rPr>
        <w:rFonts w:hint="default" w:ascii="Times New Roman" w:hAnsi="Times New Roman" w:cs="Times New Roman"/>
      </w:rPr>
    </w:lvl>
    <w:lvl w:ilvl="7" w:tentative="0">
      <w:start w:val="0"/>
      <w:numFmt w:val="bullet"/>
      <w:lvlText w:val="•"/>
      <w:lvlJc w:val="left"/>
      <w:pPr>
        <w:ind w:left="6170" w:hanging="529"/>
      </w:pPr>
      <w:rPr>
        <w:rFonts w:hint="default" w:ascii="Times New Roman" w:hAnsi="Times New Roman" w:cs="Times New Roman"/>
      </w:rPr>
    </w:lvl>
    <w:lvl w:ilvl="8" w:tentative="0">
      <w:start w:val="0"/>
      <w:numFmt w:val="bullet"/>
      <w:lvlText w:val="•"/>
      <w:lvlJc w:val="left"/>
      <w:pPr>
        <w:ind w:left="7036" w:hanging="529"/>
      </w:pPr>
      <w:rPr>
        <w:rFonts w:hint="default" w:ascii="Times New Roman" w:hAnsi="Times New Roman" w:cs="Times New Roman"/>
      </w:rPr>
    </w:lvl>
  </w:abstractNum>
  <w:abstractNum w:abstractNumId="30">
    <w:nsid w:val="CAA55071"/>
    <w:multiLevelType w:val="multilevel"/>
    <w:tmpl w:val="CAA55071"/>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54" w:hanging="529"/>
      </w:pPr>
      <w:rPr>
        <w:rFonts w:hint="default" w:ascii="Times New Roman" w:hAnsi="Times New Roman" w:cs="Times New Roman"/>
      </w:rPr>
    </w:lvl>
    <w:lvl w:ilvl="3" w:tentative="0">
      <w:start w:val="0"/>
      <w:numFmt w:val="bullet"/>
      <w:lvlText w:val="•"/>
      <w:lvlJc w:val="left"/>
      <w:pPr>
        <w:ind w:left="3068" w:hanging="529"/>
      </w:pPr>
      <w:rPr>
        <w:rFonts w:hint="default" w:ascii="Times New Roman" w:hAnsi="Times New Roman" w:cs="Times New Roman"/>
      </w:rPr>
    </w:lvl>
    <w:lvl w:ilvl="4" w:tentative="0">
      <w:start w:val="0"/>
      <w:numFmt w:val="bullet"/>
      <w:lvlText w:val="•"/>
      <w:lvlJc w:val="left"/>
      <w:pPr>
        <w:ind w:left="3882" w:hanging="529"/>
      </w:pPr>
      <w:rPr>
        <w:rFonts w:hint="default" w:ascii="Times New Roman" w:hAnsi="Times New Roman" w:cs="Times New Roman"/>
      </w:rPr>
    </w:lvl>
    <w:lvl w:ilvl="5" w:tentative="0">
      <w:start w:val="0"/>
      <w:numFmt w:val="bullet"/>
      <w:lvlText w:val="•"/>
      <w:lvlJc w:val="left"/>
      <w:pPr>
        <w:ind w:left="4696" w:hanging="529"/>
      </w:pPr>
      <w:rPr>
        <w:rFonts w:hint="default" w:ascii="Times New Roman" w:hAnsi="Times New Roman" w:cs="Times New Roman"/>
      </w:rPr>
    </w:lvl>
    <w:lvl w:ilvl="6" w:tentative="0">
      <w:start w:val="0"/>
      <w:numFmt w:val="bullet"/>
      <w:lvlText w:val="•"/>
      <w:lvlJc w:val="left"/>
      <w:pPr>
        <w:ind w:left="5510" w:hanging="529"/>
      </w:pPr>
      <w:rPr>
        <w:rFonts w:hint="default" w:ascii="Times New Roman" w:hAnsi="Times New Roman" w:cs="Times New Roman"/>
      </w:rPr>
    </w:lvl>
    <w:lvl w:ilvl="7" w:tentative="0">
      <w:start w:val="0"/>
      <w:numFmt w:val="bullet"/>
      <w:lvlText w:val="•"/>
      <w:lvlJc w:val="left"/>
      <w:pPr>
        <w:ind w:left="6324" w:hanging="529"/>
      </w:pPr>
      <w:rPr>
        <w:rFonts w:hint="default" w:ascii="Times New Roman" w:hAnsi="Times New Roman" w:cs="Times New Roman"/>
      </w:rPr>
    </w:lvl>
    <w:lvl w:ilvl="8" w:tentative="0">
      <w:start w:val="0"/>
      <w:numFmt w:val="bullet"/>
      <w:lvlText w:val="•"/>
      <w:lvlJc w:val="left"/>
      <w:pPr>
        <w:ind w:left="7138" w:hanging="529"/>
      </w:pPr>
      <w:rPr>
        <w:rFonts w:hint="default" w:ascii="Times New Roman" w:hAnsi="Times New Roman" w:cs="Times New Roman"/>
      </w:rPr>
    </w:lvl>
  </w:abstractNum>
  <w:abstractNum w:abstractNumId="31">
    <w:nsid w:val="CD4089FE"/>
    <w:multiLevelType w:val="multilevel"/>
    <w:tmpl w:val="CD4089FE"/>
    <w:lvl w:ilvl="0" w:tentative="0">
      <w:start w:val="6"/>
      <w:numFmt w:val="decimal"/>
      <w:lvlText w:val="%1"/>
      <w:lvlJc w:val="left"/>
      <w:pPr>
        <w:ind w:left="138" w:hanging="529"/>
      </w:pPr>
      <w:rPr>
        <w:rFonts w:hint="default" w:ascii="Times New Roman" w:hAnsi="Times New Roman" w:cs="Times New Roman"/>
      </w:rPr>
    </w:lvl>
    <w:lvl w:ilvl="1" w:tentative="0">
      <w:start w:val="1"/>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32">
    <w:nsid w:val="D2ED38DB"/>
    <w:multiLevelType w:val="multilevel"/>
    <w:tmpl w:val="D2ED38DB"/>
    <w:lvl w:ilvl="0" w:tentative="0">
      <w:start w:val="4"/>
      <w:numFmt w:val="decimal"/>
      <w:lvlText w:val="%1"/>
      <w:lvlJc w:val="left"/>
      <w:pPr>
        <w:ind w:left="499" w:hanging="361"/>
      </w:pPr>
      <w:rPr>
        <w:rFonts w:hint="default" w:ascii="Times New Roman" w:hAnsi="Times New Roman" w:cs="Times New Roman"/>
      </w:rPr>
    </w:lvl>
    <w:lvl w:ilvl="1" w:tentative="0">
      <w:start w:val="4"/>
      <w:numFmt w:val="decimal"/>
      <w:lvlText w:val="%1.%2"/>
      <w:lvlJc w:val="left"/>
      <w:pPr>
        <w:ind w:left="499" w:hanging="361"/>
      </w:pPr>
      <w:rPr>
        <w:rFonts w:hint="eastAsia" w:ascii="宋体" w:hAnsi="宋体" w:eastAsia="宋体" w:cs="宋体"/>
        <w:spacing w:val="-1"/>
        <w:sz w:val="22"/>
        <w:szCs w:val="22"/>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040" w:hanging="529"/>
      </w:pPr>
      <w:rPr>
        <w:rFonts w:hint="default" w:ascii="Times New Roman" w:hAnsi="Times New Roman" w:cs="Times New Roman"/>
      </w:rPr>
    </w:lvl>
    <w:lvl w:ilvl="4" w:tentative="0">
      <w:start w:val="0"/>
      <w:numFmt w:val="bullet"/>
      <w:lvlText w:val="•"/>
      <w:lvlJc w:val="left"/>
      <w:pPr>
        <w:ind w:left="3001" w:hanging="529"/>
      </w:pPr>
      <w:rPr>
        <w:rFonts w:hint="default" w:ascii="Times New Roman" w:hAnsi="Times New Roman" w:cs="Times New Roman"/>
      </w:rPr>
    </w:lvl>
    <w:lvl w:ilvl="5" w:tentative="0">
      <w:start w:val="0"/>
      <w:numFmt w:val="bullet"/>
      <w:lvlText w:val="•"/>
      <w:lvlJc w:val="left"/>
      <w:pPr>
        <w:ind w:left="3962" w:hanging="529"/>
      </w:pPr>
      <w:rPr>
        <w:rFonts w:hint="default" w:ascii="Times New Roman" w:hAnsi="Times New Roman" w:cs="Times New Roman"/>
      </w:rPr>
    </w:lvl>
    <w:lvl w:ilvl="6" w:tentative="0">
      <w:start w:val="0"/>
      <w:numFmt w:val="bullet"/>
      <w:lvlText w:val="•"/>
      <w:lvlJc w:val="left"/>
      <w:pPr>
        <w:ind w:left="4923" w:hanging="529"/>
      </w:pPr>
      <w:rPr>
        <w:rFonts w:hint="default" w:ascii="Times New Roman" w:hAnsi="Times New Roman" w:cs="Times New Roman"/>
      </w:rPr>
    </w:lvl>
    <w:lvl w:ilvl="7" w:tentative="0">
      <w:start w:val="0"/>
      <w:numFmt w:val="bullet"/>
      <w:lvlText w:val="•"/>
      <w:lvlJc w:val="left"/>
      <w:pPr>
        <w:ind w:left="5884" w:hanging="529"/>
      </w:pPr>
      <w:rPr>
        <w:rFonts w:hint="default" w:ascii="Times New Roman" w:hAnsi="Times New Roman" w:cs="Times New Roman"/>
      </w:rPr>
    </w:lvl>
    <w:lvl w:ilvl="8" w:tentative="0">
      <w:start w:val="0"/>
      <w:numFmt w:val="bullet"/>
      <w:lvlText w:val="•"/>
      <w:lvlJc w:val="left"/>
      <w:pPr>
        <w:ind w:left="6844" w:hanging="529"/>
      </w:pPr>
      <w:rPr>
        <w:rFonts w:hint="default" w:ascii="Times New Roman" w:hAnsi="Times New Roman" w:cs="Times New Roman"/>
      </w:rPr>
    </w:lvl>
  </w:abstractNum>
  <w:abstractNum w:abstractNumId="33">
    <w:nsid w:val="D466867C"/>
    <w:multiLevelType w:val="multilevel"/>
    <w:tmpl w:val="D466867C"/>
    <w:lvl w:ilvl="0" w:tentative="0">
      <w:start w:val="4"/>
      <w:numFmt w:val="decimal"/>
      <w:lvlText w:val="%1"/>
      <w:lvlJc w:val="left"/>
      <w:pPr>
        <w:ind w:left="499" w:hanging="361"/>
      </w:pPr>
      <w:rPr>
        <w:rFonts w:hint="default" w:ascii="Times New Roman" w:hAnsi="Times New Roman" w:cs="Times New Roman"/>
      </w:rPr>
    </w:lvl>
    <w:lvl w:ilvl="1" w:tentative="0">
      <w:start w:val="2"/>
      <w:numFmt w:val="decimal"/>
      <w:lvlText w:val="%1.%2"/>
      <w:lvlJc w:val="left"/>
      <w:pPr>
        <w:ind w:left="499" w:hanging="361"/>
      </w:pPr>
      <w:rPr>
        <w:rFonts w:hint="eastAsia" w:ascii="宋体" w:hAnsi="宋体" w:eastAsia="宋体" w:cs="宋体"/>
        <w:spacing w:val="-1"/>
        <w:sz w:val="22"/>
        <w:szCs w:val="22"/>
      </w:rPr>
    </w:lvl>
    <w:lvl w:ilvl="2" w:tentative="0">
      <w:start w:val="1"/>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2788" w:hanging="529"/>
      </w:pPr>
      <w:rPr>
        <w:rFonts w:hint="default" w:ascii="Times New Roman" w:hAnsi="Times New Roman" w:cs="Times New Roman"/>
      </w:rPr>
    </w:lvl>
    <w:lvl w:ilvl="4" w:tentative="0">
      <w:start w:val="0"/>
      <w:numFmt w:val="bullet"/>
      <w:lvlText w:val="•"/>
      <w:lvlJc w:val="left"/>
      <w:pPr>
        <w:ind w:left="3642" w:hanging="529"/>
      </w:pPr>
      <w:rPr>
        <w:rFonts w:hint="default" w:ascii="Times New Roman" w:hAnsi="Times New Roman" w:cs="Times New Roman"/>
      </w:rPr>
    </w:lvl>
    <w:lvl w:ilvl="5" w:tentative="0">
      <w:start w:val="0"/>
      <w:numFmt w:val="bullet"/>
      <w:lvlText w:val="•"/>
      <w:lvlJc w:val="left"/>
      <w:pPr>
        <w:ind w:left="4496" w:hanging="529"/>
      </w:pPr>
      <w:rPr>
        <w:rFonts w:hint="default" w:ascii="Times New Roman" w:hAnsi="Times New Roman" w:cs="Times New Roman"/>
      </w:rPr>
    </w:lvl>
    <w:lvl w:ilvl="6" w:tentative="0">
      <w:start w:val="0"/>
      <w:numFmt w:val="bullet"/>
      <w:lvlText w:val="•"/>
      <w:lvlJc w:val="left"/>
      <w:pPr>
        <w:ind w:left="5350" w:hanging="529"/>
      </w:pPr>
      <w:rPr>
        <w:rFonts w:hint="default" w:ascii="Times New Roman" w:hAnsi="Times New Roman" w:cs="Times New Roman"/>
      </w:rPr>
    </w:lvl>
    <w:lvl w:ilvl="7" w:tentative="0">
      <w:start w:val="0"/>
      <w:numFmt w:val="bullet"/>
      <w:lvlText w:val="•"/>
      <w:lvlJc w:val="left"/>
      <w:pPr>
        <w:ind w:left="6204" w:hanging="529"/>
      </w:pPr>
      <w:rPr>
        <w:rFonts w:hint="default" w:ascii="Times New Roman" w:hAnsi="Times New Roman" w:cs="Times New Roman"/>
      </w:rPr>
    </w:lvl>
    <w:lvl w:ilvl="8" w:tentative="0">
      <w:start w:val="0"/>
      <w:numFmt w:val="bullet"/>
      <w:lvlText w:val="•"/>
      <w:lvlJc w:val="left"/>
      <w:pPr>
        <w:ind w:left="7058" w:hanging="529"/>
      </w:pPr>
      <w:rPr>
        <w:rFonts w:hint="default" w:ascii="Times New Roman" w:hAnsi="Times New Roman" w:cs="Times New Roman"/>
      </w:rPr>
    </w:lvl>
  </w:abstractNum>
  <w:abstractNum w:abstractNumId="34">
    <w:nsid w:val="DA1F5080"/>
    <w:multiLevelType w:val="multilevel"/>
    <w:tmpl w:val="DA1F5080"/>
    <w:lvl w:ilvl="0" w:tentative="0">
      <w:start w:val="10"/>
      <w:numFmt w:val="decimal"/>
      <w:lvlText w:val="%1"/>
      <w:lvlJc w:val="left"/>
      <w:pPr>
        <w:ind w:left="138" w:hanging="635"/>
      </w:pPr>
      <w:rPr>
        <w:rFonts w:hint="default" w:ascii="Times New Roman" w:hAnsi="Times New Roman" w:cs="Times New Roman"/>
      </w:rPr>
    </w:lvl>
    <w:lvl w:ilvl="1" w:tentative="0">
      <w:start w:val="1"/>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35">
    <w:nsid w:val="DADC88E9"/>
    <w:multiLevelType w:val="multilevel"/>
    <w:tmpl w:val="DADC88E9"/>
    <w:lvl w:ilvl="0" w:tentative="0">
      <w:start w:val="18"/>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36">
    <w:nsid w:val="DE3612D2"/>
    <w:multiLevelType w:val="multilevel"/>
    <w:tmpl w:val="DE3612D2"/>
    <w:lvl w:ilvl="0" w:tentative="0">
      <w:start w:val="1"/>
      <w:numFmt w:val="decimal"/>
      <w:lvlText w:val="（%1）"/>
      <w:lvlJc w:val="left"/>
      <w:pPr>
        <w:ind w:left="1084" w:hanging="527"/>
      </w:pPr>
      <w:rPr>
        <w:rFonts w:hint="eastAsia" w:ascii="宋体" w:hAnsi="宋体" w:eastAsia="宋体" w:cs="宋体"/>
        <w:spacing w:val="-44"/>
        <w:sz w:val="19"/>
        <w:szCs w:val="19"/>
      </w:rPr>
    </w:lvl>
    <w:lvl w:ilvl="1" w:tentative="0">
      <w:start w:val="0"/>
      <w:numFmt w:val="bullet"/>
      <w:lvlText w:val="•"/>
      <w:lvlJc w:val="left"/>
      <w:pPr>
        <w:ind w:left="1848" w:hanging="527"/>
      </w:pPr>
      <w:rPr>
        <w:rFonts w:hint="default" w:ascii="Times New Roman" w:hAnsi="Times New Roman" w:cs="Times New Roman"/>
      </w:rPr>
    </w:lvl>
    <w:lvl w:ilvl="2" w:tentative="0">
      <w:start w:val="0"/>
      <w:numFmt w:val="bullet"/>
      <w:lvlText w:val="•"/>
      <w:lvlJc w:val="left"/>
      <w:pPr>
        <w:ind w:left="2617" w:hanging="527"/>
      </w:pPr>
      <w:rPr>
        <w:rFonts w:hint="default" w:ascii="Times New Roman" w:hAnsi="Times New Roman" w:cs="Times New Roman"/>
      </w:rPr>
    </w:lvl>
    <w:lvl w:ilvl="3" w:tentative="0">
      <w:start w:val="0"/>
      <w:numFmt w:val="bullet"/>
      <w:lvlText w:val="•"/>
      <w:lvlJc w:val="left"/>
      <w:pPr>
        <w:ind w:left="3385" w:hanging="527"/>
      </w:pPr>
      <w:rPr>
        <w:rFonts w:hint="default" w:ascii="Times New Roman" w:hAnsi="Times New Roman" w:cs="Times New Roman"/>
      </w:rPr>
    </w:lvl>
    <w:lvl w:ilvl="4" w:tentative="0">
      <w:start w:val="0"/>
      <w:numFmt w:val="bullet"/>
      <w:lvlText w:val="•"/>
      <w:lvlJc w:val="left"/>
      <w:pPr>
        <w:ind w:left="4154" w:hanging="527"/>
      </w:pPr>
      <w:rPr>
        <w:rFonts w:hint="default" w:ascii="Times New Roman" w:hAnsi="Times New Roman" w:cs="Times New Roman"/>
      </w:rPr>
    </w:lvl>
    <w:lvl w:ilvl="5" w:tentative="0">
      <w:start w:val="0"/>
      <w:numFmt w:val="bullet"/>
      <w:lvlText w:val="•"/>
      <w:lvlJc w:val="left"/>
      <w:pPr>
        <w:ind w:left="4923" w:hanging="527"/>
      </w:pPr>
      <w:rPr>
        <w:rFonts w:hint="default" w:ascii="Times New Roman" w:hAnsi="Times New Roman" w:cs="Times New Roman"/>
      </w:rPr>
    </w:lvl>
    <w:lvl w:ilvl="6" w:tentative="0">
      <w:start w:val="0"/>
      <w:numFmt w:val="bullet"/>
      <w:lvlText w:val="•"/>
      <w:lvlJc w:val="left"/>
      <w:pPr>
        <w:ind w:left="5691" w:hanging="527"/>
      </w:pPr>
      <w:rPr>
        <w:rFonts w:hint="default" w:ascii="Times New Roman" w:hAnsi="Times New Roman" w:cs="Times New Roman"/>
      </w:rPr>
    </w:lvl>
    <w:lvl w:ilvl="7" w:tentative="0">
      <w:start w:val="0"/>
      <w:numFmt w:val="bullet"/>
      <w:lvlText w:val="•"/>
      <w:lvlJc w:val="left"/>
      <w:pPr>
        <w:ind w:left="6460" w:hanging="527"/>
      </w:pPr>
      <w:rPr>
        <w:rFonts w:hint="default" w:ascii="Times New Roman" w:hAnsi="Times New Roman" w:cs="Times New Roman"/>
      </w:rPr>
    </w:lvl>
    <w:lvl w:ilvl="8" w:tentative="0">
      <w:start w:val="0"/>
      <w:numFmt w:val="bullet"/>
      <w:lvlText w:val="•"/>
      <w:lvlJc w:val="left"/>
      <w:pPr>
        <w:ind w:left="7229" w:hanging="527"/>
      </w:pPr>
      <w:rPr>
        <w:rFonts w:hint="default" w:ascii="Times New Roman" w:hAnsi="Times New Roman" w:cs="Times New Roman"/>
      </w:rPr>
    </w:lvl>
  </w:abstractNum>
  <w:abstractNum w:abstractNumId="37">
    <w:nsid w:val="DF4D21BC"/>
    <w:multiLevelType w:val="multilevel"/>
    <w:tmpl w:val="DF4D21BC"/>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38">
    <w:nsid w:val="E186051E"/>
    <w:multiLevelType w:val="multilevel"/>
    <w:tmpl w:val="E186051E"/>
    <w:lvl w:ilvl="0" w:tentative="0">
      <w:start w:val="15"/>
      <w:numFmt w:val="decimal"/>
      <w:lvlText w:val="%1"/>
      <w:lvlJc w:val="left"/>
      <w:pPr>
        <w:ind w:left="1192" w:hanging="635"/>
      </w:pPr>
      <w:rPr>
        <w:rFonts w:hint="default" w:ascii="Times New Roman" w:hAnsi="Times New Roman" w:cs="Times New Roman"/>
      </w:rPr>
    </w:lvl>
    <w:lvl w:ilvl="1" w:tentative="0">
      <w:start w:val="3"/>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39">
    <w:nsid w:val="E3A7C718"/>
    <w:multiLevelType w:val="multilevel"/>
    <w:tmpl w:val="E3A7C718"/>
    <w:lvl w:ilvl="0" w:tentative="0">
      <w:start w:val="9"/>
      <w:numFmt w:val="decimal"/>
      <w:lvlText w:val="%1"/>
      <w:lvlJc w:val="left"/>
      <w:pPr>
        <w:ind w:left="138" w:hanging="529"/>
      </w:pPr>
      <w:rPr>
        <w:rFonts w:hint="default" w:ascii="Times New Roman" w:hAnsi="Times New Roman" w:cs="Times New Roman"/>
      </w:rPr>
    </w:lvl>
    <w:lvl w:ilvl="1" w:tentative="0">
      <w:start w:val="4"/>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40">
    <w:nsid w:val="E475D1A5"/>
    <w:multiLevelType w:val="multilevel"/>
    <w:tmpl w:val="E475D1A5"/>
    <w:lvl w:ilvl="0" w:tentative="0">
      <w:start w:val="15"/>
      <w:numFmt w:val="decimal"/>
      <w:lvlText w:val="%1"/>
      <w:lvlJc w:val="left"/>
      <w:pPr>
        <w:ind w:left="138" w:hanging="635"/>
      </w:pPr>
      <w:rPr>
        <w:rFonts w:hint="default" w:ascii="Times New Roman" w:hAnsi="Times New Roman" w:cs="Times New Roman"/>
      </w:rPr>
    </w:lvl>
    <w:lvl w:ilvl="1" w:tentative="0">
      <w:start w:val="5"/>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41">
    <w:nsid w:val="E4B18E4D"/>
    <w:multiLevelType w:val="multilevel"/>
    <w:tmpl w:val="E4B18E4D"/>
    <w:lvl w:ilvl="0" w:tentative="0">
      <w:start w:val="23"/>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42">
    <w:nsid w:val="E9370BD7"/>
    <w:multiLevelType w:val="multilevel"/>
    <w:tmpl w:val="E9370BD7"/>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43">
    <w:nsid w:val="E974EE02"/>
    <w:multiLevelType w:val="multilevel"/>
    <w:tmpl w:val="E974EE02"/>
    <w:lvl w:ilvl="0" w:tentative="0">
      <w:start w:val="1"/>
      <w:numFmt w:val="decimal"/>
      <w:lvlText w:val="%1"/>
      <w:lvlJc w:val="left"/>
      <w:pPr>
        <w:ind w:left="138" w:hanging="529"/>
      </w:pPr>
      <w:rPr>
        <w:rFonts w:hint="default" w:ascii="Times New Roman" w:hAnsi="Times New Roman" w:cs="Times New Roman"/>
      </w:rPr>
    </w:lvl>
    <w:lvl w:ilvl="1" w:tentative="0">
      <w:start w:val="7"/>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44">
    <w:nsid w:val="F04D97B0"/>
    <w:multiLevelType w:val="multilevel"/>
    <w:tmpl w:val="F04D97B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45">
    <w:nsid w:val="F0724776"/>
    <w:multiLevelType w:val="multilevel"/>
    <w:tmpl w:val="F072477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46">
    <w:nsid w:val="F46AD405"/>
    <w:multiLevelType w:val="multilevel"/>
    <w:tmpl w:val="F46AD40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1"/>
      <w:numFmt w:val="decimal"/>
      <w:lvlText w:val="（%2）"/>
      <w:lvlJc w:val="left"/>
      <w:pPr>
        <w:ind w:left="138" w:hanging="529"/>
      </w:pPr>
      <w:rPr>
        <w:rFonts w:hint="eastAsia" w:ascii="宋体" w:hAnsi="宋体" w:eastAsia="宋体" w:cs="宋体"/>
        <w:spacing w:val="-89"/>
        <w:sz w:val="19"/>
        <w:szCs w:val="19"/>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710" w:hanging="529"/>
      </w:pPr>
      <w:rPr>
        <w:rFonts w:hint="default" w:ascii="Times New Roman" w:hAnsi="Times New Roman" w:cs="Times New Roman"/>
      </w:rPr>
    </w:lvl>
    <w:lvl w:ilvl="4" w:tentative="0">
      <w:start w:val="0"/>
      <w:numFmt w:val="bullet"/>
      <w:lvlText w:val="•"/>
      <w:lvlJc w:val="left"/>
      <w:pPr>
        <w:ind w:left="3575" w:hanging="529"/>
      </w:pPr>
      <w:rPr>
        <w:rFonts w:hint="default" w:ascii="Times New Roman" w:hAnsi="Times New Roman" w:cs="Times New Roman"/>
      </w:rPr>
    </w:lvl>
    <w:lvl w:ilvl="5" w:tentative="0">
      <w:start w:val="0"/>
      <w:numFmt w:val="bullet"/>
      <w:lvlText w:val="•"/>
      <w:lvlJc w:val="left"/>
      <w:pPr>
        <w:ind w:left="4440" w:hanging="529"/>
      </w:pPr>
      <w:rPr>
        <w:rFonts w:hint="default" w:ascii="Times New Roman" w:hAnsi="Times New Roman" w:cs="Times New Roman"/>
      </w:rPr>
    </w:lvl>
    <w:lvl w:ilvl="6" w:tentative="0">
      <w:start w:val="0"/>
      <w:numFmt w:val="bullet"/>
      <w:lvlText w:val="•"/>
      <w:lvlJc w:val="left"/>
      <w:pPr>
        <w:ind w:left="5305" w:hanging="529"/>
      </w:pPr>
      <w:rPr>
        <w:rFonts w:hint="default" w:ascii="Times New Roman" w:hAnsi="Times New Roman" w:cs="Times New Roman"/>
      </w:rPr>
    </w:lvl>
    <w:lvl w:ilvl="7" w:tentative="0">
      <w:start w:val="0"/>
      <w:numFmt w:val="bullet"/>
      <w:lvlText w:val="•"/>
      <w:lvlJc w:val="left"/>
      <w:pPr>
        <w:ind w:left="6170" w:hanging="529"/>
      </w:pPr>
      <w:rPr>
        <w:rFonts w:hint="default" w:ascii="Times New Roman" w:hAnsi="Times New Roman" w:cs="Times New Roman"/>
      </w:rPr>
    </w:lvl>
    <w:lvl w:ilvl="8" w:tentative="0">
      <w:start w:val="0"/>
      <w:numFmt w:val="bullet"/>
      <w:lvlText w:val="•"/>
      <w:lvlJc w:val="left"/>
      <w:pPr>
        <w:ind w:left="7036" w:hanging="529"/>
      </w:pPr>
      <w:rPr>
        <w:rFonts w:hint="default" w:ascii="Times New Roman" w:hAnsi="Times New Roman" w:cs="Times New Roman"/>
      </w:rPr>
    </w:lvl>
  </w:abstractNum>
  <w:abstractNum w:abstractNumId="47">
    <w:nsid w:val="F50E6B07"/>
    <w:multiLevelType w:val="multilevel"/>
    <w:tmpl w:val="F50E6B07"/>
    <w:lvl w:ilvl="0" w:tentative="0">
      <w:start w:val="1"/>
      <w:numFmt w:val="decimal"/>
      <w:lvlText w:val="%1"/>
      <w:lvlJc w:val="left"/>
      <w:pPr>
        <w:ind w:left="499" w:hanging="361"/>
      </w:pPr>
      <w:rPr>
        <w:rFonts w:hint="default" w:ascii="Times New Roman" w:hAnsi="Times New Roman" w:cs="Times New Roman"/>
      </w:rPr>
    </w:lvl>
    <w:lvl w:ilvl="1" w:tentative="0">
      <w:start w:val="4"/>
      <w:numFmt w:val="decimal"/>
      <w:lvlText w:val="%1.%2"/>
      <w:lvlJc w:val="left"/>
      <w:pPr>
        <w:ind w:left="499" w:hanging="361"/>
      </w:pPr>
      <w:rPr>
        <w:rFonts w:hint="eastAsia" w:ascii="宋体" w:hAnsi="宋体" w:eastAsia="宋体" w:cs="宋体"/>
        <w:spacing w:val="-1"/>
        <w:sz w:val="22"/>
        <w:szCs w:val="22"/>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710" w:hanging="529"/>
      </w:pPr>
      <w:rPr>
        <w:rFonts w:hint="default" w:ascii="Times New Roman" w:hAnsi="Times New Roman" w:cs="Times New Roman"/>
      </w:rPr>
    </w:lvl>
    <w:lvl w:ilvl="4" w:tentative="0">
      <w:start w:val="0"/>
      <w:numFmt w:val="bullet"/>
      <w:lvlText w:val="•"/>
      <w:lvlJc w:val="left"/>
      <w:pPr>
        <w:ind w:left="3575" w:hanging="529"/>
      </w:pPr>
      <w:rPr>
        <w:rFonts w:hint="default" w:ascii="Times New Roman" w:hAnsi="Times New Roman" w:cs="Times New Roman"/>
      </w:rPr>
    </w:lvl>
    <w:lvl w:ilvl="5" w:tentative="0">
      <w:start w:val="0"/>
      <w:numFmt w:val="bullet"/>
      <w:lvlText w:val="•"/>
      <w:lvlJc w:val="left"/>
      <w:pPr>
        <w:ind w:left="4440" w:hanging="529"/>
      </w:pPr>
      <w:rPr>
        <w:rFonts w:hint="default" w:ascii="Times New Roman" w:hAnsi="Times New Roman" w:cs="Times New Roman"/>
      </w:rPr>
    </w:lvl>
    <w:lvl w:ilvl="6" w:tentative="0">
      <w:start w:val="0"/>
      <w:numFmt w:val="bullet"/>
      <w:lvlText w:val="•"/>
      <w:lvlJc w:val="left"/>
      <w:pPr>
        <w:ind w:left="5305" w:hanging="529"/>
      </w:pPr>
      <w:rPr>
        <w:rFonts w:hint="default" w:ascii="Times New Roman" w:hAnsi="Times New Roman" w:cs="Times New Roman"/>
      </w:rPr>
    </w:lvl>
    <w:lvl w:ilvl="7" w:tentative="0">
      <w:start w:val="0"/>
      <w:numFmt w:val="bullet"/>
      <w:lvlText w:val="•"/>
      <w:lvlJc w:val="left"/>
      <w:pPr>
        <w:ind w:left="6170" w:hanging="529"/>
      </w:pPr>
      <w:rPr>
        <w:rFonts w:hint="default" w:ascii="Times New Roman" w:hAnsi="Times New Roman" w:cs="Times New Roman"/>
      </w:rPr>
    </w:lvl>
    <w:lvl w:ilvl="8" w:tentative="0">
      <w:start w:val="0"/>
      <w:numFmt w:val="bullet"/>
      <w:lvlText w:val="•"/>
      <w:lvlJc w:val="left"/>
      <w:pPr>
        <w:ind w:left="7036" w:hanging="529"/>
      </w:pPr>
      <w:rPr>
        <w:rFonts w:hint="default" w:ascii="Times New Roman" w:hAnsi="Times New Roman" w:cs="Times New Roman"/>
      </w:rPr>
    </w:lvl>
  </w:abstractNum>
  <w:abstractNum w:abstractNumId="48">
    <w:nsid w:val="F51C010A"/>
    <w:multiLevelType w:val="multilevel"/>
    <w:tmpl w:val="F51C010A"/>
    <w:lvl w:ilvl="0" w:tentative="0">
      <w:start w:val="4"/>
      <w:numFmt w:val="decimal"/>
      <w:lvlText w:val="%1"/>
      <w:lvlJc w:val="left"/>
      <w:pPr>
        <w:ind w:left="138" w:hanging="529"/>
      </w:pPr>
      <w:rPr>
        <w:rFonts w:hint="default" w:ascii="Times New Roman" w:hAnsi="Times New Roman" w:cs="Times New Roman"/>
      </w:rPr>
    </w:lvl>
    <w:lvl w:ilvl="1" w:tentative="0">
      <w:start w:val="3"/>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49">
    <w:nsid w:val="FCE85E6C"/>
    <w:multiLevelType w:val="multilevel"/>
    <w:tmpl w:val="FCE85E6C"/>
    <w:lvl w:ilvl="0" w:tentative="0">
      <w:start w:val="17"/>
      <w:numFmt w:val="decimal"/>
      <w:lvlText w:val="%1"/>
      <w:lvlJc w:val="left"/>
      <w:pPr>
        <w:ind w:left="1192" w:hanging="635"/>
      </w:pPr>
      <w:rPr>
        <w:rFonts w:hint="default" w:ascii="Times New Roman" w:hAnsi="Times New Roman" w:cs="Times New Roman"/>
      </w:rPr>
    </w:lvl>
    <w:lvl w:ilvl="1" w:tentative="0">
      <w:start w:val="4"/>
      <w:numFmt w:val="decimal"/>
      <w:lvlText w:val="%1.%2"/>
      <w:lvlJc w:val="left"/>
      <w:pPr>
        <w:ind w:left="1192" w:hanging="635"/>
      </w:pPr>
      <w:rPr>
        <w:rFonts w:hint="default" w:ascii="Times New Roman" w:hAnsi="Times New Roman" w:cs="Times New Roman"/>
      </w:rPr>
    </w:lvl>
    <w:lvl w:ilvl="2" w:tentative="0">
      <w:start w:val="2"/>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50">
    <w:nsid w:val="FDF92D6F"/>
    <w:multiLevelType w:val="multilevel"/>
    <w:tmpl w:val="FDF92D6F"/>
    <w:lvl w:ilvl="0" w:tentative="0">
      <w:start w:val="13"/>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51">
    <w:nsid w:val="01567050"/>
    <w:multiLevelType w:val="multilevel"/>
    <w:tmpl w:val="01567050"/>
    <w:lvl w:ilvl="0" w:tentative="0">
      <w:start w:val="9"/>
      <w:numFmt w:val="decimal"/>
      <w:lvlText w:val="%1"/>
      <w:lvlJc w:val="left"/>
      <w:pPr>
        <w:ind w:left="138" w:hanging="529"/>
      </w:pPr>
      <w:rPr>
        <w:rFonts w:hint="default" w:ascii="Times New Roman" w:hAnsi="Times New Roman" w:cs="Times New Roman"/>
      </w:rPr>
    </w:lvl>
    <w:lvl w:ilvl="1" w:tentative="0">
      <w:start w:val="1"/>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52">
    <w:nsid w:val="01856EE9"/>
    <w:multiLevelType w:val="multilevel"/>
    <w:tmpl w:val="01856EE9"/>
    <w:lvl w:ilvl="0" w:tentative="0">
      <w:start w:val="17"/>
      <w:numFmt w:val="decimal"/>
      <w:lvlText w:val="%1"/>
      <w:lvlJc w:val="left"/>
      <w:pPr>
        <w:ind w:left="619" w:hanging="481"/>
      </w:pPr>
      <w:rPr>
        <w:rFonts w:hint="default" w:ascii="Times New Roman" w:hAnsi="Times New Roman" w:cs="Times New Roman"/>
      </w:rPr>
    </w:lvl>
    <w:lvl w:ilvl="1" w:tentative="0">
      <w:start w:val="4"/>
      <w:numFmt w:val="decimal"/>
      <w:lvlText w:val="%1.%2"/>
      <w:lvlJc w:val="left"/>
      <w:pPr>
        <w:ind w:left="619" w:hanging="481"/>
      </w:pPr>
      <w:rPr>
        <w:rFonts w:hint="default" w:ascii="Times New Roman" w:hAnsi="Times New Roman" w:cs="Times New Roman"/>
        <w:spacing w:val="-1"/>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2881" w:hanging="635"/>
      </w:pPr>
      <w:rPr>
        <w:rFonts w:hint="default" w:ascii="Times New Roman" w:hAnsi="Times New Roman" w:cs="Times New Roman"/>
      </w:rPr>
    </w:lvl>
    <w:lvl w:ilvl="4" w:tentative="0">
      <w:start w:val="0"/>
      <w:numFmt w:val="bullet"/>
      <w:lvlText w:val="•"/>
      <w:lvlJc w:val="left"/>
      <w:pPr>
        <w:ind w:left="3722" w:hanging="635"/>
      </w:pPr>
      <w:rPr>
        <w:rFonts w:hint="default" w:ascii="Times New Roman" w:hAnsi="Times New Roman" w:cs="Times New Roman"/>
      </w:rPr>
    </w:lvl>
    <w:lvl w:ilvl="5" w:tentative="0">
      <w:start w:val="0"/>
      <w:numFmt w:val="bullet"/>
      <w:lvlText w:val="•"/>
      <w:lvlJc w:val="left"/>
      <w:pPr>
        <w:ind w:left="4562" w:hanging="635"/>
      </w:pPr>
      <w:rPr>
        <w:rFonts w:hint="default" w:ascii="Times New Roman" w:hAnsi="Times New Roman" w:cs="Times New Roman"/>
      </w:rPr>
    </w:lvl>
    <w:lvl w:ilvl="6" w:tentative="0">
      <w:start w:val="0"/>
      <w:numFmt w:val="bullet"/>
      <w:lvlText w:val="•"/>
      <w:lvlJc w:val="left"/>
      <w:pPr>
        <w:ind w:left="5403" w:hanging="635"/>
      </w:pPr>
      <w:rPr>
        <w:rFonts w:hint="default" w:ascii="Times New Roman" w:hAnsi="Times New Roman" w:cs="Times New Roman"/>
      </w:rPr>
    </w:lvl>
    <w:lvl w:ilvl="7" w:tentative="0">
      <w:start w:val="0"/>
      <w:numFmt w:val="bullet"/>
      <w:lvlText w:val="•"/>
      <w:lvlJc w:val="left"/>
      <w:pPr>
        <w:ind w:left="6244" w:hanging="635"/>
      </w:pPr>
      <w:rPr>
        <w:rFonts w:hint="default" w:ascii="Times New Roman" w:hAnsi="Times New Roman" w:cs="Times New Roman"/>
      </w:rPr>
    </w:lvl>
    <w:lvl w:ilvl="8" w:tentative="0">
      <w:start w:val="0"/>
      <w:numFmt w:val="bullet"/>
      <w:lvlText w:val="•"/>
      <w:lvlJc w:val="left"/>
      <w:pPr>
        <w:ind w:left="7084" w:hanging="635"/>
      </w:pPr>
      <w:rPr>
        <w:rFonts w:hint="default" w:ascii="Times New Roman" w:hAnsi="Times New Roman" w:cs="Times New Roman"/>
      </w:rPr>
    </w:lvl>
  </w:abstractNum>
  <w:abstractNum w:abstractNumId="53">
    <w:nsid w:val="01A3DCA7"/>
    <w:multiLevelType w:val="multilevel"/>
    <w:tmpl w:val="01A3DCA7"/>
    <w:lvl w:ilvl="0" w:tentative="0">
      <w:start w:val="1"/>
      <w:numFmt w:val="decimal"/>
      <w:lvlText w:val="（%1）"/>
      <w:lvlJc w:val="left"/>
      <w:pPr>
        <w:ind w:left="106" w:hanging="527"/>
      </w:pPr>
      <w:rPr>
        <w:rFonts w:hint="eastAsia" w:ascii="宋体" w:hAnsi="宋体" w:eastAsia="宋体" w:cs="宋体"/>
        <w:spacing w:val="-44"/>
        <w:sz w:val="19"/>
        <w:szCs w:val="19"/>
      </w:rPr>
    </w:lvl>
    <w:lvl w:ilvl="1" w:tentative="0">
      <w:start w:val="0"/>
      <w:numFmt w:val="bullet"/>
      <w:lvlText w:val="•"/>
      <w:lvlJc w:val="left"/>
      <w:pPr>
        <w:ind w:left="1002" w:hanging="527"/>
      </w:pPr>
      <w:rPr>
        <w:rFonts w:hint="default" w:ascii="Times New Roman" w:hAnsi="Times New Roman" w:cs="Times New Roman"/>
      </w:rPr>
    </w:lvl>
    <w:lvl w:ilvl="2" w:tentative="0">
      <w:start w:val="0"/>
      <w:numFmt w:val="bullet"/>
      <w:lvlText w:val="•"/>
      <w:lvlJc w:val="left"/>
      <w:pPr>
        <w:ind w:left="1865" w:hanging="527"/>
      </w:pPr>
      <w:rPr>
        <w:rFonts w:hint="default" w:ascii="Times New Roman" w:hAnsi="Times New Roman" w:cs="Times New Roman"/>
      </w:rPr>
    </w:lvl>
    <w:lvl w:ilvl="3" w:tentative="0">
      <w:start w:val="0"/>
      <w:numFmt w:val="bullet"/>
      <w:lvlText w:val="•"/>
      <w:lvlJc w:val="left"/>
      <w:pPr>
        <w:ind w:left="2727" w:hanging="527"/>
      </w:pPr>
      <w:rPr>
        <w:rFonts w:hint="default" w:ascii="Times New Roman" w:hAnsi="Times New Roman" w:cs="Times New Roman"/>
      </w:rPr>
    </w:lvl>
    <w:lvl w:ilvl="4" w:tentative="0">
      <w:start w:val="0"/>
      <w:numFmt w:val="bullet"/>
      <w:lvlText w:val="•"/>
      <w:lvlJc w:val="left"/>
      <w:pPr>
        <w:ind w:left="3590" w:hanging="527"/>
      </w:pPr>
      <w:rPr>
        <w:rFonts w:hint="default" w:ascii="Times New Roman" w:hAnsi="Times New Roman" w:cs="Times New Roman"/>
      </w:rPr>
    </w:lvl>
    <w:lvl w:ilvl="5" w:tentative="0">
      <w:start w:val="0"/>
      <w:numFmt w:val="bullet"/>
      <w:lvlText w:val="•"/>
      <w:lvlJc w:val="left"/>
      <w:pPr>
        <w:ind w:left="4453" w:hanging="527"/>
      </w:pPr>
      <w:rPr>
        <w:rFonts w:hint="default" w:ascii="Times New Roman" w:hAnsi="Times New Roman" w:cs="Times New Roman"/>
      </w:rPr>
    </w:lvl>
    <w:lvl w:ilvl="6" w:tentative="0">
      <w:start w:val="0"/>
      <w:numFmt w:val="bullet"/>
      <w:lvlText w:val="•"/>
      <w:lvlJc w:val="left"/>
      <w:pPr>
        <w:ind w:left="5315" w:hanging="527"/>
      </w:pPr>
      <w:rPr>
        <w:rFonts w:hint="default" w:ascii="Times New Roman" w:hAnsi="Times New Roman" w:cs="Times New Roman"/>
      </w:rPr>
    </w:lvl>
    <w:lvl w:ilvl="7" w:tentative="0">
      <w:start w:val="0"/>
      <w:numFmt w:val="bullet"/>
      <w:lvlText w:val="•"/>
      <w:lvlJc w:val="left"/>
      <w:pPr>
        <w:ind w:left="6178" w:hanging="527"/>
      </w:pPr>
      <w:rPr>
        <w:rFonts w:hint="default" w:ascii="Times New Roman" w:hAnsi="Times New Roman" w:cs="Times New Roman"/>
      </w:rPr>
    </w:lvl>
    <w:lvl w:ilvl="8" w:tentative="0">
      <w:start w:val="0"/>
      <w:numFmt w:val="bullet"/>
      <w:lvlText w:val="•"/>
      <w:lvlJc w:val="left"/>
      <w:pPr>
        <w:ind w:left="7041" w:hanging="527"/>
      </w:pPr>
      <w:rPr>
        <w:rFonts w:hint="default" w:ascii="Times New Roman" w:hAnsi="Times New Roman" w:cs="Times New Roman"/>
      </w:rPr>
    </w:lvl>
  </w:abstractNum>
  <w:abstractNum w:abstractNumId="54">
    <w:nsid w:val="029B9B85"/>
    <w:multiLevelType w:val="multilevel"/>
    <w:tmpl w:val="029B9B85"/>
    <w:lvl w:ilvl="0" w:tentative="0">
      <w:start w:val="10"/>
      <w:numFmt w:val="decimal"/>
      <w:lvlText w:val="%1"/>
      <w:lvlJc w:val="left"/>
      <w:pPr>
        <w:ind w:left="138" w:hanging="635"/>
      </w:pPr>
      <w:rPr>
        <w:rFonts w:hint="default" w:ascii="Times New Roman" w:hAnsi="Times New Roman" w:cs="Times New Roman"/>
      </w:rPr>
    </w:lvl>
    <w:lvl w:ilvl="1" w:tentative="0">
      <w:start w:val="2"/>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55">
    <w:nsid w:val="03FFF9EB"/>
    <w:multiLevelType w:val="multilevel"/>
    <w:tmpl w:val="03FFF9EB"/>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56">
    <w:nsid w:val="066C4AF4"/>
    <w:multiLevelType w:val="multilevel"/>
    <w:tmpl w:val="066C4AF4"/>
    <w:lvl w:ilvl="0" w:tentative="0">
      <w:start w:val="19"/>
      <w:numFmt w:val="decimal"/>
      <w:lvlText w:val="%1"/>
      <w:lvlJc w:val="left"/>
      <w:pPr>
        <w:ind w:left="138" w:hanging="635"/>
      </w:pPr>
      <w:rPr>
        <w:rFonts w:hint="default" w:ascii="Times New Roman" w:hAnsi="Times New Roman" w:cs="Times New Roman"/>
      </w:rPr>
    </w:lvl>
    <w:lvl w:ilvl="1" w:tentative="0">
      <w:start w:val="7"/>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57">
    <w:nsid w:val="07627CC8"/>
    <w:multiLevelType w:val="multilevel"/>
    <w:tmpl w:val="07627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79A976A"/>
    <w:multiLevelType w:val="multilevel"/>
    <w:tmpl w:val="079A976A"/>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59">
    <w:nsid w:val="0BDAF59A"/>
    <w:multiLevelType w:val="multilevel"/>
    <w:tmpl w:val="0BDAF59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60">
    <w:nsid w:val="0E5A5672"/>
    <w:multiLevelType w:val="multilevel"/>
    <w:tmpl w:val="0E5A5672"/>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1">
    <w:nsid w:val="127C2AD3"/>
    <w:multiLevelType w:val="multilevel"/>
    <w:tmpl w:val="127C2AD3"/>
    <w:lvl w:ilvl="0" w:tentative="0">
      <w:start w:val="1"/>
      <w:numFmt w:val="decimal"/>
      <w:lvlText w:val="（%1）"/>
      <w:lvlJc w:val="left"/>
      <w:pPr>
        <w:ind w:left="1084" w:hanging="527"/>
      </w:pPr>
      <w:rPr>
        <w:rFonts w:hint="eastAsia" w:ascii="宋体" w:hAnsi="宋体" w:eastAsia="宋体" w:cs="宋体"/>
        <w:spacing w:val="-44"/>
        <w:sz w:val="19"/>
        <w:szCs w:val="19"/>
      </w:rPr>
    </w:lvl>
    <w:lvl w:ilvl="1" w:tentative="0">
      <w:start w:val="0"/>
      <w:numFmt w:val="bullet"/>
      <w:lvlText w:val="•"/>
      <w:lvlJc w:val="left"/>
      <w:pPr>
        <w:ind w:left="1848" w:hanging="527"/>
      </w:pPr>
      <w:rPr>
        <w:rFonts w:hint="default" w:ascii="Times New Roman" w:hAnsi="Times New Roman" w:cs="Times New Roman"/>
      </w:rPr>
    </w:lvl>
    <w:lvl w:ilvl="2" w:tentative="0">
      <w:start w:val="0"/>
      <w:numFmt w:val="bullet"/>
      <w:lvlText w:val="•"/>
      <w:lvlJc w:val="left"/>
      <w:pPr>
        <w:ind w:left="2617" w:hanging="527"/>
      </w:pPr>
      <w:rPr>
        <w:rFonts w:hint="default" w:ascii="Times New Roman" w:hAnsi="Times New Roman" w:cs="Times New Roman"/>
      </w:rPr>
    </w:lvl>
    <w:lvl w:ilvl="3" w:tentative="0">
      <w:start w:val="0"/>
      <w:numFmt w:val="bullet"/>
      <w:lvlText w:val="•"/>
      <w:lvlJc w:val="left"/>
      <w:pPr>
        <w:ind w:left="3385" w:hanging="527"/>
      </w:pPr>
      <w:rPr>
        <w:rFonts w:hint="default" w:ascii="Times New Roman" w:hAnsi="Times New Roman" w:cs="Times New Roman"/>
      </w:rPr>
    </w:lvl>
    <w:lvl w:ilvl="4" w:tentative="0">
      <w:start w:val="0"/>
      <w:numFmt w:val="bullet"/>
      <w:lvlText w:val="•"/>
      <w:lvlJc w:val="left"/>
      <w:pPr>
        <w:ind w:left="4154" w:hanging="527"/>
      </w:pPr>
      <w:rPr>
        <w:rFonts w:hint="default" w:ascii="Times New Roman" w:hAnsi="Times New Roman" w:cs="Times New Roman"/>
      </w:rPr>
    </w:lvl>
    <w:lvl w:ilvl="5" w:tentative="0">
      <w:start w:val="0"/>
      <w:numFmt w:val="bullet"/>
      <w:lvlText w:val="•"/>
      <w:lvlJc w:val="left"/>
      <w:pPr>
        <w:ind w:left="4923" w:hanging="527"/>
      </w:pPr>
      <w:rPr>
        <w:rFonts w:hint="default" w:ascii="Times New Roman" w:hAnsi="Times New Roman" w:cs="Times New Roman"/>
      </w:rPr>
    </w:lvl>
    <w:lvl w:ilvl="6" w:tentative="0">
      <w:start w:val="0"/>
      <w:numFmt w:val="bullet"/>
      <w:lvlText w:val="•"/>
      <w:lvlJc w:val="left"/>
      <w:pPr>
        <w:ind w:left="5691" w:hanging="527"/>
      </w:pPr>
      <w:rPr>
        <w:rFonts w:hint="default" w:ascii="Times New Roman" w:hAnsi="Times New Roman" w:cs="Times New Roman"/>
      </w:rPr>
    </w:lvl>
    <w:lvl w:ilvl="7" w:tentative="0">
      <w:start w:val="0"/>
      <w:numFmt w:val="bullet"/>
      <w:lvlText w:val="•"/>
      <w:lvlJc w:val="left"/>
      <w:pPr>
        <w:ind w:left="6460" w:hanging="527"/>
      </w:pPr>
      <w:rPr>
        <w:rFonts w:hint="default" w:ascii="Times New Roman" w:hAnsi="Times New Roman" w:cs="Times New Roman"/>
      </w:rPr>
    </w:lvl>
    <w:lvl w:ilvl="8" w:tentative="0">
      <w:start w:val="0"/>
      <w:numFmt w:val="bullet"/>
      <w:lvlText w:val="•"/>
      <w:lvlJc w:val="left"/>
      <w:pPr>
        <w:ind w:left="7229" w:hanging="527"/>
      </w:pPr>
      <w:rPr>
        <w:rFonts w:hint="default" w:ascii="Times New Roman" w:hAnsi="Times New Roman" w:cs="Times New Roman"/>
      </w:rPr>
    </w:lvl>
  </w:abstractNum>
  <w:abstractNum w:abstractNumId="62">
    <w:nsid w:val="14FAE49F"/>
    <w:multiLevelType w:val="multilevel"/>
    <w:tmpl w:val="14FAE49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3">
    <w:nsid w:val="15B41936"/>
    <w:multiLevelType w:val="multilevel"/>
    <w:tmpl w:val="15B4193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4">
    <w:nsid w:val="193FB77C"/>
    <w:multiLevelType w:val="multilevel"/>
    <w:tmpl w:val="193FB77C"/>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65">
    <w:nsid w:val="1CC4CB21"/>
    <w:multiLevelType w:val="multilevel"/>
    <w:tmpl w:val="1CC4CB21"/>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1002" w:hanging="527"/>
      </w:pPr>
      <w:rPr>
        <w:rFonts w:hint="default" w:ascii="Times New Roman" w:hAnsi="Times New Roman" w:cs="Times New Roman"/>
      </w:rPr>
    </w:lvl>
    <w:lvl w:ilvl="2" w:tentative="0">
      <w:start w:val="0"/>
      <w:numFmt w:val="bullet"/>
      <w:lvlText w:val="•"/>
      <w:lvlJc w:val="left"/>
      <w:pPr>
        <w:ind w:left="1865" w:hanging="527"/>
      </w:pPr>
      <w:rPr>
        <w:rFonts w:hint="default" w:ascii="Times New Roman" w:hAnsi="Times New Roman" w:cs="Times New Roman"/>
      </w:rPr>
    </w:lvl>
    <w:lvl w:ilvl="3" w:tentative="0">
      <w:start w:val="0"/>
      <w:numFmt w:val="bullet"/>
      <w:lvlText w:val="•"/>
      <w:lvlJc w:val="left"/>
      <w:pPr>
        <w:ind w:left="2727" w:hanging="527"/>
      </w:pPr>
      <w:rPr>
        <w:rFonts w:hint="default" w:ascii="Times New Roman" w:hAnsi="Times New Roman" w:cs="Times New Roman"/>
      </w:rPr>
    </w:lvl>
    <w:lvl w:ilvl="4" w:tentative="0">
      <w:start w:val="0"/>
      <w:numFmt w:val="bullet"/>
      <w:lvlText w:val="•"/>
      <w:lvlJc w:val="left"/>
      <w:pPr>
        <w:ind w:left="3590" w:hanging="527"/>
      </w:pPr>
      <w:rPr>
        <w:rFonts w:hint="default" w:ascii="Times New Roman" w:hAnsi="Times New Roman" w:cs="Times New Roman"/>
      </w:rPr>
    </w:lvl>
    <w:lvl w:ilvl="5" w:tentative="0">
      <w:start w:val="0"/>
      <w:numFmt w:val="bullet"/>
      <w:lvlText w:val="•"/>
      <w:lvlJc w:val="left"/>
      <w:pPr>
        <w:ind w:left="4453" w:hanging="527"/>
      </w:pPr>
      <w:rPr>
        <w:rFonts w:hint="default" w:ascii="Times New Roman" w:hAnsi="Times New Roman" w:cs="Times New Roman"/>
      </w:rPr>
    </w:lvl>
    <w:lvl w:ilvl="6" w:tentative="0">
      <w:start w:val="0"/>
      <w:numFmt w:val="bullet"/>
      <w:lvlText w:val="•"/>
      <w:lvlJc w:val="left"/>
      <w:pPr>
        <w:ind w:left="5315" w:hanging="527"/>
      </w:pPr>
      <w:rPr>
        <w:rFonts w:hint="default" w:ascii="Times New Roman" w:hAnsi="Times New Roman" w:cs="Times New Roman"/>
      </w:rPr>
    </w:lvl>
    <w:lvl w:ilvl="7" w:tentative="0">
      <w:start w:val="0"/>
      <w:numFmt w:val="bullet"/>
      <w:lvlText w:val="•"/>
      <w:lvlJc w:val="left"/>
      <w:pPr>
        <w:ind w:left="6178" w:hanging="527"/>
      </w:pPr>
      <w:rPr>
        <w:rFonts w:hint="default" w:ascii="Times New Roman" w:hAnsi="Times New Roman" w:cs="Times New Roman"/>
      </w:rPr>
    </w:lvl>
    <w:lvl w:ilvl="8" w:tentative="0">
      <w:start w:val="0"/>
      <w:numFmt w:val="bullet"/>
      <w:lvlText w:val="•"/>
      <w:lvlJc w:val="left"/>
      <w:pPr>
        <w:ind w:left="7041" w:hanging="527"/>
      </w:pPr>
      <w:rPr>
        <w:rFonts w:hint="default" w:ascii="Times New Roman" w:hAnsi="Times New Roman" w:cs="Times New Roman"/>
      </w:rPr>
    </w:lvl>
  </w:abstractNum>
  <w:abstractNum w:abstractNumId="66">
    <w:nsid w:val="1DE7739F"/>
    <w:multiLevelType w:val="multilevel"/>
    <w:tmpl w:val="1DE7739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7">
    <w:nsid w:val="20732A3F"/>
    <w:multiLevelType w:val="multilevel"/>
    <w:tmpl w:val="20732A3F"/>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68">
    <w:nsid w:val="23C773BA"/>
    <w:multiLevelType w:val="multilevel"/>
    <w:tmpl w:val="23C773BA"/>
    <w:lvl w:ilvl="0" w:tentative="0">
      <w:start w:val="14"/>
      <w:numFmt w:val="decimal"/>
      <w:lvlText w:val="%1"/>
      <w:lvlJc w:val="left"/>
      <w:pPr>
        <w:ind w:left="138" w:hanging="635"/>
      </w:pPr>
      <w:rPr>
        <w:rFonts w:hint="default" w:ascii="Times New Roman" w:hAnsi="Times New Roman" w:cs="Times New Roman"/>
      </w:rPr>
    </w:lvl>
    <w:lvl w:ilvl="1" w:tentative="0">
      <w:start w:val="1"/>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69">
    <w:nsid w:val="2C8F5A68"/>
    <w:multiLevelType w:val="multilevel"/>
    <w:tmpl w:val="2C8F5A68"/>
    <w:lvl w:ilvl="0" w:tentative="0">
      <w:start w:val="20"/>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70">
    <w:nsid w:val="2FC3139E"/>
    <w:multiLevelType w:val="multilevel"/>
    <w:tmpl w:val="2FC3139E"/>
    <w:lvl w:ilvl="0" w:tentative="0">
      <w:start w:val="9"/>
      <w:numFmt w:val="decimal"/>
      <w:lvlText w:val="%1"/>
      <w:lvlJc w:val="left"/>
      <w:pPr>
        <w:ind w:left="138" w:hanging="529"/>
      </w:pPr>
      <w:rPr>
        <w:rFonts w:hint="default" w:ascii="Times New Roman" w:hAnsi="Times New Roman" w:cs="Times New Roman"/>
      </w:rPr>
    </w:lvl>
    <w:lvl w:ilvl="1" w:tentative="0">
      <w:start w:val="3"/>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71">
    <w:nsid w:val="3505E7BF"/>
    <w:multiLevelType w:val="multilevel"/>
    <w:tmpl w:val="3505E7BF"/>
    <w:lvl w:ilvl="0" w:tentative="0">
      <w:start w:val="13"/>
      <w:numFmt w:val="decimal"/>
      <w:lvlText w:val="%1"/>
      <w:lvlJc w:val="left"/>
      <w:pPr>
        <w:ind w:left="138" w:hanging="635"/>
      </w:pPr>
      <w:rPr>
        <w:rFonts w:hint="default" w:ascii="Times New Roman" w:hAnsi="Times New Roman" w:cs="Times New Roman"/>
      </w:rPr>
    </w:lvl>
    <w:lvl w:ilvl="1" w:tentative="0">
      <w:start w:val="6"/>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72">
    <w:nsid w:val="35299BB5"/>
    <w:multiLevelType w:val="multilevel"/>
    <w:tmpl w:val="35299BB5"/>
    <w:lvl w:ilvl="0" w:tentative="0">
      <w:start w:val="15"/>
      <w:numFmt w:val="decimal"/>
      <w:lvlText w:val="%1"/>
      <w:lvlJc w:val="left"/>
      <w:pPr>
        <w:ind w:left="1192" w:hanging="635"/>
      </w:pPr>
      <w:rPr>
        <w:rFonts w:hint="default" w:ascii="Times New Roman" w:hAnsi="Times New Roman" w:cs="Times New Roman"/>
      </w:rPr>
    </w:lvl>
    <w:lvl w:ilvl="1" w:tentative="0">
      <w:start w:val="4"/>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73">
    <w:nsid w:val="375E6919"/>
    <w:multiLevelType w:val="multilevel"/>
    <w:tmpl w:val="375E6919"/>
    <w:lvl w:ilvl="0" w:tentative="0">
      <w:start w:val="17"/>
      <w:numFmt w:val="decimal"/>
      <w:lvlText w:val="%1"/>
      <w:lvlJc w:val="left"/>
      <w:pPr>
        <w:ind w:left="619" w:hanging="481"/>
      </w:pPr>
      <w:rPr>
        <w:rFonts w:hint="default" w:ascii="Times New Roman" w:hAnsi="Times New Roman" w:cs="Times New Roman"/>
      </w:rPr>
    </w:lvl>
    <w:lvl w:ilvl="1" w:tentative="0">
      <w:start w:val="2"/>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2881" w:hanging="635"/>
      </w:pPr>
      <w:rPr>
        <w:rFonts w:hint="default" w:ascii="Times New Roman" w:hAnsi="Times New Roman" w:cs="Times New Roman"/>
      </w:rPr>
    </w:lvl>
    <w:lvl w:ilvl="4" w:tentative="0">
      <w:start w:val="0"/>
      <w:numFmt w:val="bullet"/>
      <w:lvlText w:val="•"/>
      <w:lvlJc w:val="left"/>
      <w:pPr>
        <w:ind w:left="3722" w:hanging="635"/>
      </w:pPr>
      <w:rPr>
        <w:rFonts w:hint="default" w:ascii="Times New Roman" w:hAnsi="Times New Roman" w:cs="Times New Roman"/>
      </w:rPr>
    </w:lvl>
    <w:lvl w:ilvl="5" w:tentative="0">
      <w:start w:val="0"/>
      <w:numFmt w:val="bullet"/>
      <w:lvlText w:val="•"/>
      <w:lvlJc w:val="left"/>
      <w:pPr>
        <w:ind w:left="4562" w:hanging="635"/>
      </w:pPr>
      <w:rPr>
        <w:rFonts w:hint="default" w:ascii="Times New Roman" w:hAnsi="Times New Roman" w:cs="Times New Roman"/>
      </w:rPr>
    </w:lvl>
    <w:lvl w:ilvl="6" w:tentative="0">
      <w:start w:val="0"/>
      <w:numFmt w:val="bullet"/>
      <w:lvlText w:val="•"/>
      <w:lvlJc w:val="left"/>
      <w:pPr>
        <w:ind w:left="5403" w:hanging="635"/>
      </w:pPr>
      <w:rPr>
        <w:rFonts w:hint="default" w:ascii="Times New Roman" w:hAnsi="Times New Roman" w:cs="Times New Roman"/>
      </w:rPr>
    </w:lvl>
    <w:lvl w:ilvl="7" w:tentative="0">
      <w:start w:val="0"/>
      <w:numFmt w:val="bullet"/>
      <w:lvlText w:val="•"/>
      <w:lvlJc w:val="left"/>
      <w:pPr>
        <w:ind w:left="6244" w:hanging="635"/>
      </w:pPr>
      <w:rPr>
        <w:rFonts w:hint="default" w:ascii="Times New Roman" w:hAnsi="Times New Roman" w:cs="Times New Roman"/>
      </w:rPr>
    </w:lvl>
    <w:lvl w:ilvl="8" w:tentative="0">
      <w:start w:val="0"/>
      <w:numFmt w:val="bullet"/>
      <w:lvlText w:val="•"/>
      <w:lvlJc w:val="left"/>
      <w:pPr>
        <w:ind w:left="7084" w:hanging="635"/>
      </w:pPr>
      <w:rPr>
        <w:rFonts w:hint="default" w:ascii="Times New Roman" w:hAnsi="Times New Roman" w:cs="Times New Roman"/>
      </w:rPr>
    </w:lvl>
  </w:abstractNum>
  <w:abstractNum w:abstractNumId="74">
    <w:nsid w:val="38025E76"/>
    <w:multiLevelType w:val="multilevel"/>
    <w:tmpl w:val="38025E76"/>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4"/>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75">
    <w:nsid w:val="39A78D04"/>
    <w:multiLevelType w:val="multilevel"/>
    <w:tmpl w:val="39A78D04"/>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76">
    <w:nsid w:val="39F51B00"/>
    <w:multiLevelType w:val="multilevel"/>
    <w:tmpl w:val="39F51B00"/>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77">
    <w:nsid w:val="3BA48014"/>
    <w:multiLevelType w:val="multilevel"/>
    <w:tmpl w:val="3BA48014"/>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78">
    <w:nsid w:val="3E451D2B"/>
    <w:multiLevelType w:val="multilevel"/>
    <w:tmpl w:val="3E451D2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cs="Century Gothic" w:asciiTheme="minorEastAsia" w:hAnsiTheme="minorEastAsia" w:eastAsiaTheme="minorEastAsia"/>
        <w:spacing w:val="-2"/>
        <w:w w:val="114"/>
        <w:sz w:val="24"/>
        <w:szCs w:val="24"/>
      </w:rPr>
    </w:lvl>
    <w:lvl w:ilvl="2" w:tentative="0">
      <w:start w:val="0"/>
      <w:numFmt w:val="bullet"/>
      <w:lvlText w:val="•"/>
      <w:lvlJc w:val="left"/>
      <w:pPr>
        <w:ind w:left="2705" w:hanging="440"/>
      </w:pPr>
      <w:rPr>
        <w:rFonts w:hint="default"/>
      </w:rPr>
    </w:lvl>
    <w:lvl w:ilvl="3" w:tentative="0">
      <w:start w:val="0"/>
      <w:numFmt w:val="bullet"/>
      <w:lvlText w:val="•"/>
      <w:lvlJc w:val="left"/>
      <w:pPr>
        <w:ind w:left="3538" w:hanging="440"/>
      </w:pPr>
      <w:rPr>
        <w:rFonts w:hint="default"/>
      </w:rPr>
    </w:lvl>
    <w:lvl w:ilvl="4" w:tentative="0">
      <w:start w:val="0"/>
      <w:numFmt w:val="bullet"/>
      <w:lvlText w:val="•"/>
      <w:lvlJc w:val="left"/>
      <w:pPr>
        <w:ind w:left="4370" w:hanging="440"/>
      </w:pPr>
      <w:rPr>
        <w:rFonts w:hint="default"/>
      </w:rPr>
    </w:lvl>
    <w:lvl w:ilvl="5" w:tentative="0">
      <w:start w:val="0"/>
      <w:numFmt w:val="bullet"/>
      <w:lvlText w:val="•"/>
      <w:lvlJc w:val="left"/>
      <w:pPr>
        <w:ind w:left="5203" w:hanging="440"/>
      </w:pPr>
      <w:rPr>
        <w:rFonts w:hint="default"/>
      </w:rPr>
    </w:lvl>
    <w:lvl w:ilvl="6" w:tentative="0">
      <w:start w:val="0"/>
      <w:numFmt w:val="bullet"/>
      <w:lvlText w:val="•"/>
      <w:lvlJc w:val="left"/>
      <w:pPr>
        <w:ind w:left="6036" w:hanging="440"/>
      </w:pPr>
      <w:rPr>
        <w:rFonts w:hint="default"/>
      </w:rPr>
    </w:lvl>
    <w:lvl w:ilvl="7" w:tentative="0">
      <w:start w:val="0"/>
      <w:numFmt w:val="bullet"/>
      <w:lvlText w:val="•"/>
      <w:lvlJc w:val="left"/>
      <w:pPr>
        <w:ind w:left="6868" w:hanging="440"/>
      </w:pPr>
      <w:rPr>
        <w:rFonts w:hint="default"/>
      </w:rPr>
    </w:lvl>
    <w:lvl w:ilvl="8" w:tentative="0">
      <w:start w:val="0"/>
      <w:numFmt w:val="bullet"/>
      <w:lvlText w:val="•"/>
      <w:lvlJc w:val="left"/>
      <w:pPr>
        <w:ind w:left="7701" w:hanging="440"/>
      </w:pPr>
      <w:rPr>
        <w:rFonts w:hint="default"/>
      </w:rPr>
    </w:lvl>
  </w:abstractNum>
  <w:abstractNum w:abstractNumId="79">
    <w:nsid w:val="3F86402C"/>
    <w:multiLevelType w:val="multilevel"/>
    <w:tmpl w:val="3F86402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80">
    <w:nsid w:val="44941BDC"/>
    <w:multiLevelType w:val="multilevel"/>
    <w:tmpl w:val="44941BDC"/>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499" w:hanging="361"/>
      </w:pPr>
      <w:rPr>
        <w:rFonts w:hint="eastAsia" w:ascii="宋体" w:hAnsi="宋体" w:eastAsia="宋体" w:cs="宋体"/>
        <w:b/>
        <w:spacing w:val="-1"/>
        <w:sz w:val="22"/>
        <w:szCs w:val="22"/>
      </w:rPr>
    </w:lvl>
    <w:lvl w:ilvl="2" w:tentative="0">
      <w:start w:val="1"/>
      <w:numFmt w:val="decimal"/>
      <w:lvlText w:val="（%3）"/>
      <w:lvlJc w:val="left"/>
      <w:pPr>
        <w:ind w:left="138" w:hanging="529"/>
      </w:pPr>
      <w:rPr>
        <w:rFonts w:hint="eastAsia" w:ascii="宋体" w:hAnsi="宋体" w:eastAsia="宋体" w:cs="宋体"/>
        <w:spacing w:val="-89"/>
        <w:sz w:val="19"/>
        <w:szCs w:val="19"/>
      </w:rPr>
    </w:lvl>
    <w:lvl w:ilvl="3" w:tentative="0">
      <w:start w:val="0"/>
      <w:numFmt w:val="bullet"/>
      <w:lvlText w:val="•"/>
      <w:lvlJc w:val="left"/>
      <w:pPr>
        <w:ind w:left="620" w:hanging="529"/>
      </w:pPr>
      <w:rPr>
        <w:rFonts w:hint="default" w:ascii="Times New Roman" w:hAnsi="Times New Roman" w:cs="Times New Roman"/>
      </w:rPr>
    </w:lvl>
    <w:lvl w:ilvl="4" w:tentative="0">
      <w:start w:val="0"/>
      <w:numFmt w:val="bullet"/>
      <w:lvlText w:val="•"/>
      <w:lvlJc w:val="left"/>
      <w:pPr>
        <w:ind w:left="1783" w:hanging="529"/>
      </w:pPr>
      <w:rPr>
        <w:rFonts w:hint="default" w:ascii="Times New Roman" w:hAnsi="Times New Roman" w:cs="Times New Roman"/>
      </w:rPr>
    </w:lvl>
    <w:lvl w:ilvl="5" w:tentative="0">
      <w:start w:val="0"/>
      <w:numFmt w:val="bullet"/>
      <w:lvlText w:val="•"/>
      <w:lvlJc w:val="left"/>
      <w:pPr>
        <w:ind w:left="2947" w:hanging="529"/>
      </w:pPr>
      <w:rPr>
        <w:rFonts w:hint="default" w:ascii="Times New Roman" w:hAnsi="Times New Roman" w:cs="Times New Roman"/>
      </w:rPr>
    </w:lvl>
    <w:lvl w:ilvl="6" w:tentative="0">
      <w:start w:val="0"/>
      <w:numFmt w:val="bullet"/>
      <w:lvlText w:val="•"/>
      <w:lvlJc w:val="left"/>
      <w:pPr>
        <w:ind w:left="4111" w:hanging="529"/>
      </w:pPr>
      <w:rPr>
        <w:rFonts w:hint="default" w:ascii="Times New Roman" w:hAnsi="Times New Roman" w:cs="Times New Roman"/>
      </w:rPr>
    </w:lvl>
    <w:lvl w:ilvl="7" w:tentative="0">
      <w:start w:val="0"/>
      <w:numFmt w:val="bullet"/>
      <w:lvlText w:val="•"/>
      <w:lvlJc w:val="left"/>
      <w:pPr>
        <w:ind w:left="5275" w:hanging="529"/>
      </w:pPr>
      <w:rPr>
        <w:rFonts w:hint="default" w:ascii="Times New Roman" w:hAnsi="Times New Roman" w:cs="Times New Roman"/>
      </w:rPr>
    </w:lvl>
    <w:lvl w:ilvl="8" w:tentative="0">
      <w:start w:val="0"/>
      <w:numFmt w:val="bullet"/>
      <w:lvlText w:val="•"/>
      <w:lvlJc w:val="left"/>
      <w:pPr>
        <w:ind w:left="6438" w:hanging="529"/>
      </w:pPr>
      <w:rPr>
        <w:rFonts w:hint="default" w:ascii="Times New Roman" w:hAnsi="Times New Roman" w:cs="Times New Roman"/>
      </w:rPr>
    </w:lvl>
  </w:abstractNum>
  <w:abstractNum w:abstractNumId="81">
    <w:nsid w:val="44ED001E"/>
    <w:multiLevelType w:val="multilevel"/>
    <w:tmpl w:val="44ED001E"/>
    <w:lvl w:ilvl="0" w:tentative="0">
      <w:start w:val="20"/>
      <w:numFmt w:val="decimal"/>
      <w:lvlText w:val="%1"/>
      <w:lvlJc w:val="left"/>
      <w:pPr>
        <w:ind w:left="138" w:hanging="635"/>
      </w:pPr>
      <w:rPr>
        <w:rFonts w:hint="default" w:ascii="Times New Roman" w:hAnsi="Times New Roman" w:cs="Times New Roman"/>
      </w:rPr>
    </w:lvl>
    <w:lvl w:ilvl="1" w:tentative="0">
      <w:start w:val="4"/>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82">
    <w:nsid w:val="49469806"/>
    <w:multiLevelType w:val="multilevel"/>
    <w:tmpl w:val="49469806"/>
    <w:lvl w:ilvl="0" w:tentative="0">
      <w:start w:val="18"/>
      <w:numFmt w:val="decimal"/>
      <w:lvlText w:val="%1"/>
      <w:lvlJc w:val="left"/>
      <w:pPr>
        <w:ind w:left="1192" w:hanging="635"/>
      </w:pPr>
      <w:rPr>
        <w:rFonts w:hint="default" w:ascii="Times New Roman" w:hAnsi="Times New Roman" w:cs="Times New Roman"/>
      </w:rPr>
    </w:lvl>
    <w:lvl w:ilvl="1" w:tentative="0">
      <w:start w:val="3"/>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83">
    <w:nsid w:val="4D5F6496"/>
    <w:multiLevelType w:val="multilevel"/>
    <w:tmpl w:val="4D5F6496"/>
    <w:lvl w:ilvl="0" w:tentative="0">
      <w:start w:val="21"/>
      <w:numFmt w:val="decimal"/>
      <w:lvlText w:val="%1"/>
      <w:lvlJc w:val="left"/>
      <w:pPr>
        <w:ind w:left="619" w:hanging="481"/>
      </w:pPr>
      <w:rPr>
        <w:rFonts w:hint="default" w:ascii="Times New Roman" w:hAnsi="Times New Roman" w:cs="Times New Roman"/>
      </w:rPr>
    </w:lvl>
    <w:lvl w:ilvl="1" w:tentative="0">
      <w:start w:val="2"/>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2881" w:hanging="635"/>
      </w:pPr>
      <w:rPr>
        <w:rFonts w:hint="default" w:ascii="Times New Roman" w:hAnsi="Times New Roman" w:cs="Times New Roman"/>
      </w:rPr>
    </w:lvl>
    <w:lvl w:ilvl="4" w:tentative="0">
      <w:start w:val="0"/>
      <w:numFmt w:val="bullet"/>
      <w:lvlText w:val="•"/>
      <w:lvlJc w:val="left"/>
      <w:pPr>
        <w:ind w:left="3722" w:hanging="635"/>
      </w:pPr>
      <w:rPr>
        <w:rFonts w:hint="default" w:ascii="Times New Roman" w:hAnsi="Times New Roman" w:cs="Times New Roman"/>
      </w:rPr>
    </w:lvl>
    <w:lvl w:ilvl="5" w:tentative="0">
      <w:start w:val="0"/>
      <w:numFmt w:val="bullet"/>
      <w:lvlText w:val="•"/>
      <w:lvlJc w:val="left"/>
      <w:pPr>
        <w:ind w:left="4562" w:hanging="635"/>
      </w:pPr>
      <w:rPr>
        <w:rFonts w:hint="default" w:ascii="Times New Roman" w:hAnsi="Times New Roman" w:cs="Times New Roman"/>
      </w:rPr>
    </w:lvl>
    <w:lvl w:ilvl="6" w:tentative="0">
      <w:start w:val="0"/>
      <w:numFmt w:val="bullet"/>
      <w:lvlText w:val="•"/>
      <w:lvlJc w:val="left"/>
      <w:pPr>
        <w:ind w:left="5403" w:hanging="635"/>
      </w:pPr>
      <w:rPr>
        <w:rFonts w:hint="default" w:ascii="Times New Roman" w:hAnsi="Times New Roman" w:cs="Times New Roman"/>
      </w:rPr>
    </w:lvl>
    <w:lvl w:ilvl="7" w:tentative="0">
      <w:start w:val="0"/>
      <w:numFmt w:val="bullet"/>
      <w:lvlText w:val="•"/>
      <w:lvlJc w:val="left"/>
      <w:pPr>
        <w:ind w:left="6244" w:hanging="635"/>
      </w:pPr>
      <w:rPr>
        <w:rFonts w:hint="default" w:ascii="Times New Roman" w:hAnsi="Times New Roman" w:cs="Times New Roman"/>
      </w:rPr>
    </w:lvl>
    <w:lvl w:ilvl="8" w:tentative="0">
      <w:start w:val="0"/>
      <w:numFmt w:val="bullet"/>
      <w:lvlText w:val="•"/>
      <w:lvlJc w:val="left"/>
      <w:pPr>
        <w:ind w:left="7084" w:hanging="635"/>
      </w:pPr>
      <w:rPr>
        <w:rFonts w:hint="default" w:ascii="Times New Roman" w:hAnsi="Times New Roman" w:cs="Times New Roman"/>
      </w:rPr>
    </w:lvl>
  </w:abstractNum>
  <w:abstractNum w:abstractNumId="84">
    <w:nsid w:val="4E4174C5"/>
    <w:multiLevelType w:val="multilevel"/>
    <w:tmpl w:val="4E4174C5"/>
    <w:lvl w:ilvl="0" w:tentative="0">
      <w:start w:val="9"/>
      <w:numFmt w:val="decimal"/>
      <w:lvlText w:val="%1"/>
      <w:lvlJc w:val="left"/>
      <w:pPr>
        <w:ind w:left="138" w:hanging="579"/>
      </w:pPr>
      <w:rPr>
        <w:rFonts w:hint="default" w:ascii="Times New Roman" w:hAnsi="Times New Roman" w:cs="Times New Roman"/>
      </w:rPr>
    </w:lvl>
    <w:lvl w:ilvl="1" w:tentative="0">
      <w:start w:val="7"/>
      <w:numFmt w:val="decimal"/>
      <w:lvlText w:val="%1.%2"/>
      <w:lvlJc w:val="left"/>
      <w:pPr>
        <w:ind w:left="138" w:hanging="579"/>
      </w:pPr>
      <w:rPr>
        <w:rFonts w:hint="default" w:ascii="Times New Roman" w:hAnsi="Times New Roman" w:cs="Times New Roman"/>
      </w:rPr>
    </w:lvl>
    <w:lvl w:ilvl="2" w:tentative="0">
      <w:start w:val="1"/>
      <w:numFmt w:val="decimal"/>
      <w:lvlText w:val="%1.%2.%3"/>
      <w:lvlJc w:val="left"/>
      <w:pPr>
        <w:ind w:left="138" w:hanging="579"/>
      </w:pPr>
      <w:rPr>
        <w:rFonts w:hint="eastAsia" w:ascii="宋体" w:hAnsi="宋体" w:eastAsia="宋体" w:cs="宋体"/>
        <w:sz w:val="21"/>
        <w:szCs w:val="21"/>
      </w:rPr>
    </w:lvl>
    <w:lvl w:ilvl="3" w:tentative="0">
      <w:start w:val="0"/>
      <w:numFmt w:val="bullet"/>
      <w:lvlText w:val="•"/>
      <w:lvlJc w:val="left"/>
      <w:pPr>
        <w:ind w:left="2727" w:hanging="579"/>
      </w:pPr>
      <w:rPr>
        <w:rFonts w:hint="default" w:ascii="Times New Roman" w:hAnsi="Times New Roman" w:cs="Times New Roman"/>
      </w:rPr>
    </w:lvl>
    <w:lvl w:ilvl="4" w:tentative="0">
      <w:start w:val="0"/>
      <w:numFmt w:val="bullet"/>
      <w:lvlText w:val="•"/>
      <w:lvlJc w:val="left"/>
      <w:pPr>
        <w:ind w:left="3590" w:hanging="579"/>
      </w:pPr>
      <w:rPr>
        <w:rFonts w:hint="default" w:ascii="Times New Roman" w:hAnsi="Times New Roman" w:cs="Times New Roman"/>
      </w:rPr>
    </w:lvl>
    <w:lvl w:ilvl="5" w:tentative="0">
      <w:start w:val="0"/>
      <w:numFmt w:val="bullet"/>
      <w:lvlText w:val="•"/>
      <w:lvlJc w:val="left"/>
      <w:pPr>
        <w:ind w:left="4453" w:hanging="579"/>
      </w:pPr>
      <w:rPr>
        <w:rFonts w:hint="default" w:ascii="Times New Roman" w:hAnsi="Times New Roman" w:cs="Times New Roman"/>
      </w:rPr>
    </w:lvl>
    <w:lvl w:ilvl="6" w:tentative="0">
      <w:start w:val="0"/>
      <w:numFmt w:val="bullet"/>
      <w:lvlText w:val="•"/>
      <w:lvlJc w:val="left"/>
      <w:pPr>
        <w:ind w:left="5315" w:hanging="579"/>
      </w:pPr>
      <w:rPr>
        <w:rFonts w:hint="default" w:ascii="Times New Roman" w:hAnsi="Times New Roman" w:cs="Times New Roman"/>
      </w:rPr>
    </w:lvl>
    <w:lvl w:ilvl="7" w:tentative="0">
      <w:start w:val="0"/>
      <w:numFmt w:val="bullet"/>
      <w:lvlText w:val="•"/>
      <w:lvlJc w:val="left"/>
      <w:pPr>
        <w:ind w:left="6178" w:hanging="579"/>
      </w:pPr>
      <w:rPr>
        <w:rFonts w:hint="default" w:ascii="Times New Roman" w:hAnsi="Times New Roman" w:cs="Times New Roman"/>
      </w:rPr>
    </w:lvl>
    <w:lvl w:ilvl="8" w:tentative="0">
      <w:start w:val="0"/>
      <w:numFmt w:val="bullet"/>
      <w:lvlText w:val="•"/>
      <w:lvlJc w:val="left"/>
      <w:pPr>
        <w:ind w:left="7041" w:hanging="579"/>
      </w:pPr>
      <w:rPr>
        <w:rFonts w:hint="default" w:ascii="Times New Roman" w:hAnsi="Times New Roman" w:cs="Times New Roman"/>
      </w:rPr>
    </w:lvl>
  </w:abstractNum>
  <w:abstractNum w:abstractNumId="85">
    <w:nsid w:val="4F028BE8"/>
    <w:multiLevelType w:val="multilevel"/>
    <w:tmpl w:val="4F028BE8"/>
    <w:lvl w:ilvl="0" w:tentative="0">
      <w:start w:val="12"/>
      <w:numFmt w:val="decimal"/>
      <w:lvlText w:val="%1"/>
      <w:lvlJc w:val="left"/>
      <w:pPr>
        <w:ind w:left="1185" w:hanging="635"/>
      </w:pPr>
      <w:rPr>
        <w:rFonts w:hint="default" w:ascii="Times New Roman" w:hAnsi="Times New Roman" w:cs="Times New Roman"/>
      </w:rPr>
    </w:lvl>
    <w:lvl w:ilvl="1" w:tentative="0">
      <w:start w:val="5"/>
      <w:numFmt w:val="decimal"/>
      <w:lvlText w:val="%1.%2"/>
      <w:lvlJc w:val="left"/>
      <w:pPr>
        <w:ind w:left="1185" w:hanging="635"/>
      </w:pPr>
      <w:rPr>
        <w:rFonts w:hint="default" w:ascii="Times New Roman" w:hAnsi="Times New Roman" w:cs="Times New Roman"/>
      </w:rPr>
    </w:lvl>
    <w:lvl w:ilvl="2" w:tentative="0">
      <w:start w:val="1"/>
      <w:numFmt w:val="decimal"/>
      <w:lvlText w:val="%1.%2.%3"/>
      <w:lvlJc w:val="left"/>
      <w:pPr>
        <w:ind w:left="1185" w:hanging="635"/>
      </w:pPr>
      <w:rPr>
        <w:rFonts w:hint="eastAsia" w:ascii="宋体" w:hAnsi="宋体" w:eastAsia="宋体" w:cs="宋体"/>
        <w:spacing w:val="-3"/>
        <w:sz w:val="19"/>
        <w:szCs w:val="19"/>
      </w:rPr>
    </w:lvl>
    <w:lvl w:ilvl="3" w:tentative="0">
      <w:start w:val="0"/>
      <w:numFmt w:val="bullet"/>
      <w:lvlText w:val="•"/>
      <w:lvlJc w:val="left"/>
      <w:pPr>
        <w:ind w:left="3455" w:hanging="635"/>
      </w:pPr>
      <w:rPr>
        <w:rFonts w:hint="default" w:ascii="Times New Roman" w:hAnsi="Times New Roman" w:cs="Times New Roman"/>
      </w:rPr>
    </w:lvl>
    <w:lvl w:ilvl="4" w:tentative="0">
      <w:start w:val="0"/>
      <w:numFmt w:val="bullet"/>
      <w:lvlText w:val="•"/>
      <w:lvlJc w:val="left"/>
      <w:pPr>
        <w:ind w:left="4214" w:hanging="635"/>
      </w:pPr>
      <w:rPr>
        <w:rFonts w:hint="default" w:ascii="Times New Roman" w:hAnsi="Times New Roman" w:cs="Times New Roman"/>
      </w:rPr>
    </w:lvl>
    <w:lvl w:ilvl="5" w:tentative="0">
      <w:start w:val="0"/>
      <w:numFmt w:val="bullet"/>
      <w:lvlText w:val="•"/>
      <w:lvlJc w:val="left"/>
      <w:pPr>
        <w:ind w:left="4973" w:hanging="635"/>
      </w:pPr>
      <w:rPr>
        <w:rFonts w:hint="default" w:ascii="Times New Roman" w:hAnsi="Times New Roman" w:cs="Times New Roman"/>
      </w:rPr>
    </w:lvl>
    <w:lvl w:ilvl="6" w:tentative="0">
      <w:start w:val="0"/>
      <w:numFmt w:val="bullet"/>
      <w:lvlText w:val="•"/>
      <w:lvlJc w:val="left"/>
      <w:pPr>
        <w:ind w:left="5731" w:hanging="635"/>
      </w:pPr>
      <w:rPr>
        <w:rFonts w:hint="default" w:ascii="Times New Roman" w:hAnsi="Times New Roman" w:cs="Times New Roman"/>
      </w:rPr>
    </w:lvl>
    <w:lvl w:ilvl="7" w:tentative="0">
      <w:start w:val="0"/>
      <w:numFmt w:val="bullet"/>
      <w:lvlText w:val="•"/>
      <w:lvlJc w:val="left"/>
      <w:pPr>
        <w:ind w:left="6490" w:hanging="635"/>
      </w:pPr>
      <w:rPr>
        <w:rFonts w:hint="default" w:ascii="Times New Roman" w:hAnsi="Times New Roman" w:cs="Times New Roman"/>
      </w:rPr>
    </w:lvl>
    <w:lvl w:ilvl="8" w:tentative="0">
      <w:start w:val="0"/>
      <w:numFmt w:val="bullet"/>
      <w:lvlText w:val="•"/>
      <w:lvlJc w:val="left"/>
      <w:pPr>
        <w:ind w:left="7249" w:hanging="635"/>
      </w:pPr>
      <w:rPr>
        <w:rFonts w:hint="default" w:ascii="Times New Roman" w:hAnsi="Times New Roman" w:cs="Times New Roman"/>
      </w:rPr>
    </w:lvl>
  </w:abstractNum>
  <w:abstractNum w:abstractNumId="86">
    <w:nsid w:val="4F85F3A7"/>
    <w:multiLevelType w:val="multilevel"/>
    <w:tmpl w:val="4F85F3A7"/>
    <w:lvl w:ilvl="0" w:tentative="0">
      <w:start w:val="5"/>
      <w:numFmt w:val="decimal"/>
      <w:lvlText w:val="%1"/>
      <w:lvlJc w:val="left"/>
      <w:pPr>
        <w:ind w:left="138" w:hanging="529"/>
      </w:pPr>
      <w:rPr>
        <w:rFonts w:hint="default" w:ascii="Times New Roman" w:hAnsi="Times New Roman" w:cs="Times New Roman"/>
      </w:rPr>
    </w:lvl>
    <w:lvl w:ilvl="1" w:tentative="0">
      <w:start w:val="3"/>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87">
    <w:nsid w:val="4FB9E8C2"/>
    <w:multiLevelType w:val="multilevel"/>
    <w:tmpl w:val="4FB9E8C2"/>
    <w:lvl w:ilvl="0" w:tentative="0">
      <w:start w:val="8"/>
      <w:numFmt w:val="decimal"/>
      <w:lvlText w:val="%1"/>
      <w:lvlJc w:val="left"/>
      <w:pPr>
        <w:ind w:left="138" w:hanging="529"/>
      </w:pPr>
      <w:rPr>
        <w:rFonts w:hint="default" w:ascii="Times New Roman" w:hAnsi="Times New Roman" w:cs="Times New Roman"/>
      </w:rPr>
    </w:lvl>
    <w:lvl w:ilvl="1" w:tentative="0">
      <w:start w:val="2"/>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88">
    <w:nsid w:val="54366E2B"/>
    <w:multiLevelType w:val="multilevel"/>
    <w:tmpl w:val="54366E2B"/>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89">
    <w:nsid w:val="54D11762"/>
    <w:multiLevelType w:val="multilevel"/>
    <w:tmpl w:val="54D11762"/>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1007"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0">
    <w:nsid w:val="56D73AD6"/>
    <w:multiLevelType w:val="multilevel"/>
    <w:tmpl w:val="56D73AD6"/>
    <w:lvl w:ilvl="0" w:tentative="0">
      <w:start w:val="21"/>
      <w:numFmt w:val="decimal"/>
      <w:lvlText w:val="%1"/>
      <w:lvlJc w:val="left"/>
      <w:pPr>
        <w:ind w:left="138" w:hanging="635"/>
      </w:pPr>
      <w:rPr>
        <w:rFonts w:hint="default" w:ascii="Times New Roman" w:hAnsi="Times New Roman" w:cs="Times New Roman"/>
      </w:rPr>
    </w:lvl>
    <w:lvl w:ilvl="1" w:tentative="0">
      <w:start w:val="1"/>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91">
    <w:nsid w:val="5790BE2A"/>
    <w:multiLevelType w:val="multilevel"/>
    <w:tmpl w:val="5790BE2A"/>
    <w:lvl w:ilvl="0" w:tentative="0">
      <w:start w:val="12"/>
      <w:numFmt w:val="decimal"/>
      <w:lvlText w:val="%1"/>
      <w:lvlJc w:val="left"/>
      <w:pPr>
        <w:ind w:left="138" w:hanging="635"/>
      </w:pPr>
      <w:rPr>
        <w:rFonts w:hint="default" w:ascii="Times New Roman" w:hAnsi="Times New Roman" w:cs="Times New Roman"/>
      </w:rPr>
    </w:lvl>
    <w:lvl w:ilvl="1" w:tentative="0">
      <w:start w:val="4"/>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92">
    <w:nsid w:val="59F172A7"/>
    <w:multiLevelType w:val="multilevel"/>
    <w:tmpl w:val="59F172A7"/>
    <w:lvl w:ilvl="0" w:tentative="0">
      <w:start w:val="11"/>
      <w:numFmt w:val="decimal"/>
      <w:lvlText w:val="%1"/>
      <w:lvlJc w:val="left"/>
      <w:pPr>
        <w:ind w:left="138" w:hanging="635"/>
      </w:pPr>
      <w:rPr>
        <w:rFonts w:hint="default" w:ascii="Times New Roman" w:hAnsi="Times New Roman" w:cs="Times New Roman"/>
      </w:rPr>
    </w:lvl>
    <w:lvl w:ilvl="1" w:tentative="0">
      <w:start w:val="5"/>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93">
    <w:nsid w:val="5C8C1A18"/>
    <w:multiLevelType w:val="multilevel"/>
    <w:tmpl w:val="5C8C1A18"/>
    <w:lvl w:ilvl="0" w:tentative="0">
      <w:start w:val="17"/>
      <w:numFmt w:val="decimal"/>
      <w:lvlText w:val="%1"/>
      <w:lvlJc w:val="left"/>
      <w:pPr>
        <w:ind w:left="1192" w:hanging="635"/>
      </w:pPr>
      <w:rPr>
        <w:rFonts w:hint="default" w:ascii="Times New Roman" w:hAnsi="Times New Roman" w:cs="Times New Roman"/>
      </w:rPr>
    </w:lvl>
    <w:lvl w:ilvl="1" w:tentative="0">
      <w:start w:val="3"/>
      <w:numFmt w:val="decimal"/>
      <w:lvlText w:val="%1.%2"/>
      <w:lvlJc w:val="left"/>
      <w:pPr>
        <w:ind w:left="1192" w:hanging="635"/>
      </w:pPr>
      <w:rPr>
        <w:rFonts w:hint="default" w:ascii="Times New Roman" w:hAnsi="Times New Roman" w:cs="Times New Roman"/>
      </w:rPr>
    </w:lvl>
    <w:lvl w:ilvl="2" w:tentative="0">
      <w:start w:val="4"/>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94">
    <w:nsid w:val="5FF7BD43"/>
    <w:multiLevelType w:val="multilevel"/>
    <w:tmpl w:val="5FF7BD43"/>
    <w:lvl w:ilvl="0" w:tentative="0">
      <w:start w:val="1"/>
      <w:numFmt w:val="decimal"/>
      <w:lvlText w:val="（%1）"/>
      <w:lvlJc w:val="left"/>
      <w:pPr>
        <w:ind w:left="138" w:hanging="529"/>
      </w:pPr>
      <w:rPr>
        <w:rFonts w:hint="eastAsia" w:ascii="宋体" w:hAnsi="宋体" w:eastAsia="宋体" w:cs="宋体"/>
        <w:spacing w:val="-46"/>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95">
    <w:nsid w:val="6192798D"/>
    <w:multiLevelType w:val="multilevel"/>
    <w:tmpl w:val="6192798D"/>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6">
    <w:nsid w:val="62ED3964"/>
    <w:multiLevelType w:val="multilevel"/>
    <w:tmpl w:val="62ED3964"/>
    <w:lvl w:ilvl="0" w:tentative="0">
      <w:start w:val="24"/>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5"/>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97">
    <w:nsid w:val="646988E1"/>
    <w:multiLevelType w:val="singleLevel"/>
    <w:tmpl w:val="646988E1"/>
    <w:lvl w:ilvl="0" w:tentative="0">
      <w:start w:val="4"/>
      <w:numFmt w:val="decimal"/>
      <w:suff w:val="nothing"/>
      <w:lvlText w:val="（%1）"/>
      <w:lvlJc w:val="left"/>
    </w:lvl>
  </w:abstractNum>
  <w:abstractNum w:abstractNumId="98">
    <w:nsid w:val="6587A1A3"/>
    <w:multiLevelType w:val="multilevel"/>
    <w:tmpl w:val="6587A1A3"/>
    <w:lvl w:ilvl="0" w:tentative="0">
      <w:start w:val="11"/>
      <w:numFmt w:val="decimal"/>
      <w:lvlText w:val="%1"/>
      <w:lvlJc w:val="left"/>
      <w:pPr>
        <w:ind w:left="138" w:hanging="635"/>
      </w:pPr>
      <w:rPr>
        <w:rFonts w:hint="default" w:ascii="Times New Roman" w:hAnsi="Times New Roman" w:cs="Times New Roman"/>
      </w:rPr>
    </w:lvl>
    <w:lvl w:ilvl="1" w:tentative="0">
      <w:start w:val="1"/>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99">
    <w:nsid w:val="6C601CF5"/>
    <w:multiLevelType w:val="multilevel"/>
    <w:tmpl w:val="6C601CF5"/>
    <w:lvl w:ilvl="0" w:tentative="0">
      <w:start w:val="13"/>
      <w:numFmt w:val="decimal"/>
      <w:lvlText w:val="%1"/>
      <w:lvlJc w:val="left"/>
      <w:pPr>
        <w:ind w:left="138" w:hanging="635"/>
      </w:pPr>
      <w:rPr>
        <w:rFonts w:hint="default" w:ascii="Times New Roman" w:hAnsi="Times New Roman" w:cs="Times New Roman"/>
      </w:rPr>
    </w:lvl>
    <w:lvl w:ilvl="1" w:tentative="0">
      <w:start w:val="2"/>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00">
    <w:nsid w:val="6C880653"/>
    <w:multiLevelType w:val="multilevel"/>
    <w:tmpl w:val="6C880653"/>
    <w:lvl w:ilvl="0" w:tentative="0">
      <w:start w:val="15"/>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101">
    <w:nsid w:val="6CAB7748"/>
    <w:multiLevelType w:val="multilevel"/>
    <w:tmpl w:val="6CAB774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02">
    <w:nsid w:val="703EECDE"/>
    <w:multiLevelType w:val="multilevel"/>
    <w:tmpl w:val="703EECD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03">
    <w:nsid w:val="709D88E4"/>
    <w:multiLevelType w:val="multilevel"/>
    <w:tmpl w:val="709D88E4"/>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04">
    <w:nsid w:val="70E66314"/>
    <w:multiLevelType w:val="multilevel"/>
    <w:tmpl w:val="70E66314"/>
    <w:lvl w:ilvl="0" w:tentative="0">
      <w:start w:val="22"/>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3"/>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105">
    <w:nsid w:val="719A6A45"/>
    <w:multiLevelType w:val="multilevel"/>
    <w:tmpl w:val="719A6A45"/>
    <w:lvl w:ilvl="0" w:tentative="0">
      <w:start w:val="1"/>
      <w:numFmt w:val="decimal"/>
      <w:lvlText w:val="（%1）"/>
      <w:lvlJc w:val="left"/>
      <w:pPr>
        <w:ind w:left="1084" w:hanging="527"/>
      </w:pPr>
      <w:rPr>
        <w:rFonts w:hint="eastAsia" w:ascii="宋体" w:hAnsi="宋体" w:eastAsia="宋体" w:cs="宋体"/>
        <w:spacing w:val="-44"/>
        <w:sz w:val="19"/>
        <w:szCs w:val="19"/>
      </w:rPr>
    </w:lvl>
    <w:lvl w:ilvl="1" w:tentative="0">
      <w:start w:val="0"/>
      <w:numFmt w:val="bullet"/>
      <w:lvlText w:val="•"/>
      <w:lvlJc w:val="left"/>
      <w:pPr>
        <w:ind w:left="1848" w:hanging="527"/>
      </w:pPr>
      <w:rPr>
        <w:rFonts w:hint="default" w:ascii="Times New Roman" w:hAnsi="Times New Roman" w:cs="Times New Roman"/>
      </w:rPr>
    </w:lvl>
    <w:lvl w:ilvl="2" w:tentative="0">
      <w:start w:val="0"/>
      <w:numFmt w:val="bullet"/>
      <w:lvlText w:val="•"/>
      <w:lvlJc w:val="left"/>
      <w:pPr>
        <w:ind w:left="2617" w:hanging="527"/>
      </w:pPr>
      <w:rPr>
        <w:rFonts w:hint="default" w:ascii="Times New Roman" w:hAnsi="Times New Roman" w:cs="Times New Roman"/>
      </w:rPr>
    </w:lvl>
    <w:lvl w:ilvl="3" w:tentative="0">
      <w:start w:val="0"/>
      <w:numFmt w:val="bullet"/>
      <w:lvlText w:val="•"/>
      <w:lvlJc w:val="left"/>
      <w:pPr>
        <w:ind w:left="3385" w:hanging="527"/>
      </w:pPr>
      <w:rPr>
        <w:rFonts w:hint="default" w:ascii="Times New Roman" w:hAnsi="Times New Roman" w:cs="Times New Roman"/>
      </w:rPr>
    </w:lvl>
    <w:lvl w:ilvl="4" w:tentative="0">
      <w:start w:val="0"/>
      <w:numFmt w:val="bullet"/>
      <w:lvlText w:val="•"/>
      <w:lvlJc w:val="left"/>
      <w:pPr>
        <w:ind w:left="4154" w:hanging="527"/>
      </w:pPr>
      <w:rPr>
        <w:rFonts w:hint="default" w:ascii="Times New Roman" w:hAnsi="Times New Roman" w:cs="Times New Roman"/>
      </w:rPr>
    </w:lvl>
    <w:lvl w:ilvl="5" w:tentative="0">
      <w:start w:val="0"/>
      <w:numFmt w:val="bullet"/>
      <w:lvlText w:val="•"/>
      <w:lvlJc w:val="left"/>
      <w:pPr>
        <w:ind w:left="4923" w:hanging="527"/>
      </w:pPr>
      <w:rPr>
        <w:rFonts w:hint="default" w:ascii="Times New Roman" w:hAnsi="Times New Roman" w:cs="Times New Roman"/>
      </w:rPr>
    </w:lvl>
    <w:lvl w:ilvl="6" w:tentative="0">
      <w:start w:val="0"/>
      <w:numFmt w:val="bullet"/>
      <w:lvlText w:val="•"/>
      <w:lvlJc w:val="left"/>
      <w:pPr>
        <w:ind w:left="5691" w:hanging="527"/>
      </w:pPr>
      <w:rPr>
        <w:rFonts w:hint="default" w:ascii="Times New Roman" w:hAnsi="Times New Roman" w:cs="Times New Roman"/>
      </w:rPr>
    </w:lvl>
    <w:lvl w:ilvl="7" w:tentative="0">
      <w:start w:val="0"/>
      <w:numFmt w:val="bullet"/>
      <w:lvlText w:val="•"/>
      <w:lvlJc w:val="left"/>
      <w:pPr>
        <w:ind w:left="6460" w:hanging="527"/>
      </w:pPr>
      <w:rPr>
        <w:rFonts w:hint="default" w:ascii="Times New Roman" w:hAnsi="Times New Roman" w:cs="Times New Roman"/>
      </w:rPr>
    </w:lvl>
    <w:lvl w:ilvl="8" w:tentative="0">
      <w:start w:val="0"/>
      <w:numFmt w:val="bullet"/>
      <w:lvlText w:val="•"/>
      <w:lvlJc w:val="left"/>
      <w:pPr>
        <w:ind w:left="7229" w:hanging="527"/>
      </w:pPr>
      <w:rPr>
        <w:rFonts w:hint="default" w:ascii="Times New Roman" w:hAnsi="Times New Roman" w:cs="Times New Roman"/>
      </w:rPr>
    </w:lvl>
  </w:abstractNum>
  <w:abstractNum w:abstractNumId="106">
    <w:nsid w:val="74D848B8"/>
    <w:multiLevelType w:val="multilevel"/>
    <w:tmpl w:val="74D848B8"/>
    <w:lvl w:ilvl="0" w:tentative="0">
      <w:start w:val="15"/>
      <w:numFmt w:val="decimal"/>
      <w:lvlText w:val="%1"/>
      <w:lvlJc w:val="left"/>
      <w:pPr>
        <w:ind w:left="138" w:hanging="635"/>
      </w:pPr>
      <w:rPr>
        <w:rFonts w:hint="default" w:ascii="Times New Roman" w:hAnsi="Times New Roman" w:cs="Times New Roman"/>
      </w:rPr>
    </w:lvl>
    <w:lvl w:ilvl="1" w:tentative="0">
      <w:start w:val="8"/>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07">
    <w:nsid w:val="76B9E6F6"/>
    <w:multiLevelType w:val="multilevel"/>
    <w:tmpl w:val="76B9E6F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08">
    <w:nsid w:val="7722BF54"/>
    <w:multiLevelType w:val="multilevel"/>
    <w:tmpl w:val="7722BF54"/>
    <w:lvl w:ilvl="0" w:tentative="0">
      <w:start w:val="1"/>
      <w:numFmt w:val="decimal"/>
      <w:lvlText w:val="（%1）"/>
      <w:lvlJc w:val="left"/>
      <w:pPr>
        <w:ind w:left="1380"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09">
    <w:nsid w:val="78CA7CAE"/>
    <w:multiLevelType w:val="multilevel"/>
    <w:tmpl w:val="78CA7CAE"/>
    <w:lvl w:ilvl="0" w:tentative="0">
      <w:start w:val="24"/>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10">
    <w:nsid w:val="7AFB3C79"/>
    <w:multiLevelType w:val="multilevel"/>
    <w:tmpl w:val="7AFB3C79"/>
    <w:lvl w:ilvl="0" w:tentative="0">
      <w:start w:val="14"/>
      <w:numFmt w:val="decimal"/>
      <w:lvlText w:val="%1"/>
      <w:lvlJc w:val="left"/>
      <w:pPr>
        <w:ind w:left="783" w:hanging="663"/>
      </w:pPr>
      <w:rPr>
        <w:rFonts w:hint="default"/>
      </w:rPr>
    </w:lvl>
    <w:lvl w:ilvl="1" w:tentative="0">
      <w:start w:val="1"/>
      <w:numFmt w:val="decimal"/>
      <w:lvlText w:val="%1-%2"/>
      <w:lvlJc w:val="left"/>
      <w:pPr>
        <w:ind w:left="783" w:hanging="663"/>
      </w:pPr>
      <w:rPr>
        <w:rFonts w:hint="default" w:ascii="Bookman Old Style" w:hAnsi="Bookman Old Style" w:eastAsia="Bookman Old Style" w:cs="Bookman Old Style"/>
        <w:spacing w:val="-2"/>
        <w:w w:val="90"/>
        <w:sz w:val="24"/>
        <w:szCs w:val="24"/>
      </w:rPr>
    </w:lvl>
    <w:lvl w:ilvl="2" w:tentative="0">
      <w:start w:val="0"/>
      <w:numFmt w:val="bullet"/>
      <w:lvlText w:val="•"/>
      <w:lvlJc w:val="left"/>
      <w:pPr>
        <w:ind w:left="2485" w:hanging="663"/>
      </w:pPr>
      <w:rPr>
        <w:rFonts w:hint="default"/>
      </w:rPr>
    </w:lvl>
    <w:lvl w:ilvl="3" w:tentative="0">
      <w:start w:val="0"/>
      <w:numFmt w:val="bullet"/>
      <w:lvlText w:val="•"/>
      <w:lvlJc w:val="left"/>
      <w:pPr>
        <w:ind w:left="3338" w:hanging="663"/>
      </w:pPr>
      <w:rPr>
        <w:rFonts w:hint="default"/>
      </w:rPr>
    </w:lvl>
    <w:lvl w:ilvl="4" w:tentative="0">
      <w:start w:val="0"/>
      <w:numFmt w:val="bullet"/>
      <w:lvlText w:val="•"/>
      <w:lvlJc w:val="left"/>
      <w:pPr>
        <w:ind w:left="4190" w:hanging="663"/>
      </w:pPr>
      <w:rPr>
        <w:rFonts w:hint="default"/>
      </w:rPr>
    </w:lvl>
    <w:lvl w:ilvl="5" w:tentative="0">
      <w:start w:val="0"/>
      <w:numFmt w:val="bullet"/>
      <w:lvlText w:val="•"/>
      <w:lvlJc w:val="left"/>
      <w:pPr>
        <w:ind w:left="5043" w:hanging="663"/>
      </w:pPr>
      <w:rPr>
        <w:rFonts w:hint="default"/>
      </w:rPr>
    </w:lvl>
    <w:lvl w:ilvl="6" w:tentative="0">
      <w:start w:val="0"/>
      <w:numFmt w:val="bullet"/>
      <w:lvlText w:val="•"/>
      <w:lvlJc w:val="left"/>
      <w:pPr>
        <w:ind w:left="5896" w:hanging="663"/>
      </w:pPr>
      <w:rPr>
        <w:rFonts w:hint="default"/>
      </w:rPr>
    </w:lvl>
    <w:lvl w:ilvl="7" w:tentative="0">
      <w:start w:val="0"/>
      <w:numFmt w:val="bullet"/>
      <w:lvlText w:val="•"/>
      <w:lvlJc w:val="left"/>
      <w:pPr>
        <w:ind w:left="6748" w:hanging="663"/>
      </w:pPr>
      <w:rPr>
        <w:rFonts w:hint="default"/>
      </w:rPr>
    </w:lvl>
    <w:lvl w:ilvl="8" w:tentative="0">
      <w:start w:val="0"/>
      <w:numFmt w:val="bullet"/>
      <w:lvlText w:val="•"/>
      <w:lvlJc w:val="left"/>
      <w:pPr>
        <w:ind w:left="7601" w:hanging="663"/>
      </w:pPr>
      <w:rPr>
        <w:rFonts w:hint="default"/>
      </w:rPr>
    </w:lvl>
  </w:abstractNum>
  <w:abstractNum w:abstractNumId="111">
    <w:nsid w:val="7DA15B08"/>
    <w:multiLevelType w:val="multilevel"/>
    <w:tmpl w:val="7DA15B08"/>
    <w:lvl w:ilvl="0" w:tentative="0">
      <w:start w:val="9"/>
      <w:numFmt w:val="decimal"/>
      <w:lvlText w:val="%1"/>
      <w:lvlJc w:val="left"/>
      <w:pPr>
        <w:ind w:left="138" w:hanging="579"/>
      </w:pPr>
      <w:rPr>
        <w:rFonts w:hint="default" w:ascii="Times New Roman" w:hAnsi="Times New Roman" w:cs="Times New Roman"/>
      </w:rPr>
    </w:lvl>
    <w:lvl w:ilvl="1" w:tentative="0">
      <w:start w:val="6"/>
      <w:numFmt w:val="decimal"/>
      <w:lvlText w:val="%1.%2"/>
      <w:lvlJc w:val="left"/>
      <w:pPr>
        <w:ind w:left="138" w:hanging="579"/>
      </w:pPr>
      <w:rPr>
        <w:rFonts w:hint="default" w:ascii="Times New Roman" w:hAnsi="Times New Roman" w:cs="Times New Roman"/>
      </w:rPr>
    </w:lvl>
    <w:lvl w:ilvl="2" w:tentative="0">
      <w:start w:val="1"/>
      <w:numFmt w:val="decimal"/>
      <w:lvlText w:val="%1.%2.%3"/>
      <w:lvlJc w:val="left"/>
      <w:pPr>
        <w:ind w:left="138" w:hanging="579"/>
      </w:pPr>
      <w:rPr>
        <w:rFonts w:hint="eastAsia" w:ascii="宋体" w:hAnsi="宋体" w:eastAsia="宋体" w:cs="宋体"/>
        <w:sz w:val="21"/>
        <w:szCs w:val="21"/>
      </w:rPr>
    </w:lvl>
    <w:lvl w:ilvl="3" w:tentative="0">
      <w:start w:val="0"/>
      <w:numFmt w:val="bullet"/>
      <w:lvlText w:val="•"/>
      <w:lvlJc w:val="left"/>
      <w:pPr>
        <w:ind w:left="2727" w:hanging="579"/>
      </w:pPr>
      <w:rPr>
        <w:rFonts w:hint="default" w:ascii="Times New Roman" w:hAnsi="Times New Roman" w:cs="Times New Roman"/>
      </w:rPr>
    </w:lvl>
    <w:lvl w:ilvl="4" w:tentative="0">
      <w:start w:val="0"/>
      <w:numFmt w:val="bullet"/>
      <w:lvlText w:val="•"/>
      <w:lvlJc w:val="left"/>
      <w:pPr>
        <w:ind w:left="3590" w:hanging="579"/>
      </w:pPr>
      <w:rPr>
        <w:rFonts w:hint="default" w:ascii="Times New Roman" w:hAnsi="Times New Roman" w:cs="Times New Roman"/>
      </w:rPr>
    </w:lvl>
    <w:lvl w:ilvl="5" w:tentative="0">
      <w:start w:val="0"/>
      <w:numFmt w:val="bullet"/>
      <w:lvlText w:val="•"/>
      <w:lvlJc w:val="left"/>
      <w:pPr>
        <w:ind w:left="4453" w:hanging="579"/>
      </w:pPr>
      <w:rPr>
        <w:rFonts w:hint="default" w:ascii="Times New Roman" w:hAnsi="Times New Roman" w:cs="Times New Roman"/>
      </w:rPr>
    </w:lvl>
    <w:lvl w:ilvl="6" w:tentative="0">
      <w:start w:val="0"/>
      <w:numFmt w:val="bullet"/>
      <w:lvlText w:val="•"/>
      <w:lvlJc w:val="left"/>
      <w:pPr>
        <w:ind w:left="5315" w:hanging="579"/>
      </w:pPr>
      <w:rPr>
        <w:rFonts w:hint="default" w:ascii="Times New Roman" w:hAnsi="Times New Roman" w:cs="Times New Roman"/>
      </w:rPr>
    </w:lvl>
    <w:lvl w:ilvl="7" w:tentative="0">
      <w:start w:val="0"/>
      <w:numFmt w:val="bullet"/>
      <w:lvlText w:val="•"/>
      <w:lvlJc w:val="left"/>
      <w:pPr>
        <w:ind w:left="6178" w:hanging="579"/>
      </w:pPr>
      <w:rPr>
        <w:rFonts w:hint="default" w:ascii="Times New Roman" w:hAnsi="Times New Roman" w:cs="Times New Roman"/>
      </w:rPr>
    </w:lvl>
    <w:lvl w:ilvl="8" w:tentative="0">
      <w:start w:val="0"/>
      <w:numFmt w:val="bullet"/>
      <w:lvlText w:val="•"/>
      <w:lvlJc w:val="left"/>
      <w:pPr>
        <w:ind w:left="7041" w:hanging="579"/>
      </w:pPr>
      <w:rPr>
        <w:rFonts w:hint="default" w:ascii="Times New Roman" w:hAnsi="Times New Roman" w:cs="Times New Roman"/>
      </w:rPr>
    </w:lvl>
  </w:abstractNum>
  <w:abstractNum w:abstractNumId="112">
    <w:nsid w:val="7F721D24"/>
    <w:multiLevelType w:val="multilevel"/>
    <w:tmpl w:val="7F721D24"/>
    <w:lvl w:ilvl="0" w:tentative="0">
      <w:start w:val="1"/>
      <w:numFmt w:val="decimal"/>
      <w:pStyle w:val="4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4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4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3">
    <w:nsid w:val="7FC11EB9"/>
    <w:multiLevelType w:val="multilevel"/>
    <w:tmpl w:val="7FC11EB9"/>
    <w:lvl w:ilvl="0" w:tentative="0">
      <w:start w:val="19"/>
      <w:numFmt w:val="decimal"/>
      <w:lvlText w:val="%1"/>
      <w:lvlJc w:val="left"/>
      <w:pPr>
        <w:ind w:left="1192" w:hanging="635"/>
      </w:pPr>
      <w:rPr>
        <w:rFonts w:hint="default" w:ascii="Times New Roman" w:hAnsi="Times New Roman" w:cs="Times New Roman"/>
      </w:rPr>
    </w:lvl>
    <w:lvl w:ilvl="1" w:tentative="0">
      <w:start w:val="2"/>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num w:numId="1">
    <w:abstractNumId w:val="112"/>
  </w:num>
  <w:num w:numId="2">
    <w:abstractNumId w:val="74"/>
  </w:num>
  <w:num w:numId="3">
    <w:abstractNumId w:val="78"/>
  </w:num>
  <w:num w:numId="4">
    <w:abstractNumId w:val="88"/>
  </w:num>
  <w:num w:numId="5">
    <w:abstractNumId w:val="76"/>
  </w:num>
  <w:num w:numId="6">
    <w:abstractNumId w:val="89"/>
  </w:num>
  <w:num w:numId="7">
    <w:abstractNumId w:val="97"/>
  </w:num>
  <w:num w:numId="8">
    <w:abstractNumId w:val="80"/>
  </w:num>
  <w:num w:numId="9">
    <w:abstractNumId w:val="47"/>
  </w:num>
  <w:num w:numId="10">
    <w:abstractNumId w:val="17"/>
  </w:num>
  <w:num w:numId="11">
    <w:abstractNumId w:val="43"/>
  </w:num>
  <w:num w:numId="12">
    <w:abstractNumId w:val="58"/>
  </w:num>
  <w:num w:numId="13">
    <w:abstractNumId w:val="11"/>
  </w:num>
  <w:num w:numId="14">
    <w:abstractNumId w:val="16"/>
  </w:num>
  <w:num w:numId="15">
    <w:abstractNumId w:val="6"/>
  </w:num>
  <w:num w:numId="16">
    <w:abstractNumId w:val="42"/>
  </w:num>
  <w:num w:numId="17">
    <w:abstractNumId w:val="15"/>
  </w:num>
  <w:num w:numId="18">
    <w:abstractNumId w:val="55"/>
  </w:num>
  <w:num w:numId="19">
    <w:abstractNumId w:val="33"/>
  </w:num>
  <w:num w:numId="20">
    <w:abstractNumId w:val="48"/>
  </w:num>
  <w:num w:numId="21">
    <w:abstractNumId w:val="1"/>
  </w:num>
  <w:num w:numId="22">
    <w:abstractNumId w:val="32"/>
  </w:num>
  <w:num w:numId="23">
    <w:abstractNumId w:val="28"/>
  </w:num>
  <w:num w:numId="24">
    <w:abstractNumId w:val="21"/>
  </w:num>
  <w:num w:numId="25">
    <w:abstractNumId w:val="86"/>
  </w:num>
  <w:num w:numId="26">
    <w:abstractNumId w:val="26"/>
  </w:num>
  <w:num w:numId="27">
    <w:abstractNumId w:val="31"/>
  </w:num>
  <w:num w:numId="28">
    <w:abstractNumId w:val="14"/>
  </w:num>
  <w:num w:numId="29">
    <w:abstractNumId w:val="7"/>
  </w:num>
  <w:num w:numId="30">
    <w:abstractNumId w:val="87"/>
  </w:num>
  <w:num w:numId="31">
    <w:abstractNumId w:val="51"/>
  </w:num>
  <w:num w:numId="32">
    <w:abstractNumId w:val="77"/>
  </w:num>
  <w:num w:numId="33">
    <w:abstractNumId w:val="70"/>
  </w:num>
  <w:num w:numId="34">
    <w:abstractNumId w:val="39"/>
  </w:num>
  <w:num w:numId="35">
    <w:abstractNumId w:val="111"/>
  </w:num>
  <w:num w:numId="36">
    <w:abstractNumId w:val="84"/>
  </w:num>
  <w:num w:numId="37">
    <w:abstractNumId w:val="34"/>
  </w:num>
  <w:num w:numId="38">
    <w:abstractNumId w:val="54"/>
  </w:num>
  <w:num w:numId="39">
    <w:abstractNumId w:val="98"/>
  </w:num>
  <w:num w:numId="40">
    <w:abstractNumId w:val="29"/>
  </w:num>
  <w:num w:numId="41">
    <w:abstractNumId w:val="92"/>
  </w:num>
  <w:num w:numId="42">
    <w:abstractNumId w:val="67"/>
  </w:num>
  <w:num w:numId="43">
    <w:abstractNumId w:val="27"/>
  </w:num>
  <w:num w:numId="44">
    <w:abstractNumId w:val="91"/>
  </w:num>
  <w:num w:numId="45">
    <w:abstractNumId w:val="85"/>
  </w:num>
  <w:num w:numId="46">
    <w:abstractNumId w:val="50"/>
  </w:num>
  <w:num w:numId="47">
    <w:abstractNumId w:val="99"/>
  </w:num>
  <w:num w:numId="48">
    <w:abstractNumId w:val="25"/>
  </w:num>
  <w:num w:numId="49">
    <w:abstractNumId w:val="71"/>
  </w:num>
  <w:num w:numId="50">
    <w:abstractNumId w:val="68"/>
  </w:num>
  <w:num w:numId="51">
    <w:abstractNumId w:val="9"/>
  </w:num>
  <w:num w:numId="52">
    <w:abstractNumId w:val="100"/>
  </w:num>
  <w:num w:numId="53">
    <w:abstractNumId w:val="45"/>
  </w:num>
  <w:num w:numId="54">
    <w:abstractNumId w:val="38"/>
  </w:num>
  <w:num w:numId="55">
    <w:abstractNumId w:val="102"/>
  </w:num>
  <w:num w:numId="56">
    <w:abstractNumId w:val="65"/>
  </w:num>
  <w:num w:numId="57">
    <w:abstractNumId w:val="19"/>
  </w:num>
  <w:num w:numId="58">
    <w:abstractNumId w:val="72"/>
  </w:num>
  <w:num w:numId="59">
    <w:abstractNumId w:val="40"/>
  </w:num>
  <w:num w:numId="60">
    <w:abstractNumId w:val="0"/>
  </w:num>
  <w:num w:numId="61">
    <w:abstractNumId w:val="59"/>
  </w:num>
  <w:num w:numId="62">
    <w:abstractNumId w:val="106"/>
  </w:num>
  <w:num w:numId="63">
    <w:abstractNumId w:val="53"/>
  </w:num>
  <w:num w:numId="64">
    <w:abstractNumId w:val="10"/>
  </w:num>
  <w:num w:numId="65">
    <w:abstractNumId w:val="24"/>
  </w:num>
  <w:num w:numId="66">
    <w:abstractNumId w:val="30"/>
  </w:num>
  <w:num w:numId="67">
    <w:abstractNumId w:val="12"/>
  </w:num>
  <w:num w:numId="68">
    <w:abstractNumId w:val="13"/>
  </w:num>
  <w:num w:numId="69">
    <w:abstractNumId w:val="60"/>
  </w:num>
  <w:num w:numId="70">
    <w:abstractNumId w:val="18"/>
  </w:num>
  <w:num w:numId="71">
    <w:abstractNumId w:val="75"/>
  </w:num>
  <w:num w:numId="72">
    <w:abstractNumId w:val="73"/>
  </w:num>
  <w:num w:numId="73">
    <w:abstractNumId w:val="46"/>
  </w:num>
  <w:num w:numId="74">
    <w:abstractNumId w:val="93"/>
  </w:num>
  <w:num w:numId="75">
    <w:abstractNumId w:val="52"/>
  </w:num>
  <w:num w:numId="76">
    <w:abstractNumId w:val="62"/>
  </w:num>
  <w:num w:numId="77">
    <w:abstractNumId w:val="49"/>
  </w:num>
  <w:num w:numId="78">
    <w:abstractNumId w:val="22"/>
  </w:num>
  <w:num w:numId="79">
    <w:abstractNumId w:val="36"/>
  </w:num>
  <w:num w:numId="80">
    <w:abstractNumId w:val="94"/>
  </w:num>
  <w:num w:numId="81">
    <w:abstractNumId w:val="61"/>
  </w:num>
  <w:num w:numId="82">
    <w:abstractNumId w:val="35"/>
  </w:num>
  <w:num w:numId="83">
    <w:abstractNumId w:val="20"/>
  </w:num>
  <w:num w:numId="84">
    <w:abstractNumId w:val="82"/>
  </w:num>
  <w:num w:numId="85">
    <w:abstractNumId w:val="8"/>
  </w:num>
  <w:num w:numId="86">
    <w:abstractNumId w:val="101"/>
  </w:num>
  <w:num w:numId="87">
    <w:abstractNumId w:val="103"/>
  </w:num>
  <w:num w:numId="88">
    <w:abstractNumId w:val="113"/>
  </w:num>
  <w:num w:numId="89">
    <w:abstractNumId w:val="56"/>
  </w:num>
  <w:num w:numId="90">
    <w:abstractNumId w:val="4"/>
  </w:num>
  <w:num w:numId="91">
    <w:abstractNumId w:val="69"/>
  </w:num>
  <w:num w:numId="92">
    <w:abstractNumId w:val="81"/>
  </w:num>
  <w:num w:numId="93">
    <w:abstractNumId w:val="23"/>
  </w:num>
  <w:num w:numId="94">
    <w:abstractNumId w:val="107"/>
  </w:num>
  <w:num w:numId="95">
    <w:abstractNumId w:val="90"/>
  </w:num>
  <w:num w:numId="96">
    <w:abstractNumId w:val="83"/>
  </w:num>
  <w:num w:numId="97">
    <w:abstractNumId w:val="63"/>
  </w:num>
  <w:num w:numId="98">
    <w:abstractNumId w:val="66"/>
  </w:num>
  <w:num w:numId="99">
    <w:abstractNumId w:val="44"/>
  </w:num>
  <w:num w:numId="100">
    <w:abstractNumId w:val="104"/>
  </w:num>
  <w:num w:numId="101">
    <w:abstractNumId w:val="5"/>
  </w:num>
  <w:num w:numId="102">
    <w:abstractNumId w:val="2"/>
  </w:num>
  <w:num w:numId="103">
    <w:abstractNumId w:val="37"/>
  </w:num>
  <w:num w:numId="104">
    <w:abstractNumId w:val="108"/>
  </w:num>
  <w:num w:numId="105">
    <w:abstractNumId w:val="105"/>
  </w:num>
  <w:num w:numId="106">
    <w:abstractNumId w:val="79"/>
  </w:num>
  <w:num w:numId="107">
    <w:abstractNumId w:val="41"/>
  </w:num>
  <w:num w:numId="108">
    <w:abstractNumId w:val="3"/>
  </w:num>
  <w:num w:numId="109">
    <w:abstractNumId w:val="64"/>
  </w:num>
  <w:num w:numId="110">
    <w:abstractNumId w:val="109"/>
  </w:num>
  <w:num w:numId="111">
    <w:abstractNumId w:val="96"/>
  </w:num>
  <w:num w:numId="112">
    <w:abstractNumId w:val="95"/>
  </w:num>
  <w:num w:numId="113">
    <w:abstractNumId w:val="57"/>
  </w:num>
  <w:num w:numId="114">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3D09"/>
    <w:rsid w:val="0000401A"/>
    <w:rsid w:val="000314FC"/>
    <w:rsid w:val="00035A60"/>
    <w:rsid w:val="00036E01"/>
    <w:rsid w:val="00051D69"/>
    <w:rsid w:val="00077E9F"/>
    <w:rsid w:val="0008333F"/>
    <w:rsid w:val="00096C75"/>
    <w:rsid w:val="000F37CE"/>
    <w:rsid w:val="0014247B"/>
    <w:rsid w:val="001435F0"/>
    <w:rsid w:val="0014688B"/>
    <w:rsid w:val="00156486"/>
    <w:rsid w:val="001645FB"/>
    <w:rsid w:val="00174B84"/>
    <w:rsid w:val="00190EA2"/>
    <w:rsid w:val="0019552F"/>
    <w:rsid w:val="001958FA"/>
    <w:rsid w:val="001A4F26"/>
    <w:rsid w:val="001C5C66"/>
    <w:rsid w:val="001C7E67"/>
    <w:rsid w:val="001C7F3A"/>
    <w:rsid w:val="001D082E"/>
    <w:rsid w:val="001D7168"/>
    <w:rsid w:val="00226048"/>
    <w:rsid w:val="002577B3"/>
    <w:rsid w:val="00272F4C"/>
    <w:rsid w:val="002750EF"/>
    <w:rsid w:val="00275D88"/>
    <w:rsid w:val="002B68C2"/>
    <w:rsid w:val="002E4327"/>
    <w:rsid w:val="003051F6"/>
    <w:rsid w:val="00321232"/>
    <w:rsid w:val="00367CCD"/>
    <w:rsid w:val="00372EAB"/>
    <w:rsid w:val="00375B25"/>
    <w:rsid w:val="00375F69"/>
    <w:rsid w:val="00394E87"/>
    <w:rsid w:val="003C66CD"/>
    <w:rsid w:val="003D7E1C"/>
    <w:rsid w:val="003E002D"/>
    <w:rsid w:val="003E3C1E"/>
    <w:rsid w:val="003E65AD"/>
    <w:rsid w:val="00410A55"/>
    <w:rsid w:val="00414C7A"/>
    <w:rsid w:val="004201AC"/>
    <w:rsid w:val="00442F7B"/>
    <w:rsid w:val="00453BC9"/>
    <w:rsid w:val="00456C74"/>
    <w:rsid w:val="0048444F"/>
    <w:rsid w:val="004B6691"/>
    <w:rsid w:val="004D2CE1"/>
    <w:rsid w:val="00530EC4"/>
    <w:rsid w:val="005423F8"/>
    <w:rsid w:val="005719AA"/>
    <w:rsid w:val="00576D13"/>
    <w:rsid w:val="005E3976"/>
    <w:rsid w:val="005E73C2"/>
    <w:rsid w:val="00634EAF"/>
    <w:rsid w:val="00635A46"/>
    <w:rsid w:val="00695EC5"/>
    <w:rsid w:val="006A6639"/>
    <w:rsid w:val="00713BF4"/>
    <w:rsid w:val="007630E4"/>
    <w:rsid w:val="007774BD"/>
    <w:rsid w:val="00791F85"/>
    <w:rsid w:val="007A68A2"/>
    <w:rsid w:val="007B7E15"/>
    <w:rsid w:val="007D5FB7"/>
    <w:rsid w:val="007F6BBF"/>
    <w:rsid w:val="008755BC"/>
    <w:rsid w:val="00893E49"/>
    <w:rsid w:val="008A1DE9"/>
    <w:rsid w:val="008C028C"/>
    <w:rsid w:val="008C2DB2"/>
    <w:rsid w:val="0090099D"/>
    <w:rsid w:val="00925132"/>
    <w:rsid w:val="00963A28"/>
    <w:rsid w:val="009677B3"/>
    <w:rsid w:val="00982B97"/>
    <w:rsid w:val="00982D03"/>
    <w:rsid w:val="00984D69"/>
    <w:rsid w:val="0098737E"/>
    <w:rsid w:val="009A30D4"/>
    <w:rsid w:val="009B5144"/>
    <w:rsid w:val="009F1A6B"/>
    <w:rsid w:val="00A131C6"/>
    <w:rsid w:val="00A203A9"/>
    <w:rsid w:val="00A71093"/>
    <w:rsid w:val="00AA3E44"/>
    <w:rsid w:val="00AB00E7"/>
    <w:rsid w:val="00AB06C4"/>
    <w:rsid w:val="00AD29CD"/>
    <w:rsid w:val="00AE4D56"/>
    <w:rsid w:val="00B0016A"/>
    <w:rsid w:val="00B13595"/>
    <w:rsid w:val="00B15932"/>
    <w:rsid w:val="00B4177A"/>
    <w:rsid w:val="00B54B24"/>
    <w:rsid w:val="00B66B7C"/>
    <w:rsid w:val="00B80DCC"/>
    <w:rsid w:val="00B82C18"/>
    <w:rsid w:val="00BC5505"/>
    <w:rsid w:val="00BD4412"/>
    <w:rsid w:val="00C1094A"/>
    <w:rsid w:val="00C17B57"/>
    <w:rsid w:val="00C244C3"/>
    <w:rsid w:val="00C2672C"/>
    <w:rsid w:val="00C37DC4"/>
    <w:rsid w:val="00C5614E"/>
    <w:rsid w:val="00C664B0"/>
    <w:rsid w:val="00C91582"/>
    <w:rsid w:val="00C94E7D"/>
    <w:rsid w:val="00CE0950"/>
    <w:rsid w:val="00D00AA6"/>
    <w:rsid w:val="00D20474"/>
    <w:rsid w:val="00D47EA4"/>
    <w:rsid w:val="00DA6666"/>
    <w:rsid w:val="00DC5A65"/>
    <w:rsid w:val="00DE632D"/>
    <w:rsid w:val="00DF51AB"/>
    <w:rsid w:val="00E54FDF"/>
    <w:rsid w:val="00E819A0"/>
    <w:rsid w:val="00E82A68"/>
    <w:rsid w:val="00E9265D"/>
    <w:rsid w:val="00E96CBE"/>
    <w:rsid w:val="00EA34FA"/>
    <w:rsid w:val="00EE6BBF"/>
    <w:rsid w:val="00EE6F8D"/>
    <w:rsid w:val="00EF1D3E"/>
    <w:rsid w:val="00F1249C"/>
    <w:rsid w:val="00F178BC"/>
    <w:rsid w:val="00F32384"/>
    <w:rsid w:val="00F536A7"/>
    <w:rsid w:val="00F5404F"/>
    <w:rsid w:val="00F67360"/>
    <w:rsid w:val="00F867CE"/>
    <w:rsid w:val="00F93B86"/>
    <w:rsid w:val="00FC43BE"/>
    <w:rsid w:val="00FF3330"/>
    <w:rsid w:val="027F053A"/>
    <w:rsid w:val="029318A7"/>
    <w:rsid w:val="02F72839"/>
    <w:rsid w:val="03DA5326"/>
    <w:rsid w:val="04163524"/>
    <w:rsid w:val="04B40DA3"/>
    <w:rsid w:val="04E83D09"/>
    <w:rsid w:val="06F7481B"/>
    <w:rsid w:val="076B1A4D"/>
    <w:rsid w:val="08D6125C"/>
    <w:rsid w:val="08F411D1"/>
    <w:rsid w:val="0BFC5B28"/>
    <w:rsid w:val="0C65693B"/>
    <w:rsid w:val="0CEC69FD"/>
    <w:rsid w:val="0D944007"/>
    <w:rsid w:val="0DB51B0A"/>
    <w:rsid w:val="0DC91BA1"/>
    <w:rsid w:val="0DDE503D"/>
    <w:rsid w:val="0ED06476"/>
    <w:rsid w:val="0F1B4572"/>
    <w:rsid w:val="101646BB"/>
    <w:rsid w:val="10DF74C3"/>
    <w:rsid w:val="12803F5D"/>
    <w:rsid w:val="13422C3F"/>
    <w:rsid w:val="1598723F"/>
    <w:rsid w:val="15B336C6"/>
    <w:rsid w:val="17751064"/>
    <w:rsid w:val="1AD140E5"/>
    <w:rsid w:val="1AF24072"/>
    <w:rsid w:val="1C6270A7"/>
    <w:rsid w:val="1D4D541F"/>
    <w:rsid w:val="1D7C29A7"/>
    <w:rsid w:val="1E3D7F90"/>
    <w:rsid w:val="1FEF4AAA"/>
    <w:rsid w:val="1FFA19FB"/>
    <w:rsid w:val="20C3656F"/>
    <w:rsid w:val="2238756A"/>
    <w:rsid w:val="2501143E"/>
    <w:rsid w:val="2510660B"/>
    <w:rsid w:val="25BF55E0"/>
    <w:rsid w:val="269C5F3C"/>
    <w:rsid w:val="27E31F86"/>
    <w:rsid w:val="27FD3E74"/>
    <w:rsid w:val="285E7A3F"/>
    <w:rsid w:val="28714795"/>
    <w:rsid w:val="297C1283"/>
    <w:rsid w:val="29B537BB"/>
    <w:rsid w:val="2AA41887"/>
    <w:rsid w:val="2AB91087"/>
    <w:rsid w:val="2AE31934"/>
    <w:rsid w:val="2B4C2CA9"/>
    <w:rsid w:val="2B656CF0"/>
    <w:rsid w:val="2B726BC3"/>
    <w:rsid w:val="2BF123FB"/>
    <w:rsid w:val="2BFB6125"/>
    <w:rsid w:val="2C434908"/>
    <w:rsid w:val="2D527431"/>
    <w:rsid w:val="2E315555"/>
    <w:rsid w:val="2E4554A8"/>
    <w:rsid w:val="2EF67058"/>
    <w:rsid w:val="2F9B767D"/>
    <w:rsid w:val="30065498"/>
    <w:rsid w:val="303E4018"/>
    <w:rsid w:val="30FF5E30"/>
    <w:rsid w:val="310504C7"/>
    <w:rsid w:val="34B00AE1"/>
    <w:rsid w:val="356451FB"/>
    <w:rsid w:val="36131E46"/>
    <w:rsid w:val="36316829"/>
    <w:rsid w:val="36DD6076"/>
    <w:rsid w:val="37837863"/>
    <w:rsid w:val="37A563B5"/>
    <w:rsid w:val="37DB11F0"/>
    <w:rsid w:val="394A4960"/>
    <w:rsid w:val="395A73A7"/>
    <w:rsid w:val="3A25644F"/>
    <w:rsid w:val="3A711648"/>
    <w:rsid w:val="3AAC7DB3"/>
    <w:rsid w:val="3AC3407B"/>
    <w:rsid w:val="3AC85F8D"/>
    <w:rsid w:val="3ACF2F19"/>
    <w:rsid w:val="3C0658C4"/>
    <w:rsid w:val="3CF97ED9"/>
    <w:rsid w:val="3D075155"/>
    <w:rsid w:val="3D5E6715"/>
    <w:rsid w:val="3DCE3FC8"/>
    <w:rsid w:val="3E132A18"/>
    <w:rsid w:val="3F520728"/>
    <w:rsid w:val="41A14C22"/>
    <w:rsid w:val="430504BB"/>
    <w:rsid w:val="44CF08DC"/>
    <w:rsid w:val="44FB7528"/>
    <w:rsid w:val="467E63B9"/>
    <w:rsid w:val="471B2E23"/>
    <w:rsid w:val="474A026E"/>
    <w:rsid w:val="47993A70"/>
    <w:rsid w:val="47D012B2"/>
    <w:rsid w:val="47E91332"/>
    <w:rsid w:val="49143367"/>
    <w:rsid w:val="49210045"/>
    <w:rsid w:val="4D762325"/>
    <w:rsid w:val="4EE65340"/>
    <w:rsid w:val="4FE30EAA"/>
    <w:rsid w:val="5007408A"/>
    <w:rsid w:val="50D62418"/>
    <w:rsid w:val="50F379F1"/>
    <w:rsid w:val="5127582E"/>
    <w:rsid w:val="519C3AF4"/>
    <w:rsid w:val="525B03DF"/>
    <w:rsid w:val="56411C01"/>
    <w:rsid w:val="56B5436D"/>
    <w:rsid w:val="56B92C01"/>
    <w:rsid w:val="56F139CF"/>
    <w:rsid w:val="57233333"/>
    <w:rsid w:val="57684BEF"/>
    <w:rsid w:val="578576D8"/>
    <w:rsid w:val="58226E7A"/>
    <w:rsid w:val="58AD62DC"/>
    <w:rsid w:val="596F014A"/>
    <w:rsid w:val="5BC0120D"/>
    <w:rsid w:val="5BEC7E39"/>
    <w:rsid w:val="5C013777"/>
    <w:rsid w:val="5DFA101E"/>
    <w:rsid w:val="5E4075F0"/>
    <w:rsid w:val="5EDC1B41"/>
    <w:rsid w:val="5EED0337"/>
    <w:rsid w:val="5EF5172E"/>
    <w:rsid w:val="614F4882"/>
    <w:rsid w:val="63FB10EA"/>
    <w:rsid w:val="642955F4"/>
    <w:rsid w:val="64980BA0"/>
    <w:rsid w:val="655C3A62"/>
    <w:rsid w:val="65B210EB"/>
    <w:rsid w:val="661C7C71"/>
    <w:rsid w:val="67DA10D3"/>
    <w:rsid w:val="68B95A31"/>
    <w:rsid w:val="69C422E4"/>
    <w:rsid w:val="6A474497"/>
    <w:rsid w:val="6AC019ED"/>
    <w:rsid w:val="6B0708C2"/>
    <w:rsid w:val="6B080EC1"/>
    <w:rsid w:val="6B182EE1"/>
    <w:rsid w:val="6B954971"/>
    <w:rsid w:val="6BCB2B18"/>
    <w:rsid w:val="6E351497"/>
    <w:rsid w:val="6ECA6962"/>
    <w:rsid w:val="70590CE2"/>
    <w:rsid w:val="709307CE"/>
    <w:rsid w:val="70C42B96"/>
    <w:rsid w:val="71445844"/>
    <w:rsid w:val="71A241B2"/>
    <w:rsid w:val="71D22C15"/>
    <w:rsid w:val="7229718A"/>
    <w:rsid w:val="732D4DF7"/>
    <w:rsid w:val="73340A16"/>
    <w:rsid w:val="7434745E"/>
    <w:rsid w:val="747C7B6E"/>
    <w:rsid w:val="75B4609B"/>
    <w:rsid w:val="75B774DA"/>
    <w:rsid w:val="76451900"/>
    <w:rsid w:val="771A7461"/>
    <w:rsid w:val="799853B0"/>
    <w:rsid w:val="79A6222E"/>
    <w:rsid w:val="7A03125C"/>
    <w:rsid w:val="7A310B25"/>
    <w:rsid w:val="7A751442"/>
    <w:rsid w:val="7AD90E16"/>
    <w:rsid w:val="7C850151"/>
    <w:rsid w:val="7DD71B6B"/>
    <w:rsid w:val="7F2449EA"/>
    <w:rsid w:val="7F59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paragraph" w:styleId="5">
    <w:name w:val="heading 3"/>
    <w:basedOn w:val="1"/>
    <w:next w:val="1"/>
    <w:qFormat/>
    <w:uiPriority w:val="1"/>
    <w:pPr>
      <w:spacing w:before="14"/>
      <w:jc w:val="center"/>
      <w:outlineLvl w:val="2"/>
    </w:pPr>
    <w:rPr>
      <w:sz w:val="28"/>
      <w:szCs w:val="28"/>
    </w:rPr>
  </w:style>
  <w:style w:type="paragraph" w:styleId="6">
    <w:name w:val="heading 4"/>
    <w:basedOn w:val="1"/>
    <w:next w:val="1"/>
    <w:qFormat/>
    <w:uiPriority w:val="1"/>
    <w:pPr>
      <w:spacing w:before="14"/>
      <w:ind w:left="208"/>
      <w:outlineLvl w:val="3"/>
    </w:pPr>
    <w:rPr>
      <w:i/>
      <w:sz w:val="25"/>
      <w:szCs w:val="25"/>
    </w:rPr>
  </w:style>
  <w:style w:type="paragraph" w:styleId="7">
    <w:name w:val="heading 5"/>
    <w:basedOn w:val="1"/>
    <w:next w:val="1"/>
    <w:link w:val="51"/>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54"/>
    <w:qFormat/>
    <w:uiPriority w:val="99"/>
    <w:pPr>
      <w:tabs>
        <w:tab w:val="center" w:pos="4153"/>
        <w:tab w:val="right" w:pos="8306"/>
      </w:tabs>
      <w:snapToGrid w:val="0"/>
    </w:pPr>
    <w:rPr>
      <w:sz w:val="18"/>
      <w:szCs w:val="18"/>
    </w:rPr>
  </w:style>
  <w:style w:type="paragraph" w:styleId="8">
    <w:name w:val="toc 7"/>
    <w:basedOn w:val="1"/>
    <w:next w:val="1"/>
    <w:qFormat/>
    <w:uiPriority w:val="99"/>
    <w:pPr>
      <w:autoSpaceDE/>
      <w:autoSpaceDN/>
      <w:ind w:left="2520" w:leftChars="1200"/>
      <w:jc w:val="both"/>
    </w:pPr>
    <w:rPr>
      <w:rFonts w:ascii="Times New Roman" w:hAnsi="Times New Roman" w:cs="Times New Roman"/>
      <w:kern w:val="2"/>
      <w:sz w:val="21"/>
      <w:szCs w:val="24"/>
      <w:lang w:eastAsia="zh-CN"/>
    </w:rPr>
  </w:style>
  <w:style w:type="paragraph" w:styleId="9">
    <w:name w:val="Note Heading"/>
    <w:basedOn w:val="1"/>
    <w:next w:val="1"/>
    <w:link w:val="57"/>
    <w:qFormat/>
    <w:uiPriority w:val="0"/>
    <w:pPr>
      <w:adjustRightInd w:val="0"/>
    </w:pPr>
    <w:rPr>
      <w:rFonts w:ascii="..ì." w:hAnsi="Times New Roman" w:eastAsia="..ì." w:cs="Times New Roman"/>
      <w:sz w:val="24"/>
      <w:szCs w:val="20"/>
      <w:lang w:eastAsia="zh-CN"/>
    </w:rPr>
  </w:style>
  <w:style w:type="paragraph" w:styleId="10">
    <w:name w:val="Normal Indent"/>
    <w:basedOn w:val="1"/>
    <w:qFormat/>
    <w:uiPriority w:val="99"/>
    <w:pPr>
      <w:adjustRightInd w:val="0"/>
      <w:ind w:firstLine="420"/>
    </w:pPr>
    <w:rPr>
      <w:sz w:val="24"/>
    </w:rPr>
  </w:style>
  <w:style w:type="paragraph" w:styleId="11">
    <w:name w:val="annotation text"/>
    <w:basedOn w:val="1"/>
    <w:link w:val="49"/>
    <w:qFormat/>
    <w:uiPriority w:val="99"/>
  </w:style>
  <w:style w:type="paragraph" w:styleId="12">
    <w:name w:val="Body Text"/>
    <w:basedOn w:val="1"/>
    <w:qFormat/>
    <w:uiPriority w:val="1"/>
    <w:rPr>
      <w:sz w:val="24"/>
      <w:szCs w:val="24"/>
    </w:rPr>
  </w:style>
  <w:style w:type="paragraph" w:styleId="13">
    <w:name w:val="Body Text Indent"/>
    <w:basedOn w:val="1"/>
    <w:qFormat/>
    <w:uiPriority w:val="99"/>
    <w:pPr>
      <w:spacing w:line="360" w:lineRule="auto"/>
      <w:ind w:firstLine="570"/>
    </w:pPr>
    <w:rPr>
      <w:sz w:val="24"/>
    </w:rPr>
  </w:style>
  <w:style w:type="paragraph" w:styleId="14">
    <w:name w:val="index 4"/>
    <w:basedOn w:val="1"/>
    <w:next w:val="1"/>
    <w:qFormat/>
    <w:uiPriority w:val="0"/>
    <w:pPr>
      <w:ind w:left="600" w:leftChars="600"/>
    </w:pPr>
    <w:rPr>
      <w:sz w:val="24"/>
    </w:rPr>
  </w:style>
  <w:style w:type="paragraph" w:styleId="15">
    <w:name w:val="toc 3"/>
    <w:basedOn w:val="1"/>
    <w:next w:val="1"/>
    <w:qFormat/>
    <w:uiPriority w:val="39"/>
    <w:pPr>
      <w:ind w:left="840" w:leftChars="400"/>
    </w:pPr>
  </w:style>
  <w:style w:type="paragraph" w:styleId="16">
    <w:name w:val="Plain Text"/>
    <w:basedOn w:val="1"/>
    <w:qFormat/>
    <w:uiPriority w:val="0"/>
    <w:rPr>
      <w:rFonts w:hint="eastAsia" w:hAnsi="Courier New"/>
      <w:szCs w:val="20"/>
    </w:rPr>
  </w:style>
  <w:style w:type="paragraph" w:styleId="17">
    <w:name w:val="Body Text Indent 2"/>
    <w:basedOn w:val="1"/>
    <w:qFormat/>
    <w:uiPriority w:val="99"/>
    <w:pPr>
      <w:ind w:firstLine="480" w:firstLineChars="200"/>
    </w:pPr>
    <w:rPr>
      <w:rFonts w:ascii="仿宋_GB2312" w:eastAsia="仿宋_GB2312"/>
      <w:sz w:val="24"/>
    </w:rPr>
  </w:style>
  <w:style w:type="paragraph" w:styleId="18">
    <w:name w:val="Balloon Text"/>
    <w:basedOn w:val="1"/>
    <w:link w:val="42"/>
    <w:qFormat/>
    <w:uiPriority w:val="0"/>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36"/>
      <w:ind w:left="121"/>
    </w:pPr>
    <w:rPr>
      <w:sz w:val="24"/>
      <w:szCs w:val="24"/>
    </w:rPr>
  </w:style>
  <w:style w:type="paragraph" w:styleId="21">
    <w:name w:val="footnote text"/>
    <w:basedOn w:val="1"/>
    <w:next w:val="19"/>
    <w:qFormat/>
    <w:uiPriority w:val="0"/>
    <w:pPr>
      <w:snapToGrid w:val="0"/>
    </w:pPr>
  </w:style>
  <w:style w:type="paragraph" w:styleId="22">
    <w:name w:val="Normal (Web)"/>
    <w:basedOn w:val="1"/>
    <w:unhideWhenUsed/>
    <w:qFormat/>
    <w:uiPriority w:val="0"/>
    <w:pPr>
      <w:widowControl/>
      <w:spacing w:before="100" w:beforeAutospacing="1" w:after="100" w:afterAutospacing="1"/>
    </w:pPr>
    <w:rPr>
      <w:sz w:val="24"/>
    </w:rPr>
  </w:style>
  <w:style w:type="paragraph" w:styleId="23">
    <w:name w:val="Title"/>
    <w:basedOn w:val="1"/>
    <w:next w:val="1"/>
    <w:qFormat/>
    <w:uiPriority w:val="99"/>
    <w:pPr>
      <w:jc w:val="center"/>
      <w:outlineLvl w:val="0"/>
    </w:pPr>
    <w:rPr>
      <w:b/>
      <w:sz w:val="32"/>
      <w:szCs w:val="20"/>
    </w:rPr>
  </w:style>
  <w:style w:type="paragraph" w:styleId="24">
    <w:name w:val="annotation subject"/>
    <w:basedOn w:val="11"/>
    <w:next w:val="11"/>
    <w:link w:val="50"/>
    <w:qFormat/>
    <w:uiPriority w:val="0"/>
    <w:rPr>
      <w:b/>
      <w:bCs/>
    </w:rPr>
  </w:style>
  <w:style w:type="paragraph" w:styleId="25">
    <w:name w:val="Body Text First Indent 2"/>
    <w:basedOn w:val="13"/>
    <w:qFormat/>
    <w:uiPriority w:val="99"/>
    <w:pPr>
      <w:spacing w:after="120" w:line="480" w:lineRule="exact"/>
      <w:ind w:left="420" w:leftChars="200" w:firstLine="420" w:firstLineChars="200"/>
    </w:pPr>
    <w:rPr>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FollowedHyperlink"/>
    <w:basedOn w:val="28"/>
    <w:qFormat/>
    <w:uiPriority w:val="0"/>
    <w:rPr>
      <w:color w:val="800080"/>
      <w:u w:val="none"/>
    </w:rPr>
  </w:style>
  <w:style w:type="character" w:styleId="30">
    <w:name w:val="Emphasis"/>
    <w:basedOn w:val="28"/>
    <w:qFormat/>
    <w:uiPriority w:val="0"/>
  </w:style>
  <w:style w:type="character" w:styleId="31">
    <w:name w:val="HTML Definition"/>
    <w:basedOn w:val="28"/>
    <w:qFormat/>
    <w:uiPriority w:val="0"/>
  </w:style>
  <w:style w:type="character" w:styleId="32">
    <w:name w:val="HTML Acronym"/>
    <w:basedOn w:val="28"/>
    <w:qFormat/>
    <w:uiPriority w:val="0"/>
  </w:style>
  <w:style w:type="character" w:styleId="33">
    <w:name w:val="HTML Variable"/>
    <w:basedOn w:val="28"/>
    <w:qFormat/>
    <w:uiPriority w:val="0"/>
  </w:style>
  <w:style w:type="character" w:styleId="34">
    <w:name w:val="Hyperlink"/>
    <w:basedOn w:val="28"/>
    <w:qFormat/>
    <w:uiPriority w:val="99"/>
    <w:rPr>
      <w:color w:val="0563C1" w:themeColor="hyperlink"/>
      <w:u w:val="single"/>
      <w14:textFill>
        <w14:solidFill>
          <w14:schemeClr w14:val="hlink"/>
        </w14:solidFill>
      </w14:textFill>
    </w:rPr>
  </w:style>
  <w:style w:type="character" w:styleId="35">
    <w:name w:val="HTML Code"/>
    <w:basedOn w:val="28"/>
    <w:qFormat/>
    <w:uiPriority w:val="0"/>
    <w:rPr>
      <w:rFonts w:ascii="Courier New" w:hAnsi="Courier New"/>
      <w:sz w:val="20"/>
    </w:rPr>
  </w:style>
  <w:style w:type="character" w:styleId="36">
    <w:name w:val="annotation reference"/>
    <w:basedOn w:val="28"/>
    <w:qFormat/>
    <w:uiPriority w:val="99"/>
    <w:rPr>
      <w:sz w:val="21"/>
      <w:szCs w:val="21"/>
    </w:rPr>
  </w:style>
  <w:style w:type="character" w:styleId="37">
    <w:name w:val="HTML Cite"/>
    <w:basedOn w:val="28"/>
    <w:qFormat/>
    <w:uiPriority w:val="0"/>
  </w:style>
  <w:style w:type="paragraph" w:customStyle="1" w:styleId="38">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paragraph" w:customStyle="1" w:styleId="39">
    <w:name w:val="Table Paragraph"/>
    <w:basedOn w:val="1"/>
    <w:qFormat/>
    <w:uiPriority w:val="1"/>
  </w:style>
  <w:style w:type="table" w:customStyle="1" w:styleId="40">
    <w:name w:val="Table Normal"/>
    <w:semiHidden/>
    <w:unhideWhenUsed/>
    <w:qFormat/>
    <w:uiPriority w:val="2"/>
    <w:tblPr>
      <w:tblLayout w:type="fixed"/>
      <w:tblCellMar>
        <w:top w:w="0" w:type="dxa"/>
        <w:left w:w="0" w:type="dxa"/>
        <w:bottom w:w="0" w:type="dxa"/>
        <w:right w:w="0" w:type="dxa"/>
      </w:tblCellMar>
    </w:tblPr>
  </w:style>
  <w:style w:type="paragraph" w:styleId="41">
    <w:name w:val="List Paragraph"/>
    <w:basedOn w:val="1"/>
    <w:qFormat/>
    <w:uiPriority w:val="1"/>
    <w:pPr>
      <w:ind w:left="1196" w:hanging="720"/>
    </w:pPr>
  </w:style>
  <w:style w:type="character" w:customStyle="1" w:styleId="42">
    <w:name w:val="批注框文本 Char"/>
    <w:basedOn w:val="28"/>
    <w:link w:val="18"/>
    <w:qFormat/>
    <w:uiPriority w:val="0"/>
    <w:rPr>
      <w:rFonts w:ascii="宋体" w:hAnsi="宋体" w:eastAsia="宋体" w:cs="宋体"/>
      <w:sz w:val="18"/>
      <w:szCs w:val="18"/>
      <w:lang w:eastAsia="en-US"/>
    </w:rPr>
  </w:style>
  <w:style w:type="paragraph" w:customStyle="1" w:styleId="43">
    <w:name w:val="样式 标题 1 + 四号 居中 段前: 12 磅 段后: 12 磅 行距: 单倍行距"/>
    <w:basedOn w:val="1"/>
    <w:qFormat/>
    <w:uiPriority w:val="0"/>
    <w:pPr>
      <w:numPr>
        <w:ilvl w:val="0"/>
        <w:numId w:val="1"/>
      </w:numPr>
    </w:pPr>
  </w:style>
  <w:style w:type="paragraph" w:customStyle="1" w:styleId="44">
    <w:name w:val="三级条标题"/>
    <w:basedOn w:val="1"/>
    <w:qFormat/>
    <w:uiPriority w:val="0"/>
    <w:pPr>
      <w:numPr>
        <w:ilvl w:val="3"/>
        <w:numId w:val="1"/>
      </w:numPr>
    </w:pPr>
  </w:style>
  <w:style w:type="paragraph" w:customStyle="1" w:styleId="45">
    <w:name w:val="四级条标题"/>
    <w:basedOn w:val="1"/>
    <w:qFormat/>
    <w:uiPriority w:val="0"/>
    <w:pPr>
      <w:numPr>
        <w:ilvl w:val="4"/>
        <w:numId w:val="1"/>
      </w:numPr>
    </w:pPr>
  </w:style>
  <w:style w:type="paragraph" w:customStyle="1" w:styleId="46">
    <w:name w:val="五级条标题"/>
    <w:basedOn w:val="1"/>
    <w:qFormat/>
    <w:uiPriority w:val="0"/>
    <w:pPr>
      <w:numPr>
        <w:ilvl w:val="5"/>
        <w:numId w:val="1"/>
      </w:numPr>
    </w:pPr>
  </w:style>
  <w:style w:type="paragraph" w:customStyle="1" w:styleId="47">
    <w:name w:val="正文列项_字母"/>
    <w:basedOn w:val="1"/>
    <w:qFormat/>
    <w:uiPriority w:val="0"/>
    <w:pPr>
      <w:numPr>
        <w:ilvl w:val="6"/>
        <w:numId w:val="1"/>
      </w:numPr>
    </w:pPr>
  </w:style>
  <w:style w:type="paragraph" w:customStyle="1" w:styleId="48">
    <w:name w:val="正文列项_数字"/>
    <w:basedOn w:val="1"/>
    <w:qFormat/>
    <w:uiPriority w:val="0"/>
    <w:pPr>
      <w:numPr>
        <w:ilvl w:val="7"/>
        <w:numId w:val="1"/>
      </w:numPr>
    </w:pPr>
  </w:style>
  <w:style w:type="character" w:customStyle="1" w:styleId="49">
    <w:name w:val="批注文字 Char"/>
    <w:basedOn w:val="28"/>
    <w:link w:val="11"/>
    <w:qFormat/>
    <w:uiPriority w:val="0"/>
    <w:rPr>
      <w:rFonts w:ascii="宋体" w:hAnsi="宋体" w:eastAsia="宋体" w:cs="宋体"/>
      <w:sz w:val="22"/>
      <w:szCs w:val="22"/>
      <w:lang w:eastAsia="en-US"/>
    </w:rPr>
  </w:style>
  <w:style w:type="character" w:customStyle="1" w:styleId="50">
    <w:name w:val="批注主题 Char"/>
    <w:basedOn w:val="49"/>
    <w:link w:val="24"/>
    <w:qFormat/>
    <w:uiPriority w:val="0"/>
    <w:rPr>
      <w:rFonts w:ascii="宋体" w:hAnsi="宋体" w:eastAsia="宋体" w:cs="宋体"/>
      <w:b/>
      <w:bCs/>
      <w:sz w:val="22"/>
      <w:szCs w:val="22"/>
      <w:lang w:eastAsia="en-US"/>
    </w:rPr>
  </w:style>
  <w:style w:type="character" w:customStyle="1" w:styleId="51">
    <w:name w:val="标题 5 Char"/>
    <w:basedOn w:val="28"/>
    <w:link w:val="7"/>
    <w:qFormat/>
    <w:uiPriority w:val="0"/>
    <w:rPr>
      <w:rFonts w:ascii="宋体" w:hAnsi="宋体" w:eastAsia="宋体" w:cs="宋体"/>
      <w:b/>
      <w:bCs/>
      <w:sz w:val="28"/>
      <w:szCs w:val="28"/>
      <w:lang w:eastAsia="en-US"/>
    </w:rPr>
  </w:style>
  <w:style w:type="paragraph" w:customStyle="1" w:styleId="52">
    <w:name w:val="TOC 标题1"/>
    <w:basedOn w:val="3"/>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2E75B6" w:themeColor="accent1" w:themeShade="BF"/>
      <w:sz w:val="28"/>
      <w:szCs w:val="28"/>
      <w:lang w:eastAsia="zh-CN"/>
    </w:rPr>
  </w:style>
  <w:style w:type="character" w:customStyle="1" w:styleId="53">
    <w:name w:val="页眉 Char"/>
    <w:basedOn w:val="28"/>
    <w:link w:val="19"/>
    <w:qFormat/>
    <w:uiPriority w:val="0"/>
    <w:rPr>
      <w:rFonts w:ascii="宋体" w:hAnsi="宋体" w:eastAsia="宋体" w:cs="宋体"/>
      <w:sz w:val="18"/>
      <w:szCs w:val="18"/>
      <w:lang w:eastAsia="en-US"/>
    </w:rPr>
  </w:style>
  <w:style w:type="character" w:customStyle="1" w:styleId="54">
    <w:name w:val="页脚 Char"/>
    <w:basedOn w:val="28"/>
    <w:link w:val="2"/>
    <w:qFormat/>
    <w:uiPriority w:val="99"/>
    <w:rPr>
      <w:rFonts w:ascii="宋体" w:hAnsi="宋体" w:eastAsia="宋体" w:cs="宋体"/>
      <w:sz w:val="18"/>
      <w:szCs w:val="18"/>
      <w:lang w:eastAsia="en-US"/>
    </w:rPr>
  </w:style>
  <w:style w:type="character" w:customStyle="1" w:styleId="55">
    <w:name w:val="页脚 Char1"/>
    <w:qFormat/>
    <w:uiPriority w:val="99"/>
    <w:rPr>
      <w:rFonts w:ascii="宋体" w:eastAsia="宋体"/>
      <w:sz w:val="18"/>
      <w:lang w:val="en-US" w:eastAsia="zh-CN" w:bidi="ar-SA"/>
    </w:rPr>
  </w:style>
  <w:style w:type="character" w:customStyle="1" w:styleId="56">
    <w:name w:val="批注文字 Char1"/>
    <w:qFormat/>
    <w:uiPriority w:val="99"/>
    <w:rPr>
      <w:kern w:val="2"/>
      <w:sz w:val="21"/>
      <w:szCs w:val="24"/>
    </w:rPr>
  </w:style>
  <w:style w:type="character" w:customStyle="1" w:styleId="57">
    <w:name w:val="注释标题 Char"/>
    <w:basedOn w:val="28"/>
    <w:link w:val="9"/>
    <w:qFormat/>
    <w:uiPriority w:val="0"/>
    <w:rPr>
      <w:rFonts w:ascii="..ì." w:hAnsi="Times New Roman" w:eastAsia="..ì." w:cs="Times New Roman"/>
      <w:sz w:val="24"/>
    </w:rPr>
  </w:style>
  <w:style w:type="paragraph" w:customStyle="1" w:styleId="58">
    <w:name w:val="1"/>
    <w:next w:val="1"/>
    <w:qFormat/>
    <w:uiPriority w:val="99"/>
    <w:rPr>
      <w:rFonts w:ascii="Times New Roman" w:hAnsi="Times New Roman" w:eastAsia="宋体" w:cs="Times New Roman"/>
      <w:kern w:val="2"/>
      <w:sz w:val="21"/>
      <w:szCs w:val="24"/>
      <w:lang w:val="zh-CN" w:eastAsia="zh-CN" w:bidi="ar-SA"/>
    </w:rPr>
  </w:style>
  <w:style w:type="paragraph" w:customStyle="1" w:styleId="59">
    <w:name w:val="样式 标题 2 + Times New Roman 四号 非加粗 段前: 5 磅 段后: 0 磅 行距: 固定值 20..."/>
    <w:basedOn w:val="4"/>
    <w:next w:val="1"/>
    <w:qFormat/>
    <w:uiPriority w:val="99"/>
    <w:pPr>
      <w:autoSpaceDE/>
      <w:autoSpaceDN/>
      <w:spacing w:before="260" w:beforeLines="50" w:after="260" w:afterLines="50" w:line="360" w:lineRule="auto"/>
    </w:pPr>
    <w:rPr>
      <w:rFonts w:hAnsi="Times New Roman"/>
      <w:kern w:val="2"/>
      <w:sz w:val="28"/>
    </w:rPr>
  </w:style>
  <w:style w:type="paragraph" w:customStyle="1" w:styleId="60">
    <w:name w:val="样式 标题 3 + (中文) 黑体 小四 非加粗 段前: 7.8 磅 段后: 0 磅 行距: 固定值 20 磅"/>
    <w:basedOn w:val="5"/>
    <w:qFormat/>
    <w:uiPriority w:val="0"/>
    <w:pPr>
      <w:autoSpaceDE/>
      <w:autoSpaceDN/>
      <w:spacing w:before="260" w:beforeLines="50" w:after="260" w:afterLines="50" w:line="360" w:lineRule="auto"/>
      <w:jc w:val="both"/>
    </w:pPr>
    <w:rPr>
      <w:kern w:val="2"/>
    </w:rPr>
  </w:style>
  <w:style w:type="paragraph" w:customStyle="1" w:styleId="61">
    <w:name w:val="Body text|2"/>
    <w:basedOn w:val="1"/>
    <w:qFormat/>
    <w:uiPriority w:val="0"/>
    <w:pPr>
      <w:spacing w:line="382" w:lineRule="exact"/>
      <w:ind w:left="1800"/>
    </w:pPr>
    <w:rPr>
      <w:sz w:val="18"/>
      <w:szCs w:val="18"/>
      <w:lang w:val="zh-TW" w:eastAsia="zh-TW" w:bidi="zh-TW"/>
    </w:rPr>
  </w:style>
  <w:style w:type="paragraph" w:customStyle="1" w:styleId="62">
    <w:name w:val="Body text|1"/>
    <w:basedOn w:val="1"/>
    <w:qFormat/>
    <w:uiPriority w:val="0"/>
    <w:pPr>
      <w:spacing w:line="480" w:lineRule="auto"/>
      <w:ind w:firstLine="380"/>
    </w:pPr>
    <w:rPr>
      <w:sz w:val="20"/>
      <w:szCs w:val="20"/>
      <w:lang w:val="zh-TW" w:eastAsia="zh-TW" w:bidi="zh-TW"/>
    </w:rPr>
  </w:style>
  <w:style w:type="paragraph" w:customStyle="1" w:styleId="63">
    <w:name w:val="Body text|3"/>
    <w:basedOn w:val="1"/>
    <w:qFormat/>
    <w:uiPriority w:val="0"/>
    <w:pPr>
      <w:ind w:left="530"/>
    </w:pPr>
    <w:rPr>
      <w:rFonts w:ascii="Calibri" w:hAnsi="Calibri"/>
      <w:color w:val="0000FF"/>
      <w:lang w:val="zh-TW" w:eastAsia="zh-TW" w:bidi="zh-TW"/>
    </w:rPr>
  </w:style>
  <w:style w:type="paragraph" w:customStyle="1" w:styleId="64">
    <w:name w:val="Header or footer|1"/>
    <w:basedOn w:val="1"/>
    <w:qFormat/>
    <w:uiPriority w:val="0"/>
    <w:rPr>
      <w:sz w:val="20"/>
      <w:szCs w:val="20"/>
      <w:lang w:val="zh-TW" w:eastAsia="zh-TW" w:bidi="zh-TW"/>
    </w:rPr>
  </w:style>
  <w:style w:type="paragraph" w:customStyle="1" w:styleId="65">
    <w:name w:val="列出段落1"/>
    <w:basedOn w:val="1"/>
    <w:qFormat/>
    <w:uiPriority w:val="0"/>
    <w:pPr>
      <w:ind w:firstLine="420" w:firstLineChars="200"/>
    </w:pPr>
    <w:rPr>
      <w:rFonts w:ascii="Calibri" w:hAnsi="Calibri"/>
    </w:rPr>
  </w:style>
  <w:style w:type="paragraph" w:customStyle="1" w:styleId="66">
    <w:name w:val="普通(网站)1"/>
    <w:basedOn w:val="1"/>
    <w:qFormat/>
    <w:uiPriority w:val="0"/>
    <w:pPr>
      <w:spacing w:before="100" w:beforeAutospacing="1" w:after="100" w:afterAutospacing="1"/>
    </w:pPr>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540CC-EC79-4C7A-8DC6-B1E51E18F8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146</Pages>
  <Words>15146</Words>
  <Characters>86338</Characters>
  <Lines>719</Lines>
  <Paragraphs>202</Paragraphs>
  <TotalTime>18</TotalTime>
  <ScaleCrop>false</ScaleCrop>
  <LinksUpToDate>false</LinksUpToDate>
  <CharactersWithSpaces>101282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2024-04-12T08:29:00Z</dcterms:created>
  <dc:creator>nix</dc:creator>
  <cp:lastModifiedBy>admin</cp:lastModifiedBy>
  <dcterms:modified xsi:type="dcterms:W3CDTF">2025-12-03T04:02:51Z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58D938308055455C9BB009F936265197</vt:lpwstr>
  </property>
</Properties>
</file>