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4"/>
        <w:rPr>
          <w:rFonts w:hint="eastAsia" w:ascii="宋体" w:hAnsi="宋体" w:cs="宋体"/>
          <w:b/>
          <w:bCs/>
          <w:sz w:val="60"/>
          <w:szCs w:val="60"/>
        </w:rPr>
      </w:pPr>
    </w:p>
    <w:p>
      <w:pPr>
        <w:pStyle w:val="6"/>
        <w:rPr>
          <w:rFonts w:hint="eastAsia"/>
        </w:rPr>
      </w:pPr>
    </w:p>
    <w:p>
      <w:pPr>
        <w:pStyle w:val="6"/>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2025年教育系统多媒体设备补充更新项目触摸屏采购项目公开招标文件</w:t>
      </w:r>
    </w:p>
    <w:p>
      <w:pPr>
        <w:spacing w:line="360" w:lineRule="auto"/>
        <w:jc w:val="center"/>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项目名称：2025年教育系统多媒体设备补充更新项目触摸屏采购项目</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w:t>
      </w:r>
      <w:r>
        <w:rPr>
          <w:rFonts w:hint="eastAsia" w:ascii="宋体" w:hAnsi="宋体" w:cs="宋体"/>
          <w:bCs/>
          <w:sz w:val="32"/>
          <w:szCs w:val="32"/>
          <w:lang w:val="en-US" w:eastAsia="zh-CN"/>
        </w:rPr>
        <w:t>7378</w:t>
      </w:r>
      <w:r>
        <w:rPr>
          <w:rFonts w:hint="eastAsia" w:ascii="宋体" w:hAnsi="宋体" w:cs="宋体"/>
          <w:bCs/>
          <w:sz w:val="32"/>
          <w:szCs w:val="32"/>
        </w:rPr>
        <w:t>-XM001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人：北京市石景山区教育委员会教育技术装备中心</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Borders>
            <w:top w:val="none" w:sz="0" w:space="0"/>
            <w:left w:val="none" w:sz="0" w:space="0"/>
            <w:bottom w:val="none" w:sz="0" w:space="0"/>
            <w:right w:val="none" w:sz="0" w:space="0"/>
          </w:pgBorders>
          <w:pgNumType w:start="1"/>
          <w:cols w:space="720" w:num="1"/>
          <w:docGrid w:linePitch="312" w:charSpace="0"/>
        </w:sectPr>
      </w:pPr>
    </w:p>
    <w:p>
      <w:pPr>
        <w:spacing w:line="360" w:lineRule="auto"/>
        <w:jc w:val="center"/>
        <w:outlineLvl w:val="0"/>
        <w:rPr>
          <w:rFonts w:hint="eastAsia" w:ascii="宋体" w:hAnsi="宋体" w:cs="宋体"/>
          <w:b/>
          <w:color w:val="0000FF"/>
          <w:sz w:val="36"/>
          <w:szCs w:val="36"/>
        </w:rPr>
      </w:pPr>
      <w:bookmarkStart w:id="0" w:name="_Toc99301418"/>
      <w:bookmarkStart w:id="1" w:name="_Toc11889"/>
      <w:r>
        <w:rPr>
          <w:rFonts w:hint="eastAsia" w:ascii="宋体" w:hAnsi="宋体" w:cs="宋体"/>
          <w:b/>
          <w:color w:val="auto"/>
          <w:sz w:val="36"/>
          <w:szCs w:val="36"/>
        </w:rPr>
        <w:t>目     录</w:t>
      </w:r>
      <w:bookmarkEnd w:id="0"/>
      <w:bookmarkEnd w:id="1"/>
    </w:p>
    <w:p>
      <w:pPr>
        <w:rPr>
          <w:rFonts w:hint="eastAsia" w:ascii="宋体" w:hAnsi="宋体" w:cs="宋体"/>
        </w:rPr>
      </w:pPr>
    </w:p>
    <w:p>
      <w:pPr>
        <w:rPr>
          <w:rFonts w:hint="eastAsia" w:ascii="宋体" w:hAnsi="宋体" w:cs="宋体"/>
        </w:rPr>
      </w:pPr>
    </w:p>
    <w:p>
      <w:pPr>
        <w:rPr>
          <w:rFonts w:hint="eastAsia" w:ascii="宋体" w:hAnsi="宋体" w:cs="宋体"/>
        </w:rPr>
      </w:pPr>
    </w:p>
    <w:p>
      <w:pPr>
        <w:pStyle w:val="36"/>
        <w:tabs>
          <w:tab w:val="right" w:leader="dot" w:pos="8733"/>
          <w:tab w:val="clear" w:pos="1050"/>
          <w:tab w:val="clear" w:pos="8937"/>
        </w:tabs>
        <w:rPr>
          <w:rFonts w:hint="eastAsia"/>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"_Toc10929" </w:instrText>
      </w:r>
      <w:r>
        <w:fldChar w:fldCharType="separate"/>
      </w:r>
      <w:r>
        <w:rPr>
          <w:rFonts w:hint="eastAsia" w:cs="宋体"/>
          <w:szCs w:val="36"/>
        </w:rPr>
        <w:t>第一章   投标邀请</w:t>
      </w:r>
      <w:r>
        <w:tab/>
      </w:r>
      <w:r>
        <w:fldChar w:fldCharType="begin"/>
      </w:r>
      <w:r>
        <w:instrText xml:space="preserve"> PAGEREF _Toc10929 \h </w:instrText>
      </w:r>
      <w:r>
        <w:fldChar w:fldCharType="separate"/>
      </w:r>
      <w:r>
        <w:t>3</w:t>
      </w:r>
      <w:r>
        <w:fldChar w:fldCharType="end"/>
      </w:r>
      <w:r>
        <w:fldChar w:fldCharType="end"/>
      </w:r>
    </w:p>
    <w:p>
      <w:pPr>
        <w:pStyle w:val="36"/>
        <w:tabs>
          <w:tab w:val="right" w:leader="dot" w:pos="8733"/>
          <w:tab w:val="clear" w:pos="1050"/>
          <w:tab w:val="clear" w:pos="8937"/>
        </w:tabs>
        <w:rPr>
          <w:rFonts w:hint="eastAsia"/>
        </w:rPr>
      </w:pPr>
      <w:r>
        <w:fldChar w:fldCharType="begin"/>
      </w:r>
      <w:r>
        <w:instrText xml:space="preserve"> HYPERLINK \l "_Toc15240" </w:instrText>
      </w:r>
      <w:r>
        <w:fldChar w:fldCharType="separate"/>
      </w:r>
      <w:r>
        <w:rPr>
          <w:rFonts w:hint="eastAsia" w:cs="宋体"/>
          <w:szCs w:val="36"/>
        </w:rPr>
        <w:t>第二章   投标人须知</w:t>
      </w:r>
      <w:r>
        <w:tab/>
      </w:r>
      <w:r>
        <w:fldChar w:fldCharType="begin"/>
      </w:r>
      <w:r>
        <w:instrText xml:space="preserve"> PAGEREF _Toc15240 \h </w:instrText>
      </w:r>
      <w:r>
        <w:fldChar w:fldCharType="separate"/>
      </w:r>
      <w:r>
        <w:t>7</w:t>
      </w:r>
      <w:r>
        <w:fldChar w:fldCharType="end"/>
      </w:r>
      <w:r>
        <w:fldChar w:fldCharType="end"/>
      </w:r>
    </w:p>
    <w:p>
      <w:pPr>
        <w:pStyle w:val="36"/>
        <w:tabs>
          <w:tab w:val="right" w:leader="dot" w:pos="8733"/>
          <w:tab w:val="clear" w:pos="1050"/>
          <w:tab w:val="clear" w:pos="8937"/>
        </w:tabs>
        <w:rPr>
          <w:rFonts w:hint="eastAsia"/>
        </w:rPr>
      </w:pPr>
      <w:r>
        <w:fldChar w:fldCharType="begin"/>
      </w:r>
      <w:r>
        <w:instrText xml:space="preserve"> HYPERLINK \l "_Toc26602" </w:instrText>
      </w:r>
      <w:r>
        <w:fldChar w:fldCharType="separate"/>
      </w:r>
      <w:r>
        <w:rPr>
          <w:rFonts w:hint="eastAsia" w:cs="宋体"/>
          <w:szCs w:val="36"/>
        </w:rPr>
        <w:t>第三章   资格审查</w:t>
      </w:r>
      <w:r>
        <w:tab/>
      </w:r>
      <w:r>
        <w:fldChar w:fldCharType="begin"/>
      </w:r>
      <w:r>
        <w:instrText xml:space="preserve"> PAGEREF _Toc26602 \h </w:instrText>
      </w:r>
      <w:r>
        <w:fldChar w:fldCharType="separate"/>
      </w:r>
      <w:r>
        <w:t>2</w:t>
      </w:r>
      <w:r>
        <w:rPr>
          <w:rFonts w:hint="eastAsia"/>
          <w:lang w:val="en-US" w:eastAsia="zh-CN"/>
        </w:rPr>
        <w:t>1</w:t>
      </w:r>
      <w:r>
        <w:fldChar w:fldCharType="end"/>
      </w:r>
      <w:r>
        <w:fldChar w:fldCharType="end"/>
      </w:r>
    </w:p>
    <w:p>
      <w:pPr>
        <w:pStyle w:val="36"/>
        <w:tabs>
          <w:tab w:val="right" w:leader="dot" w:pos="8733"/>
          <w:tab w:val="clear" w:pos="1050"/>
          <w:tab w:val="clear" w:pos="8937"/>
        </w:tabs>
        <w:rPr>
          <w:rFonts w:hint="eastAsia"/>
        </w:rPr>
      </w:pPr>
      <w:r>
        <w:fldChar w:fldCharType="begin"/>
      </w:r>
      <w:r>
        <w:instrText xml:space="preserve"> HYPERLINK \l "_Toc5513" </w:instrText>
      </w:r>
      <w:r>
        <w:fldChar w:fldCharType="separate"/>
      </w:r>
      <w:r>
        <w:rPr>
          <w:rFonts w:hint="eastAsia" w:cs="宋体"/>
          <w:szCs w:val="36"/>
        </w:rPr>
        <w:t>第四章   评标程序、评标方法和评标标准</w:t>
      </w:r>
      <w:r>
        <w:tab/>
      </w:r>
      <w:r>
        <w:fldChar w:fldCharType="begin"/>
      </w:r>
      <w:r>
        <w:instrText xml:space="preserve"> PAGEREF _Toc5513 \h </w:instrText>
      </w:r>
      <w:r>
        <w:fldChar w:fldCharType="separate"/>
      </w:r>
      <w:r>
        <w:t>2</w:t>
      </w:r>
      <w:r>
        <w:rPr>
          <w:rFonts w:hint="eastAsia"/>
          <w:lang w:val="en-US" w:eastAsia="zh-CN"/>
        </w:rPr>
        <w:t>3</w:t>
      </w:r>
      <w:r>
        <w:fldChar w:fldCharType="end"/>
      </w:r>
      <w:r>
        <w:fldChar w:fldCharType="end"/>
      </w:r>
    </w:p>
    <w:p>
      <w:pPr>
        <w:pStyle w:val="36"/>
        <w:tabs>
          <w:tab w:val="right" w:leader="dot" w:pos="8733"/>
          <w:tab w:val="clear" w:pos="1050"/>
          <w:tab w:val="clear" w:pos="8937"/>
        </w:tabs>
        <w:rPr>
          <w:rFonts w:hint="eastAsia"/>
        </w:rPr>
      </w:pPr>
      <w:r>
        <w:fldChar w:fldCharType="begin"/>
      </w:r>
      <w:r>
        <w:instrText xml:space="preserve"> HYPERLINK \l "_Toc2998" </w:instrText>
      </w:r>
      <w:r>
        <w:fldChar w:fldCharType="separate"/>
      </w:r>
      <w:r>
        <w:rPr>
          <w:rFonts w:hint="eastAsia" w:cs="宋体"/>
          <w:szCs w:val="36"/>
        </w:rPr>
        <w:t>第五章   采购需求</w:t>
      </w:r>
      <w:r>
        <w:tab/>
      </w:r>
      <w:r>
        <w:rPr>
          <w:rFonts w:hint="eastAsia"/>
          <w:lang w:val="en-US" w:eastAsia="zh-CN"/>
        </w:rPr>
        <w:t>3</w:t>
      </w:r>
      <w:r>
        <w:fldChar w:fldCharType="end"/>
      </w:r>
      <w:r>
        <w:rPr>
          <w:rFonts w:hint="eastAsia"/>
          <w:lang w:val="en-US" w:eastAsia="zh-CN"/>
        </w:rPr>
        <w:t>2</w:t>
      </w:r>
    </w:p>
    <w:p>
      <w:pPr>
        <w:pStyle w:val="36"/>
        <w:tabs>
          <w:tab w:val="right" w:leader="dot" w:pos="8733"/>
          <w:tab w:val="clear" w:pos="1050"/>
          <w:tab w:val="clear" w:pos="8937"/>
        </w:tabs>
        <w:rPr>
          <w:rFonts w:hint="eastAsia"/>
        </w:rPr>
      </w:pPr>
      <w:r>
        <w:fldChar w:fldCharType="begin"/>
      </w:r>
      <w:r>
        <w:instrText xml:space="preserve"> HYPERLINK \l "_Toc26892" </w:instrText>
      </w:r>
      <w:r>
        <w:fldChar w:fldCharType="separate"/>
      </w:r>
      <w:r>
        <w:rPr>
          <w:rFonts w:hint="eastAsia" w:cs="宋体"/>
          <w:szCs w:val="36"/>
        </w:rPr>
        <w:t>第六章   拟签订的合同文本</w:t>
      </w:r>
      <w:r>
        <w:tab/>
      </w:r>
      <w:r>
        <w:rPr>
          <w:rFonts w:hint="eastAsia"/>
          <w:lang w:val="en-US" w:eastAsia="zh-CN"/>
        </w:rPr>
        <w:t>4</w:t>
      </w:r>
      <w:r>
        <w:fldChar w:fldCharType="end"/>
      </w:r>
      <w:r>
        <w:rPr>
          <w:rFonts w:hint="eastAsia"/>
          <w:lang w:val="en-US" w:eastAsia="zh-CN"/>
        </w:rPr>
        <w:t>1</w:t>
      </w:r>
    </w:p>
    <w:p>
      <w:pPr>
        <w:pStyle w:val="36"/>
        <w:tabs>
          <w:tab w:val="right" w:leader="dot" w:pos="8733"/>
          <w:tab w:val="clear" w:pos="1050"/>
          <w:tab w:val="clear" w:pos="8937"/>
        </w:tabs>
        <w:rPr>
          <w:rFonts w:hint="eastAsia"/>
        </w:rPr>
      </w:pPr>
      <w:r>
        <w:fldChar w:fldCharType="begin"/>
      </w:r>
      <w:r>
        <w:instrText xml:space="preserve"> HYPERLINK \l "_Toc27509" </w:instrText>
      </w:r>
      <w:r>
        <w:fldChar w:fldCharType="separate"/>
      </w:r>
      <w:r>
        <w:rPr>
          <w:rFonts w:hint="eastAsia" w:cs="宋体"/>
          <w:szCs w:val="36"/>
        </w:rPr>
        <w:t>第七章   投标文件格式</w:t>
      </w:r>
      <w:r>
        <w:tab/>
      </w:r>
      <w:r>
        <w:rPr>
          <w:rFonts w:hint="eastAsia"/>
          <w:lang w:val="en-US" w:eastAsia="zh-CN"/>
        </w:rPr>
        <w:t>4</w:t>
      </w:r>
      <w:r>
        <w:fldChar w:fldCharType="end"/>
      </w:r>
      <w:r>
        <w:rPr>
          <w:rFonts w:hint="eastAsia"/>
          <w:lang w:val="en-US" w:eastAsia="zh-CN"/>
        </w:rPr>
        <w:t>7</w:t>
      </w:r>
    </w:p>
    <w:p>
      <w:pPr>
        <w:pStyle w:val="36"/>
        <w:spacing w:line="360" w:lineRule="auto"/>
        <w:rPr>
          <w:rFonts w:hint="eastAsia" w:cs="宋体"/>
        </w:rPr>
      </w:pPr>
      <w:r>
        <w:rPr>
          <w:rFonts w:hint="eastAsia" w:cs="宋体"/>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w:t>
      </w:r>
      <w:r>
        <w:rPr>
          <w:rFonts w:hint="eastAsia" w:ascii="宋体" w:hAnsi="宋体" w:cs="宋体"/>
          <w:sz w:val="24"/>
          <w:u w:val="single"/>
          <w:lang w:val="en-US" w:eastAsia="zh-CN"/>
        </w:rPr>
        <w:t>7378</w:t>
      </w:r>
      <w:r>
        <w:rPr>
          <w:rFonts w:hint="eastAsia" w:ascii="宋体" w:hAnsi="宋体" w:cs="宋体"/>
          <w:sz w:val="24"/>
          <w:u w:val="single"/>
        </w:rPr>
        <w:t>-XM001</w:t>
      </w:r>
    </w:p>
    <w:p>
      <w:pPr>
        <w:numPr>
          <w:ilvl w:val="0"/>
          <w:numId w:val="10"/>
        </w:numPr>
        <w:spacing w:line="360" w:lineRule="auto"/>
        <w:ind w:right="-273" w:rightChars="-130"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rPr>
        <w:t>2025年教育系统多媒体设备补充更新项目触摸屏采购项目</w:t>
      </w:r>
    </w:p>
    <w:p>
      <w:pPr>
        <w:numPr>
          <w:ilvl w:val="0"/>
          <w:numId w:val="10"/>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1110.1199</w:t>
      </w:r>
      <w:r>
        <w:rPr>
          <w:rFonts w:hint="eastAsia" w:ascii="宋体" w:hAnsi="宋体" w:cs="宋体"/>
          <w:sz w:val="24"/>
        </w:rPr>
        <w:t>万元、项目最高限价：</w:t>
      </w:r>
      <w:r>
        <w:rPr>
          <w:rFonts w:hint="eastAsia" w:ascii="宋体" w:hAnsi="宋体" w:cs="宋体"/>
          <w:sz w:val="24"/>
          <w:u w:val="single"/>
          <w:lang w:val="en-US" w:eastAsia="zh-CN"/>
        </w:rPr>
        <w:t>1110.1199</w:t>
      </w:r>
      <w:r>
        <w:rPr>
          <w:rFonts w:hint="eastAsia" w:ascii="宋体" w:hAnsi="宋体" w:cs="宋体"/>
          <w:sz w:val="24"/>
        </w:rPr>
        <w:t>万元</w:t>
      </w:r>
    </w:p>
    <w:p>
      <w:pPr>
        <w:numPr>
          <w:ilvl w:val="0"/>
          <w:numId w:val="10"/>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9"/>
        <w:tblW w:w="98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805"/>
        <w:gridCol w:w="1960"/>
        <w:gridCol w:w="885"/>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6"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2805"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960"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885"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3675"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6" w:type="dxa"/>
            <w:vAlign w:val="center"/>
          </w:tcPr>
          <w:p>
            <w:pPr>
              <w:spacing w:line="360" w:lineRule="auto"/>
              <w:jc w:val="center"/>
              <w:rPr>
                <w:rFonts w:hint="eastAsia" w:ascii="宋体" w:hAnsi="宋体" w:cs="宋体"/>
                <w:bCs/>
                <w:sz w:val="24"/>
              </w:rPr>
            </w:pPr>
            <w:r>
              <w:rPr>
                <w:rFonts w:hint="eastAsia" w:ascii="宋体" w:hAnsi="宋体" w:cs="宋体"/>
                <w:bCs/>
                <w:sz w:val="24"/>
              </w:rPr>
              <w:t>0</w:t>
            </w:r>
            <w:r>
              <w:rPr>
                <w:rFonts w:hint="eastAsia" w:ascii="宋体" w:hAnsi="宋体" w:cs="宋体"/>
                <w:bCs/>
                <w:sz w:val="24"/>
                <w:lang w:val="en-US" w:eastAsia="zh-CN"/>
              </w:rPr>
              <w:t>2</w:t>
            </w:r>
            <w:bookmarkStart w:id="843" w:name="_GoBack"/>
            <w:bookmarkEnd w:id="843"/>
          </w:p>
        </w:tc>
        <w:tc>
          <w:tcPr>
            <w:tcW w:w="2805" w:type="dxa"/>
            <w:vAlign w:val="center"/>
          </w:tcPr>
          <w:p>
            <w:pPr>
              <w:spacing w:line="360" w:lineRule="auto"/>
              <w:jc w:val="center"/>
              <w:rPr>
                <w:rFonts w:hint="eastAsia" w:ascii="宋体" w:hAnsi="宋体" w:eastAsia="宋体" w:cs="宋体"/>
                <w:bCs/>
                <w:color w:val="auto"/>
                <w:sz w:val="24"/>
                <w:lang w:eastAsia="zh-CN"/>
              </w:rPr>
            </w:pPr>
            <w:r>
              <w:rPr>
                <w:rFonts w:hint="eastAsia" w:ascii="宋体" w:hAnsi="宋体" w:cs="宋体"/>
                <w:bCs/>
                <w:color w:val="auto"/>
                <w:sz w:val="24"/>
                <w:lang w:eastAsia="zh-CN"/>
              </w:rPr>
              <w:t>第二包：家具</w:t>
            </w:r>
            <w:r>
              <w:rPr>
                <w:rFonts w:hint="eastAsia" w:ascii="宋体" w:hAnsi="宋体" w:cs="宋体"/>
                <w:bCs/>
                <w:color w:val="auto"/>
                <w:sz w:val="24"/>
                <w:lang w:val="en-US" w:eastAsia="zh-CN"/>
              </w:rPr>
              <w:t>1</w:t>
            </w:r>
          </w:p>
        </w:tc>
        <w:tc>
          <w:tcPr>
            <w:tcW w:w="1960" w:type="dxa"/>
            <w:vAlign w:val="center"/>
          </w:tcPr>
          <w:p>
            <w:pPr>
              <w:spacing w:line="360" w:lineRule="auto"/>
              <w:jc w:val="center"/>
              <w:rPr>
                <w:rFonts w:hint="eastAsia" w:ascii="宋体" w:hAnsi="宋体" w:cs="宋体"/>
                <w:bCs/>
                <w:color w:val="auto"/>
                <w:sz w:val="24"/>
              </w:rPr>
            </w:pPr>
            <w:r>
              <w:rPr>
                <w:rFonts w:hint="eastAsia" w:ascii="宋体" w:hAnsi="宋体" w:cs="宋体"/>
                <w:color w:val="auto"/>
                <w:kern w:val="0"/>
                <w:sz w:val="24"/>
                <w:lang w:val="en-US" w:eastAsia="zh-CN" w:bidi="ar"/>
              </w:rPr>
              <w:t>23.822</w:t>
            </w:r>
            <w:r>
              <w:rPr>
                <w:rFonts w:hint="eastAsia" w:ascii="宋体" w:hAnsi="宋体" w:cs="宋体"/>
                <w:color w:val="auto"/>
                <w:kern w:val="0"/>
                <w:sz w:val="24"/>
                <w:lang w:bidi="ar"/>
              </w:rPr>
              <w:t>万元</w:t>
            </w:r>
          </w:p>
        </w:tc>
        <w:tc>
          <w:tcPr>
            <w:tcW w:w="885" w:type="dxa"/>
            <w:vAlign w:val="center"/>
          </w:tcPr>
          <w:p>
            <w:pPr>
              <w:spacing w:line="360" w:lineRule="auto"/>
              <w:jc w:val="center"/>
              <w:rPr>
                <w:rFonts w:hint="eastAsia" w:ascii="宋体" w:hAnsi="宋体" w:eastAsia="宋体" w:cs="宋体"/>
                <w:bCs/>
                <w:sz w:val="24"/>
                <w:lang w:eastAsia="zh-CN"/>
              </w:rPr>
            </w:pPr>
            <w:r>
              <w:rPr>
                <w:rFonts w:hint="eastAsia" w:ascii="宋体" w:hAnsi="宋体" w:cs="宋体"/>
                <w:bCs/>
                <w:color w:val="auto"/>
                <w:sz w:val="24"/>
                <w:lang w:val="en-US" w:eastAsia="zh-CN"/>
              </w:rPr>
              <w:t>1批</w:t>
            </w:r>
          </w:p>
        </w:tc>
        <w:tc>
          <w:tcPr>
            <w:tcW w:w="3675"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pStyle w:val="22"/>
        <w:numPr>
          <w:ilvl w:val="0"/>
          <w:numId w:val="0"/>
        </w:num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color w:val="auto"/>
          <w:sz w:val="24"/>
        </w:rPr>
        <w:t>自合同签订生效后</w:t>
      </w:r>
      <w:r>
        <w:rPr>
          <w:rFonts w:hint="eastAsia" w:ascii="宋体" w:hAnsi="宋体" w:cs="宋体"/>
          <w:color w:val="auto"/>
          <w:sz w:val="24"/>
          <w:lang w:val="en-US" w:eastAsia="zh-CN"/>
        </w:rPr>
        <w:t>4</w:t>
      </w:r>
      <w:r>
        <w:rPr>
          <w:rFonts w:hint="eastAsia" w:ascii="宋体" w:hAnsi="宋体" w:cs="宋体"/>
          <w:color w:val="auto"/>
          <w:sz w:val="24"/>
        </w:rPr>
        <w:t>0日内</w:t>
      </w:r>
      <w:r>
        <w:rPr>
          <w:rFonts w:hint="eastAsia" w:ascii="宋体" w:hAnsi="宋体" w:cs="宋体"/>
          <w:color w:val="auto"/>
          <w:sz w:val="24"/>
          <w:lang w:eastAsia="zh-CN"/>
        </w:rPr>
        <w:t>完成供货、</w:t>
      </w:r>
      <w:r>
        <w:rPr>
          <w:rFonts w:hint="eastAsia" w:ascii="宋体" w:hAnsi="宋体" w:cs="宋体"/>
          <w:color w:val="auto"/>
          <w:sz w:val="24"/>
        </w:rPr>
        <w:t>安装、调试</w:t>
      </w:r>
      <w:r>
        <w:rPr>
          <w:rFonts w:hint="eastAsia" w:ascii="宋体" w:hAnsi="宋体" w:cs="宋体"/>
          <w:color w:val="auto"/>
          <w:sz w:val="24"/>
          <w:lang w:eastAsia="zh-CN"/>
        </w:rPr>
        <w:t>工作</w:t>
      </w:r>
      <w:r>
        <w:rPr>
          <w:rFonts w:hint="eastAsia" w:ascii="宋体" w:hAnsi="宋体" w:cs="宋体"/>
          <w:color w:val="auto"/>
          <w:sz w:val="24"/>
        </w:rPr>
        <w:t>。</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4"/>
        <w:spacing w:before="0" w:line="360" w:lineRule="auto"/>
        <w:jc w:val="left"/>
        <w:rPr>
          <w:rFonts w:hint="eastAsia" w:ascii="宋体" w:hAnsi="宋体" w:eastAsia="宋体" w:cs="宋体"/>
          <w:sz w:val="24"/>
          <w:szCs w:val="24"/>
        </w:rPr>
      </w:pPr>
      <w:bookmarkStart w:id="3" w:name="_Toc35393622"/>
      <w:bookmarkStart w:id="4" w:name="_Toc28359080"/>
      <w:bookmarkStart w:id="5" w:name="_Toc35393791"/>
      <w:bookmarkStart w:id="6" w:name="_Toc28359003"/>
      <w:r>
        <w:rPr>
          <w:rFonts w:hint="eastAsia" w:ascii="宋体" w:hAnsi="宋体" w:eastAsia="宋体" w:cs="宋体"/>
          <w:sz w:val="24"/>
          <w:szCs w:val="24"/>
        </w:rPr>
        <w:t>二、申请人的资格要求（须同时满足）</w:t>
      </w:r>
      <w:bookmarkEnd w:id="3"/>
      <w:bookmarkEnd w:id="4"/>
      <w:bookmarkEnd w:id="5"/>
      <w:bookmarkEnd w:id="6"/>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7" w:name="_Toc35393792"/>
      <w:bookmarkStart w:id="8" w:name="_Toc35393623"/>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本项目专门面向</w:t>
      </w:r>
      <w:r>
        <w:rPr>
          <w:rFonts w:hint="eastAsia" w:ascii="宋体" w:hAnsi="宋体" w:cs="宋体"/>
          <w:sz w:val="24"/>
          <w:lang w:val="en-US" w:eastAsia="zh-CN"/>
        </w:rPr>
        <w:t xml:space="preserve"> </w:t>
      </w:r>
      <w:r>
        <w:rPr>
          <w:rFonts w:hint="eastAsia" w:ascii="宋体" w:hAnsi="宋体" w:cs="宋体"/>
          <w:sz w:val="24"/>
        </w:rPr>
        <w:t>□中小</w:t>
      </w:r>
      <w:r>
        <w:rPr>
          <w:rFonts w:hint="eastAsia" w:ascii="宋体" w:hAnsi="宋体" w:cs="宋体"/>
          <w:sz w:val="24"/>
          <w:lang w:val="en-US" w:eastAsia="zh-CN"/>
        </w:rPr>
        <w:t xml:space="preserve"> </w:t>
      </w:r>
      <w:r>
        <w:rPr>
          <w:rFonts w:hint="eastAsia"/>
          <w:sz w:val="24"/>
          <w:szCs w:val="24"/>
        </w:rPr>
        <w:t>■</w:t>
      </w:r>
      <w:r>
        <w:rPr>
          <w:rFonts w:hint="eastAsia" w:ascii="宋体" w:hAnsi="宋体" w:cs="宋体"/>
          <w:sz w:val="24"/>
        </w:rPr>
        <w:t>小微企业</w:t>
      </w:r>
      <w:r>
        <w:rPr>
          <w:rFonts w:hint="eastAsia" w:ascii="宋体" w:hAnsi="宋体" w:cs="宋体"/>
          <w:sz w:val="24"/>
          <w:lang w:val="en-US" w:eastAsia="zh-CN"/>
        </w:rPr>
        <w:t xml:space="preserve"> </w:t>
      </w:r>
      <w:r>
        <w:rPr>
          <w:rFonts w:hint="eastAsia" w:ascii="宋体" w:hAnsi="宋体" w:cs="宋体"/>
          <w:sz w:val="24"/>
        </w:rPr>
        <w:t>采购 。即 ：提供的货物全部由符合政策要求的小微企业制造、服务全部由符合政策要求的小微企业承接。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7"/>
      <w:bookmarkEnd w:id="8"/>
    </w:p>
    <w:p>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sz w:val="24"/>
          <w:lang w:bidi="ar"/>
        </w:rPr>
        <w:t>1.时间：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11</w:t>
      </w:r>
      <w:r>
        <w:rPr>
          <w:rFonts w:hint="eastAsia" w:ascii="宋体" w:hAnsi="宋体" w:cs="宋体"/>
          <w:color w:val="auto"/>
          <w:sz w:val="24"/>
          <w:u w:val="single"/>
        </w:rPr>
        <w:t>月</w:t>
      </w:r>
      <w:r>
        <w:rPr>
          <w:rFonts w:hint="eastAsia" w:ascii="宋体" w:hAnsi="宋体" w:cs="宋体"/>
          <w:color w:val="auto"/>
          <w:sz w:val="24"/>
          <w:u w:val="single"/>
          <w:lang w:val="en-US" w:eastAsia="zh-CN"/>
        </w:rPr>
        <w:t>18</w:t>
      </w:r>
      <w:r>
        <w:rPr>
          <w:rFonts w:hint="eastAsia" w:ascii="宋体" w:hAnsi="宋体" w:cs="宋体"/>
          <w:color w:val="auto"/>
          <w:sz w:val="24"/>
          <w:u w:val="single"/>
        </w:rPr>
        <w:t>日</w:t>
      </w:r>
      <w:r>
        <w:rPr>
          <w:rFonts w:hint="eastAsia" w:ascii="宋体" w:hAnsi="宋体" w:cs="宋体"/>
          <w:color w:val="auto"/>
          <w:sz w:val="24"/>
          <w:lang w:bidi="ar"/>
        </w:rPr>
        <w:t>至</w:t>
      </w:r>
      <w:r>
        <w:rPr>
          <w:rFonts w:hint="eastAsia" w:ascii="宋体" w:hAnsi="宋体" w:cs="宋体"/>
          <w:color w:val="auto"/>
          <w:sz w:val="24"/>
          <w:u w:val="single"/>
        </w:rPr>
        <w:t>2025</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bidi="ar"/>
        </w:rPr>
        <w:t>11</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bidi="ar"/>
        </w:rPr>
        <w:t>24</w:t>
      </w:r>
      <w:r>
        <w:rPr>
          <w:rFonts w:hint="eastAsia" w:ascii="宋体" w:hAnsi="宋体" w:cs="宋体"/>
          <w:color w:val="auto"/>
          <w:sz w:val="24"/>
          <w:u w:val="single"/>
          <w:lang w:bidi="ar"/>
        </w:rPr>
        <w:t>日</w:t>
      </w:r>
    </w:p>
    <w:p>
      <w:pPr>
        <w:adjustRightInd w:val="0"/>
        <w:snapToGrid w:val="0"/>
        <w:spacing w:line="360" w:lineRule="auto"/>
        <w:ind w:firstLine="480" w:firstLineChars="200"/>
        <w:rPr>
          <w:rFonts w:hint="eastAsia" w:ascii="宋体" w:hAnsi="宋体" w:cs="宋体"/>
          <w:sz w:val="24"/>
        </w:rPr>
      </w:pPr>
      <w:bookmarkStart w:id="9" w:name="_Toc28359082"/>
      <w:bookmarkStart w:id="10" w:name="_Toc28359005"/>
      <w:bookmarkStart w:id="11" w:name="_Toc35393624"/>
      <w:bookmarkStart w:id="12" w:name="_Toc35393793"/>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pStyle w:val="4"/>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9"/>
      <w:bookmarkEnd w:id="10"/>
      <w:r>
        <w:rPr>
          <w:rFonts w:hint="eastAsia" w:ascii="宋体" w:hAnsi="宋体" w:eastAsia="宋体" w:cs="宋体"/>
          <w:sz w:val="24"/>
          <w:szCs w:val="24"/>
        </w:rPr>
        <w:t>截止时间、开标时间和地点</w:t>
      </w:r>
      <w:bookmarkEnd w:id="11"/>
      <w:bookmarkEnd w:id="12"/>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9</w:t>
      </w:r>
      <w:r>
        <w:rPr>
          <w:rFonts w:hint="eastAsia" w:ascii="宋体" w:hAnsi="宋体" w:cs="宋体"/>
          <w:color w:val="auto"/>
          <w:sz w:val="24"/>
          <w:u w:val="single"/>
        </w:rPr>
        <w:t>日</w:t>
      </w:r>
      <w:r>
        <w:rPr>
          <w:rFonts w:hint="eastAsia" w:ascii="宋体" w:hAnsi="宋体" w:cs="宋体"/>
          <w:color w:val="auto"/>
          <w:sz w:val="24"/>
          <w:u w:val="single"/>
          <w:lang w:eastAsia="zh-CN"/>
        </w:rPr>
        <w:t>上午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4"/>
        <w:spacing w:before="0" w:line="360" w:lineRule="auto"/>
        <w:jc w:val="left"/>
        <w:rPr>
          <w:rFonts w:hint="eastAsia" w:ascii="宋体" w:hAnsi="宋体" w:eastAsia="宋体" w:cs="宋体"/>
          <w:sz w:val="24"/>
          <w:szCs w:val="24"/>
        </w:rPr>
      </w:pPr>
      <w:bookmarkStart w:id="13" w:name="_Toc35393794"/>
      <w:bookmarkStart w:id="14" w:name="_Toc28359007"/>
      <w:bookmarkStart w:id="15" w:name="_Toc35393625"/>
      <w:bookmarkStart w:id="16" w:name="_Toc28359084"/>
      <w:r>
        <w:rPr>
          <w:rFonts w:hint="eastAsia" w:ascii="宋体" w:hAnsi="宋体" w:eastAsia="宋体" w:cs="宋体"/>
          <w:sz w:val="24"/>
          <w:szCs w:val="24"/>
        </w:rPr>
        <w:t>五、公告期限</w:t>
      </w:r>
      <w:bookmarkEnd w:id="13"/>
      <w:bookmarkEnd w:id="14"/>
      <w:bookmarkEnd w:id="15"/>
      <w:bookmarkEnd w:id="16"/>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4"/>
        <w:spacing w:before="0" w:line="360" w:lineRule="auto"/>
        <w:jc w:val="left"/>
        <w:rPr>
          <w:rFonts w:hint="eastAsia" w:ascii="宋体" w:hAnsi="宋体" w:eastAsia="宋体" w:cs="宋体"/>
          <w:sz w:val="24"/>
          <w:szCs w:val="24"/>
        </w:rPr>
      </w:pPr>
      <w:bookmarkStart w:id="17" w:name="_Toc35393795"/>
      <w:bookmarkStart w:id="18" w:name="_Toc35393626"/>
      <w:r>
        <w:rPr>
          <w:rFonts w:hint="eastAsia" w:ascii="宋体" w:hAnsi="宋体" w:eastAsia="宋体" w:cs="宋体"/>
          <w:sz w:val="24"/>
          <w:szCs w:val="24"/>
        </w:rPr>
        <w:t>六、其他补充事宜</w:t>
      </w:r>
      <w:bookmarkEnd w:id="17"/>
      <w:bookmarkEnd w:id="18"/>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17"/>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17"/>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17"/>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17"/>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17"/>
        <w:spacing w:before="15" w:line="360" w:lineRule="auto"/>
        <w:ind w:left="498"/>
        <w:rPr>
          <w:rFonts w:hint="eastAsia" w:cs="宋体"/>
        </w:rPr>
      </w:pPr>
      <w:r>
        <w:rPr>
          <w:rFonts w:hint="eastAsia" w:cs="宋体"/>
          <w:spacing w:val="3"/>
        </w:rPr>
        <w:t>3.2 注册</w:t>
      </w:r>
    </w:p>
    <w:p>
      <w:pPr>
        <w:pStyle w:val="17"/>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17"/>
        <w:spacing w:before="9" w:line="360" w:lineRule="auto"/>
        <w:ind w:left="498"/>
        <w:rPr>
          <w:rFonts w:hint="eastAsia" w:cs="宋体"/>
        </w:rPr>
      </w:pPr>
      <w:r>
        <w:rPr>
          <w:rFonts w:hint="eastAsia" w:cs="宋体"/>
          <w:spacing w:val="1"/>
        </w:rPr>
        <w:t>3.3 驱动、客户端下载</w:t>
      </w:r>
    </w:p>
    <w:p>
      <w:pPr>
        <w:pStyle w:val="17"/>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17"/>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17"/>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17"/>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17"/>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17"/>
        <w:spacing w:before="11" w:line="360" w:lineRule="auto"/>
        <w:ind w:left="498"/>
        <w:rPr>
          <w:rFonts w:hint="eastAsia" w:cs="宋体"/>
        </w:rPr>
      </w:pPr>
      <w:r>
        <w:rPr>
          <w:rFonts w:hint="eastAsia" w:cs="宋体"/>
          <w:spacing w:val="1"/>
        </w:rPr>
        <w:t>3.5 编制电子投标文件</w:t>
      </w:r>
    </w:p>
    <w:p>
      <w:pPr>
        <w:pStyle w:val="17"/>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17"/>
        <w:spacing w:before="15" w:line="360" w:lineRule="auto"/>
        <w:ind w:left="498"/>
        <w:rPr>
          <w:rFonts w:hint="eastAsia" w:cs="宋体"/>
        </w:rPr>
      </w:pPr>
      <w:r>
        <w:rPr>
          <w:rFonts w:hint="eastAsia" w:cs="宋体"/>
          <w:spacing w:val="1"/>
        </w:rPr>
        <w:t>3.6 提交电子投标文件</w:t>
      </w:r>
    </w:p>
    <w:p>
      <w:pPr>
        <w:pStyle w:val="17"/>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17"/>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17"/>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19" w:name="_Toc35393796"/>
      <w:bookmarkStart w:id="20" w:name="_Toc28359008"/>
      <w:bookmarkStart w:id="21" w:name="_Toc28359085"/>
      <w:bookmarkStart w:id="22" w:name="_Toc35393627"/>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19"/>
      <w:bookmarkEnd w:id="20"/>
      <w:bookmarkEnd w:id="21"/>
      <w:bookmarkEnd w:id="22"/>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3" w:name="_Toc28359086"/>
      <w:bookmarkStart w:id="24" w:name="_Toc28359009"/>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北京市石景山区教育委员会教育技术装备中心</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北京市石景山区西井三区北门西侧胡同内</w:t>
      </w:r>
    </w:p>
    <w:p>
      <w:pPr>
        <w:spacing w:line="360" w:lineRule="auto"/>
        <w:ind w:firstLine="480" w:firstLineChars="200"/>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lang w:eastAsia="zh-CN"/>
        </w:rPr>
        <w:t>韩同</w:t>
      </w:r>
      <w:r>
        <w:rPr>
          <w:rFonts w:hint="eastAsia" w:ascii="宋体" w:hAnsi="宋体" w:cs="宋体"/>
          <w:sz w:val="24"/>
          <w:u w:val="single"/>
          <w:lang w:val="en-US" w:eastAsia="zh-CN"/>
        </w:rPr>
        <w:t>010-88963530</w:t>
      </w:r>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3"/>
      <w:bookmarkEnd w:id="24"/>
    </w:p>
    <w:p>
      <w:pPr>
        <w:spacing w:line="360" w:lineRule="auto"/>
        <w:ind w:firstLine="480" w:firstLineChars="200"/>
        <w:jc w:val="left"/>
        <w:rPr>
          <w:rFonts w:hint="eastAsia" w:ascii="宋体" w:hAnsi="宋体" w:cs="宋体"/>
          <w:sz w:val="24"/>
        </w:rPr>
      </w:pPr>
      <w:bookmarkStart w:id="25" w:name="_Toc28359087"/>
      <w:bookmarkStart w:id="26" w:name="_Toc28359010"/>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bCs/>
          <w:color w:val="000000"/>
          <w:sz w:val="24"/>
          <w:u w:val="single"/>
        </w:rPr>
        <w:t>北京市石景山区京原西街6号院3号楼7层</w:t>
      </w:r>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r>
        <w:rPr>
          <w:rFonts w:hint="eastAsia" w:ascii="宋体" w:hAnsi="宋体" w:cs="宋体"/>
          <w:sz w:val="24"/>
          <w:u w:val="single"/>
          <w:lang w:val="en-US" w:eastAsia="zh-CN"/>
        </w:rPr>
        <w:t>010-</w:t>
      </w:r>
      <w:r>
        <w:rPr>
          <w:rFonts w:hint="eastAsia" w:ascii="宋体" w:hAnsi="宋体" w:cs="宋体"/>
          <w:bCs/>
          <w:color w:val="000000"/>
          <w:sz w:val="24"/>
          <w:u w:val="single"/>
        </w:rPr>
        <w:t>81927379</w:t>
      </w:r>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5"/>
      <w:bookmarkEnd w:id="26"/>
    </w:p>
    <w:p>
      <w:pPr>
        <w:pStyle w:val="29"/>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ascii="宋体" w:hAnsi="宋体" w:cs="宋体"/>
          <w:sz w:val="24"/>
          <w:u w:val="single"/>
          <w:lang w:eastAsia="zh-CN"/>
        </w:rPr>
        <w:t>朱彦超</w:t>
      </w:r>
    </w:p>
    <w:p>
      <w:pPr>
        <w:pStyle w:val="29"/>
        <w:spacing w:line="360" w:lineRule="auto"/>
        <w:ind w:firstLine="480" w:firstLineChars="200"/>
        <w:rPr>
          <w:rFonts w:hint="eastAsia" w:hAnsi="宋体" w:cs="宋体"/>
          <w:bCs/>
          <w:color w:val="000000"/>
          <w:sz w:val="24"/>
          <w:szCs w:val="24"/>
          <w:u w:val="single"/>
          <w:lang w:val="en-US" w:eastAsia="zh-CN"/>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pPr>
        <w:pStyle w:val="29"/>
        <w:spacing w:line="360" w:lineRule="auto"/>
        <w:ind w:firstLine="480" w:firstLineChars="200"/>
        <w:rPr>
          <w:rFonts w:hint="eastAsia" w:hAnsi="宋体" w:cs="宋体"/>
          <w:bCs/>
          <w:color w:val="000000"/>
          <w:sz w:val="24"/>
          <w:szCs w:val="24"/>
          <w:u w:val="single"/>
          <w:lang w:val="en-US" w:eastAsia="zh-CN"/>
        </w:rPr>
      </w:pPr>
    </w:p>
    <w:p>
      <w:pPr>
        <w:spacing w:before="76" w:line="360" w:lineRule="auto"/>
        <w:ind w:right="58"/>
        <w:jc w:val="center"/>
        <w:rPr>
          <w:rFonts w:hint="eastAsia" w:ascii="宋体" w:hAnsi="宋体" w:cs="宋体"/>
          <w:spacing w:val="-12"/>
          <w:sz w:val="24"/>
        </w:rPr>
      </w:pPr>
    </w:p>
    <w:p>
      <w:pPr>
        <w:pStyle w:val="4"/>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27" w:name="_Toc353873938"/>
      <w:bookmarkStart w:id="28" w:name="_Toc195842950"/>
      <w:bookmarkStart w:id="29" w:name="_Toc265228423"/>
      <w:bookmarkStart w:id="30" w:name="_Toc264969275"/>
      <w:bookmarkStart w:id="31" w:name="_Toc127151777"/>
      <w:bookmarkStart w:id="32" w:name="_Toc15240"/>
      <w:bookmarkStart w:id="33" w:name="_Toc127161488"/>
      <w:bookmarkStart w:id="34" w:name="_Toc305158854"/>
      <w:bookmarkStart w:id="35" w:name="_Toc305158928"/>
      <w:bookmarkStart w:id="36" w:name="_Toc226965856"/>
      <w:bookmarkStart w:id="37" w:name="_Toc353825548"/>
      <w:bookmarkStart w:id="38" w:name="_Toc150774783"/>
      <w:bookmarkStart w:id="39" w:name="_Toc512937850"/>
      <w:r>
        <w:rPr>
          <w:rFonts w:hint="eastAsia" w:ascii="宋体" w:hAnsi="宋体" w:cs="宋体"/>
          <w:b/>
          <w:sz w:val="36"/>
          <w:szCs w:val="36"/>
        </w:rPr>
        <w:t>第二章   投标人须知</w:t>
      </w:r>
      <w:bookmarkEnd w:id="27"/>
      <w:bookmarkEnd w:id="28"/>
      <w:bookmarkEnd w:id="29"/>
      <w:bookmarkEnd w:id="30"/>
      <w:bookmarkEnd w:id="31"/>
      <w:bookmarkEnd w:id="32"/>
      <w:bookmarkEnd w:id="33"/>
      <w:bookmarkEnd w:id="34"/>
      <w:bookmarkEnd w:id="35"/>
      <w:bookmarkEnd w:id="36"/>
      <w:bookmarkEnd w:id="37"/>
      <w:bookmarkEnd w:id="38"/>
      <w:bookmarkEnd w:id="39"/>
    </w:p>
    <w:p>
      <w:pPr>
        <w:pStyle w:val="4"/>
        <w:tabs>
          <w:tab w:val="center" w:pos="4592"/>
          <w:tab w:val="left" w:pos="7860"/>
        </w:tabs>
        <w:spacing w:before="0" w:line="360" w:lineRule="auto"/>
        <w:rPr>
          <w:rFonts w:hint="eastAsia" w:ascii="宋体" w:hAnsi="宋体" w:eastAsia="宋体" w:cs="宋体"/>
          <w:sz w:val="28"/>
        </w:rPr>
      </w:pPr>
      <w:bookmarkStart w:id="40" w:name="_Toc151193689"/>
      <w:bookmarkStart w:id="41" w:name="_Toc164351613"/>
      <w:bookmarkStart w:id="42" w:name="_Toc226965792"/>
      <w:bookmarkStart w:id="43" w:name="_Toc151190146"/>
      <w:bookmarkStart w:id="44" w:name="_Toc149720812"/>
      <w:bookmarkStart w:id="45" w:name="_Toc127151519"/>
      <w:bookmarkStart w:id="46" w:name="_Toc226309763"/>
      <w:bookmarkStart w:id="47" w:name="_Toc226337215"/>
      <w:bookmarkStart w:id="48" w:name="_Toc164229360"/>
      <w:bookmarkStart w:id="49" w:name="_Toc151193833"/>
      <w:bookmarkStart w:id="50" w:name="_Toc226965709"/>
      <w:bookmarkStart w:id="51" w:name="_Toc150509270"/>
      <w:bookmarkStart w:id="52" w:name="_Toc127161433"/>
      <w:bookmarkStart w:id="53" w:name="_Toc151193907"/>
      <w:bookmarkStart w:id="54" w:name="_Toc164608788"/>
      <w:bookmarkStart w:id="55" w:name="_Toc150774724"/>
      <w:bookmarkStart w:id="56" w:name="_Toc150774619"/>
      <w:bookmarkStart w:id="57" w:name="_Toc151193617"/>
      <w:bookmarkStart w:id="58" w:name="_Toc127151720"/>
      <w:bookmarkStart w:id="59" w:name="_Toc150480757"/>
      <w:bookmarkStart w:id="60" w:name="_Toc195842884"/>
      <w:bookmarkStart w:id="61" w:name="_Toc151193761"/>
      <w:bookmarkStart w:id="62" w:name="_Toc142311021"/>
      <w:bookmarkStart w:id="63" w:name="_Toc164608633"/>
      <w:bookmarkStart w:id="64" w:name="_Toc164229214"/>
      <w:bookmarkStart w:id="65" w:name="_Toc520356144"/>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9"/>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9"/>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Ansi="宋体" w:cs="宋体"/>
                <w:sz w:val="24"/>
                <w:szCs w:val="24"/>
              </w:rPr>
              <w:t>□</w:t>
            </w:r>
            <w:r>
              <w:rPr>
                <w:rFonts w:hint="eastAsia" w:ascii="宋体" w:hAnsi="宋体" w:cs="宋体"/>
                <w:sz w:val="24"/>
              </w:rPr>
              <w:t>服务</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货物</w:t>
            </w:r>
          </w:p>
          <w:p>
            <w:pPr>
              <w:pStyle w:val="22"/>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9"/>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9"/>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9"/>
              <w:adjustRightInd w:val="0"/>
              <w:snapToGrid w:val="0"/>
              <w:rPr>
                <w:rFonts w:hAnsi="宋体" w:cs="宋体"/>
                <w:sz w:val="24"/>
                <w:szCs w:val="24"/>
              </w:rPr>
            </w:pPr>
            <w:r>
              <w:rPr>
                <w:rFonts w:hAnsi="宋体" w:cs="宋体"/>
                <w:sz w:val="24"/>
                <w:szCs w:val="24"/>
              </w:rPr>
              <w:t>□关于核心产品本项目不适用。</w:t>
            </w:r>
          </w:p>
          <w:p>
            <w:pPr>
              <w:pStyle w:val="29"/>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int="eastAsia" w:hAnsi="宋体" w:cs="宋体"/>
                <w:sz w:val="24"/>
                <w:szCs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color w:val="auto"/>
                <w:szCs w:val="21"/>
              </w:rPr>
              <w:t>■</w:t>
            </w:r>
            <w:r>
              <w:rPr>
                <w:rFonts w:hint="eastAsia" w:ascii="宋体" w:hAnsi="宋体" w:cs="宋体"/>
                <w:color w:val="auto"/>
                <w:sz w:val="24"/>
              </w:rPr>
              <w:t>本项目</w:t>
            </w:r>
            <w:r>
              <w:rPr>
                <w:rFonts w:hint="eastAsia" w:ascii="宋体" w:hAnsi="宋体" w:cs="宋体"/>
                <w:color w:val="auto"/>
                <w:sz w:val="24"/>
                <w:u w:val="single"/>
                <w:lang w:val="en-US" w:eastAsia="zh-CN"/>
              </w:rPr>
              <w:t>02</w:t>
            </w:r>
            <w:r>
              <w:rPr>
                <w:rFonts w:hint="eastAsia" w:ascii="宋体" w:hAnsi="宋体" w:cs="宋体"/>
                <w:color w:val="auto"/>
                <w:sz w:val="24"/>
              </w:rPr>
              <w:t>包为非单一产品采购项目，核心产品为：</w:t>
            </w:r>
            <w:r>
              <w:rPr>
                <w:rFonts w:hint="eastAsia" w:ascii="宋体" w:hAnsi="宋体" w:cs="宋体"/>
                <w:color w:val="auto"/>
                <w:sz w:val="24"/>
                <w:u w:val="single"/>
                <w:lang w:eastAsia="zh-CN"/>
              </w:rPr>
              <w:t>需求清单序号</w:t>
            </w:r>
            <w:r>
              <w:rPr>
                <w:rFonts w:hint="eastAsia" w:ascii="宋体" w:hAnsi="宋体" w:cs="宋体"/>
                <w:color w:val="auto"/>
                <w:sz w:val="24"/>
                <w:u w:val="single"/>
                <w:lang w:val="en-US" w:eastAsia="zh-CN"/>
              </w:rPr>
              <w:t>13办公桌</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9"/>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sz w:val="24"/>
              </w:rPr>
            </w:pPr>
            <w:r>
              <w:rPr>
                <w:rFonts w:hint="eastAsia" w:ascii="宋体" w:hAnsi="宋体" w:cs="宋体"/>
                <w:color w:val="auto"/>
                <w:szCs w:val="21"/>
              </w:rPr>
              <w:t>■</w:t>
            </w:r>
            <w:r>
              <w:rPr>
                <w:rFonts w:hint="eastAsia" w:ascii="宋体" w:hAnsi="宋体" w:cs="宋体"/>
                <w:sz w:val="24"/>
              </w:rPr>
              <w:t>不组织</w:t>
            </w:r>
          </w:p>
          <w:p>
            <w:pPr>
              <w:jc w:val="left"/>
              <w:rPr>
                <w:rFonts w:hint="eastAsia" w:ascii="宋体" w:hAnsi="宋体" w:cs="宋体"/>
                <w:bCs/>
                <w:color w:val="auto"/>
                <w:sz w:val="24"/>
              </w:rPr>
            </w:pPr>
            <w:r>
              <w:rPr>
                <w:rFonts w:hint="eastAsia" w:ascii="宋体" w:hAnsi="宋体" w:cs="宋体"/>
                <w:sz w:val="24"/>
              </w:rPr>
              <w:t>□</w:t>
            </w: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9"/>
              <w:adjustRightInd w:val="0"/>
              <w:snapToGrid w:val="0"/>
              <w:rPr>
                <w:rFonts w:hAnsi="宋体" w:cs="宋体"/>
                <w:sz w:val="24"/>
                <w:szCs w:val="24"/>
              </w:rPr>
            </w:pPr>
            <w:r>
              <w:rPr>
                <w:rFonts w:hAnsi="宋体" w:cs="宋体"/>
                <w:sz w:val="24"/>
              </w:rPr>
              <w:t>考察地点：</w:t>
            </w:r>
            <w:r>
              <w:rPr>
                <w:rFonts w:hint="eastAsia" w:hAnsi="宋体" w:cs="宋体"/>
                <w:color w:val="auto"/>
                <w:sz w:val="24"/>
                <w:u w:val="single"/>
                <w:lang w:val="en-US" w:eastAsia="zh-CN"/>
              </w:rPr>
              <w:t xml:space="preserve">         </w:t>
            </w:r>
            <w:r>
              <w:rPr>
                <w:rFonts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9"/>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sz w:val="24"/>
              </w:rPr>
            </w:pPr>
            <w:r>
              <w:rPr>
                <w:rFonts w:hint="eastAsia" w:ascii="宋体" w:hAnsi="宋体" w:cs="宋体"/>
                <w:sz w:val="24"/>
              </w:rPr>
              <w:t>□不召开</w:t>
            </w:r>
          </w:p>
          <w:p>
            <w:pPr>
              <w:jc w:val="left"/>
              <w:rPr>
                <w:rFonts w:hint="eastAsia" w:ascii="宋体" w:hAnsi="宋体" w:cs="宋体"/>
                <w:color w:val="auto"/>
                <w:sz w:val="24"/>
              </w:rPr>
            </w:pPr>
            <w:r>
              <w:rPr>
                <w:rFonts w:hint="eastAsia" w:ascii="宋体" w:hAnsi="宋体" w:cs="宋体"/>
                <w:szCs w:val="21"/>
              </w:rPr>
              <w:t>■</w:t>
            </w:r>
            <w:r>
              <w:rPr>
                <w:rFonts w:hint="eastAsia" w:ascii="宋体" w:hAnsi="宋体" w:cs="宋体"/>
                <w:sz w:val="24"/>
              </w:rPr>
              <w:t>召开，召开时间：</w:t>
            </w:r>
            <w:r>
              <w:rPr>
                <w:rFonts w:hint="eastAsia" w:ascii="宋体" w:hAnsi="宋体" w:cs="宋体"/>
                <w:color w:val="auto"/>
                <w:sz w:val="24"/>
                <w:u w:val="single"/>
                <w:lang w:val="en-US" w:eastAsia="zh-CN"/>
              </w:rPr>
              <w:t>2025</w:t>
            </w:r>
            <w:r>
              <w:rPr>
                <w:rFonts w:hint="eastAsia" w:ascii="宋体" w:hAnsi="宋体" w:cs="宋体"/>
                <w:color w:val="auto"/>
                <w:sz w:val="24"/>
                <w:lang w:bidi="ar"/>
              </w:rPr>
              <w:t>年</w:t>
            </w:r>
            <w:r>
              <w:rPr>
                <w:rFonts w:hint="eastAsia" w:ascii="宋体" w:hAnsi="宋体" w:cs="宋体"/>
                <w:color w:val="auto"/>
                <w:sz w:val="24"/>
                <w:u w:val="single"/>
                <w:lang w:val="en-US" w:eastAsia="zh-CN"/>
              </w:rPr>
              <w:t>11</w:t>
            </w:r>
            <w:r>
              <w:rPr>
                <w:rFonts w:hint="eastAsia" w:ascii="宋体" w:hAnsi="宋体" w:cs="宋体"/>
                <w:color w:val="auto"/>
                <w:sz w:val="24"/>
                <w:lang w:bidi="ar"/>
              </w:rPr>
              <w:t>月</w:t>
            </w:r>
            <w:r>
              <w:rPr>
                <w:rFonts w:hint="eastAsia" w:ascii="宋体" w:hAnsi="宋体" w:cs="宋体"/>
                <w:color w:val="auto"/>
                <w:sz w:val="24"/>
                <w:u w:val="single"/>
                <w:lang w:val="en-US" w:eastAsia="zh-CN"/>
              </w:rPr>
              <w:t>25</w:t>
            </w:r>
            <w:r>
              <w:rPr>
                <w:rFonts w:hint="eastAsia" w:ascii="宋体" w:hAnsi="宋体" w:cs="宋体"/>
                <w:color w:val="auto"/>
                <w:sz w:val="24"/>
                <w:lang w:bidi="ar"/>
              </w:rPr>
              <w:t>日</w:t>
            </w:r>
            <w:r>
              <w:rPr>
                <w:rFonts w:hint="eastAsia" w:ascii="宋体" w:hAnsi="宋体" w:cs="宋体"/>
                <w:color w:val="auto"/>
                <w:sz w:val="24"/>
                <w:u w:val="single"/>
                <w:lang w:val="en-US" w:eastAsia="zh-CN"/>
              </w:rPr>
              <w:t>15</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pPr>
              <w:jc w:val="left"/>
              <w:rPr>
                <w:rFonts w:hint="eastAsia" w:ascii="宋体" w:hAnsi="宋体" w:cs="宋体"/>
                <w:sz w:val="24"/>
              </w:rPr>
            </w:pPr>
            <w:r>
              <w:rPr>
                <w:rFonts w:hint="eastAsia" w:ascii="宋体" w:hAnsi="宋体" w:cs="宋体"/>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9"/>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投标样品递交：</w:t>
            </w:r>
          </w:p>
          <w:p>
            <w:pPr>
              <w:jc w:val="left"/>
              <w:rPr>
                <w:rFonts w:hint="eastAsia" w:ascii="宋体" w:hAnsi="宋体" w:cs="宋体"/>
                <w:color w:val="auto"/>
                <w:sz w:val="24"/>
              </w:rPr>
            </w:pPr>
            <w:r>
              <w:rPr>
                <w:rFonts w:hint="eastAsia" w:ascii="宋体" w:hAnsi="宋体" w:cs="宋体"/>
                <w:color w:val="auto"/>
                <w:sz w:val="24"/>
              </w:rPr>
              <w:t>□不需要</w:t>
            </w:r>
          </w:p>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需要，具体要求如下：</w:t>
            </w:r>
          </w:p>
          <w:p>
            <w:pPr>
              <w:jc w:val="left"/>
              <w:rPr>
                <w:rFonts w:hint="eastAsia" w:ascii="宋体" w:hAnsi="宋体" w:cs="宋体"/>
                <w:color w:val="auto"/>
                <w:sz w:val="24"/>
                <w:u w:val="single"/>
              </w:rPr>
            </w:pPr>
            <w:r>
              <w:rPr>
                <w:rFonts w:hint="eastAsia" w:ascii="宋体" w:hAnsi="宋体" w:cs="宋体"/>
                <w:color w:val="auto"/>
                <w:sz w:val="24"/>
              </w:rPr>
              <w:t>（1）样品制作的标准和要求：</w:t>
            </w:r>
            <w:r>
              <w:rPr>
                <w:rFonts w:hint="eastAsia" w:ascii="宋体" w:hAnsi="宋体" w:cs="宋体"/>
                <w:color w:val="auto"/>
                <w:sz w:val="24"/>
                <w:u w:val="single"/>
                <w:lang w:eastAsia="zh-CN"/>
              </w:rPr>
              <w:t>见第五章“采购需求”</w:t>
            </w:r>
            <w:r>
              <w:rPr>
                <w:rFonts w:hint="eastAsia" w:ascii="宋体" w:hAnsi="宋体" w:cs="宋体"/>
                <w:color w:val="auto"/>
                <w:sz w:val="24"/>
              </w:rPr>
              <w:t>；</w:t>
            </w:r>
          </w:p>
          <w:p>
            <w:pPr>
              <w:jc w:val="left"/>
              <w:rPr>
                <w:rFonts w:hint="eastAsia" w:ascii="宋体" w:hAnsi="宋体" w:cs="宋体"/>
                <w:color w:val="auto"/>
                <w:sz w:val="24"/>
              </w:rPr>
            </w:pPr>
            <w:r>
              <w:rPr>
                <w:rFonts w:hint="eastAsia" w:ascii="宋体" w:hAnsi="宋体" w:cs="宋体"/>
                <w:color w:val="auto"/>
                <w:sz w:val="24"/>
              </w:rPr>
              <w:t>（2）是否需要随样品提交相关检测报告：</w:t>
            </w:r>
          </w:p>
          <w:p>
            <w:pPr>
              <w:ind w:firstLine="525" w:firstLineChars="250"/>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不需要</w:t>
            </w:r>
          </w:p>
          <w:p>
            <w:pPr>
              <w:ind w:firstLine="600" w:firstLineChars="250"/>
              <w:jc w:val="left"/>
              <w:rPr>
                <w:rFonts w:hint="eastAsia" w:ascii="宋体" w:hAnsi="宋体" w:cs="宋体"/>
                <w:color w:val="auto"/>
                <w:sz w:val="24"/>
              </w:rPr>
            </w:pPr>
            <w:r>
              <w:rPr>
                <w:rFonts w:hint="eastAsia" w:ascii="宋体" w:hAnsi="宋体" w:cs="宋体"/>
                <w:color w:val="auto"/>
                <w:sz w:val="24"/>
              </w:rPr>
              <w:t>□需要</w:t>
            </w:r>
          </w:p>
          <w:p>
            <w:pPr>
              <w:jc w:val="left"/>
              <w:rPr>
                <w:rFonts w:hint="eastAsia" w:ascii="宋体" w:hAnsi="宋体" w:cs="宋体"/>
                <w:color w:val="auto"/>
                <w:sz w:val="24"/>
                <w:u w:val="single"/>
              </w:rPr>
            </w:pPr>
            <w:r>
              <w:rPr>
                <w:rFonts w:hint="eastAsia" w:ascii="宋体" w:hAnsi="宋体" w:cs="宋体"/>
                <w:color w:val="auto"/>
                <w:sz w:val="24"/>
              </w:rPr>
              <w:t>（3）样品递交要求：</w:t>
            </w:r>
            <w:r>
              <w:rPr>
                <w:rFonts w:hint="eastAsia" w:ascii="宋体" w:hAnsi="宋体" w:cs="宋体"/>
                <w:color w:val="auto"/>
                <w:sz w:val="24"/>
                <w:u w:val="single"/>
                <w:lang w:val="en-US" w:eastAsia="zh-CN"/>
              </w:rPr>
              <w:t>样品请于2025</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rPr>
              <w:t>12</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rPr>
              <w:t>8</w:t>
            </w:r>
            <w:r>
              <w:rPr>
                <w:rFonts w:hint="eastAsia" w:ascii="宋体" w:hAnsi="宋体" w:cs="宋体"/>
                <w:color w:val="auto"/>
                <w:sz w:val="24"/>
                <w:u w:val="single"/>
                <w:lang w:bidi="ar"/>
              </w:rPr>
              <w:t>日</w:t>
            </w:r>
            <w:r>
              <w:rPr>
                <w:rFonts w:hint="eastAsia" w:ascii="宋体" w:hAnsi="宋体" w:cs="宋体"/>
                <w:color w:val="auto"/>
                <w:sz w:val="24"/>
                <w:u w:val="single"/>
                <w:lang w:val="en-US" w:eastAsia="zh-CN" w:bidi="ar"/>
              </w:rPr>
              <w:t>16：00-17:00递交至</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712</w:t>
            </w:r>
            <w:r>
              <w:rPr>
                <w:rFonts w:hint="eastAsia" w:ascii="宋体" w:hAnsi="宋体" w:cs="宋体"/>
                <w:color w:val="auto"/>
                <w:sz w:val="24"/>
                <w:u w:val="single"/>
              </w:rPr>
              <w:t>；</w:t>
            </w:r>
          </w:p>
          <w:p>
            <w:pPr>
              <w:jc w:val="left"/>
              <w:rPr>
                <w:rFonts w:hint="eastAsia" w:ascii="宋体" w:hAnsi="宋体" w:cs="宋体"/>
                <w:color w:val="auto"/>
                <w:sz w:val="24"/>
              </w:rPr>
            </w:pPr>
            <w:r>
              <w:rPr>
                <w:rFonts w:hint="eastAsia" w:ascii="宋体" w:hAnsi="宋体" w:cs="宋体"/>
                <w:color w:val="auto"/>
                <w:sz w:val="24"/>
              </w:rPr>
              <w:t>（4）未中标人样品退还：</w:t>
            </w:r>
            <w:r>
              <w:rPr>
                <w:rFonts w:hint="eastAsia" w:ascii="宋体" w:hAnsi="宋体" w:cs="宋体"/>
                <w:color w:val="auto"/>
                <w:sz w:val="24"/>
                <w:u w:val="single"/>
                <w:lang w:eastAsia="zh-CN"/>
              </w:rPr>
              <w:t>中标公告公示后退还</w:t>
            </w:r>
            <w:r>
              <w:rPr>
                <w:rFonts w:hint="eastAsia" w:ascii="宋体" w:hAnsi="宋体" w:cs="宋体"/>
                <w:color w:val="auto"/>
                <w:sz w:val="24"/>
              </w:rPr>
              <w:t>；</w:t>
            </w:r>
          </w:p>
          <w:p>
            <w:pPr>
              <w:jc w:val="left"/>
              <w:rPr>
                <w:rFonts w:hint="eastAsia" w:ascii="宋体" w:hAnsi="宋体" w:cs="宋体"/>
                <w:color w:val="auto"/>
                <w:sz w:val="24"/>
                <w:u w:val="single"/>
              </w:rPr>
            </w:pPr>
            <w:r>
              <w:rPr>
                <w:rFonts w:hint="eastAsia" w:ascii="宋体" w:hAnsi="宋体" w:cs="宋体"/>
                <w:color w:val="auto"/>
                <w:sz w:val="24"/>
              </w:rPr>
              <w:t>（5）中标人样品保管、封存及退还：</w:t>
            </w:r>
            <w:r>
              <w:rPr>
                <w:rFonts w:hint="eastAsia" w:ascii="宋体" w:hAnsi="宋体" w:cs="宋体"/>
                <w:color w:val="auto"/>
                <w:sz w:val="24"/>
                <w:u w:val="single"/>
                <w:lang w:eastAsia="zh-CN"/>
              </w:rPr>
              <w:t>中标公告公示后由采购人封存</w:t>
            </w:r>
            <w:r>
              <w:rPr>
                <w:rFonts w:hint="eastAsia" w:ascii="宋体" w:hAnsi="宋体" w:cs="宋体"/>
                <w:color w:val="auto"/>
                <w:sz w:val="24"/>
              </w:rPr>
              <w:t>；</w:t>
            </w:r>
          </w:p>
          <w:p>
            <w:pPr>
              <w:jc w:val="left"/>
              <w:rPr>
                <w:rFonts w:hint="eastAsia" w:ascii="宋体" w:hAnsi="宋体" w:cs="宋体"/>
                <w:sz w:val="24"/>
              </w:rPr>
            </w:pPr>
            <w:r>
              <w:rPr>
                <w:rFonts w:hint="eastAsia" w:ascii="宋体" w:hAnsi="宋体" w:cs="宋体"/>
                <w:color w:val="auto"/>
                <w:sz w:val="24"/>
              </w:rPr>
              <w:t>（6）其他要求（如有）：</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9"/>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9"/>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宋体" w:hAnsi="宋体" w:cs="宋体"/>
                      <w:sz w:val="24"/>
                      <w:u w:val="single"/>
                      <w:lang w:eastAsia="zh-CN"/>
                    </w:rPr>
                    <w:t>家具</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i w:val="0"/>
                      <w:iCs w:val="0"/>
                      <w:kern w:val="0"/>
                      <w:sz w:val="24"/>
                      <w:u w:val="single"/>
                      <w:lang w:eastAsia="zh-CN"/>
                    </w:rPr>
                    <w:t>工业</w:t>
                  </w:r>
                </w:p>
              </w:tc>
            </w:tr>
          </w:tbl>
          <w:p>
            <w:pPr>
              <w:pStyle w:val="22"/>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9"/>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9"/>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7"/>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7"/>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9"/>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9"/>
              <w:adjustRightInd w:val="0"/>
              <w:snapToGrid w:val="0"/>
              <w:rPr>
                <w:rFonts w:hAnsi="宋体" w:cs="宋体"/>
                <w:sz w:val="24"/>
              </w:rPr>
            </w:pPr>
            <w:r>
              <w:rPr>
                <w:rFonts w:hAnsi="宋体" w:cs="宋体"/>
                <w:sz w:val="24"/>
              </w:rPr>
              <w:t>中标候选人并列的，采购人是否委托评标委员会确定中标人：</w:t>
            </w:r>
          </w:p>
          <w:p>
            <w:pPr>
              <w:pStyle w:val="29"/>
              <w:adjustRightInd w:val="0"/>
              <w:snapToGrid w:val="0"/>
              <w:rPr>
                <w:rFonts w:hAnsi="宋体" w:cs="宋体"/>
                <w:sz w:val="24"/>
              </w:rPr>
            </w:pPr>
            <w:r>
              <w:rPr>
                <w:rFonts w:hAnsi="宋体" w:cs="宋体"/>
                <w:szCs w:val="21"/>
              </w:rPr>
              <w:t>■</w:t>
            </w:r>
            <w:r>
              <w:rPr>
                <w:rFonts w:hAnsi="宋体" w:cs="宋体"/>
                <w:sz w:val="24"/>
              </w:rPr>
              <w:t>否</w:t>
            </w:r>
          </w:p>
          <w:p>
            <w:pPr>
              <w:pStyle w:val="29"/>
              <w:adjustRightInd w:val="0"/>
              <w:snapToGrid w:val="0"/>
              <w:rPr>
                <w:rFonts w:hAnsi="宋体" w:cs="宋体"/>
                <w:sz w:val="24"/>
              </w:rPr>
            </w:pPr>
            <w:r>
              <w:rPr>
                <w:rFonts w:hAnsi="宋体" w:cs="宋体"/>
                <w:sz w:val="24"/>
              </w:rPr>
              <w:t>□是</w:t>
            </w:r>
          </w:p>
          <w:p>
            <w:pPr>
              <w:pStyle w:val="29"/>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9"/>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7"/>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7"/>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7"/>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7"/>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7"/>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7"/>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9"/>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9"/>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9"/>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pgBorders>
            <w:top w:val="none" w:sz="0" w:space="0"/>
            <w:left w:val="none" w:sz="0" w:space="0"/>
            <w:bottom w:val="none" w:sz="0" w:space="0"/>
            <w:right w:val="none" w:sz="0" w:space="0"/>
          </w:pgBorders>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66" w:name="_Toc226965790"/>
      <w:bookmarkStart w:id="67" w:name="_Toc353873932"/>
      <w:bookmarkStart w:id="68" w:name="_Toc142311019"/>
      <w:bookmarkStart w:id="69" w:name="_Toc305158859"/>
      <w:bookmarkStart w:id="70" w:name="_Toc226337213"/>
      <w:bookmarkStart w:id="71" w:name="_Toc150774722"/>
      <w:bookmarkStart w:id="72" w:name="_Toc264969207"/>
      <w:bookmarkStart w:id="73" w:name="_Toc265228355"/>
      <w:bookmarkStart w:id="74" w:name="_Toc195842882"/>
      <w:bookmarkStart w:id="75" w:name="_Toc353825542"/>
      <w:bookmarkStart w:id="76" w:name="_Toc305158785"/>
      <w:bookmarkStart w:id="77" w:name="_Toc150480755"/>
      <w:bookmarkStart w:id="78" w:name="_Toc127151517"/>
      <w:bookmarkStart w:id="79" w:name="_Toc353873662"/>
      <w:r>
        <w:rPr>
          <w:rFonts w:hint="eastAsia" w:ascii="宋体" w:hAnsi="宋体" w:cs="宋体"/>
          <w:b/>
          <w:sz w:val="28"/>
          <w:szCs w:val="28"/>
        </w:rPr>
        <w:t>投标人须知</w:t>
      </w:r>
      <w:bookmarkEnd w:id="66"/>
      <w:bookmarkEnd w:id="67"/>
      <w:bookmarkEnd w:id="68"/>
      <w:bookmarkEnd w:id="69"/>
      <w:bookmarkEnd w:id="70"/>
      <w:bookmarkEnd w:id="71"/>
      <w:bookmarkEnd w:id="72"/>
      <w:bookmarkEnd w:id="73"/>
      <w:bookmarkEnd w:id="74"/>
      <w:bookmarkEnd w:id="75"/>
      <w:bookmarkEnd w:id="76"/>
      <w:bookmarkEnd w:id="77"/>
      <w:bookmarkEnd w:id="78"/>
      <w:bookmarkEnd w:id="79"/>
    </w:p>
    <w:p>
      <w:pPr>
        <w:pStyle w:val="4"/>
        <w:tabs>
          <w:tab w:val="center" w:pos="4592"/>
          <w:tab w:val="left" w:pos="7860"/>
        </w:tabs>
        <w:spacing w:before="0" w:line="360" w:lineRule="auto"/>
        <w:jc w:val="left"/>
        <w:rPr>
          <w:rFonts w:hint="eastAsia" w:ascii="宋体" w:hAnsi="宋体" w:eastAsia="宋体" w:cs="宋体"/>
          <w:sz w:val="28"/>
        </w:rPr>
      </w:pPr>
      <w:bookmarkStart w:id="80" w:name="_Toc520356143"/>
      <w:bookmarkStart w:id="81" w:name="_Toc127151518"/>
      <w:r>
        <w:rPr>
          <w:rFonts w:hint="eastAsia" w:ascii="宋体" w:hAnsi="宋体" w:eastAsia="宋体" w:cs="宋体"/>
          <w:sz w:val="28"/>
        </w:rPr>
        <w:tab/>
      </w:r>
      <w:bookmarkStart w:id="82" w:name="_Toc150509269"/>
      <w:bookmarkStart w:id="83" w:name="_Toc142311020"/>
      <w:bookmarkStart w:id="84" w:name="_Toc151193832"/>
      <w:bookmarkStart w:id="85" w:name="_Toc226337214"/>
      <w:bookmarkStart w:id="86" w:name="_Toc264969208"/>
      <w:bookmarkStart w:id="87" w:name="_Toc150774723"/>
      <w:bookmarkStart w:id="88" w:name="_Toc305158786"/>
      <w:bookmarkStart w:id="89" w:name="_Toc151190145"/>
      <w:bookmarkStart w:id="90" w:name="_Toc226965791"/>
      <w:bookmarkStart w:id="91" w:name="_Toc265228356"/>
      <w:bookmarkStart w:id="92" w:name="_Toc151193906"/>
      <w:bookmarkStart w:id="93" w:name="_Toc151193760"/>
      <w:bookmarkStart w:id="94" w:name="_Toc195842883"/>
      <w:bookmarkStart w:id="95" w:name="_Toc150774618"/>
      <w:bookmarkStart w:id="96" w:name="_Toc151193616"/>
      <w:bookmarkStart w:id="97" w:name="_Toc305158860"/>
      <w:bookmarkStart w:id="98" w:name="_Toc150480756"/>
      <w:bookmarkStart w:id="99" w:name="_Toc151193688"/>
      <w:bookmarkStart w:id="100" w:name="_Toc226965708"/>
      <w:bookmarkStart w:id="101" w:name="_Toc226309762"/>
      <w:r>
        <w:rPr>
          <w:rFonts w:hint="eastAsia" w:ascii="宋体" w:hAnsi="宋体" w:eastAsia="宋体" w:cs="宋体"/>
          <w:sz w:val="28"/>
        </w:rPr>
        <w:t>一   说  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hint="eastAsia" w:ascii="宋体" w:hAnsi="宋体" w:eastAsia="宋体" w:cs="宋体"/>
          <w:sz w:val="28"/>
        </w:rPr>
        <w:tab/>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bookmarkStart w:id="102" w:name="_Toc264969209"/>
      <w:bookmarkStart w:id="103" w:name="_Toc305158787"/>
      <w:bookmarkStart w:id="104" w:name="_Toc305158861"/>
      <w:bookmarkStart w:id="105" w:name="_Toc265228357"/>
      <w:r>
        <w:rPr>
          <w:rFonts w:hint="eastAsia" w:ascii="宋体" w:hAnsi="宋体" w:cs="宋体"/>
          <w:sz w:val="24"/>
        </w:rPr>
        <w:t>采购人、采购代理机构、投标人</w:t>
      </w:r>
      <w:bookmarkEnd w:id="102"/>
      <w:bookmarkEnd w:id="103"/>
      <w:bookmarkEnd w:id="104"/>
      <w:bookmarkEnd w:id="105"/>
      <w:r>
        <w:rPr>
          <w:rFonts w:hint="eastAsia" w:ascii="宋体" w:hAnsi="宋体" w:cs="宋体"/>
          <w:sz w:val="24"/>
        </w:rPr>
        <w:t>、联合体</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bookmarkStart w:id="106" w:name="_Toc151193618"/>
      <w:bookmarkStart w:id="107" w:name="_Toc151193834"/>
      <w:bookmarkStart w:id="108" w:name="_Toc226965710"/>
      <w:bookmarkStart w:id="109" w:name="_Toc305158862"/>
      <w:bookmarkStart w:id="110" w:name="_Toc142311022"/>
      <w:bookmarkStart w:id="111" w:name="_Toc151193690"/>
      <w:bookmarkStart w:id="112" w:name="_Toc164608634"/>
      <w:bookmarkStart w:id="113" w:name="_Toc127161434"/>
      <w:bookmarkStart w:id="114" w:name="_Toc265228358"/>
      <w:bookmarkStart w:id="115" w:name="_Toc164351614"/>
      <w:bookmarkStart w:id="116" w:name="_Toc150480758"/>
      <w:bookmarkStart w:id="117" w:name="_Toc226337216"/>
      <w:bookmarkStart w:id="118" w:name="_Toc149720813"/>
      <w:bookmarkStart w:id="119" w:name="_Toc164229361"/>
      <w:bookmarkStart w:id="120" w:name="_Toc264969210"/>
      <w:bookmarkStart w:id="121" w:name="_Toc127151721"/>
      <w:bookmarkStart w:id="122" w:name="_Toc150509271"/>
      <w:bookmarkStart w:id="123" w:name="_Toc164229215"/>
      <w:bookmarkStart w:id="124" w:name="_Toc150774725"/>
      <w:bookmarkStart w:id="125" w:name="_Toc151193908"/>
      <w:bookmarkStart w:id="126" w:name="_Toc226309764"/>
      <w:bookmarkStart w:id="127" w:name="_Toc150774620"/>
      <w:bookmarkStart w:id="128" w:name="_Toc127151520"/>
      <w:bookmarkStart w:id="129" w:name="_Toc305158788"/>
      <w:bookmarkStart w:id="130" w:name="_Toc226965793"/>
      <w:bookmarkStart w:id="131" w:name="_Toc164608789"/>
      <w:bookmarkStart w:id="132" w:name="_Toc151193762"/>
      <w:bookmarkStart w:id="133" w:name="_Toc195842885"/>
      <w:bookmarkStart w:id="134" w:name="_Toc151190147"/>
      <w:r>
        <w:rPr>
          <w:rFonts w:hint="eastAsia" w:ascii="宋体" w:hAnsi="宋体" w:cs="宋体"/>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cs="宋体"/>
          <w:sz w:val="24"/>
        </w:rPr>
        <w:t>、项目属性、科研仪器设备采购、核心产品</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1"/>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5" w:name="_Toc150509273"/>
      <w:bookmarkStart w:id="136" w:name="_Toc195842887"/>
      <w:bookmarkStart w:id="137" w:name="_Toc226965712"/>
      <w:bookmarkStart w:id="138" w:name="_Toc264969212"/>
      <w:bookmarkStart w:id="139" w:name="_Toc226965795"/>
      <w:bookmarkStart w:id="140" w:name="_Toc151193764"/>
      <w:bookmarkStart w:id="141" w:name="_Toc520356146"/>
      <w:bookmarkStart w:id="142" w:name="_Toc151193692"/>
      <w:bookmarkStart w:id="143" w:name="_Toc150480760"/>
      <w:bookmarkStart w:id="144" w:name="_Toc226309766"/>
      <w:bookmarkStart w:id="145" w:name="_Toc305158790"/>
      <w:bookmarkStart w:id="146" w:name="_Toc150774622"/>
      <w:bookmarkStart w:id="147" w:name="_Toc151193910"/>
      <w:bookmarkStart w:id="148" w:name="_Toc305158864"/>
      <w:bookmarkStart w:id="149" w:name="_Toc265228360"/>
      <w:bookmarkStart w:id="150" w:name="_Toc151193620"/>
      <w:bookmarkStart w:id="151" w:name="_Toc127151522"/>
      <w:bookmarkStart w:id="152" w:name="_Toc151193836"/>
      <w:bookmarkStart w:id="153" w:name="_Toc150774727"/>
      <w:bookmarkStart w:id="154" w:name="_Toc151190149"/>
      <w:bookmarkStart w:id="155" w:name="_Toc142311024"/>
      <w:bookmarkStart w:id="156" w:name="_Toc226337218"/>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17"/>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17"/>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17"/>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1"/>
        </w:numPr>
        <w:snapToGrid w:val="0"/>
        <w:spacing w:line="360" w:lineRule="auto"/>
        <w:rPr>
          <w:rFonts w:hint="eastAsia" w:ascii="宋体" w:hAnsi="宋体" w:cs="宋体"/>
          <w:sz w:val="24"/>
        </w:rPr>
      </w:pPr>
      <w:r>
        <w:rPr>
          <w:rFonts w:hint="eastAsia" w:ascii="宋体" w:hAnsi="宋体" w:cs="宋体"/>
          <w:sz w:val="24"/>
        </w:rPr>
        <w:t>中小企业定义：</w:t>
      </w:r>
    </w:p>
    <w:p>
      <w:pPr>
        <w:pStyle w:val="105"/>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1"/>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1"/>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5"/>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1"/>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1"/>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1"/>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1"/>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1"/>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1"/>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1"/>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57" w:name="_1.8_计量单位"/>
      <w:bookmarkEnd w:id="157"/>
    </w:p>
    <w:p>
      <w:pPr>
        <w:pStyle w:val="4"/>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158" w:name="_Toc150774728"/>
      <w:bookmarkStart w:id="159" w:name="_Toc149720816"/>
      <w:bookmarkStart w:id="160" w:name="_Toc127151523"/>
      <w:bookmarkStart w:id="161" w:name="_Toc164608637"/>
      <w:bookmarkStart w:id="162" w:name="_Toc151193765"/>
      <w:bookmarkStart w:id="163" w:name="_Toc264969213"/>
      <w:bookmarkStart w:id="164" w:name="_Toc151193693"/>
      <w:bookmarkStart w:id="165" w:name="_Toc164608792"/>
      <w:bookmarkStart w:id="166" w:name="_Toc151193911"/>
      <w:bookmarkStart w:id="167" w:name="_Toc305158865"/>
      <w:bookmarkStart w:id="168" w:name="_Toc226337219"/>
      <w:bookmarkStart w:id="169" w:name="_Toc226965713"/>
      <w:bookmarkStart w:id="170" w:name="_Toc226965796"/>
      <w:bookmarkStart w:id="171" w:name="_Toc142311025"/>
      <w:bookmarkStart w:id="172" w:name="_Toc520356147"/>
      <w:bookmarkStart w:id="173" w:name="_Toc151190150"/>
      <w:bookmarkStart w:id="174" w:name="_Toc164229364"/>
      <w:bookmarkStart w:id="175" w:name="_Toc195842888"/>
      <w:bookmarkStart w:id="176" w:name="_Toc150480761"/>
      <w:bookmarkStart w:id="177" w:name="_Toc151193621"/>
      <w:bookmarkStart w:id="178" w:name="_Toc150509274"/>
      <w:bookmarkStart w:id="179" w:name="_Toc226309767"/>
      <w:bookmarkStart w:id="180" w:name="_Toc164351617"/>
      <w:bookmarkStart w:id="181" w:name="_Toc127161437"/>
      <w:bookmarkStart w:id="182" w:name="_Toc265228361"/>
      <w:bookmarkStart w:id="183" w:name="_Toc164229218"/>
      <w:bookmarkStart w:id="184" w:name="_Toc305158791"/>
      <w:bookmarkStart w:id="185" w:name="_Toc151193837"/>
      <w:bookmarkStart w:id="186" w:name="_Toc150774623"/>
      <w:bookmarkStart w:id="187" w:name="_Toc127151724"/>
      <w:r>
        <w:rPr>
          <w:rFonts w:hint="eastAsia" w:ascii="宋体" w:hAnsi="宋体" w:cs="宋体"/>
          <w:sz w:val="24"/>
        </w:rPr>
        <w:t>招标文件构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hint="eastAsia" w:ascii="宋体" w:hAnsi="宋体" w:cs="宋体"/>
          <w:sz w:val="24"/>
        </w:rPr>
        <w:t>成</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1"/>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88" w:name="_Toc516367020"/>
      <w:bookmarkStart w:id="189" w:name="_Toc520356150"/>
      <w:bookmarkStart w:id="190" w:name="_Toc305158868"/>
      <w:bookmarkStart w:id="191" w:name="_Toc150509277"/>
      <w:bookmarkStart w:id="192" w:name="_Toc305158794"/>
      <w:bookmarkStart w:id="193" w:name="_Toc226965716"/>
      <w:bookmarkStart w:id="194" w:name="_Toc226337222"/>
      <w:bookmarkStart w:id="195" w:name="_Toc151193696"/>
      <w:bookmarkStart w:id="196" w:name="_Toc151193840"/>
      <w:bookmarkStart w:id="197" w:name="_Toc151190153"/>
      <w:bookmarkStart w:id="198" w:name="_Toc150774731"/>
      <w:bookmarkStart w:id="199" w:name="_Toc264969216"/>
      <w:bookmarkStart w:id="200" w:name="_Toc226965799"/>
      <w:bookmarkStart w:id="201" w:name="_Toc150480764"/>
      <w:bookmarkStart w:id="202" w:name="_Toc127151526"/>
      <w:bookmarkStart w:id="203" w:name="_Toc151193768"/>
      <w:bookmarkStart w:id="204" w:name="_Toc150774626"/>
      <w:bookmarkStart w:id="205" w:name="_Toc226309770"/>
      <w:bookmarkStart w:id="206" w:name="_Toc151193914"/>
      <w:bookmarkStart w:id="207" w:name="_Toc151193624"/>
      <w:bookmarkStart w:id="208" w:name="_Toc142311028"/>
      <w:bookmarkStart w:id="209" w:name="_Toc265228364"/>
      <w:bookmarkStart w:id="210" w:name="_Toc195842891"/>
    </w:p>
    <w:p>
      <w:pPr>
        <w:pStyle w:val="4"/>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88"/>
      <w:r>
        <w:rPr>
          <w:rFonts w:hint="eastAsia" w:ascii="宋体" w:hAnsi="宋体" w:eastAsia="宋体" w:cs="宋体"/>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11" w:name="_Toc265228365"/>
      <w:bookmarkStart w:id="212" w:name="_Toc150509278"/>
      <w:bookmarkStart w:id="213" w:name="_Toc151193841"/>
      <w:bookmarkStart w:id="214" w:name="_Toc151193769"/>
      <w:bookmarkStart w:id="215" w:name="_Toc151193625"/>
      <w:bookmarkStart w:id="216" w:name="_Toc142311029"/>
      <w:bookmarkStart w:id="217" w:name="_Toc195842892"/>
      <w:bookmarkStart w:id="218" w:name="_Toc516367021"/>
      <w:bookmarkStart w:id="219" w:name="_Toc226309771"/>
      <w:bookmarkStart w:id="220" w:name="_Toc226337223"/>
      <w:bookmarkStart w:id="221" w:name="_Toc164351621"/>
      <w:bookmarkStart w:id="222" w:name="_Toc305158869"/>
      <w:bookmarkStart w:id="223" w:name="_Toc127151527"/>
      <w:bookmarkStart w:id="224" w:name="_Toc151190154"/>
      <w:bookmarkStart w:id="225" w:name="_Toc164608641"/>
      <w:bookmarkStart w:id="226" w:name="_Toc164608796"/>
      <w:bookmarkStart w:id="227" w:name="_Toc164229222"/>
      <w:bookmarkStart w:id="228" w:name="_Toc150774627"/>
      <w:bookmarkStart w:id="229" w:name="_Toc264969217"/>
      <w:bookmarkStart w:id="230" w:name="_Toc150480765"/>
      <w:bookmarkStart w:id="231" w:name="_Toc150774732"/>
      <w:bookmarkStart w:id="232" w:name="_Toc127151728"/>
      <w:bookmarkStart w:id="233" w:name="_Toc164229368"/>
      <w:bookmarkStart w:id="234" w:name="_Toc520356151"/>
      <w:bookmarkStart w:id="235" w:name="_Toc151193697"/>
      <w:bookmarkStart w:id="236" w:name="_Toc226965717"/>
      <w:bookmarkStart w:id="237" w:name="_Toc151193915"/>
      <w:bookmarkStart w:id="238" w:name="_Toc149720820"/>
      <w:bookmarkStart w:id="239" w:name="_Toc305158795"/>
      <w:bookmarkStart w:id="240" w:name="_Toc127161441"/>
      <w:bookmarkStart w:id="241" w:name="_Toc226965800"/>
      <w:r>
        <w:rPr>
          <w:rFonts w:hint="eastAsia" w:ascii="宋体" w:hAnsi="宋体" w:cs="宋体"/>
          <w:sz w:val="24"/>
        </w:rPr>
        <w:t>投标范围、投标文件中计量单位的使用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hint="eastAsia" w:ascii="宋体" w:hAnsi="宋体" w:cs="宋体"/>
          <w:sz w:val="24"/>
        </w:rPr>
        <w:t>及投标语言</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42" w:name="_Toc516367022"/>
      <w:bookmarkStart w:id="243" w:name="_Ref467306676"/>
      <w:bookmarkStart w:id="244" w:name="_Ref467306195"/>
      <w:bookmarkStart w:id="245" w:name="_Toc164608642"/>
      <w:bookmarkStart w:id="246" w:name="_Toc150509279"/>
      <w:bookmarkStart w:id="247" w:name="_Toc150480766"/>
      <w:bookmarkStart w:id="248" w:name="_Toc226309772"/>
      <w:bookmarkStart w:id="249" w:name="_Toc150774733"/>
      <w:bookmarkStart w:id="250" w:name="_Toc164351622"/>
      <w:bookmarkStart w:id="251" w:name="_Toc226337224"/>
      <w:bookmarkStart w:id="252" w:name="_Toc127151729"/>
      <w:bookmarkStart w:id="253" w:name="_Toc305158796"/>
      <w:bookmarkStart w:id="254" w:name="_Toc142311030"/>
      <w:bookmarkStart w:id="255" w:name="_Toc127161442"/>
      <w:bookmarkStart w:id="256" w:name="_Toc149720821"/>
      <w:bookmarkStart w:id="257" w:name="_Toc226965718"/>
      <w:bookmarkStart w:id="258" w:name="_Toc164608797"/>
      <w:bookmarkStart w:id="259" w:name="_Toc151193698"/>
      <w:bookmarkStart w:id="260" w:name="_Toc151193770"/>
      <w:bookmarkStart w:id="261" w:name="_Toc150774628"/>
      <w:bookmarkStart w:id="262" w:name="_Toc164229369"/>
      <w:bookmarkStart w:id="263" w:name="_Toc265228366"/>
      <w:bookmarkStart w:id="264" w:name="_Toc151193916"/>
      <w:bookmarkStart w:id="265" w:name="_Toc264969218"/>
      <w:bookmarkStart w:id="266" w:name="_Toc151193842"/>
      <w:bookmarkStart w:id="267" w:name="_Toc127151528"/>
      <w:bookmarkStart w:id="268" w:name="_Toc520356152"/>
      <w:bookmarkStart w:id="269" w:name="_Toc195842893"/>
      <w:bookmarkStart w:id="270" w:name="_Toc305158870"/>
      <w:bookmarkStart w:id="271" w:name="_Toc164229223"/>
      <w:bookmarkStart w:id="272" w:name="_Toc151190155"/>
      <w:bookmarkStart w:id="273" w:name="_Toc151193626"/>
      <w:bookmarkStart w:id="274" w:name="_Toc226965801"/>
      <w:r>
        <w:rPr>
          <w:rFonts w:hint="eastAsia" w:ascii="宋体" w:hAnsi="宋体" w:cs="宋体"/>
          <w:sz w:val="24"/>
        </w:rPr>
        <w:t>投标文件</w:t>
      </w:r>
      <w:bookmarkEnd w:id="242"/>
      <w:bookmarkEnd w:id="243"/>
      <w:bookmarkEnd w:id="244"/>
      <w:r>
        <w:rPr>
          <w:rFonts w:hint="eastAsia" w:ascii="宋体" w:hAnsi="宋体" w:cs="宋体"/>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275" w:name="_Ref467052588"/>
      <w:r>
        <w:rPr>
          <w:rFonts w:hint="eastAsia" w:ascii="宋体" w:hAnsi="宋体" w:cs="宋体"/>
          <w:sz w:val="24"/>
        </w:rPr>
        <w:t>投标人应当按照招标文件的要求编制投标文件。投标文件的部分格式要求，见第七章《投标文件格式》。</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5"/>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76" w:name="_Toc151193844"/>
      <w:bookmarkStart w:id="277" w:name="_Toc127151530"/>
      <w:bookmarkStart w:id="278" w:name="_Toc151193700"/>
      <w:bookmarkStart w:id="279" w:name="_Toc151193918"/>
      <w:bookmarkStart w:id="280" w:name="_Toc164229225"/>
      <w:bookmarkStart w:id="281" w:name="_Toc195842895"/>
      <w:bookmarkStart w:id="282" w:name="_Toc150480768"/>
      <w:bookmarkStart w:id="283" w:name="_Toc164351624"/>
      <w:bookmarkStart w:id="284" w:name="_Toc151193628"/>
      <w:bookmarkStart w:id="285" w:name="_Toc520356155"/>
      <w:bookmarkStart w:id="286" w:name="_Toc164608799"/>
      <w:bookmarkStart w:id="287" w:name="_Toc150509281"/>
      <w:bookmarkStart w:id="288" w:name="_Toc149720823"/>
      <w:bookmarkStart w:id="289" w:name="_Toc150774630"/>
      <w:bookmarkStart w:id="290" w:name="_Toc164229371"/>
      <w:bookmarkStart w:id="291" w:name="_Toc164608644"/>
      <w:bookmarkStart w:id="292" w:name="_Toc127161444"/>
      <w:bookmarkStart w:id="293" w:name="_Toc127151731"/>
      <w:bookmarkStart w:id="294" w:name="_Toc151190157"/>
      <w:bookmarkStart w:id="295" w:name="_Toc151193772"/>
      <w:bookmarkStart w:id="296" w:name="_Toc142311032"/>
      <w:bookmarkStart w:id="297" w:name="_Toc150774735"/>
      <w:r>
        <w:rPr>
          <w:rFonts w:hint="eastAsia" w:ascii="宋体" w:hAnsi="宋体" w:cs="宋体"/>
          <w:sz w:val="24"/>
        </w:rPr>
        <w:t>投标报价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1"/>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hint="eastAsia" w:ascii="宋体" w:hAnsi="宋体" w:cs="宋体"/>
          <w:color w:val="auto"/>
          <w:sz w:val="24"/>
        </w:rPr>
      </w:pPr>
      <w:bookmarkStart w:id="298" w:name="_Toc151193701"/>
      <w:bookmarkStart w:id="299" w:name="_Toc164229372"/>
      <w:bookmarkStart w:id="300" w:name="_Toc151193845"/>
      <w:bookmarkStart w:id="301" w:name="_Toc226309775"/>
      <w:bookmarkStart w:id="302" w:name="_Toc151190158"/>
      <w:bookmarkStart w:id="303" w:name="_Toc150509282"/>
      <w:bookmarkStart w:id="304" w:name="_Toc305158799"/>
      <w:bookmarkStart w:id="305" w:name="_Toc164608645"/>
      <w:bookmarkStart w:id="306" w:name="_Toc150774736"/>
      <w:bookmarkStart w:id="307" w:name="_Toc142311033"/>
      <w:bookmarkStart w:id="308" w:name="_Toc520356156"/>
      <w:bookmarkStart w:id="309" w:name="_Toc226965721"/>
      <w:bookmarkStart w:id="310" w:name="_Toc149720824"/>
      <w:bookmarkStart w:id="311" w:name="_Toc127151732"/>
      <w:bookmarkStart w:id="312" w:name="_Toc226965804"/>
      <w:bookmarkStart w:id="313" w:name="_Toc150774631"/>
      <w:bookmarkStart w:id="314" w:name="_Toc226337227"/>
      <w:bookmarkStart w:id="315" w:name="_Toc151193773"/>
      <w:bookmarkStart w:id="316" w:name="_Toc264969221"/>
      <w:bookmarkStart w:id="317" w:name="_Toc127161445"/>
      <w:bookmarkStart w:id="318" w:name="_Toc164351625"/>
      <w:bookmarkStart w:id="319" w:name="_Toc305158873"/>
      <w:bookmarkStart w:id="320" w:name="_Ref467306513"/>
      <w:bookmarkStart w:id="321" w:name="_Toc151193919"/>
      <w:bookmarkStart w:id="322" w:name="_Toc151193629"/>
      <w:bookmarkStart w:id="323" w:name="_Toc127151531"/>
      <w:bookmarkStart w:id="324" w:name="_Toc164608800"/>
      <w:bookmarkStart w:id="325" w:name="_Toc265228369"/>
      <w:bookmarkStart w:id="326" w:name="_Toc195842896"/>
      <w:bookmarkStart w:id="327" w:name="_Toc150480769"/>
      <w:bookmarkStart w:id="328" w:name="_Toc164229226"/>
      <w:r>
        <w:rPr>
          <w:rFonts w:hint="eastAsia" w:ascii="宋体" w:hAnsi="宋体" w:cs="宋体"/>
          <w:sz w:val="24"/>
        </w:rPr>
        <w:t>投标保证金</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329" w:name="_Toc305158874"/>
      <w:bookmarkStart w:id="330" w:name="_Toc150774632"/>
      <w:bookmarkStart w:id="331" w:name="_Toc226337228"/>
      <w:bookmarkStart w:id="332" w:name="_Toc151193846"/>
      <w:bookmarkStart w:id="333" w:name="_Toc150774737"/>
      <w:bookmarkStart w:id="334" w:name="_Toc164229227"/>
      <w:bookmarkStart w:id="335" w:name="_Toc520356157"/>
      <w:bookmarkStart w:id="336" w:name="_Toc195842897"/>
      <w:bookmarkStart w:id="337" w:name="_Toc151190159"/>
      <w:bookmarkStart w:id="338" w:name="_Toc151193774"/>
      <w:bookmarkStart w:id="339" w:name="_Toc226965722"/>
      <w:bookmarkStart w:id="340" w:name="_Toc127161446"/>
      <w:bookmarkStart w:id="341" w:name="_Toc151193630"/>
      <w:bookmarkStart w:id="342" w:name="_Toc164229373"/>
      <w:bookmarkStart w:id="343" w:name="_Toc264969222"/>
      <w:bookmarkStart w:id="344" w:name="_Toc127151733"/>
      <w:bookmarkStart w:id="345" w:name="_Toc150509283"/>
      <w:bookmarkStart w:id="346" w:name="_Toc149720825"/>
      <w:bookmarkStart w:id="347" w:name="_Toc226965805"/>
      <w:bookmarkStart w:id="348" w:name="_Toc265228370"/>
      <w:bookmarkStart w:id="349" w:name="_Toc305158800"/>
      <w:bookmarkStart w:id="350" w:name="_Toc164608646"/>
      <w:bookmarkStart w:id="351" w:name="_Toc127151532"/>
      <w:bookmarkStart w:id="352" w:name="_Toc150480770"/>
      <w:bookmarkStart w:id="353" w:name="_Toc151193702"/>
      <w:bookmarkStart w:id="354" w:name="_Toc142311034"/>
      <w:bookmarkStart w:id="355" w:name="_Toc151193920"/>
      <w:bookmarkStart w:id="356" w:name="_Toc164351626"/>
      <w:bookmarkStart w:id="357" w:name="_Toc164608801"/>
      <w:bookmarkStart w:id="358" w:name="_Toc226309776"/>
      <w:r>
        <w:rPr>
          <w:rFonts w:hint="eastAsia" w:ascii="宋体" w:hAnsi="宋体" w:cs="宋体"/>
          <w:sz w:val="24"/>
        </w:rPr>
        <w:t>投标有效期</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1"/>
        </w:numPr>
        <w:tabs>
          <w:tab w:val="left" w:pos="1080"/>
        </w:tabs>
        <w:snapToGrid w:val="0"/>
        <w:spacing w:line="360" w:lineRule="auto"/>
        <w:ind w:left="1068" w:hanging="648"/>
        <w:rPr>
          <w:rFonts w:hint="eastAsia" w:ascii="宋体" w:hAnsi="宋体" w:cs="宋体"/>
          <w:sz w:val="24"/>
        </w:rPr>
      </w:pPr>
      <w:bookmarkStart w:id="359" w:name="_Toc195842899"/>
      <w:bookmarkStart w:id="360" w:name="_Toc151190161"/>
      <w:bookmarkStart w:id="361" w:name="_Toc151193632"/>
      <w:bookmarkStart w:id="362" w:name="_Toc151193848"/>
      <w:bookmarkStart w:id="363" w:name="_Toc150480772"/>
      <w:bookmarkStart w:id="364" w:name="_Toc226337230"/>
      <w:bookmarkStart w:id="365" w:name="_Toc150509285"/>
      <w:bookmarkStart w:id="366" w:name="_Toc142311036"/>
      <w:bookmarkStart w:id="367" w:name="_Toc305158876"/>
      <w:bookmarkStart w:id="368" w:name="_Toc127151534"/>
      <w:bookmarkStart w:id="369" w:name="_Toc226965807"/>
      <w:bookmarkStart w:id="370" w:name="_Toc150774634"/>
      <w:bookmarkStart w:id="371" w:name="_Toc226965724"/>
      <w:bookmarkStart w:id="372" w:name="_Toc265228372"/>
      <w:bookmarkStart w:id="373" w:name="_Toc151193704"/>
      <w:bookmarkStart w:id="374" w:name="_Toc151193922"/>
      <w:bookmarkStart w:id="375" w:name="_Toc150774739"/>
      <w:bookmarkStart w:id="376" w:name="_Toc151193776"/>
      <w:bookmarkStart w:id="377" w:name="_Toc305158802"/>
      <w:bookmarkStart w:id="378" w:name="_Toc264969224"/>
      <w:bookmarkStart w:id="379" w:name="_Toc226309778"/>
      <w:bookmarkStart w:id="380" w:name="_Toc520356159"/>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1"/>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4"/>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381" w:name="_Toc150774740"/>
      <w:bookmarkStart w:id="382" w:name="_Toc195842900"/>
      <w:bookmarkStart w:id="383" w:name="_Toc305158803"/>
      <w:bookmarkStart w:id="384" w:name="_Toc151193633"/>
      <w:bookmarkStart w:id="385" w:name="_Toc164608804"/>
      <w:bookmarkStart w:id="386" w:name="_Toc151190162"/>
      <w:bookmarkStart w:id="387" w:name="_Toc264969225"/>
      <w:bookmarkStart w:id="388" w:name="_Toc150774635"/>
      <w:bookmarkStart w:id="389" w:name="_Toc520356160"/>
      <w:bookmarkStart w:id="390" w:name="_Toc226309779"/>
      <w:bookmarkStart w:id="391" w:name="_Toc142311037"/>
      <w:bookmarkStart w:id="392" w:name="_Toc149720828"/>
      <w:bookmarkStart w:id="393" w:name="_Toc151193849"/>
      <w:bookmarkStart w:id="394" w:name="_Toc265228373"/>
      <w:bookmarkStart w:id="395" w:name="_Toc150509286"/>
      <w:bookmarkStart w:id="396" w:name="_Toc305158877"/>
      <w:bookmarkStart w:id="397" w:name="_Toc226965808"/>
      <w:bookmarkStart w:id="398" w:name="_Toc127161449"/>
      <w:bookmarkStart w:id="399" w:name="_Toc164229376"/>
      <w:bookmarkStart w:id="400" w:name="_Toc151193923"/>
      <w:bookmarkStart w:id="401" w:name="_Toc127151535"/>
      <w:bookmarkStart w:id="402" w:name="_Toc226965725"/>
      <w:bookmarkStart w:id="403" w:name="_Toc226337231"/>
      <w:bookmarkStart w:id="404" w:name="_Toc164229230"/>
      <w:bookmarkStart w:id="405" w:name="_Toc164608649"/>
      <w:bookmarkStart w:id="406" w:name="_Toc127151736"/>
      <w:bookmarkStart w:id="407" w:name="_Toc151193777"/>
      <w:bookmarkStart w:id="408" w:name="_Toc164351629"/>
      <w:bookmarkStart w:id="409" w:name="_Toc151193705"/>
      <w:bookmarkStart w:id="410" w:name="_Toc150480773"/>
      <w:r>
        <w:rPr>
          <w:rFonts w:hint="eastAsia" w:ascii="宋体" w:hAnsi="宋体" w:cs="宋体"/>
          <w:sz w:val="24"/>
        </w:rPr>
        <w:t>投标文件的</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hint="eastAsia" w:ascii="宋体" w:hAnsi="宋体" w:cs="宋体"/>
          <w:sz w:val="24"/>
        </w:rPr>
        <w:t>提交</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411" w:name="_Toc127161450"/>
      <w:bookmarkStart w:id="412" w:name="_Toc226965809"/>
      <w:bookmarkStart w:id="413" w:name="_Toc305158804"/>
      <w:bookmarkStart w:id="414" w:name="_Toc265228374"/>
      <w:bookmarkStart w:id="415" w:name="_Toc150509287"/>
      <w:bookmarkStart w:id="416" w:name="_Toc151193850"/>
      <w:bookmarkStart w:id="417" w:name="_Toc151190163"/>
      <w:bookmarkStart w:id="418" w:name="_Toc142311038"/>
      <w:bookmarkStart w:id="419" w:name="_Toc127151536"/>
      <w:bookmarkStart w:id="420" w:name="_Toc226309780"/>
      <w:bookmarkStart w:id="421" w:name="_Toc164351630"/>
      <w:bookmarkStart w:id="422" w:name="_Toc149720829"/>
      <w:bookmarkStart w:id="423" w:name="_Toc164608650"/>
      <w:bookmarkStart w:id="424" w:name="_Toc264969226"/>
      <w:bookmarkStart w:id="425" w:name="_Toc226337232"/>
      <w:bookmarkStart w:id="426" w:name="_Toc164229231"/>
      <w:bookmarkStart w:id="427" w:name="_Toc520356161"/>
      <w:bookmarkStart w:id="428" w:name="_Toc226965726"/>
      <w:bookmarkStart w:id="429" w:name="_Toc150774741"/>
      <w:bookmarkStart w:id="430" w:name="_Toc151193778"/>
      <w:bookmarkStart w:id="431" w:name="_Toc164229377"/>
      <w:bookmarkStart w:id="432" w:name="_Toc164608805"/>
      <w:bookmarkStart w:id="433" w:name="_Toc150480774"/>
      <w:bookmarkStart w:id="434" w:name="_Toc195842901"/>
      <w:bookmarkStart w:id="435" w:name="_Toc127151737"/>
      <w:bookmarkStart w:id="436" w:name="_Toc305158878"/>
      <w:bookmarkStart w:id="437" w:name="_Toc151193706"/>
      <w:bookmarkStart w:id="438" w:name="_Toc151193924"/>
      <w:bookmarkStart w:id="439" w:name="_Toc151193634"/>
      <w:bookmarkStart w:id="440" w:name="_Toc150774636"/>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Fonts w:hint="eastAsia" w:ascii="宋体" w:hAnsi="宋体" w:cs="宋体"/>
          <w:sz w:val="24"/>
        </w:rPr>
        <w:t>时间</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441" w:name="_Toc150774637"/>
      <w:bookmarkStart w:id="442" w:name="_Toc151193925"/>
      <w:bookmarkStart w:id="443" w:name="_Toc264969227"/>
      <w:bookmarkStart w:id="444" w:name="_Toc151193635"/>
      <w:bookmarkStart w:id="445" w:name="_Toc164351631"/>
      <w:bookmarkStart w:id="446" w:name="_Toc150774742"/>
      <w:bookmarkStart w:id="447" w:name="_Toc520356162"/>
      <w:bookmarkStart w:id="448" w:name="_Toc142311039"/>
      <w:bookmarkStart w:id="449" w:name="_Toc151193851"/>
      <w:bookmarkStart w:id="450" w:name="_Toc265228375"/>
      <w:bookmarkStart w:id="451" w:name="_Toc226965727"/>
      <w:bookmarkStart w:id="452" w:name="_Toc164608806"/>
      <w:bookmarkStart w:id="453" w:name="_Toc164608651"/>
      <w:bookmarkStart w:id="454" w:name="_Toc151193707"/>
      <w:bookmarkStart w:id="455" w:name="_Toc164229232"/>
      <w:bookmarkStart w:id="456" w:name="_Toc127151537"/>
      <w:bookmarkStart w:id="457" w:name="_Toc149720830"/>
      <w:bookmarkStart w:id="458" w:name="_Toc127161451"/>
      <w:bookmarkStart w:id="459" w:name="_Toc305158805"/>
      <w:bookmarkStart w:id="460" w:name="_Toc151193779"/>
      <w:bookmarkStart w:id="461" w:name="_Toc226965810"/>
      <w:bookmarkStart w:id="462" w:name="_Toc226309781"/>
      <w:bookmarkStart w:id="463" w:name="_Toc150480775"/>
      <w:bookmarkStart w:id="464" w:name="_Toc150509288"/>
      <w:bookmarkStart w:id="465" w:name="_Toc195842902"/>
      <w:bookmarkStart w:id="466" w:name="_Toc305158879"/>
      <w:bookmarkStart w:id="467" w:name="_Toc127151738"/>
      <w:bookmarkStart w:id="468" w:name="_Toc164229378"/>
      <w:bookmarkStart w:id="469" w:name="_Toc151190164"/>
      <w:bookmarkStart w:id="470" w:name="_Toc226337233"/>
      <w:r>
        <w:rPr>
          <w:rFonts w:hint="eastAsia" w:ascii="宋体" w:hAnsi="宋体" w:cs="宋体"/>
          <w:sz w:val="24"/>
        </w:rPr>
        <w:t>投标人应在招标文件要求提交投标文件截止时间前，将电子投标文件提交至电子交易平台。</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4"/>
        <w:spacing w:before="0" w:line="360" w:lineRule="auto"/>
        <w:rPr>
          <w:rFonts w:hint="eastAsia" w:ascii="宋体" w:hAnsi="宋体" w:eastAsia="宋体" w:cs="宋体"/>
          <w:sz w:val="28"/>
        </w:rPr>
      </w:pPr>
      <w:bookmarkStart w:id="471" w:name="_Toc195842903"/>
      <w:bookmarkStart w:id="472" w:name="_Toc151193780"/>
      <w:bookmarkStart w:id="473" w:name="_Toc127151538"/>
      <w:bookmarkStart w:id="474" w:name="_Toc305158806"/>
      <w:bookmarkStart w:id="475" w:name="_Toc151193636"/>
      <w:bookmarkStart w:id="476" w:name="_Toc150509289"/>
      <w:bookmarkStart w:id="477" w:name="_Toc226965811"/>
      <w:bookmarkStart w:id="478" w:name="_Toc226965728"/>
      <w:bookmarkStart w:id="479" w:name="_Toc226309782"/>
      <w:bookmarkStart w:id="480" w:name="_Toc150774638"/>
      <w:bookmarkStart w:id="481" w:name="_Toc305158880"/>
      <w:bookmarkStart w:id="482" w:name="_Toc226337234"/>
      <w:bookmarkStart w:id="483" w:name="_Toc264969228"/>
      <w:bookmarkStart w:id="484" w:name="_Toc520356163"/>
      <w:bookmarkStart w:id="485" w:name="_Toc142311040"/>
      <w:bookmarkStart w:id="486" w:name="_Toc150774743"/>
      <w:bookmarkStart w:id="487" w:name="_Toc265228376"/>
      <w:bookmarkStart w:id="488" w:name="_Toc151193708"/>
      <w:bookmarkStart w:id="489" w:name="_Toc151193926"/>
      <w:bookmarkStart w:id="490" w:name="_Toc150480776"/>
      <w:bookmarkStart w:id="491" w:name="_Toc151193852"/>
      <w:bookmarkStart w:id="492" w:name="_Toc151190165"/>
      <w:r>
        <w:rPr>
          <w:rFonts w:hint="eastAsia" w:ascii="宋体" w:hAnsi="宋体" w:eastAsia="宋体" w:cs="宋体"/>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493" w:name="_Toc305158807"/>
      <w:bookmarkStart w:id="494" w:name="_Toc305158881"/>
      <w:bookmarkStart w:id="495" w:name="_Toc226309783"/>
      <w:bookmarkStart w:id="496" w:name="_Toc265228377"/>
      <w:bookmarkStart w:id="497" w:name="_Toc127151740"/>
      <w:bookmarkStart w:id="498" w:name="_Toc149720832"/>
      <w:bookmarkStart w:id="499" w:name="_Toc127151539"/>
      <w:bookmarkStart w:id="500" w:name="_Toc164229234"/>
      <w:bookmarkStart w:id="501" w:name="_Toc164351633"/>
      <w:bookmarkStart w:id="502" w:name="_Toc164608808"/>
      <w:bookmarkStart w:id="503" w:name="_Toc164608653"/>
      <w:bookmarkStart w:id="504" w:name="_Toc150480777"/>
      <w:bookmarkStart w:id="505" w:name="_Toc151190166"/>
      <w:bookmarkStart w:id="506" w:name="_Toc226965812"/>
      <w:bookmarkStart w:id="507" w:name="_Toc151193781"/>
      <w:bookmarkStart w:id="508" w:name="_Toc195842904"/>
      <w:bookmarkStart w:id="509" w:name="_Toc164229380"/>
      <w:bookmarkStart w:id="510" w:name="_Toc150774639"/>
      <w:bookmarkStart w:id="511" w:name="_Toc151193637"/>
      <w:bookmarkStart w:id="512" w:name="_Toc150509290"/>
      <w:bookmarkStart w:id="513" w:name="_Toc226965729"/>
      <w:bookmarkStart w:id="514" w:name="_Toc151193927"/>
      <w:bookmarkStart w:id="515" w:name="_Toc520356164"/>
      <w:bookmarkStart w:id="516" w:name="_Toc127161453"/>
      <w:bookmarkStart w:id="517" w:name="_Toc142311041"/>
      <w:bookmarkStart w:id="518" w:name="_Toc151193709"/>
      <w:bookmarkStart w:id="519" w:name="_Toc226337235"/>
      <w:bookmarkStart w:id="520" w:name="_Toc151193853"/>
      <w:bookmarkStart w:id="521" w:name="_Toc150774744"/>
      <w:bookmarkStart w:id="522" w:name="_Toc264969229"/>
      <w:r>
        <w:rPr>
          <w:rFonts w:hint="eastAsia" w:ascii="宋体" w:hAnsi="宋体" w:cs="宋体"/>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523"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3"/>
    <w:p>
      <w:pPr>
        <w:numPr>
          <w:ilvl w:val="0"/>
          <w:numId w:val="11"/>
        </w:numPr>
        <w:tabs>
          <w:tab w:val="left" w:pos="360"/>
        </w:tabs>
        <w:snapToGrid w:val="0"/>
        <w:spacing w:line="360" w:lineRule="auto"/>
        <w:ind w:left="357" w:hanging="357"/>
        <w:outlineLvl w:val="1"/>
        <w:rPr>
          <w:rFonts w:hint="eastAsia" w:ascii="宋体" w:hAnsi="宋体" w:cs="宋体"/>
          <w:sz w:val="24"/>
        </w:rPr>
      </w:pPr>
      <w:bookmarkStart w:id="524" w:name="_Toc305158808"/>
      <w:bookmarkStart w:id="525" w:name="_Toc150480778"/>
      <w:bookmarkStart w:id="526" w:name="_Toc150774745"/>
      <w:bookmarkStart w:id="527" w:name="_Toc265228378"/>
      <w:bookmarkStart w:id="528" w:name="_Toc264969230"/>
      <w:bookmarkStart w:id="529" w:name="_Toc226309784"/>
      <w:bookmarkStart w:id="530" w:name="_Toc150509291"/>
      <w:bookmarkStart w:id="531" w:name="_Toc164229381"/>
      <w:bookmarkStart w:id="532" w:name="_Toc226965813"/>
      <w:bookmarkStart w:id="533" w:name="_Toc151193928"/>
      <w:bookmarkStart w:id="534" w:name="_Toc195842905"/>
      <w:bookmarkStart w:id="535" w:name="_Toc151193782"/>
      <w:bookmarkStart w:id="536" w:name="_Toc127151540"/>
      <w:bookmarkStart w:id="537" w:name="_Toc127161454"/>
      <w:bookmarkStart w:id="538" w:name="_Toc305158882"/>
      <w:bookmarkStart w:id="539" w:name="_Toc164608809"/>
      <w:bookmarkStart w:id="540" w:name="_Toc127151741"/>
      <w:bookmarkStart w:id="541" w:name="_Toc226337236"/>
      <w:bookmarkStart w:id="542" w:name="_Toc151193710"/>
      <w:bookmarkStart w:id="543" w:name="_Toc151193638"/>
      <w:bookmarkStart w:id="544" w:name="_Toc164608654"/>
      <w:bookmarkStart w:id="545" w:name="_Toc149720833"/>
      <w:bookmarkStart w:id="546" w:name="_Toc142311042"/>
      <w:bookmarkStart w:id="547" w:name="_Toc151190167"/>
      <w:bookmarkStart w:id="548" w:name="_Toc164229235"/>
      <w:bookmarkStart w:id="549" w:name="_Toc151193854"/>
      <w:bookmarkStart w:id="550" w:name="_Toc164351634"/>
      <w:bookmarkStart w:id="551" w:name="_Toc226965730"/>
      <w:bookmarkStart w:id="552" w:name="_Toc150774640"/>
      <w:r>
        <w:rPr>
          <w:rFonts w:hint="eastAsia" w:ascii="宋体" w:hAnsi="宋体" w:cs="宋体"/>
          <w:sz w:val="24"/>
        </w:rPr>
        <w:t>评标委员会</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3" w:name="_Toc520356166"/>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3"/>
      <w:bookmarkStart w:id="554" w:name="_Toc520356169"/>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4"/>
        <w:spacing w:before="0" w:line="360" w:lineRule="auto"/>
        <w:rPr>
          <w:rFonts w:hint="eastAsia" w:ascii="宋体" w:hAnsi="宋体" w:eastAsia="宋体" w:cs="宋体"/>
          <w:sz w:val="28"/>
        </w:rPr>
      </w:pPr>
      <w:bookmarkStart w:id="555" w:name="_Toc305158887"/>
      <w:bookmarkStart w:id="556" w:name="_Toc142311047"/>
      <w:bookmarkStart w:id="557" w:name="_Toc150480783"/>
      <w:bookmarkStart w:id="558" w:name="_Toc265228383"/>
      <w:bookmarkStart w:id="559" w:name="_Toc264969235"/>
      <w:bookmarkStart w:id="560" w:name="_Toc151193933"/>
      <w:bookmarkStart w:id="561" w:name="_Toc127151545"/>
      <w:bookmarkStart w:id="562" w:name="_Toc226309789"/>
      <w:bookmarkStart w:id="563" w:name="_Toc150774750"/>
      <w:bookmarkStart w:id="564" w:name="_Toc305158813"/>
      <w:bookmarkStart w:id="565" w:name="_Toc226965735"/>
      <w:bookmarkStart w:id="566" w:name="_Toc151193715"/>
      <w:bookmarkStart w:id="567" w:name="_Toc226337241"/>
      <w:bookmarkStart w:id="568" w:name="_Toc150509296"/>
      <w:bookmarkStart w:id="569" w:name="_Toc151193859"/>
      <w:bookmarkStart w:id="570" w:name="_Toc150774645"/>
      <w:bookmarkStart w:id="571" w:name="_Toc226965818"/>
      <w:bookmarkStart w:id="572" w:name="_Toc151193787"/>
      <w:bookmarkStart w:id="573" w:name="_Toc195842910"/>
      <w:bookmarkStart w:id="574" w:name="_Toc151190172"/>
      <w:bookmarkStart w:id="575" w:name="_Toc151193643"/>
      <w:r>
        <w:rPr>
          <w:rFonts w:hint="eastAsia" w:ascii="宋体" w:hAnsi="宋体" w:eastAsia="宋体" w:cs="宋体"/>
          <w:sz w:val="28"/>
        </w:rPr>
        <w:t xml:space="preserve">六   </w:t>
      </w:r>
      <w:bookmarkEnd w:id="554"/>
      <w:r>
        <w:rPr>
          <w:rFonts w:hint="eastAsia" w:ascii="宋体" w:hAnsi="宋体" w:eastAsia="宋体" w:cs="宋体"/>
          <w:sz w:val="28"/>
        </w:rPr>
        <w:t>确定中标</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Start w:id="576" w:name="_Toc150774647"/>
      <w:bookmarkStart w:id="577" w:name="_Toc150774752"/>
      <w:bookmarkStart w:id="578" w:name="_Toc151193789"/>
      <w:bookmarkStart w:id="579" w:name="_Toc127151547"/>
      <w:bookmarkStart w:id="580" w:name="_Toc149720840"/>
      <w:bookmarkStart w:id="581" w:name="_Toc151193935"/>
      <w:bookmarkStart w:id="582" w:name="_Toc226965737"/>
      <w:bookmarkStart w:id="583" w:name="_Toc226309791"/>
      <w:bookmarkStart w:id="584" w:name="_Toc164608661"/>
      <w:bookmarkStart w:id="585" w:name="_Toc164608816"/>
      <w:bookmarkStart w:id="586" w:name="_Toc151193717"/>
      <w:bookmarkStart w:id="587" w:name="_Toc305158889"/>
      <w:bookmarkStart w:id="588" w:name="_Toc127151748"/>
      <w:bookmarkStart w:id="589" w:name="_Toc265228385"/>
      <w:bookmarkStart w:id="590" w:name="_Toc305158815"/>
      <w:bookmarkStart w:id="591" w:name="_Toc164351641"/>
      <w:bookmarkStart w:id="592" w:name="_Toc151190174"/>
      <w:bookmarkStart w:id="593" w:name="_Toc151193645"/>
      <w:bookmarkStart w:id="594" w:name="_Toc151193861"/>
      <w:bookmarkStart w:id="595" w:name="_Toc142311049"/>
      <w:bookmarkStart w:id="596" w:name="_Toc226965820"/>
      <w:bookmarkStart w:id="597" w:name="_Toc150509298"/>
      <w:bookmarkStart w:id="598" w:name="_Toc264969237"/>
      <w:bookmarkStart w:id="599" w:name="_Toc150480785"/>
      <w:bookmarkStart w:id="600" w:name="_Toc195842912"/>
      <w:bookmarkStart w:id="601" w:name="_Toc164229242"/>
      <w:bookmarkStart w:id="602" w:name="_Toc226337243"/>
      <w:bookmarkStart w:id="603" w:name="_Toc164229388"/>
      <w:bookmarkStart w:id="604" w:name="_Toc127161461"/>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605" w:name="_Toc305158891"/>
      <w:bookmarkStart w:id="606" w:name="_Toc305158817"/>
      <w:bookmarkStart w:id="607" w:name="_Toc151190176"/>
      <w:bookmarkStart w:id="608" w:name="_Toc226337245"/>
      <w:bookmarkStart w:id="609" w:name="_Toc151193863"/>
      <w:bookmarkStart w:id="610" w:name="_Toc226965739"/>
      <w:bookmarkStart w:id="611" w:name="_Toc164229390"/>
      <w:bookmarkStart w:id="612" w:name="_Toc149720842"/>
      <w:bookmarkStart w:id="613" w:name="_Toc264969239"/>
      <w:bookmarkStart w:id="614" w:name="_Toc226965822"/>
      <w:bookmarkStart w:id="615" w:name="_Toc195842914"/>
      <w:bookmarkStart w:id="616" w:name="_Toc164608663"/>
      <w:bookmarkStart w:id="617" w:name="_Toc151193719"/>
      <w:bookmarkStart w:id="618" w:name="_Toc150774754"/>
      <w:bookmarkStart w:id="619" w:name="_Toc164351643"/>
      <w:bookmarkStart w:id="620" w:name="_Toc150774649"/>
      <w:bookmarkStart w:id="621" w:name="_Toc151193647"/>
      <w:bookmarkStart w:id="622" w:name="_Toc127151750"/>
      <w:bookmarkStart w:id="623" w:name="_Toc142311051"/>
      <w:bookmarkStart w:id="624" w:name="_Toc127151549"/>
      <w:bookmarkStart w:id="625" w:name="_Toc265228387"/>
      <w:bookmarkStart w:id="626" w:name="_Toc226309793"/>
      <w:bookmarkStart w:id="627" w:name="_Toc164608818"/>
      <w:bookmarkStart w:id="628" w:name="_Toc151193791"/>
      <w:bookmarkStart w:id="629" w:name="_Toc127161463"/>
      <w:bookmarkStart w:id="630" w:name="_Toc150480787"/>
      <w:bookmarkStart w:id="631" w:name="_Toc150509300"/>
      <w:bookmarkStart w:id="632" w:name="_Toc164229244"/>
      <w:bookmarkStart w:id="633" w:name="_Toc151193937"/>
      <w:bookmarkStart w:id="634" w:name="_Ref467307090"/>
      <w:bookmarkStart w:id="635" w:name="_Toc520356176"/>
      <w:bookmarkStart w:id="636" w:name="_Ref467306425"/>
      <w:r>
        <w:rPr>
          <w:rFonts w:hint="eastAsia" w:ascii="宋体" w:hAnsi="宋体" w:cs="宋体"/>
          <w:sz w:val="24"/>
        </w:rPr>
        <w:t>中标公告与中标通知书</w:t>
      </w:r>
      <w:bookmarkEnd w:id="605"/>
      <w:bookmarkEnd w:id="606"/>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1"/>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1"/>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1"/>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Pr>
        <w:numPr>
          <w:ilvl w:val="0"/>
          <w:numId w:val="11"/>
        </w:numPr>
        <w:tabs>
          <w:tab w:val="left" w:pos="360"/>
        </w:tabs>
        <w:snapToGrid w:val="0"/>
        <w:spacing w:line="360" w:lineRule="auto"/>
        <w:ind w:left="357" w:hanging="357"/>
        <w:outlineLvl w:val="1"/>
        <w:rPr>
          <w:rFonts w:hint="eastAsia" w:ascii="宋体" w:hAnsi="宋体" w:cs="宋体"/>
          <w:sz w:val="24"/>
        </w:rPr>
      </w:pPr>
      <w:bookmarkStart w:id="637" w:name="_Ref467307204"/>
      <w:bookmarkStart w:id="638" w:name="_Toc151193720"/>
      <w:bookmarkStart w:id="639" w:name="_Ref467306377"/>
      <w:bookmarkStart w:id="640" w:name="_Toc151193864"/>
      <w:bookmarkStart w:id="641" w:name="_Toc151190177"/>
      <w:bookmarkStart w:id="642" w:name="_Toc142311052"/>
      <w:bookmarkStart w:id="643" w:name="_Toc305158892"/>
      <w:bookmarkStart w:id="644" w:name="_Toc195842915"/>
      <w:bookmarkStart w:id="645" w:name="_Toc127161464"/>
      <w:bookmarkStart w:id="646" w:name="_Toc151193792"/>
      <w:bookmarkStart w:id="647" w:name="_Toc150480788"/>
      <w:bookmarkStart w:id="648" w:name="_Toc520356175"/>
      <w:bookmarkStart w:id="649" w:name="_Toc226965740"/>
      <w:bookmarkStart w:id="650" w:name="_Toc149720843"/>
      <w:bookmarkStart w:id="651" w:name="_Toc164351644"/>
      <w:bookmarkStart w:id="652" w:name="_Toc164608819"/>
      <w:bookmarkStart w:id="653" w:name="_Ref467306978"/>
      <w:bookmarkStart w:id="654" w:name="_Toc151193938"/>
      <w:bookmarkStart w:id="655" w:name="_Toc127151550"/>
      <w:bookmarkStart w:id="656" w:name="_Toc226965823"/>
      <w:bookmarkStart w:id="657" w:name="_Toc164229391"/>
      <w:bookmarkStart w:id="658" w:name="_Toc127151751"/>
      <w:bookmarkStart w:id="659" w:name="_Toc151193648"/>
      <w:bookmarkStart w:id="660" w:name="_Toc150509301"/>
      <w:bookmarkStart w:id="661" w:name="_Ref467307062"/>
      <w:bookmarkStart w:id="662" w:name="_Toc226309794"/>
      <w:bookmarkStart w:id="663" w:name="_Toc305158818"/>
      <w:bookmarkStart w:id="664" w:name="_Toc164229245"/>
      <w:bookmarkStart w:id="665" w:name="_Toc264969240"/>
      <w:bookmarkStart w:id="666" w:name="_Toc265228388"/>
      <w:bookmarkStart w:id="667" w:name="_Toc226337246"/>
      <w:bookmarkStart w:id="668" w:name="_Toc150774755"/>
      <w:bookmarkStart w:id="669" w:name="_Toc164608664"/>
      <w:bookmarkStart w:id="670" w:name="_Toc150774650"/>
      <w:r>
        <w:rPr>
          <w:rFonts w:hint="eastAsia" w:ascii="宋体" w:hAnsi="宋体" w:cs="宋体"/>
          <w:sz w:val="24"/>
        </w:rPr>
        <w:t>签订合同</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4"/>
    <w:bookmarkEnd w:id="635"/>
    <w:bookmarkEnd w:id="636"/>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1"/>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1"/>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outlineLvl w:val="0"/>
        <w:rPr>
          <w:rFonts w:hint="eastAsia" w:ascii="宋体" w:hAnsi="宋体" w:cs="宋体"/>
          <w:b/>
          <w:sz w:val="36"/>
          <w:szCs w:val="36"/>
        </w:rPr>
      </w:pPr>
      <w:bookmarkStart w:id="671" w:name="_Toc127151554"/>
      <w:bookmarkStart w:id="672" w:name="_Toc305158822"/>
      <w:bookmarkStart w:id="673" w:name="_Toc150774759"/>
      <w:bookmarkStart w:id="674" w:name="_Toc305158896"/>
      <w:bookmarkStart w:id="675" w:name="_Toc150480792"/>
      <w:bookmarkStart w:id="676" w:name="_Toc353873664"/>
      <w:bookmarkStart w:id="677" w:name="_Toc226337250"/>
      <w:bookmarkStart w:id="678" w:name="_Toc226965827"/>
      <w:bookmarkStart w:id="679" w:name="_Toc265228392"/>
      <w:bookmarkStart w:id="680" w:name="_Toc353873934"/>
      <w:bookmarkStart w:id="681" w:name="_Toc264969244"/>
      <w:bookmarkStart w:id="682" w:name="_Toc353825544"/>
      <w:bookmarkStart w:id="683" w:name="_Toc142311056"/>
      <w:bookmarkStart w:id="684" w:name="_Toc26602"/>
      <w:r>
        <w:rPr>
          <w:rFonts w:hint="eastAsia" w:ascii="宋体" w:hAnsi="宋体" w:cs="宋体"/>
          <w:b/>
          <w:sz w:val="36"/>
          <w:szCs w:val="36"/>
        </w:rPr>
        <w:t xml:space="preserve">第三章   </w:t>
      </w:r>
      <w:bookmarkEnd w:id="671"/>
      <w:bookmarkEnd w:id="672"/>
      <w:bookmarkEnd w:id="673"/>
      <w:bookmarkEnd w:id="674"/>
      <w:bookmarkEnd w:id="675"/>
      <w:bookmarkEnd w:id="676"/>
      <w:bookmarkEnd w:id="677"/>
      <w:bookmarkEnd w:id="678"/>
      <w:bookmarkEnd w:id="679"/>
      <w:bookmarkEnd w:id="680"/>
      <w:bookmarkEnd w:id="681"/>
      <w:bookmarkEnd w:id="682"/>
      <w:bookmarkEnd w:id="683"/>
      <w:r>
        <w:rPr>
          <w:rFonts w:hint="eastAsia" w:ascii="宋体" w:hAnsi="宋体" w:cs="宋体"/>
          <w:b/>
          <w:sz w:val="36"/>
          <w:szCs w:val="36"/>
        </w:rPr>
        <w:t>资格审查</w:t>
      </w:r>
      <w:bookmarkEnd w:id="684"/>
      <w:bookmarkStart w:id="685" w:name="_Toc487900382"/>
    </w:p>
    <w:p>
      <w:pPr>
        <w:tabs>
          <w:tab w:val="left" w:pos="360"/>
          <w:tab w:val="left" w:pos="900"/>
        </w:tabs>
        <w:snapToGrid w:val="0"/>
        <w:spacing w:line="360" w:lineRule="auto"/>
        <w:jc w:val="center"/>
        <w:outlineLvl w:val="1"/>
        <w:rPr>
          <w:rFonts w:hint="eastAsia" w:ascii="宋体" w:hAnsi="宋体" w:cs="宋体"/>
          <w:b/>
          <w:sz w:val="24"/>
        </w:rPr>
      </w:pPr>
      <w:bookmarkStart w:id="686" w:name="_Toc99301422"/>
      <w:r>
        <w:rPr>
          <w:rFonts w:hint="eastAsia" w:ascii="宋体" w:hAnsi="宋体" w:cs="宋体"/>
          <w:b/>
          <w:sz w:val="24"/>
        </w:rPr>
        <w:t>一、资格审查程序</w:t>
      </w:r>
      <w:bookmarkEnd w:id="686"/>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85"/>
    <w:tbl>
      <w:tblPr>
        <w:tblStyle w:val="256"/>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87" w:name="_Hlt487972895"/>
            <w:bookmarkEnd w:id="687"/>
            <w:bookmarkStart w:id="688" w:name="_Toc353825550"/>
            <w:bookmarkStart w:id="689" w:name="_Toc353873940"/>
            <w:bookmarkStart w:id="690" w:name="_Toc127151779"/>
            <w:bookmarkStart w:id="691" w:name="_Toc226965858"/>
            <w:bookmarkStart w:id="692" w:name="_Toc12716149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28"/>
                <w:w w:val="98"/>
                <w:sz w:val="24"/>
                <w:lang w:eastAsia="en-US"/>
              </w:rPr>
              <w:t>明书》。</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1-3</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color w:val="auto"/>
                <w:spacing w:val="-1"/>
                <w:sz w:val="24"/>
                <w:lang w:eastAsia="en-US"/>
              </w:rPr>
              <w:t>投标人信用记录</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查询渠道：信用中国网站和中国政府采购网</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creditchina</w:t>
            </w:r>
            <w:r>
              <w:rPr>
                <w:rFonts w:hint="eastAsia" w:ascii="宋体" w:hAnsi="宋体" w:eastAsia="宋体" w:cs="宋体"/>
                <w:spacing w:val="24"/>
                <w:sz w:val="24"/>
                <w:szCs w:val="24"/>
              </w:rPr>
              <w:t>.</w:t>
            </w:r>
            <w:r>
              <w:rPr>
                <w:rFonts w:hint="eastAsia" w:ascii="宋体" w:hAnsi="宋体" w:eastAsia="宋体" w:cs="宋体"/>
                <w:sz w:val="24"/>
                <w:szCs w:val="24"/>
              </w:rPr>
              <w:t>gov</w:t>
            </w:r>
            <w:r>
              <w:rPr>
                <w:rFonts w:hint="eastAsia" w:ascii="宋体" w:hAnsi="宋体" w:eastAsia="宋体" w:cs="宋体"/>
                <w:spacing w:val="24"/>
                <w:sz w:val="24"/>
                <w:szCs w:val="24"/>
              </w:rPr>
              <w:t>.</w:t>
            </w:r>
            <w:r>
              <w:rPr>
                <w:rFonts w:hint="eastAsia" w:ascii="宋体" w:hAnsi="宋体" w:eastAsia="宋体" w:cs="宋体"/>
                <w:sz w:val="24"/>
                <w:szCs w:val="24"/>
              </w:rPr>
              <w:t>cn</w:t>
            </w:r>
            <w:r>
              <w:rPr>
                <w:rFonts w:hint="eastAsia" w:ascii="宋体" w:hAnsi="宋体" w:eastAsia="宋体" w:cs="宋体"/>
                <w:spacing w:val="24"/>
                <w:sz w:val="24"/>
                <w:szCs w:val="24"/>
              </w:rPr>
              <w:t>、</w:t>
            </w:r>
            <w:r>
              <w:rPr>
                <w:rFonts w:hint="eastAsia" w:ascii="宋体" w:hAnsi="宋体" w:eastAsia="宋体" w:cs="宋体"/>
                <w:sz w:val="24"/>
                <w:szCs w:val="24"/>
              </w:rPr>
              <w:t xml:space="preserve"> </w:t>
            </w:r>
            <w:r>
              <w:rPr>
                <w:rFonts w:hint="eastAsia" w:ascii="宋体" w:hAnsi="宋体" w:eastAsia="宋体" w:cs="宋体"/>
                <w:spacing w:val="17"/>
                <w:sz w:val="24"/>
                <w:szCs w:val="24"/>
              </w:rPr>
              <w:t>www.ccgp.gov.cn</w:t>
            </w:r>
            <w:r>
              <w:rPr>
                <w:rFonts w:hint="eastAsia" w:ascii="宋体" w:hAnsi="宋体" w:eastAsia="宋体" w:cs="宋体"/>
                <w:spacing w:val="-5"/>
                <w:sz w:val="24"/>
                <w:szCs w:val="24"/>
              </w:rPr>
              <w:t xml:space="preserve"> </w:t>
            </w:r>
            <w:r>
              <w:rPr>
                <w:rFonts w:hint="eastAsia" w:ascii="宋体" w:hAnsi="宋体" w:eastAsia="宋体" w:cs="宋体"/>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sz w:val="24"/>
                <w:lang w:eastAsia="en-US"/>
              </w:rPr>
            </w:pPr>
            <w:r>
              <w:rPr>
                <w:rFonts w:hint="eastAsia" w:ascii="宋体" w:hAnsi="宋体" w:cs="宋体"/>
                <w:sz w:val="24"/>
                <w:lang w:eastAsia="en-US"/>
              </w:rPr>
              <w:t>截止时点：投标截止时间以后</w:t>
            </w:r>
            <w:r>
              <w:rPr>
                <w:rFonts w:hint="eastAsia" w:ascii="宋体" w:hAnsi="宋体" w:cs="宋体"/>
                <w:spacing w:val="-32"/>
                <w:sz w:val="24"/>
                <w:lang w:eastAsia="en-US"/>
              </w:rPr>
              <w:t xml:space="preserve"> </w:t>
            </w:r>
            <w:r>
              <w:rPr>
                <w:rFonts w:hint="eastAsia" w:ascii="宋体" w:hAnsi="宋体" w:cs="宋体"/>
                <w:sz w:val="24"/>
                <w:lang w:eastAsia="en-US"/>
              </w:rPr>
              <w:t xml:space="preserve">、资格审查阶 </w:t>
            </w:r>
            <w:r>
              <w:rPr>
                <w:rFonts w:hint="eastAsia" w:ascii="宋体" w:hAnsi="宋体" w:cs="宋体"/>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sz w:val="24"/>
                <w:lang w:eastAsia="en-US"/>
              </w:rPr>
            </w:pPr>
            <w:r>
              <w:rPr>
                <w:rFonts w:hint="eastAsia" w:ascii="宋体" w:hAnsi="宋体" w:cs="宋体"/>
                <w:spacing w:val="2"/>
                <w:sz w:val="24"/>
                <w:lang w:eastAsia="en-US"/>
              </w:rPr>
              <w:t>信用信息查询记录和证据留存具体方式：查</w:t>
            </w:r>
            <w:r>
              <w:rPr>
                <w:rFonts w:hint="eastAsia" w:ascii="宋体" w:hAnsi="宋体" w:cs="宋体"/>
                <w:spacing w:val="1"/>
                <w:sz w:val="24"/>
                <w:lang w:eastAsia="en-US"/>
              </w:rPr>
              <w:t xml:space="preserve"> </w:t>
            </w:r>
            <w:r>
              <w:rPr>
                <w:rFonts w:hint="eastAsia" w:ascii="宋体" w:hAnsi="宋体" w:cs="宋体"/>
                <w:spacing w:val="-1"/>
                <w:sz w:val="24"/>
                <w:lang w:eastAsia="en-US"/>
              </w:rPr>
              <w:t>询结果网页打印页作为查询记录和证据，与</w:t>
            </w:r>
            <w:r>
              <w:rPr>
                <w:rFonts w:hint="eastAsia" w:ascii="宋体" w:hAnsi="宋体" w:cs="宋体"/>
                <w:sz w:val="24"/>
                <w:lang w:eastAsia="en-US"/>
              </w:rPr>
              <w:t xml:space="preserve"> </w:t>
            </w:r>
            <w:r>
              <w:rPr>
                <w:rFonts w:hint="eastAsia" w:ascii="宋体" w:hAnsi="宋体" w:cs="宋体"/>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z w:val="24"/>
                <w:lang w:eastAsia="en-US"/>
              </w:rPr>
            </w:pPr>
            <w:r>
              <w:rPr>
                <w:rFonts w:hint="eastAsia" w:ascii="宋体" w:hAnsi="宋体" w:cs="宋体"/>
                <w:spacing w:val="-1"/>
                <w:sz w:val="24"/>
                <w:lang w:eastAsia="en-US"/>
              </w:rPr>
              <w:t>信用信息的使用原则：经认定的被列入失信</w:t>
            </w:r>
            <w:r>
              <w:rPr>
                <w:rFonts w:hint="eastAsia" w:ascii="宋体" w:hAnsi="宋体" w:cs="宋体"/>
                <w:sz w:val="24"/>
                <w:lang w:eastAsia="en-US"/>
              </w:rPr>
              <w:t xml:space="preserve"> </w:t>
            </w:r>
            <w:r>
              <w:rPr>
                <w:rFonts w:hint="eastAsia" w:ascii="宋体" w:hAnsi="宋体" w:cs="宋体"/>
                <w:spacing w:val="-1"/>
                <w:sz w:val="24"/>
                <w:lang w:eastAsia="en-US"/>
              </w:rPr>
              <w:t>被执行人、重大税收违法案件当事人名单</w:t>
            </w:r>
            <w:r>
              <w:rPr>
                <w:rFonts w:hint="eastAsia" w:ascii="宋体" w:hAnsi="宋体" w:cs="宋体"/>
                <w:spacing w:val="-42"/>
                <w:sz w:val="24"/>
                <w:lang w:eastAsia="en-US"/>
              </w:rPr>
              <w:t xml:space="preserve"> </w:t>
            </w:r>
            <w:r>
              <w:rPr>
                <w:rFonts w:hint="eastAsia" w:ascii="宋体" w:hAnsi="宋体" w:cs="宋体"/>
                <w:spacing w:val="-1"/>
                <w:sz w:val="24"/>
                <w:lang w:eastAsia="en-US"/>
              </w:rPr>
              <w:t>、</w:t>
            </w:r>
            <w:r>
              <w:rPr>
                <w:rFonts w:hint="eastAsia" w:ascii="宋体" w:hAnsi="宋体" w:cs="宋体"/>
                <w:sz w:val="24"/>
                <w:lang w:eastAsia="en-US"/>
              </w:rPr>
              <w:t xml:space="preserve"> </w:t>
            </w:r>
            <w:r>
              <w:rPr>
                <w:rFonts w:hint="eastAsia" w:ascii="宋体" w:hAnsi="宋体" w:cs="宋体"/>
                <w:spacing w:val="2"/>
                <w:sz w:val="24"/>
                <w:lang w:eastAsia="en-US"/>
              </w:rPr>
              <w:t>政府采购严重违法失信行为记录名单的投标</w:t>
            </w:r>
            <w:r>
              <w:rPr>
                <w:rFonts w:hint="eastAsia" w:ascii="宋体" w:hAnsi="宋体" w:cs="宋体"/>
                <w:spacing w:val="-2"/>
                <w:sz w:val="24"/>
                <w:lang w:eastAsia="en-US"/>
              </w:rPr>
              <w:t>人，其</w:t>
            </w:r>
            <w:r>
              <w:rPr>
                <w:rFonts w:hint="eastAsia" w:ascii="宋体" w:hAnsi="宋体" w:cs="宋体"/>
                <w:b/>
                <w:bCs/>
                <w:spacing w:val="-2"/>
                <w:sz w:val="24"/>
                <w:lang w:eastAsia="en-US"/>
              </w:rPr>
              <w:t>投标无效</w:t>
            </w:r>
            <w:r>
              <w:rPr>
                <w:rFonts w:hint="eastAsia" w:ascii="宋体" w:hAnsi="宋体" w:cs="宋体"/>
                <w:b/>
                <w:bCs/>
                <w:spacing w:val="-36"/>
                <w:sz w:val="24"/>
                <w:lang w:eastAsia="en-US"/>
              </w:rPr>
              <w:t xml:space="preserve"> </w:t>
            </w:r>
            <w:r>
              <w:rPr>
                <w:rFonts w:hint="eastAsia" w:ascii="宋体" w:hAnsi="宋体" w:cs="宋体"/>
                <w:spacing w:val="-2"/>
                <w:sz w:val="24"/>
                <w:lang w:eastAsia="en-US"/>
              </w:rPr>
              <w:t>。联合体形式投标的，联合</w:t>
            </w:r>
            <w:r>
              <w:rPr>
                <w:rFonts w:hint="eastAsia" w:ascii="宋体" w:hAnsi="宋体" w:cs="宋体"/>
                <w:spacing w:val="-1"/>
                <w:sz w:val="24"/>
                <w:lang w:eastAsia="en-US"/>
              </w:rPr>
              <w:t>体成员存在不良信用记录，视同联合体存在不良信用记录。</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7" w:hRule="atLeast"/>
        </w:trPr>
        <w:tc>
          <w:tcPr>
            <w:tcW w:w="725" w:type="dxa"/>
            <w:vAlign w:val="center"/>
          </w:tcPr>
          <w:p>
            <w:pPr>
              <w:pStyle w:val="267"/>
              <w:autoSpaceDE w:val="0"/>
              <w:autoSpaceDN w:val="0"/>
              <w:spacing w:before="69" w:line="201" w:lineRule="auto"/>
              <w:ind w:left="363" w:leftChars="0"/>
              <w:jc w:val="center"/>
              <w:rPr>
                <w:rFonts w:hint="eastAsia" w:ascii="宋体" w:hAnsi="宋体" w:eastAsia="宋体" w:cs="宋体"/>
                <w:spacing w:val="5"/>
                <w:sz w:val="24"/>
                <w:szCs w:val="24"/>
                <w:lang w:val="en-US" w:eastAsia="zh-CN"/>
              </w:rPr>
            </w:pPr>
            <w:r>
              <w:rPr>
                <w:rFonts w:hint="eastAsia" w:ascii="宋体" w:hAnsi="宋体" w:eastAsia="宋体" w:cs="宋体"/>
                <w:spacing w:val="1"/>
                <w:sz w:val="24"/>
                <w:szCs w:val="24"/>
              </w:rPr>
              <w:t>2</w:t>
            </w:r>
          </w:p>
        </w:tc>
        <w:tc>
          <w:tcPr>
            <w:tcW w:w="2105" w:type="dxa"/>
            <w:vAlign w:val="top"/>
          </w:tcPr>
          <w:p>
            <w:pPr>
              <w:autoSpaceDE w:val="0"/>
              <w:autoSpaceDN w:val="0"/>
              <w:spacing w:before="43" w:line="193" w:lineRule="auto"/>
              <w:ind w:left="107" w:leftChars="0" w:right="105" w:rightChars="0" w:firstLine="4" w:firstLineChars="0"/>
              <w:jc w:val="both"/>
              <w:rPr>
                <w:rFonts w:hint="eastAsia" w:ascii="宋体" w:hAnsi="宋体" w:cs="宋体"/>
                <w:color w:val="auto"/>
                <w:spacing w:val="-1"/>
                <w:sz w:val="24"/>
                <w:lang w:eastAsia="en-US"/>
              </w:rPr>
            </w:pPr>
            <w:r>
              <w:rPr>
                <w:rFonts w:hint="eastAsia" w:ascii="宋体" w:hAnsi="宋体" w:eastAsia="宋体" w:cs="宋体"/>
                <w:spacing w:val="11"/>
                <w:sz w:val="24"/>
                <w:szCs w:val="24"/>
              </w:rPr>
              <w:t>落实政府采购政</w:t>
            </w:r>
            <w:r>
              <w:rPr>
                <w:rFonts w:hint="eastAsia" w:ascii="宋体" w:hAnsi="宋体" w:eastAsia="宋体" w:cs="宋体"/>
                <w:sz w:val="24"/>
                <w:szCs w:val="24"/>
              </w:rPr>
              <w:t xml:space="preserve"> </w:t>
            </w:r>
            <w:r>
              <w:rPr>
                <w:rFonts w:hint="eastAsia" w:ascii="宋体" w:hAnsi="宋体" w:eastAsia="宋体" w:cs="宋体"/>
                <w:spacing w:val="11"/>
                <w:sz w:val="24"/>
                <w:szCs w:val="24"/>
              </w:rPr>
              <w:t>策需满足的资格</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要求</w:t>
            </w:r>
          </w:p>
        </w:tc>
        <w:tc>
          <w:tcPr>
            <w:tcW w:w="4819" w:type="dxa"/>
            <w:vAlign w:val="top"/>
          </w:tcPr>
          <w:p>
            <w:pPr>
              <w:pStyle w:val="267"/>
              <w:autoSpaceDE w:val="0"/>
              <w:autoSpaceDN w:val="0"/>
              <w:spacing w:line="283" w:lineRule="auto"/>
              <w:rPr>
                <w:rFonts w:hint="eastAsia" w:ascii="宋体" w:hAnsi="宋体" w:eastAsia="宋体" w:cs="宋体"/>
              </w:rPr>
            </w:pPr>
          </w:p>
          <w:p>
            <w:pPr>
              <w:autoSpaceDE w:val="0"/>
              <w:autoSpaceDN w:val="0"/>
              <w:spacing w:before="103" w:line="201" w:lineRule="auto"/>
              <w:ind w:left="109" w:leftChars="0"/>
              <w:rPr>
                <w:rFonts w:hint="eastAsia" w:ascii="宋体" w:hAnsi="宋体" w:cs="宋体"/>
                <w:spacing w:val="-1"/>
                <w:sz w:val="24"/>
                <w:lang w:eastAsia="en-US"/>
              </w:rPr>
            </w:pPr>
            <w:r>
              <w:rPr>
                <w:rFonts w:hint="eastAsia" w:ascii="宋体" w:hAnsi="宋体" w:eastAsia="宋体" w:cs="宋体"/>
                <w:sz w:val="24"/>
                <w:szCs w:val="24"/>
              </w:rPr>
              <w:t>具体要求见第一章《投标邀请》</w:t>
            </w:r>
          </w:p>
        </w:tc>
        <w:tc>
          <w:tcPr>
            <w:tcW w:w="1643" w:type="dxa"/>
            <w:vAlign w:val="top"/>
          </w:tcPr>
          <w:p>
            <w:pPr>
              <w:pStyle w:val="267"/>
              <w:autoSpaceDE w:val="0"/>
              <w:autoSpaceDN w:val="0"/>
              <w:rPr>
                <w:rFonts w:hint="eastAsia" w:ascii="宋体" w:hAnsi="宋体" w:cs="宋体"/>
                <w:spacing w:val="44"/>
                <w:sz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7" w:hRule="atLeast"/>
        </w:trPr>
        <w:tc>
          <w:tcPr>
            <w:tcW w:w="725" w:type="dxa"/>
            <w:vAlign w:val="center"/>
          </w:tcPr>
          <w:p>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pacing w:val="5"/>
                <w:sz w:val="24"/>
                <w:szCs w:val="24"/>
                <w:lang w:val="en-US" w:eastAsia="zh-CN"/>
              </w:rPr>
            </w:pPr>
            <w:r>
              <w:rPr>
                <w:rFonts w:hint="eastAsia" w:ascii="宋体" w:hAnsi="宋体" w:eastAsia="宋体" w:cs="宋体"/>
                <w:sz w:val="24"/>
                <w:szCs w:val="24"/>
                <w:lang w:val="en-US" w:eastAsia="zh-CN"/>
              </w:rPr>
              <w:t>2-1</w:t>
            </w:r>
          </w:p>
        </w:tc>
        <w:tc>
          <w:tcPr>
            <w:tcW w:w="210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12" w:leftChars="0"/>
              <w:jc w:val="both"/>
              <w:textAlignment w:val="auto"/>
              <w:outlineLvl w:val="9"/>
              <w:rPr>
                <w:rFonts w:hint="eastAsia" w:ascii="宋体" w:hAnsi="宋体" w:cs="宋体"/>
                <w:color w:val="auto"/>
                <w:spacing w:val="-1"/>
                <w:sz w:val="24"/>
                <w:lang w:eastAsia="en-US"/>
              </w:rPr>
            </w:pPr>
            <w:r>
              <w:rPr>
                <w:rFonts w:hint="eastAsia" w:ascii="宋体" w:hAnsi="宋体" w:cs="宋体"/>
                <w:color w:val="auto"/>
                <w:spacing w:val="-2"/>
                <w:sz w:val="24"/>
                <w:lang w:eastAsia="zh-CN"/>
              </w:rPr>
              <w:t>中小企业要求</w:t>
            </w:r>
          </w:p>
        </w:tc>
        <w:tc>
          <w:tcPr>
            <w:tcW w:w="481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09" w:leftChars="0" w:right="102" w:rightChars="0" w:firstLine="2" w:firstLineChars="0"/>
              <w:jc w:val="both"/>
              <w:textAlignment w:val="auto"/>
              <w:outlineLvl w:val="9"/>
              <w:rPr>
                <w:rFonts w:hint="eastAsia" w:ascii="宋体" w:hAnsi="宋体" w:cs="宋体"/>
                <w:spacing w:val="-1"/>
                <w:sz w:val="24"/>
                <w:lang w:eastAsia="en-US"/>
              </w:rPr>
            </w:pPr>
            <w:r>
              <w:rPr>
                <w:rFonts w:hint="eastAsia" w:ascii="宋体" w:hAnsi="宋体" w:cs="宋体"/>
                <w:color w:val="auto"/>
                <w:spacing w:val="2"/>
                <w:sz w:val="24"/>
                <w:lang w:eastAsia="zh-CN"/>
              </w:rPr>
              <w:t>本项目专门面向小微企业采购</w:t>
            </w:r>
          </w:p>
        </w:tc>
        <w:tc>
          <w:tcPr>
            <w:tcW w:w="1643" w:type="dxa"/>
            <w:vAlign w:val="top"/>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p>
          <w:p>
            <w:pPr>
              <w:keepNext w:val="0"/>
              <w:keepLines w:val="0"/>
              <w:pageBreakBefore w:val="0"/>
              <w:widowControl w:val="0"/>
              <w:kinsoku/>
              <w:wordWrap/>
              <w:overflowPunct/>
              <w:topLinePunct w:val="0"/>
              <w:autoSpaceDE w:val="0"/>
              <w:autoSpaceDN w:val="0"/>
              <w:bidi w:val="0"/>
              <w:adjustRightInd/>
              <w:snapToGrid/>
              <w:spacing w:line="240" w:lineRule="atLeast"/>
              <w:ind w:left="286"/>
              <w:textAlignment w:val="auto"/>
              <w:outlineLvl w:val="9"/>
              <w:rPr>
                <w:rFonts w:hint="eastAsia" w:ascii="宋体" w:hAnsi="宋体" w:cs="宋体"/>
                <w:sz w:val="24"/>
                <w:lang w:eastAsia="en-US"/>
              </w:rPr>
            </w:pPr>
            <w:r>
              <w:rPr>
                <w:rFonts w:hint="eastAsia" w:ascii="宋体" w:hAnsi="宋体" w:cs="宋体"/>
                <w:spacing w:val="1"/>
                <w:sz w:val="24"/>
                <w:lang w:eastAsia="en-US"/>
              </w:rPr>
              <w:t>文件格式》</w:t>
            </w: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pacing w:val="-45"/>
                <w:sz w:val="24"/>
                <w:szCs w:val="24"/>
                <w:lang w:val="en-US" w:eastAsia="zh-CN"/>
              </w:rPr>
            </w:pPr>
            <w:r>
              <w:rPr>
                <w:rFonts w:hint="eastAsia" w:ascii="宋体" w:hAnsi="宋体" w:eastAsia="宋体" w:cs="宋体"/>
                <w:spacing w:val="1"/>
                <w:sz w:val="24"/>
                <w:szCs w:val="24"/>
                <w:lang w:eastAsia="zh-CN"/>
              </w:rPr>
              <w:t>“</w:t>
            </w:r>
            <w:r>
              <w:rPr>
                <w:rFonts w:hint="eastAsia" w:ascii="宋体" w:hAnsi="宋体" w:eastAsia="宋体" w:cs="宋体"/>
                <w:spacing w:val="-45"/>
                <w:sz w:val="24"/>
                <w:szCs w:val="24"/>
                <w:lang w:eastAsia="zh-CN"/>
              </w:rPr>
              <w:t>资</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格</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证</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明</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文</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件</w:t>
            </w:r>
            <w:r>
              <w:rPr>
                <w:rFonts w:hint="eastAsia" w:ascii="宋体" w:hAnsi="宋体" w:eastAsia="宋体" w:cs="宋体"/>
                <w:spacing w:val="-45"/>
                <w:sz w:val="24"/>
                <w:szCs w:val="24"/>
                <w:lang w:val="en-US" w:eastAsia="zh-CN"/>
              </w:rPr>
              <w:t xml:space="preserve">  </w:t>
            </w: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cs="宋体"/>
                <w:spacing w:val="44"/>
                <w:sz w:val="24"/>
                <w:lang w:eastAsia="en-US"/>
              </w:rPr>
            </w:pPr>
            <w:r>
              <w:rPr>
                <w:rFonts w:hint="eastAsia" w:ascii="宋体" w:hAnsi="宋体" w:eastAsia="宋体" w:cs="宋体"/>
                <w:spacing w:val="-45"/>
                <w:sz w:val="24"/>
                <w:szCs w:val="24"/>
                <w:lang w:val="en-US" w:eastAsia="zh-CN"/>
              </w:rPr>
              <w:t>2-</w:t>
            </w:r>
            <w:r>
              <w:rPr>
                <w:rFonts w:hint="eastAsia" w:ascii="宋体" w:hAnsi="宋体" w:eastAsia="宋体" w:cs="宋体"/>
                <w:spacing w:val="1"/>
                <w:sz w:val="24"/>
                <w:szCs w:val="24"/>
                <w:lang w:eastAsia="zh-CN"/>
              </w:rPr>
              <w:t>中小企业声明函”</w:t>
            </w:r>
            <w:r>
              <w:rPr>
                <w:rFonts w:hint="eastAsia" w:ascii="宋体" w:hAnsi="宋体" w:cs="宋体"/>
                <w:spacing w:val="-52"/>
                <w:sz w:val="24"/>
                <w:lang w:eastAsia="en-US"/>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34"/>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693" w:name="_Toc5513"/>
      <w:r>
        <w:rPr>
          <w:rFonts w:hint="eastAsia" w:ascii="宋体" w:hAnsi="宋体" w:cs="宋体"/>
          <w:b/>
          <w:sz w:val="36"/>
          <w:szCs w:val="36"/>
        </w:rPr>
        <w:t xml:space="preserve">第四章   </w:t>
      </w:r>
      <w:bookmarkEnd w:id="688"/>
      <w:bookmarkEnd w:id="689"/>
      <w:bookmarkEnd w:id="690"/>
      <w:bookmarkEnd w:id="691"/>
      <w:bookmarkEnd w:id="692"/>
      <w:bookmarkStart w:id="694" w:name="_Hlt164229061"/>
      <w:bookmarkEnd w:id="694"/>
      <w:r>
        <w:rPr>
          <w:rFonts w:hint="eastAsia" w:ascii="宋体" w:hAnsi="宋体" w:cs="宋体"/>
          <w:b/>
          <w:sz w:val="36"/>
          <w:szCs w:val="36"/>
        </w:rPr>
        <w:t>评标程序、评标方法和评标标准</w:t>
      </w:r>
      <w:bookmarkEnd w:id="693"/>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5"/>
        </w:numPr>
        <w:tabs>
          <w:tab w:val="left" w:pos="360"/>
        </w:tabs>
        <w:snapToGrid w:val="0"/>
        <w:spacing w:line="360" w:lineRule="auto"/>
        <w:outlineLvl w:val="1"/>
        <w:rPr>
          <w:rFonts w:hint="eastAsia" w:ascii="宋体" w:hAnsi="宋体" w:cs="宋体"/>
          <w:sz w:val="24"/>
        </w:rPr>
      </w:pPr>
      <w:bookmarkStart w:id="695" w:name="_Toc164608810"/>
      <w:bookmarkStart w:id="696" w:name="_Toc265228379"/>
      <w:bookmarkStart w:id="697" w:name="_Toc149720834"/>
      <w:bookmarkStart w:id="698" w:name="_Toc151193639"/>
      <w:bookmarkStart w:id="699" w:name="_Toc226965814"/>
      <w:bookmarkStart w:id="700" w:name="_Toc151193783"/>
      <w:bookmarkStart w:id="701" w:name="_Toc127151541"/>
      <w:bookmarkStart w:id="702" w:name="_Toc150509292"/>
      <w:bookmarkStart w:id="703" w:name="_Toc127161455"/>
      <w:bookmarkStart w:id="704" w:name="_Toc151193855"/>
      <w:bookmarkStart w:id="705" w:name="_Toc305158883"/>
      <w:bookmarkStart w:id="706" w:name="_Toc226309785"/>
      <w:bookmarkStart w:id="707" w:name="_Toc226965731"/>
      <w:bookmarkStart w:id="708" w:name="_Toc150774641"/>
      <w:bookmarkStart w:id="709" w:name="_Toc164229382"/>
      <w:bookmarkStart w:id="710" w:name="_Toc150774746"/>
      <w:bookmarkStart w:id="711" w:name="_Toc151193929"/>
      <w:bookmarkStart w:id="712" w:name="_Toc127151742"/>
      <w:bookmarkStart w:id="713" w:name="_Toc164229236"/>
      <w:bookmarkStart w:id="714" w:name="_Toc195842906"/>
      <w:bookmarkStart w:id="715" w:name="_Toc264969231"/>
      <w:bookmarkStart w:id="716" w:name="_Toc226337237"/>
      <w:bookmarkStart w:id="717" w:name="_Toc164351635"/>
      <w:bookmarkStart w:id="718" w:name="_Toc164608655"/>
      <w:bookmarkStart w:id="719" w:name="_Toc151193711"/>
      <w:bookmarkStart w:id="720" w:name="_Toc142311043"/>
      <w:bookmarkStart w:id="721" w:name="_Toc305158809"/>
      <w:bookmarkStart w:id="722" w:name="_Toc150480779"/>
      <w:bookmarkStart w:id="723" w:name="_Toc151190168"/>
      <w:bookmarkStart w:id="724" w:name="_Toc353873941"/>
      <w:bookmarkStart w:id="725" w:name="_Toc353825551"/>
      <w:bookmarkStart w:id="726" w:name="_Toc305158823"/>
      <w:bookmarkStart w:id="727" w:name="_Toc127151555"/>
      <w:bookmarkStart w:id="728" w:name="_Toc226965828"/>
      <w:bookmarkStart w:id="729" w:name="_Toc195842920"/>
      <w:bookmarkStart w:id="730" w:name="_Toc264969245"/>
      <w:bookmarkStart w:id="731" w:name="_Toc150480793"/>
      <w:bookmarkStart w:id="732" w:name="_Toc142311057"/>
      <w:bookmarkStart w:id="733" w:name="_Toc265228393"/>
      <w:bookmarkStart w:id="734" w:name="_Toc305158897"/>
      <w:bookmarkStart w:id="735" w:name="_Toc226337251"/>
      <w:bookmarkStart w:id="736" w:name="_Toc353873935"/>
      <w:bookmarkStart w:id="737" w:name="_Toc353873665"/>
      <w:bookmarkStart w:id="738" w:name="_Toc353825545"/>
      <w:bookmarkStart w:id="739" w:name="_Toc150774760"/>
      <w:r>
        <w:rPr>
          <w:rFonts w:hint="eastAsia" w:ascii="宋体" w:hAnsi="宋体" w:cs="宋体"/>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0" w:name="_Toc520356167"/>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0"/>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9"/>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投标完整性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sz w:val="24"/>
                <w:lang w:eastAsia="zh-CN"/>
              </w:rPr>
              <w:t>及投标产品</w:t>
            </w:r>
            <w:r>
              <w:rPr>
                <w:rFonts w:hint="eastAsia" w:asciiTheme="minorEastAsia" w:hAnsiTheme="minorEastAsia" w:eastAsiaTheme="minorEastAsia" w:cstheme="minorEastAsia"/>
                <w:color w:val="000000"/>
                <w:kern w:val="0"/>
                <w:sz w:val="24"/>
                <w:szCs w:val="24"/>
                <w:lang w:bidi="ar"/>
              </w:rPr>
              <w:t>单价最高限价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7"/>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7"/>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vAlign w:val="center"/>
          </w:tcPr>
          <w:p>
            <w:pPr>
              <w:pStyle w:val="267"/>
              <w:spacing w:before="69" w:line="360" w:lineRule="auto"/>
              <w:ind w:firstLine="250" w:firstLineChars="100"/>
              <w:jc w:val="both"/>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12</w:t>
            </w:r>
          </w:p>
        </w:tc>
        <w:tc>
          <w:tcPr>
            <w:tcW w:w="1986" w:type="dxa"/>
            <w:shd w:val="clear" w:color="auto" w:fill="auto"/>
            <w:vAlign w:val="top"/>
          </w:tcPr>
          <w:p>
            <w:pPr>
              <w:spacing w:before="103" w:line="360" w:lineRule="auto"/>
              <w:ind w:left="130" w:leftChars="0"/>
              <w:rPr>
                <w:rFonts w:hint="eastAsia" w:ascii="宋体" w:hAnsi="宋体" w:cs="宋体"/>
                <w:color w:val="auto"/>
                <w:spacing w:val="-7"/>
                <w:sz w:val="24"/>
              </w:rPr>
            </w:pPr>
            <w:r>
              <w:rPr>
                <w:rFonts w:hint="eastAsia" w:ascii="宋体" w:hAnsi="宋体" w:cs="宋体"/>
                <w:color w:val="000000"/>
                <w:sz w:val="24"/>
                <w:lang w:eastAsia="zh-CN"/>
              </w:rPr>
              <w:t>核心产品</w:t>
            </w:r>
          </w:p>
        </w:tc>
        <w:tc>
          <w:tcPr>
            <w:tcW w:w="5270" w:type="dxa"/>
            <w:shd w:val="clear" w:color="auto" w:fill="auto"/>
            <w:vAlign w:val="top"/>
          </w:tcPr>
          <w:p>
            <w:pPr>
              <w:spacing w:before="37" w:line="360" w:lineRule="auto"/>
              <w:rPr>
                <w:rFonts w:hint="eastAsia" w:ascii="宋体" w:hAnsi="宋体" w:cs="宋体"/>
                <w:spacing w:val="-1"/>
                <w:sz w:val="24"/>
              </w:rPr>
            </w:pPr>
            <w:r>
              <w:rPr>
                <w:rFonts w:hint="eastAsia" w:ascii="宋体" w:hAnsi="宋体" w:cs="宋体"/>
                <w:color w:val="000000"/>
                <w:sz w:val="24"/>
                <w:lang w:eastAsia="zh-CN"/>
              </w:rPr>
              <w:t>核心产品需满足不少于三个品牌产品参加投标；</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pStyle w:val="267"/>
              <w:spacing w:before="69" w:line="360" w:lineRule="auto"/>
              <w:ind w:firstLine="250" w:firstLineChars="100"/>
              <w:jc w:val="both"/>
              <w:rPr>
                <w:rFonts w:hint="eastAsia" w:ascii="宋体" w:hAnsi="宋体" w:cs="宋体"/>
                <w:color w:val="000000"/>
                <w:kern w:val="0"/>
                <w:sz w:val="24"/>
              </w:rPr>
            </w:pPr>
            <w:r>
              <w:rPr>
                <w:rFonts w:hint="eastAsia" w:ascii="宋体" w:hAnsi="宋体" w:eastAsia="宋体" w:cs="宋体"/>
                <w:spacing w:val="5"/>
                <w:sz w:val="24"/>
                <w:szCs w:val="24"/>
                <w:lang w:val="en-US" w:eastAsia="zh-CN"/>
              </w:rPr>
              <w:t>13</w:t>
            </w:r>
          </w:p>
        </w:tc>
        <w:tc>
          <w:tcPr>
            <w:tcW w:w="1986" w:type="dxa"/>
            <w:vAlign w:val="top"/>
          </w:tcPr>
          <w:p>
            <w:pPr>
              <w:spacing w:before="103" w:line="360" w:lineRule="auto"/>
              <w:ind w:left="130" w:leftChars="0"/>
              <w:rPr>
                <w:rFonts w:hint="eastAsia" w:ascii="宋体" w:hAnsi="宋体" w:cs="宋体"/>
                <w:color w:val="000000"/>
                <w:kern w:val="0"/>
                <w:sz w:val="24"/>
              </w:rPr>
            </w:pPr>
            <w:r>
              <w:rPr>
                <w:rFonts w:hint="eastAsia" w:ascii="宋体" w:hAnsi="宋体" w:cs="宋体"/>
                <w:color w:val="000000"/>
                <w:sz w:val="24"/>
                <w:lang w:eastAsia="zh-CN"/>
              </w:rPr>
              <w:t>进口产品</w:t>
            </w:r>
          </w:p>
        </w:tc>
        <w:tc>
          <w:tcPr>
            <w:tcW w:w="5270" w:type="dxa"/>
            <w:vAlign w:val="top"/>
          </w:tcPr>
          <w:p>
            <w:pPr>
              <w:spacing w:before="37" w:line="360" w:lineRule="auto"/>
              <w:rPr>
                <w:rFonts w:hint="eastAsia" w:ascii="宋体" w:hAnsi="宋体" w:cs="宋体"/>
                <w:color w:val="000000"/>
                <w:kern w:val="0"/>
                <w:sz w:val="24"/>
              </w:rPr>
            </w:pPr>
            <w:r>
              <w:rPr>
                <w:rFonts w:hint="eastAsia" w:ascii="宋体" w:hAnsi="宋体" w:cs="宋体"/>
                <w:sz w:val="24"/>
              </w:rPr>
              <w:t>招标文件不接受进口产品投标的内容时，投标人</w:t>
            </w:r>
            <w:r>
              <w:rPr>
                <w:rFonts w:hint="eastAsia" w:ascii="宋体" w:hAnsi="宋体" w:cs="宋体"/>
                <w:spacing w:val="-1"/>
                <w:sz w:val="24"/>
              </w:rPr>
              <w:t>所投产品不含进口产品</w:t>
            </w:r>
            <w:r>
              <w:rPr>
                <w:rFonts w:hint="eastAsia" w:ascii="宋体" w:hAnsi="宋体" w:cs="宋体"/>
                <w:spacing w:val="-1"/>
                <w:sz w:val="24"/>
                <w:lang w:eastAsia="zh-CN"/>
              </w:rPr>
              <w:t>。本项目不接受进口产品投标；</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pStyle w:val="267"/>
              <w:spacing w:before="69" w:line="360" w:lineRule="auto"/>
              <w:ind w:firstLine="250" w:firstLineChars="100"/>
              <w:jc w:val="both"/>
              <w:rPr>
                <w:rFonts w:hint="eastAsia" w:ascii="宋体" w:hAnsi="宋体" w:cs="宋体"/>
                <w:color w:val="000000"/>
                <w:kern w:val="0"/>
                <w:sz w:val="24"/>
              </w:rPr>
            </w:pPr>
            <w:r>
              <w:rPr>
                <w:rFonts w:hint="eastAsia" w:ascii="宋体" w:hAnsi="宋体" w:eastAsia="宋体" w:cs="宋体"/>
                <w:spacing w:val="5"/>
                <w:sz w:val="24"/>
                <w:szCs w:val="24"/>
                <w:lang w:val="en-US" w:eastAsia="zh-CN"/>
              </w:rPr>
              <w:t>14</w:t>
            </w:r>
          </w:p>
        </w:tc>
        <w:tc>
          <w:tcPr>
            <w:tcW w:w="1986" w:type="dxa"/>
            <w:vAlign w:val="top"/>
          </w:tcPr>
          <w:p>
            <w:pPr>
              <w:pStyle w:val="267"/>
              <w:spacing w:line="360" w:lineRule="auto"/>
              <w:rPr>
                <w:rFonts w:hint="eastAsia" w:ascii="宋体" w:hAnsi="宋体" w:eastAsia="宋体" w:cs="宋体"/>
                <w:sz w:val="24"/>
                <w:szCs w:val="24"/>
                <w:lang w:eastAsia="zh-CN"/>
              </w:rPr>
            </w:pPr>
          </w:p>
          <w:p>
            <w:pPr>
              <w:pStyle w:val="267"/>
              <w:spacing w:line="360" w:lineRule="auto"/>
              <w:rPr>
                <w:rFonts w:hint="eastAsia" w:ascii="宋体" w:hAnsi="宋体" w:eastAsia="宋体" w:cs="宋体"/>
                <w:sz w:val="24"/>
                <w:szCs w:val="24"/>
                <w:lang w:eastAsia="zh-CN"/>
              </w:rPr>
            </w:pPr>
          </w:p>
          <w:p>
            <w:pPr>
              <w:pStyle w:val="267"/>
              <w:spacing w:line="360" w:lineRule="auto"/>
              <w:rPr>
                <w:rFonts w:hint="eastAsia" w:ascii="宋体" w:hAnsi="宋体" w:eastAsia="宋体" w:cs="宋体"/>
                <w:sz w:val="24"/>
                <w:szCs w:val="24"/>
                <w:lang w:eastAsia="zh-CN"/>
              </w:rPr>
            </w:pPr>
          </w:p>
          <w:p>
            <w:pPr>
              <w:pStyle w:val="267"/>
              <w:spacing w:line="360" w:lineRule="auto"/>
              <w:rPr>
                <w:rFonts w:hint="eastAsia" w:ascii="宋体" w:hAnsi="宋体" w:eastAsia="宋体" w:cs="宋体"/>
                <w:sz w:val="24"/>
                <w:szCs w:val="24"/>
                <w:lang w:eastAsia="zh-CN"/>
              </w:rPr>
            </w:pPr>
          </w:p>
          <w:p>
            <w:pPr>
              <w:pStyle w:val="267"/>
              <w:spacing w:line="360" w:lineRule="auto"/>
              <w:rPr>
                <w:rFonts w:hint="eastAsia" w:ascii="宋体" w:hAnsi="宋体" w:eastAsia="宋体" w:cs="宋体"/>
                <w:sz w:val="24"/>
                <w:szCs w:val="24"/>
                <w:lang w:eastAsia="zh-CN"/>
              </w:rPr>
            </w:pPr>
          </w:p>
          <w:p>
            <w:pPr>
              <w:pStyle w:val="267"/>
              <w:spacing w:line="360" w:lineRule="auto"/>
              <w:rPr>
                <w:rFonts w:hint="eastAsia" w:ascii="宋体" w:hAnsi="宋体" w:eastAsia="宋体" w:cs="宋体"/>
                <w:sz w:val="24"/>
                <w:szCs w:val="24"/>
                <w:lang w:eastAsia="zh-CN"/>
              </w:rPr>
            </w:pPr>
          </w:p>
          <w:p>
            <w:pPr>
              <w:spacing w:before="103" w:line="360" w:lineRule="auto"/>
              <w:ind w:left="107" w:leftChars="0" w:right="263" w:rightChars="0" w:firstLine="25" w:firstLineChars="0"/>
              <w:rPr>
                <w:rFonts w:hint="eastAsia" w:ascii="宋体" w:hAnsi="宋体" w:cs="宋体"/>
                <w:color w:val="000000"/>
                <w:kern w:val="0"/>
                <w:sz w:val="24"/>
              </w:rPr>
            </w:pPr>
            <w:r>
              <w:rPr>
                <w:rFonts w:hint="eastAsia" w:ascii="宋体" w:hAnsi="宋体" w:cs="宋体"/>
                <w:color w:val="auto"/>
                <w:spacing w:val="-5"/>
                <w:sz w:val="24"/>
              </w:rPr>
              <w:t>国家有关部门</w:t>
            </w:r>
            <w:r>
              <w:rPr>
                <w:rFonts w:hint="eastAsia" w:ascii="宋体" w:hAnsi="宋体" w:cs="宋体"/>
                <w:color w:val="auto"/>
                <w:spacing w:val="-1"/>
                <w:sz w:val="24"/>
              </w:rPr>
              <w:t>对投标人的投标产品有强制性规定或要求</w:t>
            </w:r>
            <w:r>
              <w:rPr>
                <w:rFonts w:hint="eastAsia" w:ascii="宋体" w:hAnsi="宋体" w:cs="宋体"/>
                <w:color w:val="auto"/>
                <w:sz w:val="24"/>
              </w:rPr>
              <w:t>的</w:t>
            </w:r>
          </w:p>
        </w:tc>
        <w:tc>
          <w:tcPr>
            <w:tcW w:w="5270" w:type="dxa"/>
            <w:vAlign w:val="top"/>
          </w:tcPr>
          <w:p>
            <w:pPr>
              <w:spacing w:before="40" w:line="360" w:lineRule="auto"/>
              <w:ind w:left="111" w:right="135" w:firstLine="23"/>
              <w:rPr>
                <w:rFonts w:hint="eastAsia" w:ascii="宋体" w:hAnsi="宋体" w:cs="宋体"/>
                <w:sz w:val="24"/>
              </w:rPr>
            </w:pPr>
            <w:r>
              <w:rPr>
                <w:rFonts w:hint="eastAsia" w:ascii="宋体" w:hAnsi="宋体" w:cs="宋体"/>
                <w:spacing w:val="-1"/>
                <w:sz w:val="24"/>
              </w:rPr>
              <w:t>国家有关部门对投标人的投标产品有强制性规定或要</w:t>
            </w:r>
            <w:r>
              <w:rPr>
                <w:rFonts w:hint="eastAsia" w:ascii="宋体" w:hAnsi="宋体" w:cs="宋体"/>
                <w:spacing w:val="-2"/>
                <w:sz w:val="24"/>
              </w:rPr>
              <w:t>求的（如</w:t>
            </w:r>
            <w:r>
              <w:rPr>
                <w:rFonts w:hint="eastAsia" w:ascii="宋体" w:hAnsi="宋体" w:cs="宋体"/>
                <w:spacing w:val="-1"/>
                <w:sz w:val="24"/>
              </w:rPr>
              <w:t>相应技术、安全、节能和环保等</w:t>
            </w:r>
            <w:r>
              <w:rPr>
                <w:rFonts w:hint="eastAsia" w:ascii="宋体" w:hAnsi="宋体" w:cs="宋体"/>
                <w:spacing w:val="9"/>
                <w:sz w:val="24"/>
              </w:rPr>
              <w:t>），</w:t>
            </w:r>
            <w:r>
              <w:rPr>
                <w:rFonts w:hint="eastAsia" w:ascii="宋体" w:hAnsi="宋体" w:cs="宋体"/>
                <w:spacing w:val="-1"/>
                <w:sz w:val="24"/>
              </w:rPr>
              <w:t>投标人的投标产品应符合相应规定或要求，并提供证明文件电子件：</w:t>
            </w:r>
          </w:p>
          <w:p>
            <w:pPr>
              <w:pStyle w:val="267"/>
              <w:spacing w:before="3" w:line="360" w:lineRule="auto"/>
              <w:ind w:left="108" w:right="135" w:firstLine="2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1）采购的产品若属于《节能产品政府采购品目清单》范围中</w:t>
            </w:r>
            <w:r>
              <w:rPr>
                <w:rFonts w:hint="eastAsia" w:ascii="宋体" w:hAnsi="宋体" w:eastAsia="宋体" w:cs="宋体"/>
                <w:sz w:val="24"/>
                <w:szCs w:val="24"/>
                <w:lang w:eastAsia="zh-CN"/>
              </w:rPr>
              <w:t>政府强制采购产品，则投标人所报产品必须获得国家</w:t>
            </w:r>
            <w:r>
              <w:rPr>
                <w:rFonts w:hint="eastAsia" w:ascii="宋体" w:hAnsi="宋体" w:eastAsia="宋体" w:cs="宋体"/>
                <w:spacing w:val="-1"/>
                <w:sz w:val="24"/>
                <w:szCs w:val="24"/>
                <w:lang w:eastAsia="zh-CN"/>
              </w:rPr>
              <w:t>确定的认</w:t>
            </w:r>
            <w:r>
              <w:rPr>
                <w:rFonts w:hint="eastAsia" w:ascii="宋体" w:hAnsi="宋体" w:eastAsia="宋体" w:cs="宋体"/>
                <w:sz w:val="24"/>
                <w:szCs w:val="24"/>
                <w:lang w:eastAsia="zh-CN"/>
              </w:rPr>
              <w:t>证机构出具的、处于有效期之内的节能产品认</w:t>
            </w:r>
            <w:r>
              <w:rPr>
                <w:rFonts w:hint="eastAsia" w:ascii="宋体" w:hAnsi="宋体" w:eastAsia="宋体" w:cs="宋体"/>
                <w:spacing w:val="-1"/>
                <w:sz w:val="24"/>
                <w:szCs w:val="24"/>
                <w:lang w:eastAsia="zh-CN"/>
              </w:rPr>
              <w:t>证证书；</w:t>
            </w:r>
          </w:p>
          <w:p>
            <w:pPr>
              <w:pStyle w:val="267"/>
              <w:spacing w:before="9" w:line="360" w:lineRule="auto"/>
              <w:ind w:left="109" w:right="106" w:firstLine="1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14"/>
                <w:sz w:val="24"/>
                <w:szCs w:val="24"/>
                <w:lang w:eastAsia="zh-CN"/>
              </w:rPr>
              <w:t xml:space="preserve"> </w:t>
            </w:r>
            <w:r>
              <w:rPr>
                <w:rFonts w:hint="eastAsia" w:ascii="宋体" w:hAnsi="宋体" w:eastAsia="宋体" w:cs="宋体"/>
                <w:spacing w:val="-2"/>
                <w:sz w:val="24"/>
                <w:szCs w:val="24"/>
                <w:lang w:eastAsia="zh-CN"/>
              </w:rPr>
              <w:t>）所投产品属于列入《网络关键设备和网络安全专用产品目</w:t>
            </w:r>
            <w:r>
              <w:rPr>
                <w:rFonts w:hint="eastAsia" w:ascii="宋体" w:hAnsi="宋体" w:eastAsia="宋体" w:cs="宋体"/>
                <w:sz w:val="24"/>
                <w:szCs w:val="24"/>
                <w:lang w:eastAsia="zh-CN"/>
              </w:rPr>
              <w:t>录》的网络安全专用产品时，应当按照《信息安全</w:t>
            </w:r>
            <w:r>
              <w:rPr>
                <w:rFonts w:hint="eastAsia" w:ascii="宋体" w:hAnsi="宋体" w:eastAsia="宋体" w:cs="宋体"/>
                <w:spacing w:val="-1"/>
                <w:sz w:val="24"/>
                <w:szCs w:val="24"/>
                <w:lang w:eastAsia="zh-CN"/>
              </w:rPr>
              <w:t>技术网络安全专用产品安全技术要求》等相关国家标准的强</w:t>
            </w:r>
            <w:r>
              <w:rPr>
                <w:rFonts w:hint="eastAsia" w:ascii="宋体" w:hAnsi="宋体" w:eastAsia="宋体" w:cs="宋体"/>
                <w:spacing w:val="-2"/>
                <w:sz w:val="24"/>
                <w:szCs w:val="24"/>
                <w:lang w:eastAsia="zh-CN"/>
              </w:rPr>
              <w:t>制性要求，</w:t>
            </w:r>
            <w:r>
              <w:rPr>
                <w:rFonts w:hint="eastAsia" w:ascii="宋体" w:hAnsi="宋体" w:eastAsia="宋体" w:cs="宋体"/>
                <w:spacing w:val="-43"/>
                <w:sz w:val="24"/>
                <w:szCs w:val="24"/>
                <w:lang w:eastAsia="zh-CN"/>
              </w:rPr>
              <w:t xml:space="preserve"> </w:t>
            </w:r>
            <w:r>
              <w:rPr>
                <w:rFonts w:hint="eastAsia" w:ascii="宋体" w:hAnsi="宋体" w:eastAsia="宋体" w:cs="宋体"/>
                <w:spacing w:val="-2"/>
                <w:sz w:val="24"/>
                <w:szCs w:val="24"/>
                <w:lang w:eastAsia="zh-CN"/>
              </w:rPr>
              <w:t>由</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具备资格的机构安全认证合格或者安全检测符合要求</w:t>
            </w:r>
            <w:r>
              <w:rPr>
                <w:rFonts w:hint="eastAsia" w:ascii="宋体" w:hAnsi="宋体" w:eastAsia="宋体" w:cs="宋体"/>
                <w:spacing w:val="-33"/>
                <w:w w:val="57"/>
                <w:sz w:val="24"/>
                <w:szCs w:val="24"/>
                <w:lang w:eastAsia="zh-CN"/>
              </w:rPr>
              <w:t>；（</w:t>
            </w:r>
            <w:r>
              <w:rPr>
                <w:rFonts w:hint="eastAsia" w:ascii="宋体" w:hAnsi="宋体" w:eastAsia="宋体" w:cs="宋体"/>
                <w:spacing w:val="2"/>
                <w:sz w:val="24"/>
                <w:szCs w:val="24"/>
                <w:lang w:eastAsia="zh-CN"/>
              </w:rPr>
              <w:t>如该产</w:t>
            </w:r>
            <w:r>
              <w:rPr>
                <w:rFonts w:hint="eastAsia" w:ascii="宋体" w:hAnsi="宋体" w:eastAsia="宋体" w:cs="宋体"/>
                <w:sz w:val="24"/>
                <w:szCs w:val="24"/>
                <w:lang w:eastAsia="zh-CN"/>
              </w:rPr>
              <w:t>品已经获得公安部颁发的计算机信息系统安全专用</w:t>
            </w:r>
            <w:r>
              <w:rPr>
                <w:rFonts w:hint="eastAsia" w:ascii="宋体" w:hAnsi="宋体" w:eastAsia="宋体" w:cs="宋体"/>
                <w:spacing w:val="-1"/>
                <w:sz w:val="24"/>
                <w:szCs w:val="24"/>
                <w:lang w:eastAsia="zh-CN"/>
              </w:rPr>
              <w:t>产品销售许</w:t>
            </w:r>
            <w:r>
              <w:rPr>
                <w:rFonts w:hint="eastAsia" w:ascii="宋体" w:hAnsi="宋体" w:eastAsia="宋体" w:cs="宋体"/>
                <w:sz w:val="24"/>
                <w:szCs w:val="24"/>
                <w:lang w:eastAsia="zh-CN"/>
              </w:rPr>
              <w:t>可证，且在有效期内，亦视为符合要求）</w:t>
            </w:r>
          </w:p>
          <w:p>
            <w:pPr>
              <w:pStyle w:val="267"/>
              <w:spacing w:before="14" w:line="360" w:lineRule="auto"/>
              <w:ind w:left="107" w:leftChars="0" w:right="135" w:rightChars="0" w:firstLine="16" w:firstLineChars="0"/>
              <w:rPr>
                <w:rFonts w:hint="eastAsia" w:ascii="宋体" w:hAnsi="宋体" w:cs="宋体"/>
                <w:color w:val="000000"/>
                <w:kern w:val="0"/>
                <w:sz w:val="24"/>
              </w:rPr>
            </w:pPr>
            <w:r>
              <w:rPr>
                <w:rFonts w:hint="eastAsia" w:ascii="宋体" w:hAnsi="宋体" w:eastAsia="宋体" w:cs="宋体"/>
                <w:sz w:val="24"/>
                <w:szCs w:val="24"/>
                <w:lang w:eastAsia="zh-CN"/>
              </w:rPr>
              <w:t>3）项目中涉及涂料、胶黏剂、油墨、清洗剂等挥发性有</w:t>
            </w:r>
            <w:r>
              <w:rPr>
                <w:rFonts w:hint="eastAsia" w:ascii="宋体" w:hAnsi="宋体" w:eastAsia="宋体" w:cs="宋体"/>
                <w:spacing w:val="-1"/>
                <w:sz w:val="24"/>
                <w:szCs w:val="24"/>
                <w:lang w:eastAsia="zh-CN"/>
              </w:rPr>
              <w:t>机物</w:t>
            </w:r>
            <w:r>
              <w:rPr>
                <w:rFonts w:hint="eastAsia" w:ascii="宋体" w:hAnsi="宋体" w:eastAsia="宋体" w:cs="宋体"/>
                <w:sz w:val="24"/>
                <w:szCs w:val="24"/>
                <w:lang w:eastAsia="zh-CN"/>
              </w:rPr>
              <w:t>产品，且属于强制性标准的，供应商应执行符合本市和</w:t>
            </w:r>
            <w:r>
              <w:rPr>
                <w:rFonts w:hint="eastAsia" w:ascii="宋体" w:hAnsi="宋体" w:eastAsia="宋体" w:cs="宋体"/>
                <w:spacing w:val="-1"/>
                <w:sz w:val="24"/>
                <w:szCs w:val="24"/>
                <w:lang w:eastAsia="zh-CN"/>
              </w:rPr>
              <w:t>国家的VOCs含量限制标准。</w:t>
            </w:r>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5</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6</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pgBorders>
            <w:top w:val="none" w:sz="0" w:space="0"/>
            <w:left w:val="none" w:sz="0" w:space="0"/>
            <w:bottom w:val="none" w:sz="0" w:space="0"/>
            <w:right w:val="none" w:sz="0" w:space="0"/>
          </w:pgBorders>
          <w:cols w:space="720" w:num="1"/>
          <w:docGrid w:linePitch="462" w:charSpace="0"/>
        </w:sectPr>
      </w:pP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3</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5"/>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4"/>
      <w:bookmarkEnd w:id="725"/>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1" w:name="_Toc226965819"/>
      <w:bookmarkStart w:id="742" w:name="_Toc151193788"/>
      <w:bookmarkStart w:id="743" w:name="_Toc151193644"/>
      <w:bookmarkStart w:id="744" w:name="_Toc142311048"/>
      <w:bookmarkStart w:id="745" w:name="_Toc149720839"/>
      <w:bookmarkStart w:id="746" w:name="_Toc226309790"/>
      <w:bookmarkStart w:id="747" w:name="_Toc305158888"/>
      <w:bookmarkStart w:id="748" w:name="_Toc164608815"/>
      <w:bookmarkStart w:id="749" w:name="_Toc195842911"/>
      <w:bookmarkStart w:id="750" w:name="_Ref467307010"/>
      <w:bookmarkStart w:id="751" w:name="_Toc164229241"/>
      <w:bookmarkStart w:id="752" w:name="_Toc150774751"/>
      <w:bookmarkStart w:id="753" w:name="_Toc150774646"/>
      <w:bookmarkStart w:id="754" w:name="_Toc520356170"/>
      <w:bookmarkStart w:id="755" w:name="_Toc151193934"/>
      <w:bookmarkStart w:id="756" w:name="_Toc150509297"/>
      <w:bookmarkStart w:id="757" w:name="_Toc164608660"/>
      <w:bookmarkStart w:id="758" w:name="_Toc127151546"/>
      <w:bookmarkStart w:id="759" w:name="_Toc151193716"/>
      <w:bookmarkStart w:id="760" w:name="_Toc164351640"/>
      <w:bookmarkStart w:id="761" w:name="_Toc226965736"/>
      <w:bookmarkStart w:id="762" w:name="_Toc150480784"/>
      <w:bookmarkStart w:id="763" w:name="_Toc226337242"/>
      <w:bookmarkStart w:id="764" w:name="_Toc265228384"/>
      <w:bookmarkStart w:id="765" w:name="_Toc127161460"/>
      <w:bookmarkStart w:id="766" w:name="_Toc151190173"/>
      <w:bookmarkStart w:id="767" w:name="_Toc264969236"/>
      <w:bookmarkStart w:id="768" w:name="_Toc127151747"/>
      <w:bookmarkStart w:id="769" w:name="_Toc164229387"/>
      <w:bookmarkStart w:id="770" w:name="_Toc151193860"/>
      <w:bookmarkStart w:id="771" w:name="_Toc305158814"/>
      <w:r>
        <w:rPr>
          <w:rFonts w:hint="eastAsia" w:ascii="宋体" w:hAnsi="宋体" w:cs="宋体"/>
          <w:sz w:val="24"/>
        </w:rPr>
        <w:t>中标候选人名单</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9"/>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9"/>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widowControl/>
        <w:spacing w:line="360" w:lineRule="auto"/>
        <w:jc w:val="center"/>
        <w:rPr>
          <w:rFonts w:hint="eastAsia" w:ascii="宋体" w:hAnsi="宋体" w:cs="宋体"/>
          <w:b/>
          <w:sz w:val="24"/>
        </w:rPr>
      </w:pPr>
      <w:r>
        <w:rPr>
          <w:rFonts w:hint="eastAsia" w:ascii="宋体" w:hAnsi="宋体" w:cs="宋体"/>
          <w:b/>
          <w:sz w:val="24"/>
        </w:rPr>
        <w:br w:type="page"/>
      </w:r>
      <w:r>
        <w:rPr>
          <w:rFonts w:hint="eastAsia" w:ascii="宋体" w:hAnsi="宋体" w:cs="宋体"/>
          <w:b/>
          <w:sz w:val="24"/>
        </w:rPr>
        <w:t>二、评标标准</w:t>
      </w:r>
    </w:p>
    <w:tbl>
      <w:tblPr>
        <w:tblStyle w:val="59"/>
        <w:tblW w:w="9351" w:type="dxa"/>
        <w:jc w:val="center"/>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988"/>
        <w:gridCol w:w="525"/>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58" w:type="dxa"/>
            <w:vAlign w:val="center"/>
          </w:tcPr>
          <w:p>
            <w:pPr>
              <w:ind w:left="-141" w:leftChars="-67" w:right="-107" w:rightChars="-51" w:firstLine="28"/>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988" w:type="dxa"/>
            <w:vAlign w:val="center"/>
          </w:tcPr>
          <w:p>
            <w:pPr>
              <w:ind w:left="-25" w:leftChars="-13" w:right="-86" w:rightChars="-41" w:hanging="2"/>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评分因素</w:t>
            </w:r>
          </w:p>
        </w:tc>
        <w:tc>
          <w:tcPr>
            <w:tcW w:w="525" w:type="dxa"/>
            <w:vAlign w:val="center"/>
          </w:tcPr>
          <w:p>
            <w:pPr>
              <w:ind w:firstLine="28"/>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分值</w:t>
            </w:r>
          </w:p>
        </w:tc>
        <w:tc>
          <w:tcPr>
            <w:tcW w:w="7280" w:type="dxa"/>
            <w:vAlign w:val="center"/>
          </w:tcPr>
          <w:p>
            <w:pPr>
              <w:ind w:firstLine="28"/>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351" w:type="dxa"/>
            <w:gridSpan w:val="4"/>
            <w:vAlign w:val="center"/>
          </w:tcPr>
          <w:p>
            <w:pPr>
              <w:ind w:firstLine="28"/>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履约能力（20分）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58" w:type="dxa"/>
            <w:vAlign w:val="center"/>
          </w:tcPr>
          <w:p>
            <w:pPr>
              <w:ind w:firstLine="2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988" w:type="dxa"/>
            <w:vAlign w:val="center"/>
          </w:tcPr>
          <w:p>
            <w:pPr>
              <w:ind w:firstLine="2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投标人业绩</w:t>
            </w:r>
          </w:p>
        </w:tc>
        <w:tc>
          <w:tcPr>
            <w:tcW w:w="525" w:type="dxa"/>
            <w:vAlign w:val="center"/>
          </w:tcPr>
          <w:p>
            <w:pPr>
              <w:ind w:firstLine="2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3分</w:t>
            </w:r>
          </w:p>
        </w:tc>
        <w:tc>
          <w:tcPr>
            <w:tcW w:w="7280" w:type="dxa"/>
            <w:vAlign w:val="center"/>
          </w:tcPr>
          <w:p>
            <w:pPr>
              <w:ind w:firstLine="2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投标人近3年（2022年11月至今</w:t>
            </w:r>
            <w:r>
              <w:rPr>
                <w:rFonts w:hint="eastAsia" w:asciiTheme="minorEastAsia" w:hAnsiTheme="minorEastAsia" w:eastAsiaTheme="minorEastAsia" w:cstheme="minorEastAsia"/>
                <w:sz w:val="24"/>
                <w:szCs w:val="24"/>
              </w:rPr>
              <w:t>，以合同签订日期为准</w:t>
            </w:r>
            <w:r>
              <w:rPr>
                <w:rFonts w:hint="eastAsia" w:asciiTheme="minorEastAsia" w:hAnsiTheme="minorEastAsia" w:eastAsiaTheme="minorEastAsia" w:cstheme="minorEastAsia"/>
                <w:bCs/>
                <w:sz w:val="24"/>
                <w:szCs w:val="24"/>
              </w:rPr>
              <w:t>）的业绩合同，每提供一个得1分，最高得3分（须提供相应的合同首页、标的（内容）页、与合同双方盖章页复印件并加盖公章）。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58" w:type="dxa"/>
            <w:tcBorders>
              <w:bottom w:val="single" w:color="auto" w:sz="4" w:space="0"/>
            </w:tcBorders>
            <w:vAlign w:val="center"/>
          </w:tcPr>
          <w:p>
            <w:pPr>
              <w:ind w:firstLine="2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c>
          <w:tcPr>
            <w:tcW w:w="988" w:type="dxa"/>
            <w:tcBorders>
              <w:bottom w:val="single" w:color="auto" w:sz="4" w:space="0"/>
            </w:tcBorders>
            <w:vAlign w:val="center"/>
          </w:tcPr>
          <w:p>
            <w:pPr>
              <w:ind w:firstLine="2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lang w:eastAsia="zh-CN"/>
              </w:rPr>
              <w:t>相关</w:t>
            </w:r>
            <w:r>
              <w:rPr>
                <w:rFonts w:hint="eastAsia" w:asciiTheme="minorEastAsia" w:hAnsiTheme="minorEastAsia" w:eastAsiaTheme="minorEastAsia" w:cstheme="minorEastAsia"/>
                <w:sz w:val="24"/>
                <w:szCs w:val="24"/>
              </w:rPr>
              <w:t>证书</w:t>
            </w:r>
          </w:p>
        </w:tc>
        <w:tc>
          <w:tcPr>
            <w:tcW w:w="525" w:type="dxa"/>
            <w:tcBorders>
              <w:bottom w:val="single" w:color="auto" w:sz="4" w:space="0"/>
            </w:tcBorders>
            <w:vAlign w:val="center"/>
          </w:tcPr>
          <w:p>
            <w:pPr>
              <w:ind w:firstLine="2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13分</w:t>
            </w:r>
          </w:p>
        </w:tc>
        <w:tc>
          <w:tcPr>
            <w:tcW w:w="7280" w:type="dxa"/>
            <w:tcBorders>
              <w:bottom w:val="single" w:color="auto" w:sz="4" w:space="0"/>
            </w:tcBorders>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1、投标人具备ISO9001质量管理体系认证、 ISO14001环境管理体系认证 、ISO45001职业健康安全管理体系认证（以上证书须覆盖范围至少包含:木家具、钢木家具、金属家具、软体家具、办公(含屏风)，全部满足得3分，</w:t>
            </w:r>
            <w:r>
              <w:rPr>
                <w:rFonts w:hint="eastAsia" w:asciiTheme="minorEastAsia" w:hAnsiTheme="minorEastAsia" w:eastAsiaTheme="minorEastAsia" w:cstheme="minorEastAsia"/>
                <w:sz w:val="24"/>
                <w:szCs w:val="24"/>
                <w:lang w:eastAsia="zh-CN"/>
              </w:rPr>
              <w:t>每</w:t>
            </w:r>
            <w:r>
              <w:rPr>
                <w:rFonts w:hint="eastAsia" w:asciiTheme="minorEastAsia" w:hAnsiTheme="minorEastAsia" w:eastAsiaTheme="minorEastAsia" w:cstheme="minorEastAsia"/>
                <w:sz w:val="24"/>
                <w:szCs w:val="24"/>
              </w:rPr>
              <w:t>缺</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项扣0.5分。</w:t>
            </w:r>
          </w:p>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2、投标人具备人类功效学产品认证证书包括：桌台类，椅凳类，屏风类，柜架类，沙发类。全部满足得2分，</w:t>
            </w:r>
            <w:r>
              <w:rPr>
                <w:rFonts w:hint="eastAsia" w:asciiTheme="minorEastAsia" w:hAnsiTheme="minorEastAsia" w:eastAsiaTheme="minorEastAsia" w:cstheme="minorEastAsia"/>
                <w:sz w:val="24"/>
                <w:szCs w:val="24"/>
                <w:lang w:eastAsia="zh-CN"/>
              </w:rPr>
              <w:t>每</w:t>
            </w:r>
            <w:r>
              <w:rPr>
                <w:rFonts w:hint="eastAsia" w:asciiTheme="minorEastAsia" w:hAnsiTheme="minorEastAsia" w:eastAsiaTheme="minorEastAsia" w:cstheme="minorEastAsia"/>
                <w:sz w:val="24"/>
                <w:szCs w:val="24"/>
              </w:rPr>
              <w:t>缺</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项扣0.5分。</w:t>
            </w:r>
          </w:p>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3、投标人具备产品安全认证证书包括：木家具，金属家具，软体家具，满全部满足得3分，</w:t>
            </w:r>
            <w:r>
              <w:rPr>
                <w:rFonts w:hint="eastAsia" w:asciiTheme="minorEastAsia" w:hAnsiTheme="minorEastAsia" w:eastAsiaTheme="minorEastAsia" w:cstheme="minorEastAsia"/>
                <w:sz w:val="24"/>
                <w:szCs w:val="24"/>
                <w:lang w:eastAsia="zh-CN"/>
              </w:rPr>
              <w:t>每</w:t>
            </w:r>
            <w:r>
              <w:rPr>
                <w:rFonts w:hint="eastAsia" w:asciiTheme="minorEastAsia" w:hAnsiTheme="minorEastAsia" w:eastAsiaTheme="minorEastAsia" w:cstheme="minorEastAsia"/>
                <w:sz w:val="24"/>
                <w:szCs w:val="24"/>
              </w:rPr>
              <w:t>缺</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项扣</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w:t>
            </w:r>
          </w:p>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4、投标人具备CEC006-2016标准的绿色供应链评价证书（五星级），满足得1分。</w:t>
            </w:r>
          </w:p>
          <w:p>
            <w:pPr>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5、投标人具备</w:t>
            </w:r>
            <w:r>
              <w:rPr>
                <w:rFonts w:hint="eastAsia" w:asciiTheme="minorEastAsia" w:hAnsiTheme="minorEastAsia" w:eastAsiaTheme="minorEastAsia" w:cstheme="minorEastAsia"/>
                <w:kern w:val="0"/>
                <w:sz w:val="24"/>
                <w:szCs w:val="24"/>
              </w:rPr>
              <w:t>低VOCs家具产品认证证书（包含：</w:t>
            </w:r>
            <w:r>
              <w:rPr>
                <w:rFonts w:hint="eastAsia" w:asciiTheme="minorEastAsia" w:hAnsiTheme="minorEastAsia" w:eastAsiaTheme="minorEastAsia" w:cstheme="minorEastAsia"/>
                <w:sz w:val="24"/>
                <w:szCs w:val="24"/>
              </w:rPr>
              <w:t>木家具、金属家具、软体家具</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全部满足得1分，</w:t>
            </w:r>
            <w:r>
              <w:rPr>
                <w:rFonts w:hint="eastAsia" w:asciiTheme="minorEastAsia" w:hAnsiTheme="minorEastAsia" w:eastAsiaTheme="minorEastAsia" w:cstheme="minorEastAsia"/>
                <w:sz w:val="24"/>
                <w:szCs w:val="24"/>
                <w:lang w:eastAsia="zh-CN"/>
              </w:rPr>
              <w:t>每</w:t>
            </w:r>
            <w:r>
              <w:rPr>
                <w:rFonts w:hint="eastAsia" w:asciiTheme="minorEastAsia" w:hAnsiTheme="minorEastAsia" w:eastAsiaTheme="minorEastAsia" w:cstheme="minorEastAsia"/>
                <w:sz w:val="24"/>
                <w:szCs w:val="24"/>
              </w:rPr>
              <w:t>缺</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项扣0.5分。</w:t>
            </w:r>
          </w:p>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6、投标人具备能源管理体系认证证书，认证范围：办公家具(木家具、人造板家具、综合类木家具、实木家具、钢木家具、金属家具、软体家具)的生产及销售所涉及的能源管理活动。全部满足得3分，</w:t>
            </w:r>
            <w:r>
              <w:rPr>
                <w:rFonts w:hint="eastAsia" w:asciiTheme="minorEastAsia" w:hAnsiTheme="minorEastAsia" w:eastAsiaTheme="minorEastAsia" w:cstheme="minorEastAsia"/>
                <w:sz w:val="24"/>
                <w:szCs w:val="24"/>
                <w:lang w:eastAsia="zh-CN"/>
              </w:rPr>
              <w:t>每</w:t>
            </w:r>
            <w:r>
              <w:rPr>
                <w:rFonts w:hint="eastAsia" w:asciiTheme="minorEastAsia" w:hAnsiTheme="minorEastAsia" w:eastAsiaTheme="minorEastAsia" w:cstheme="minorEastAsia"/>
                <w:sz w:val="24"/>
                <w:szCs w:val="24"/>
              </w:rPr>
              <w:t>缺</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项扣0.5分。</w:t>
            </w:r>
          </w:p>
          <w:p>
            <w:pPr>
              <w:ind w:firstLine="28"/>
              <w:rPr>
                <w:rFonts w:hint="eastAsia" w:asciiTheme="minorEastAsia" w:hAnsiTheme="minorEastAsia" w:eastAsiaTheme="minorEastAsia" w:cstheme="minorEastAsia"/>
                <w:bCs/>
                <w:sz w:val="24"/>
                <w:szCs w:val="24"/>
              </w:rPr>
            </w:pPr>
            <w:bookmarkStart w:id="772" w:name="OLE_LINK2"/>
            <w:r>
              <w:rPr>
                <w:rFonts w:hint="eastAsia" w:asciiTheme="minorEastAsia" w:hAnsiTheme="minorEastAsia" w:eastAsiaTheme="minorEastAsia" w:cstheme="minorEastAsia"/>
                <w:b/>
                <w:bCs/>
                <w:kern w:val="0"/>
                <w:sz w:val="24"/>
                <w:szCs w:val="24"/>
              </w:rPr>
              <w:t>注：</w:t>
            </w:r>
            <w:r>
              <w:rPr>
                <w:rFonts w:hint="eastAsia" w:asciiTheme="minorEastAsia" w:hAnsiTheme="minorEastAsia" w:eastAsiaTheme="minorEastAsia" w:cstheme="minorEastAsia"/>
                <w:b/>
                <w:sz w:val="24"/>
                <w:szCs w:val="24"/>
              </w:rPr>
              <w:t>以上证件复印件并加盖供应商公章，</w:t>
            </w:r>
            <w:r>
              <w:rPr>
                <w:rFonts w:hint="eastAsia" w:asciiTheme="minorEastAsia" w:hAnsiTheme="minorEastAsia" w:eastAsiaTheme="minorEastAsia" w:cstheme="minorEastAsia"/>
                <w:b/>
                <w:bCs/>
                <w:kern w:val="0"/>
                <w:sz w:val="24"/>
                <w:szCs w:val="24"/>
              </w:rPr>
              <w:t>有效期内的、</w:t>
            </w:r>
            <w:r>
              <w:rPr>
                <w:rFonts w:hint="eastAsia" w:asciiTheme="minorEastAsia" w:hAnsiTheme="minorEastAsia" w:eastAsiaTheme="minorEastAsia" w:cstheme="minorEastAsia"/>
                <w:kern w:val="0"/>
                <w:sz w:val="24"/>
                <w:szCs w:val="24"/>
              </w:rPr>
              <w:t>同时提供在国家认证认可监督管理委员会网站(https://www.cnca.gov.cn) 官网查询截图、否则无效。</w:t>
            </w:r>
            <w:bookmarkEnd w:id="7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58" w:type="dxa"/>
            <w:tcBorders>
              <w:bottom w:val="single" w:color="auto" w:sz="4" w:space="0"/>
            </w:tcBorders>
            <w:vAlign w:val="center"/>
          </w:tcPr>
          <w:p>
            <w:pPr>
              <w:ind w:firstLine="2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w:t>
            </w:r>
          </w:p>
        </w:tc>
        <w:tc>
          <w:tcPr>
            <w:tcW w:w="988" w:type="dxa"/>
            <w:tcBorders>
              <w:bottom w:val="single" w:color="auto" w:sz="4" w:space="0"/>
            </w:tcBorders>
            <w:vAlign w:val="center"/>
          </w:tcPr>
          <w:p>
            <w:pPr>
              <w:ind w:firstLine="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投标人</w:t>
            </w:r>
            <w:r>
              <w:rPr>
                <w:rFonts w:hint="eastAsia" w:asciiTheme="minorEastAsia" w:hAnsiTheme="minorEastAsia" w:eastAsiaTheme="minorEastAsia" w:cstheme="minorEastAsia"/>
                <w:sz w:val="24"/>
                <w:szCs w:val="24"/>
              </w:rPr>
              <w:t>信用及管理能力</w:t>
            </w:r>
          </w:p>
        </w:tc>
        <w:tc>
          <w:tcPr>
            <w:tcW w:w="525" w:type="dxa"/>
            <w:tcBorders>
              <w:bottom w:val="single" w:color="auto" w:sz="4" w:space="0"/>
            </w:tcBorders>
            <w:vAlign w:val="center"/>
          </w:tcPr>
          <w:p>
            <w:pPr>
              <w:ind w:firstLine="2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4分</w:t>
            </w:r>
          </w:p>
        </w:tc>
        <w:tc>
          <w:tcPr>
            <w:tcW w:w="7280" w:type="dxa"/>
            <w:tcBorders>
              <w:bottom w:val="single" w:color="auto" w:sz="4" w:space="0"/>
            </w:tcBorders>
            <w:vAlign w:val="center"/>
          </w:tcPr>
          <w:p>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投标人提供诚信管理体系认证证书：需符合《企业诚信管理体系 要求》GB/T 31950-2023要求的，证书覆盖范围:木家具(实木家具、人造板家具、板木家具)、钢木家具、金属家具、软体家具、办公(含屏风)的生产、销售相关的诚信管理活动，满足得4分，每缺一项扣0.5分。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351" w:type="dxa"/>
            <w:gridSpan w:val="4"/>
            <w:tcBorders>
              <w:top w:val="single" w:color="auto" w:sz="4" w:space="0"/>
              <w:left w:val="single" w:color="auto" w:sz="4" w:space="0"/>
              <w:bottom w:val="single" w:color="auto" w:sz="4" w:space="0"/>
              <w:right w:val="single" w:color="auto" w:sz="4" w:space="0"/>
            </w:tcBorders>
            <w:vAlign w:val="center"/>
          </w:tcPr>
          <w:p>
            <w:pPr>
              <w:ind w:firstLine="28"/>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投标产品及技术方案（50分）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ind w:firstLine="2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w:t>
            </w:r>
          </w:p>
        </w:tc>
        <w:tc>
          <w:tcPr>
            <w:tcW w:w="988" w:type="dxa"/>
            <w:tcBorders>
              <w:top w:val="single" w:color="auto" w:sz="4" w:space="0"/>
              <w:left w:val="single" w:color="auto" w:sz="4" w:space="0"/>
              <w:bottom w:val="single" w:color="auto" w:sz="4" w:space="0"/>
              <w:right w:val="single" w:color="auto" w:sz="4" w:space="0"/>
            </w:tcBorders>
            <w:vAlign w:val="center"/>
          </w:tcPr>
          <w:p>
            <w:pPr>
              <w:kinsoku w:val="0"/>
              <w:wordWrap w:val="0"/>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主要技术参数</w:t>
            </w:r>
          </w:p>
        </w:tc>
        <w:tc>
          <w:tcPr>
            <w:tcW w:w="525" w:type="dxa"/>
            <w:tcBorders>
              <w:top w:val="single" w:color="auto" w:sz="4" w:space="0"/>
              <w:left w:val="single" w:color="auto" w:sz="4" w:space="0"/>
              <w:bottom w:val="single" w:color="auto" w:sz="4" w:space="0"/>
              <w:right w:val="single" w:color="auto" w:sz="4" w:space="0"/>
            </w:tcBorders>
            <w:vAlign w:val="center"/>
          </w:tcPr>
          <w:p>
            <w:pPr>
              <w:ind w:firstLine="2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16分</w:t>
            </w:r>
          </w:p>
        </w:tc>
        <w:tc>
          <w:tcPr>
            <w:tcW w:w="72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应答人技术指标全部满足技术要求的得 16分；</w:t>
            </w:r>
          </w:p>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未标记“#”号的为一般性指标，每有一项不满足扣 0.5分；</w:t>
            </w:r>
          </w:p>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标记“#”号的为重要性指标，每有一项不满足扣 </w:t>
            </w:r>
            <w:r>
              <w:rPr>
                <w:rFonts w:hint="eastAsia" w:asciiTheme="minorEastAsia" w:hAnsi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分；扣完为止。</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注：“#”代表重要性指标，</w:t>
            </w:r>
            <w:r>
              <w:rPr>
                <w:rFonts w:hint="eastAsia" w:asciiTheme="minorEastAsia" w:hAnsiTheme="minorEastAsia" w:cstheme="minorEastAsia"/>
                <w:kern w:val="0"/>
                <w:sz w:val="24"/>
                <w:szCs w:val="24"/>
                <w:lang w:val="en-US" w:eastAsia="zh-CN"/>
              </w:rPr>
              <w:t>需</w:t>
            </w:r>
            <w:r>
              <w:rPr>
                <w:rFonts w:hint="eastAsia" w:asciiTheme="minorEastAsia" w:hAnsiTheme="minorEastAsia" w:eastAsiaTheme="minorEastAsia" w:cstheme="minorEastAsia"/>
                <w:kern w:val="0"/>
                <w:sz w:val="24"/>
                <w:szCs w:val="24"/>
              </w:rPr>
              <w:t>出具具备CMA或CNAS 标识的检测报告，</w:t>
            </w:r>
            <w:r>
              <w:rPr>
                <w:rFonts w:hint="eastAsia" w:asciiTheme="minorEastAsia" w:hAnsiTheme="minorEastAsia" w:cstheme="minorEastAsia"/>
                <w:kern w:val="0"/>
                <w:sz w:val="24"/>
                <w:szCs w:val="24"/>
                <w:lang w:val="en-US" w:eastAsia="zh-CN"/>
              </w:rPr>
              <w:t>没有上述标识或</w:t>
            </w:r>
            <w:r>
              <w:rPr>
                <w:rFonts w:hint="eastAsia" w:asciiTheme="minorEastAsia" w:hAnsiTheme="minorEastAsia" w:eastAsiaTheme="minorEastAsia" w:cstheme="minorEastAsia"/>
                <w:kern w:val="0"/>
                <w:sz w:val="24"/>
                <w:szCs w:val="24"/>
              </w:rPr>
              <w:t>不提供不得分。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（检测报告签发日期为公告发出之日前 12 个月内，</w:t>
            </w:r>
            <w:r>
              <w:rPr>
                <w:rFonts w:hint="eastAsia" w:asciiTheme="minorEastAsia" w:hAnsiTheme="minorEastAsia" w:cstheme="minorEastAsia"/>
                <w:kern w:val="0"/>
                <w:sz w:val="24"/>
                <w:szCs w:val="24"/>
                <w:lang w:val="en-US" w:eastAsia="zh-CN"/>
              </w:rPr>
              <w:t>超出</w:t>
            </w:r>
            <w:r>
              <w:rPr>
                <w:rFonts w:hint="eastAsia" w:asciiTheme="minorEastAsia" w:hAnsiTheme="minorEastAsia" w:eastAsiaTheme="minorEastAsia" w:cstheme="minorEastAsia"/>
                <w:kern w:val="0"/>
                <w:sz w:val="24"/>
                <w:szCs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ind w:firstLine="2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w:t>
            </w:r>
          </w:p>
        </w:tc>
        <w:tc>
          <w:tcPr>
            <w:tcW w:w="988" w:type="dxa"/>
            <w:tcBorders>
              <w:top w:val="single" w:color="auto" w:sz="4" w:space="0"/>
              <w:left w:val="single" w:color="auto" w:sz="4" w:space="0"/>
              <w:bottom w:val="single" w:color="auto" w:sz="4" w:space="0"/>
              <w:right w:val="single" w:color="auto" w:sz="4" w:space="0"/>
            </w:tcBorders>
            <w:vAlign w:val="center"/>
          </w:tcPr>
          <w:p>
            <w:pPr>
              <w:kinsoku w:val="0"/>
              <w:wordWrap w:val="0"/>
              <w:adjustRightInd w:val="0"/>
              <w:snapToGrid w:val="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样品</w:t>
            </w:r>
          </w:p>
        </w:tc>
        <w:tc>
          <w:tcPr>
            <w:tcW w:w="525" w:type="dxa"/>
            <w:tcBorders>
              <w:top w:val="single" w:color="auto" w:sz="4" w:space="0"/>
              <w:left w:val="single" w:color="auto" w:sz="4" w:space="0"/>
              <w:bottom w:val="single" w:color="auto" w:sz="4" w:space="0"/>
              <w:right w:val="single" w:color="auto" w:sz="4" w:space="0"/>
            </w:tcBorders>
            <w:vAlign w:val="center"/>
          </w:tcPr>
          <w:p>
            <w:pPr>
              <w:ind w:firstLine="2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10分</w:t>
            </w:r>
          </w:p>
        </w:tc>
        <w:tc>
          <w:tcPr>
            <w:tcW w:w="728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提供原材料样品：</w:t>
            </w:r>
          </w:p>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1、300*300mm油漆色板，基材中密度纤维板+天然实木木皮（胡桃木皮），                                                                                                                 2、300*300mm浸渍纸饰面刨花板同色封边。                                             3、300*300mm海绵（厚度无要求）。                                                                            4、300*300mm*0.8mm冷轧钢板，表面静电喷塑。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样品评审要求：</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1.样品齐全，规格尺寸无误，材质要求准确，外观做工精致完美，表面无瑕疵，得</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2、样品齐全，规格尺寸无误，材质要求准确，外观做工一般，质感一般，表面有细微划痕或瑕疵得</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p>
            <w:pPr>
              <w:rPr>
                <w:rFonts w:hint="eastAsia" w:asciiTheme="minorEastAsia" w:hAnsiTheme="minorEastAsia" w:eastAsiaTheme="minorEastAsia" w:cstheme="minorEastAsia"/>
                <w:sz w:val="24"/>
                <w:szCs w:val="24"/>
                <w:highlight w:val="green"/>
              </w:rPr>
            </w:pPr>
            <w:r>
              <w:rPr>
                <w:rFonts w:hint="eastAsia" w:asciiTheme="minorEastAsia" w:hAnsiTheme="minorEastAsia" w:eastAsiaTheme="minorEastAsia" w:cstheme="minorEastAsia"/>
                <w:sz w:val="24"/>
                <w:szCs w:val="24"/>
              </w:rPr>
              <w:t>3、样品齐全，规格尺寸无误，材质要求准确，外观做工较差，做工粗糙、表面有明显划痕或瑕疵，得</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58" w:type="dxa"/>
            <w:vAlign w:val="center"/>
          </w:tcPr>
          <w:p>
            <w:pPr>
              <w:ind w:firstLine="2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w:t>
            </w:r>
          </w:p>
        </w:tc>
        <w:tc>
          <w:tcPr>
            <w:tcW w:w="988" w:type="dxa"/>
            <w:vAlign w:val="center"/>
          </w:tcPr>
          <w:p>
            <w:pPr>
              <w:kinsoku w:val="0"/>
              <w:wordWrap w:val="0"/>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供货安装及调试方案</w:t>
            </w:r>
          </w:p>
        </w:tc>
        <w:tc>
          <w:tcPr>
            <w:tcW w:w="525" w:type="dxa"/>
            <w:vAlign w:val="center"/>
          </w:tcPr>
          <w:p>
            <w:pPr>
              <w:pStyle w:val="3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6分</w:t>
            </w:r>
          </w:p>
        </w:tc>
        <w:tc>
          <w:tcPr>
            <w:tcW w:w="7280" w:type="dxa"/>
            <w:vAlign w:val="center"/>
          </w:tcPr>
          <w:p>
            <w:pPr>
              <w:kinsoku w:val="0"/>
              <w:wordWrap w:val="0"/>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1.供货方案全面、细致合理，货物包装、运输均符合要求，应急措施非常完善，人员配置5人以上（需提供在职人员投标前6个月连续社保证明），得6分。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2.供货方案较全面、较合理，货物包装、运输均符合要求，应急措施较完善，人员配置3-5人（需提供在职人员投标前6个月连续社保证明），得3分。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3.供货方案不够全面、不够合理，货物包装、运输不符合要求或未明确表达，运输措施不够完善，人员配置1-2人（需提供在职人员投标前6个月连续社保证明），得1分。</w:t>
            </w:r>
          </w:p>
          <w:p>
            <w:pPr>
              <w:kinsoku w:val="0"/>
              <w:wordWrap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4.未提供得0分。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58" w:type="dxa"/>
            <w:vAlign w:val="center"/>
          </w:tcPr>
          <w:p>
            <w:pPr>
              <w:ind w:firstLine="2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w:t>
            </w:r>
          </w:p>
        </w:tc>
        <w:tc>
          <w:tcPr>
            <w:tcW w:w="988" w:type="dxa"/>
            <w:vAlign w:val="center"/>
          </w:tcPr>
          <w:p>
            <w:pPr>
              <w:kinsoku w:val="0"/>
              <w:wordWrap w:val="0"/>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售后服务方案</w:t>
            </w:r>
          </w:p>
        </w:tc>
        <w:tc>
          <w:tcPr>
            <w:tcW w:w="525" w:type="dxa"/>
            <w:vAlign w:val="center"/>
          </w:tcPr>
          <w:p>
            <w:pPr>
              <w:ind w:firstLine="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7分</w:t>
            </w:r>
          </w:p>
        </w:tc>
        <w:tc>
          <w:tcPr>
            <w:tcW w:w="7280" w:type="dxa"/>
            <w:vAlign w:val="center"/>
          </w:tcPr>
          <w:p>
            <w:pPr>
              <w:numPr>
                <w:ilvl w:val="0"/>
                <w:numId w:val="16"/>
              </w:numPr>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售后服务方案：</w:t>
            </w:r>
          </w:p>
          <w:p>
            <w:pPr>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（1）方案完善、优于招标文件要求、可操作性强，实施措施针对性和说服力强，得6分；</w:t>
            </w:r>
          </w:p>
          <w:p>
            <w:pPr>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（2）方案基本完善、基本满足招标文件要求、有一定操作性，实施措施针对性和说服力尚可，得3分；</w:t>
            </w:r>
          </w:p>
          <w:p>
            <w:pPr>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（3）提供了简单、通用的方案、可操作性、实施措施针对性和说服力稍有不足，得1分；</w:t>
            </w:r>
          </w:p>
          <w:p>
            <w:pPr>
              <w:kinsoku w:val="0"/>
              <w:wordWrap w:val="0"/>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（4）方案不够完善、操作性不足，实施措施针对性和说服力不足，或方案无可操作性，实施措施无针对性、无说服力，得0分。未提供不得分</w:t>
            </w:r>
          </w:p>
          <w:p>
            <w:pPr>
              <w:kinsoku w:val="0"/>
              <w:wordWrap w:val="0"/>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2.售后增值增项服务，每增加一项0.5分，满分1分。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58" w:type="dxa"/>
            <w:vAlign w:val="center"/>
          </w:tcPr>
          <w:p>
            <w:pPr>
              <w:ind w:firstLine="2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w:t>
            </w:r>
          </w:p>
        </w:tc>
        <w:tc>
          <w:tcPr>
            <w:tcW w:w="988" w:type="dxa"/>
            <w:vAlign w:val="center"/>
          </w:tcPr>
          <w:p>
            <w:pPr>
              <w:ind w:firstLine="2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rPr>
              <w:t>生产设备能力</w:t>
            </w:r>
          </w:p>
        </w:tc>
        <w:tc>
          <w:tcPr>
            <w:tcW w:w="525" w:type="dxa"/>
            <w:vAlign w:val="center"/>
          </w:tcPr>
          <w:p>
            <w:pPr>
              <w:ind w:firstLine="2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6分</w:t>
            </w:r>
          </w:p>
        </w:tc>
        <w:tc>
          <w:tcPr>
            <w:tcW w:w="7280" w:type="dxa"/>
            <w:vAlign w:val="center"/>
          </w:tcPr>
          <w:p>
            <w:pPr>
              <w:widowControl/>
              <w:kinsoku w:val="0"/>
              <w:wordWrap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电子开料锯、激光封边机、CNC数控加工中心、数控裁板锯、智能木工钻铣加工中心、冷压机、木工中央除尘设备、激光切割机、激光手持焊接机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光氧催化设备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无动力滚筒输送生产线、热压成型机、异型管抛光机。</w:t>
            </w:r>
          </w:p>
          <w:p>
            <w:pPr>
              <w:widowControl/>
              <w:kinsoku w:val="0"/>
              <w:wordWrap w:val="0"/>
              <w:jc w:val="left"/>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sz w:val="24"/>
                <w:szCs w:val="24"/>
              </w:rPr>
              <w:t>注：需提供生产设备实景照片、设备发票及购买合同</w:t>
            </w:r>
            <w:r>
              <w:rPr>
                <w:rFonts w:hint="eastAsia" w:asciiTheme="minorEastAsia" w:hAnsiTheme="minorEastAsia" w:eastAsiaTheme="minorEastAsia" w:cstheme="minorEastAsia"/>
                <w:bCs/>
                <w:sz w:val="24"/>
                <w:szCs w:val="24"/>
              </w:rPr>
              <w:t>（以上设备证明资料，齐全得6分，缺一项扣0.5分扣完为止）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58" w:type="dxa"/>
            <w:vAlign w:val="center"/>
          </w:tcPr>
          <w:p>
            <w:pPr>
              <w:ind w:firstLine="2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w:t>
            </w:r>
          </w:p>
        </w:tc>
        <w:tc>
          <w:tcPr>
            <w:tcW w:w="988" w:type="dxa"/>
            <w:vAlign w:val="center"/>
          </w:tcPr>
          <w:p>
            <w:pPr>
              <w:ind w:firstLine="2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检测设备能力</w:t>
            </w:r>
          </w:p>
        </w:tc>
        <w:tc>
          <w:tcPr>
            <w:tcW w:w="525" w:type="dxa"/>
            <w:vAlign w:val="center"/>
          </w:tcPr>
          <w:p>
            <w:pPr>
              <w:ind w:firstLine="2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5分</w:t>
            </w:r>
          </w:p>
        </w:tc>
        <w:tc>
          <w:tcPr>
            <w:tcW w:w="7280" w:type="dxa"/>
            <w:vAlign w:val="center"/>
          </w:tcPr>
          <w:p>
            <w:pPr>
              <w:widowControl/>
              <w:jc w:val="left"/>
              <w:rPr>
                <w:rFonts w:hint="eastAsia" w:asciiTheme="minorEastAsia" w:hAnsiTheme="minorEastAsia" w:eastAsiaTheme="minorEastAsia" w:cstheme="minorEastAsia"/>
                <w:sz w:val="24"/>
                <w:szCs w:val="24"/>
              </w:rPr>
            </w:pPr>
            <w:bookmarkStart w:id="773" w:name="_Toc2179"/>
            <w:r>
              <w:rPr>
                <w:rFonts w:hint="eastAsia" w:asciiTheme="minorEastAsia" w:hAnsiTheme="minorEastAsia" w:eastAsiaTheme="minorEastAsia" w:cstheme="minorEastAsia"/>
                <w:sz w:val="24"/>
                <w:szCs w:val="24"/>
              </w:rPr>
              <w:t xml:space="preserve">家具综合测试仪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kern w:val="0"/>
                <w:sz w:val="24"/>
                <w:szCs w:val="24"/>
                <w:lang w:bidi="ar"/>
              </w:rPr>
              <w:t>盐雾试验箱</w:t>
            </w:r>
            <w:r>
              <w:rPr>
                <w:rFonts w:hint="eastAsia" w:asciiTheme="minorEastAsia" w:hAnsiTheme="minorEastAsia" w:eastAsiaTheme="minorEastAsia" w:cstheme="minorEastAsia"/>
                <w:kern w:val="0"/>
                <w:sz w:val="24"/>
                <w:szCs w:val="24"/>
                <w:lang w:eastAsia="zh-CN" w:bidi="ar"/>
              </w:rPr>
              <w:t>、</w:t>
            </w:r>
            <w:r>
              <w:rPr>
                <w:rFonts w:hint="eastAsia" w:asciiTheme="minorEastAsia" w:hAnsiTheme="minorEastAsia" w:eastAsiaTheme="minorEastAsia" w:cstheme="minorEastAsia"/>
                <w:kern w:val="0"/>
                <w:sz w:val="24"/>
                <w:szCs w:val="24"/>
                <w:lang w:bidi="ar"/>
              </w:rPr>
              <w:t>办公椅底座静载荷力学试验测试机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kern w:val="0"/>
                <w:sz w:val="24"/>
                <w:szCs w:val="24"/>
                <w:lang w:bidi="ar"/>
              </w:rPr>
              <w:t>柜门铰链耐久性测试机</w:t>
            </w:r>
            <w:r>
              <w:rPr>
                <w:rFonts w:hint="eastAsia" w:asciiTheme="minorEastAsia" w:hAnsiTheme="minorEastAsia" w:eastAsiaTheme="minorEastAsia" w:cstheme="minorEastAsia"/>
                <w:kern w:val="0"/>
                <w:sz w:val="24"/>
                <w:szCs w:val="24"/>
                <w:lang w:eastAsia="zh-CN" w:bidi="ar"/>
              </w:rPr>
              <w:t>、</w:t>
            </w:r>
            <w:r>
              <w:rPr>
                <w:rFonts w:hint="eastAsia" w:asciiTheme="minorEastAsia" w:hAnsiTheme="minorEastAsia" w:eastAsiaTheme="minorEastAsia" w:cstheme="minorEastAsia"/>
                <w:kern w:val="0"/>
                <w:sz w:val="24"/>
                <w:szCs w:val="24"/>
                <w:lang w:bidi="ar"/>
              </w:rPr>
              <w:t>甲醛测试箱</w:t>
            </w:r>
            <w:r>
              <w:rPr>
                <w:rFonts w:hint="eastAsia" w:asciiTheme="minorEastAsia" w:hAnsiTheme="minorEastAsia" w:eastAsiaTheme="minorEastAsia" w:cstheme="minorEastAsia"/>
                <w:kern w:val="0"/>
                <w:sz w:val="24"/>
                <w:szCs w:val="24"/>
                <w:lang w:eastAsia="zh-CN" w:bidi="ar"/>
              </w:rPr>
              <w:t>、</w:t>
            </w:r>
            <w:r>
              <w:rPr>
                <w:rFonts w:hint="eastAsia" w:asciiTheme="minorEastAsia" w:hAnsiTheme="minorEastAsia" w:eastAsiaTheme="minorEastAsia" w:cstheme="minorEastAsia"/>
                <w:kern w:val="0"/>
                <w:sz w:val="24"/>
                <w:szCs w:val="24"/>
                <w:lang w:bidi="ar"/>
              </w:rPr>
              <w:t>漆膜附着力试验仪</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kern w:val="0"/>
                <w:sz w:val="24"/>
                <w:szCs w:val="24"/>
                <w:lang w:bidi="ar"/>
              </w:rPr>
              <w:t>海绵回弹率测试仪</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kern w:val="0"/>
                <w:sz w:val="24"/>
                <w:szCs w:val="24"/>
                <w:lang w:bidi="ar"/>
              </w:rPr>
              <w:t>电动摩擦色牢度测试仪</w:t>
            </w:r>
            <w:r>
              <w:rPr>
                <w:rFonts w:hint="eastAsia" w:asciiTheme="minorEastAsia" w:hAnsiTheme="minorEastAsia" w:eastAsiaTheme="minorEastAsia" w:cstheme="minorEastAsia"/>
                <w:kern w:val="0"/>
                <w:sz w:val="24"/>
                <w:szCs w:val="24"/>
                <w:lang w:eastAsia="zh-CN" w:bidi="ar"/>
              </w:rPr>
              <w:t>、</w:t>
            </w:r>
            <w:r>
              <w:rPr>
                <w:rFonts w:hint="eastAsia" w:asciiTheme="minorEastAsia" w:hAnsiTheme="minorEastAsia" w:eastAsiaTheme="minorEastAsia" w:cstheme="minorEastAsia"/>
                <w:kern w:val="0"/>
                <w:sz w:val="24"/>
                <w:szCs w:val="24"/>
                <w:lang w:bidi="ar"/>
              </w:rPr>
              <w:t>金属漆膜冲击仪</w:t>
            </w:r>
            <w:r>
              <w:rPr>
                <w:rFonts w:hint="eastAsia" w:asciiTheme="minorEastAsia" w:hAnsiTheme="minorEastAsia" w:eastAsiaTheme="minorEastAsia" w:cstheme="minorEastAsia"/>
                <w:kern w:val="0"/>
                <w:sz w:val="24"/>
                <w:szCs w:val="24"/>
                <w:lang w:eastAsia="zh-CN" w:bidi="ar"/>
              </w:rPr>
              <w:t>、</w:t>
            </w:r>
            <w:r>
              <w:rPr>
                <w:rFonts w:hint="eastAsia" w:asciiTheme="minorEastAsia" w:hAnsiTheme="minorEastAsia" w:eastAsiaTheme="minorEastAsia" w:cstheme="minorEastAsia"/>
                <w:kern w:val="0"/>
                <w:sz w:val="24"/>
                <w:szCs w:val="24"/>
                <w:lang w:bidi="ar"/>
              </w:rPr>
              <w:t>六合一甲醛测试仪</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kern w:val="0"/>
                <w:sz w:val="24"/>
                <w:szCs w:val="24"/>
                <w:lang w:bidi="ar"/>
              </w:rPr>
              <w:t>漆膜铅笔划痕硬度仪</w:t>
            </w:r>
            <w:r>
              <w:rPr>
                <w:rFonts w:hint="eastAsia" w:asciiTheme="minorEastAsia" w:hAnsiTheme="minorEastAsia" w:eastAsiaTheme="minorEastAsia" w:cstheme="minorEastAsia"/>
                <w:sz w:val="24"/>
                <w:szCs w:val="24"/>
              </w:rPr>
              <w:t>。</w:t>
            </w:r>
          </w:p>
          <w:bookmarkEnd w:id="773"/>
          <w:p>
            <w:pPr>
              <w:widowControl/>
              <w:kinsoku w:val="0"/>
              <w:wordWrap w:val="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以上需提供检测设备发票及购买合同等</w:t>
            </w:r>
            <w:r>
              <w:rPr>
                <w:rFonts w:hint="eastAsia" w:asciiTheme="minorEastAsia" w:hAnsiTheme="minorEastAsia" w:eastAsiaTheme="minorEastAsia" w:cstheme="minorEastAsia"/>
                <w:bCs/>
                <w:sz w:val="24"/>
                <w:szCs w:val="24"/>
              </w:rPr>
              <w:t>设备证明资料，齐全得5分，缺一项扣0.5分、扣完为止。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351" w:type="dxa"/>
            <w:gridSpan w:val="4"/>
            <w:vAlign w:val="center"/>
          </w:tcPr>
          <w:p>
            <w:pPr>
              <w:widowControl/>
              <w:kinsoku w:val="0"/>
              <w:wordWrap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价格部分（30分）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58" w:type="dxa"/>
            <w:vAlign w:val="center"/>
          </w:tcPr>
          <w:p>
            <w:pPr>
              <w:ind w:firstLine="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988" w:type="dxa"/>
            <w:vAlign w:val="center"/>
          </w:tcPr>
          <w:p>
            <w:pPr>
              <w:ind w:firstLine="28"/>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价格</w:t>
            </w:r>
          </w:p>
        </w:tc>
        <w:tc>
          <w:tcPr>
            <w:tcW w:w="525" w:type="dxa"/>
            <w:vAlign w:val="center"/>
          </w:tcPr>
          <w:p>
            <w:pPr>
              <w:ind w:firstLine="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30分</w:t>
            </w:r>
          </w:p>
        </w:tc>
        <w:tc>
          <w:tcPr>
            <w:tcW w:w="7280"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本项目价格权重为：30分</w:t>
            </w:r>
          </w:p>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满足招标文件要求且投标价格最低的投标报价为评标基准价。投标报价得分=（评标基准价/投标报价）×价格权值×100</w:t>
            </w:r>
          </w:p>
          <w:p>
            <w:pPr>
              <w:rPr>
                <w:rFonts w:hint="eastAsia" w:asciiTheme="minorEastAsia" w:hAnsiTheme="minorEastAsia" w:eastAsiaTheme="minorEastAsia" w:cstheme="minorEastAsia"/>
                <w:sz w:val="24"/>
                <w:szCs w:val="24"/>
                <w:lang w:eastAsia="zh-CN"/>
              </w:rPr>
            </w:pPr>
          </w:p>
        </w:tc>
      </w:tr>
    </w:tbl>
    <w:p>
      <w:pPr>
        <w:rPr>
          <w:rFonts w:hint="eastAsia" w:ascii="宋体" w:hAnsi="宋体" w:cs="宋体"/>
          <w:b/>
          <w:sz w:val="36"/>
          <w:szCs w:val="36"/>
        </w:rPr>
      </w:pPr>
      <w:r>
        <w:rPr>
          <w:rFonts w:ascii="宋体" w:hAnsi="宋体" w:cs="宋体"/>
          <w:b/>
          <w:sz w:val="36"/>
          <w:szCs w:val="36"/>
        </w:rPr>
        <w:br w:type="page"/>
      </w:r>
    </w:p>
    <w:p>
      <w:pPr>
        <w:numPr>
          <w:ilvl w:val="0"/>
          <w:numId w:val="17"/>
        </w:numPr>
        <w:spacing w:line="360" w:lineRule="auto"/>
        <w:jc w:val="center"/>
        <w:outlineLvl w:val="0"/>
        <w:rPr>
          <w:rFonts w:hint="eastAsia" w:ascii="宋体" w:hAnsi="宋体" w:cs="宋体"/>
          <w:b/>
          <w:sz w:val="36"/>
          <w:szCs w:val="36"/>
        </w:rPr>
      </w:pPr>
      <w:bookmarkStart w:id="774" w:name="_Toc2998"/>
      <w:r>
        <w:rPr>
          <w:rFonts w:hint="eastAsia" w:ascii="宋体" w:hAnsi="宋体" w:cs="宋体"/>
          <w:b/>
          <w:sz w:val="36"/>
          <w:szCs w:val="36"/>
        </w:rPr>
        <w:t xml:space="preserve">  采购需求</w:t>
      </w:r>
      <w:bookmarkEnd w:id="774"/>
    </w:p>
    <w:p>
      <w:pPr>
        <w:pStyle w:val="2"/>
        <w:rPr>
          <w:rFonts w:hint="eastAsia" w:ascii="宋体" w:hAnsi="宋体" w:eastAsia="宋体" w:cs="宋体"/>
          <w:sz w:val="24"/>
          <w:szCs w:val="24"/>
          <w:lang w:eastAsia="zh-CN"/>
        </w:rPr>
      </w:pPr>
      <w:r>
        <w:rPr>
          <w:rFonts w:hint="eastAsia" w:ascii="宋体" w:hAnsi="宋体" w:eastAsia="宋体" w:cs="宋体"/>
          <w:b/>
          <w:sz w:val="24"/>
          <w:szCs w:val="24"/>
          <w:lang w:eastAsia="zh-CN"/>
        </w:rPr>
        <w:t>一、需求清单</w:t>
      </w:r>
    </w:p>
    <w:tbl>
      <w:tblPr>
        <w:tblStyle w:val="59"/>
        <w:tblW w:w="9625" w:type="dxa"/>
        <w:tblInd w:w="-437" w:type="dxa"/>
        <w:tblLayout w:type="fixed"/>
        <w:tblCellMar>
          <w:top w:w="0" w:type="dxa"/>
          <w:left w:w="108" w:type="dxa"/>
          <w:bottom w:w="0" w:type="dxa"/>
          <w:right w:w="108" w:type="dxa"/>
        </w:tblCellMar>
      </w:tblPr>
      <w:tblGrid>
        <w:gridCol w:w="415"/>
        <w:gridCol w:w="525"/>
        <w:gridCol w:w="7205"/>
        <w:gridCol w:w="390"/>
        <w:gridCol w:w="430"/>
        <w:gridCol w:w="660"/>
      </w:tblGrid>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序号</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设备名称</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Style w:val="265"/>
                <w:rFonts w:hint="eastAsia" w:asciiTheme="minorEastAsia" w:hAnsiTheme="minorEastAsia" w:eastAsiaTheme="minorEastAsia" w:cstheme="minorEastAsia"/>
                <w:sz w:val="18"/>
                <w:szCs w:val="18"/>
                <w:lang w:bidi="ar"/>
              </w:rPr>
              <w:t>技术参数</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数量</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单位</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单价最高限价</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办公桌</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265"/>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color w:val="000000"/>
                <w:kern w:val="0"/>
                <w:sz w:val="18"/>
                <w:szCs w:val="18"/>
                <w:lang w:bidi="ar"/>
              </w:rPr>
              <w:t>参考规格：1600×800×750mm</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Style w:val="265"/>
                <w:rFonts w:hint="eastAsia" w:asciiTheme="minorEastAsia" w:hAnsiTheme="minorEastAsia" w:eastAsiaTheme="minorEastAsia" w:cstheme="minorEastAsia"/>
                <w:sz w:val="18"/>
                <w:szCs w:val="18"/>
                <w:lang w:bidi="ar"/>
              </w:rPr>
              <w:t>1、基材：#优质品牌中密度纤维板，甲醛释放量满足E0级，苯、甲苯、二甲苯≤5μg/</w:t>
            </w:r>
            <w:r>
              <w:rPr>
                <w:rStyle w:val="265"/>
                <w:rFonts w:hint="eastAsia" w:asciiTheme="minorEastAsia" w:hAnsiTheme="minorEastAsia" w:cstheme="minorEastAsia"/>
                <w:sz w:val="18"/>
                <w:szCs w:val="18"/>
                <w:lang w:val="en-US" w:eastAsia="zh-CN" w:bidi="ar"/>
              </w:rPr>
              <w:t>m³</w:t>
            </w:r>
            <w:r>
              <w:rPr>
                <w:rStyle w:val="265"/>
                <w:rFonts w:hint="eastAsia" w:asciiTheme="minorEastAsia" w:hAnsiTheme="minorEastAsia" w:eastAsiaTheme="minorEastAsia" w:cstheme="minorEastAsia"/>
                <w:sz w:val="18"/>
                <w:szCs w:val="18"/>
                <w:lang w:bidi="ar"/>
              </w:rPr>
              <w:t>，TVOC≤50μg/</w:t>
            </w:r>
            <w:r>
              <w:rPr>
                <w:rStyle w:val="265"/>
                <w:rFonts w:hint="eastAsia" w:asciiTheme="minorEastAsia" w:hAnsiTheme="minorEastAsia" w:eastAsiaTheme="minorEastAsia" w:cstheme="minorEastAsia"/>
                <w:sz w:val="18"/>
                <w:szCs w:val="18"/>
                <w:lang w:val="en-US" w:eastAsia="zh-CN" w:bidi="ar"/>
              </w:rPr>
              <w:t>m³</w:t>
            </w:r>
            <w:r>
              <w:rPr>
                <w:rStyle w:val="265"/>
                <w:rFonts w:hint="eastAsia" w:asciiTheme="minorEastAsia" w:hAnsiTheme="minorEastAsia" w:eastAsiaTheme="minorEastAsia" w:cstheme="minorEastAsia"/>
                <w:sz w:val="18"/>
                <w:szCs w:val="18"/>
                <w:lang w:bidi="ar"/>
              </w:rPr>
              <w:t>，含水率3%～6%,密度0.70～0.80g/cm</w:t>
            </w:r>
            <w:r>
              <w:rPr>
                <w:rStyle w:val="275"/>
                <w:rFonts w:hint="eastAsia" w:asciiTheme="minorEastAsia" w:hAnsiTheme="minorEastAsia" w:eastAsiaTheme="minorEastAsia" w:cstheme="minorEastAsia"/>
                <w:sz w:val="18"/>
                <w:szCs w:val="18"/>
                <w:lang w:bidi="ar"/>
              </w:rPr>
              <w:t>³</w:t>
            </w:r>
            <w:r>
              <w:rPr>
                <w:rStyle w:val="265"/>
                <w:rFonts w:hint="eastAsia" w:asciiTheme="minorEastAsia" w:hAnsiTheme="minorEastAsia" w:eastAsiaTheme="minorEastAsia" w:cstheme="minorEastAsia"/>
                <w:sz w:val="18"/>
                <w:szCs w:val="18"/>
                <w:lang w:bidi="ar"/>
              </w:rPr>
              <w:t xml:space="preserve">，板内密度偏差±3%，吸水厚度膨胀率≤10%，表面胶合强度≥1.4MPa，内胶合强度≥0.8MPa，静曲强度≥25MPa，弹性模量≥3000MPa，板面握螺钉力≥1450N，板边握螺钉力≥700N,燃烧增长速率指数≤230W/s，符合火焰横向蔓延未到达试样长翼边缘，60s内无燃烧滴落物引燃纸现象。燃烧性能等级符合GB 8624-2012 B1级标准。                                                           </w:t>
            </w:r>
            <w:r>
              <w:rPr>
                <w:rStyle w:val="265"/>
                <w:rFonts w:hint="eastAsia" w:asciiTheme="minorEastAsia" w:hAnsiTheme="minorEastAsia" w:eastAsiaTheme="minorEastAsia" w:cstheme="minorEastAsia"/>
                <w:sz w:val="18"/>
                <w:szCs w:val="18"/>
                <w:lang w:bidi="ar"/>
              </w:rPr>
              <w:br w:type="textWrapping"/>
            </w:r>
            <w:r>
              <w:rPr>
                <w:rStyle w:val="265"/>
                <w:rFonts w:hint="eastAsia" w:asciiTheme="minorEastAsia" w:hAnsiTheme="minorEastAsia" w:eastAsiaTheme="minorEastAsia" w:cstheme="minorEastAsia"/>
                <w:sz w:val="18"/>
                <w:szCs w:val="18"/>
                <w:lang w:bidi="ar"/>
              </w:rPr>
              <w:t>2、采用天然实木木皮，厚度0.8mm，含水率6%-8%，甲醛释放量≤0.005mg/</w:t>
            </w:r>
            <w:r>
              <w:rPr>
                <w:rStyle w:val="265"/>
                <w:rFonts w:hint="eastAsia" w:asciiTheme="minorEastAsia" w:hAnsiTheme="minorEastAsia" w:eastAsiaTheme="minorEastAsia" w:cstheme="minorEastAsia"/>
                <w:sz w:val="18"/>
                <w:szCs w:val="18"/>
                <w:lang w:val="en-US" w:eastAsia="zh-CN" w:bidi="ar"/>
              </w:rPr>
              <w:t>m³</w:t>
            </w:r>
            <w:r>
              <w:rPr>
                <w:rStyle w:val="265"/>
                <w:rFonts w:hint="eastAsia" w:asciiTheme="minorEastAsia" w:hAnsiTheme="minorEastAsia" w:eastAsiaTheme="minorEastAsia" w:cstheme="minorEastAsia"/>
                <w:sz w:val="18"/>
                <w:szCs w:val="18"/>
                <w:lang w:bidi="ar"/>
              </w:rPr>
              <w:t xml:space="preserve">，木皮应木纹流畅，色泽纹理一致，接缝处自然均匀无瑕疵，耐磨性好。             </w:t>
            </w:r>
            <w:r>
              <w:rPr>
                <w:rStyle w:val="265"/>
                <w:rFonts w:hint="eastAsia" w:asciiTheme="minorEastAsia" w:hAnsiTheme="minorEastAsia" w:eastAsiaTheme="minorEastAsia" w:cstheme="minorEastAsia"/>
                <w:sz w:val="18"/>
                <w:szCs w:val="18"/>
                <w:lang w:bidi="ar"/>
              </w:rPr>
              <w:br w:type="textWrapping"/>
            </w:r>
            <w:r>
              <w:rPr>
                <w:rStyle w:val="265"/>
                <w:rFonts w:hint="eastAsia" w:asciiTheme="minorEastAsia" w:hAnsiTheme="minorEastAsia" w:eastAsiaTheme="minorEastAsia" w:cstheme="minorEastAsia"/>
                <w:sz w:val="18"/>
                <w:szCs w:val="18"/>
                <w:lang w:bidi="ar"/>
              </w:rPr>
              <w:t>3、油漆：#优质品牌环保水性漆，甲醛含量≤5mg/kg，VOC含量≤2g/L，乙二醇醚及醚酯总和含量≤50mg/kg，苯、甲苯、二甲苯、乙苯的总量≤50mg/kg，烷基酚聚氧乙烯醚总和含量≤10mg/kg，细度≤15μm，不挥发物≥37%，硬度（擦伤）≥B，附着力&gt;1级，检验依据:GB 18581-2020《木器涂料中有害物质限量》。</w:t>
            </w:r>
            <w:r>
              <w:rPr>
                <w:rStyle w:val="265"/>
                <w:rFonts w:hint="eastAsia" w:asciiTheme="minorEastAsia" w:hAnsiTheme="minorEastAsia" w:eastAsiaTheme="minorEastAsia" w:cstheme="minorEastAsia"/>
                <w:sz w:val="18"/>
                <w:szCs w:val="18"/>
                <w:lang w:bidi="ar"/>
              </w:rPr>
              <w:br w:type="textWrapping"/>
            </w:r>
            <w:r>
              <w:rPr>
                <w:rStyle w:val="265"/>
                <w:rFonts w:hint="eastAsia" w:asciiTheme="minorEastAsia" w:hAnsiTheme="minorEastAsia" w:eastAsiaTheme="minorEastAsia" w:cstheme="minorEastAsia"/>
                <w:sz w:val="18"/>
                <w:szCs w:val="18"/>
                <w:lang w:bidi="ar"/>
              </w:rPr>
              <w:t xml:space="preserve">4、连接件：采用优质三合一，锁紧角度175-185度，偏心体抗压强度≥350N，预埋螺母抗拉强度≥1150N，中连接螺杆螺纹与预埋螺纹的抗拉强度≥3050N，三合一偏心连接件中偏心体与连接螺杆的扭矩≥10N.m，耐腐蚀600h乙酸盐雾达到10级标准，720h中性盐雾达到10级标准。检验依据：符合GB/T 28203-2011《家具用连接件技术要求及试验方法》、GB/T 10125-2021《人造气氛腐蚀试验盐雾试验》。                                                                                                                                                                                   </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张</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2550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办公椅</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参考规格：高背</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表层：#选用优质品牌环保皮，游离甲醛含量≤1.5mg/kg，pH值6.0～8.0，50000次耐折牢度（无裂纹），撕裂力≥85N，禁用偶氮染料含量低于检出限标准，VOC含量≤10mg/kg，可萃取的重金属铅、镉不得检出。涂层厚度≤25μm，干擦500次变色4-5级，沾色4-5级。涂层粘着牢度≥3.4μm，气味≤2级。检验依据:GB/T16799-2018《家具用皮革》。                                                                                                         2、海棉：#优质品牌成型海绵，40%压陷硬度偏差350±5N，65%/25%压陷比≥2.2，75%压缩永久变形≤2.4%，回弹率≥55%，拉伸强度≥115kPa，伸长率≥92%，撕裂强度≥2.5N/cm，干热老化后拉伸强度≥145kPa，湿热老化后拉伸强度≥110kPa，密度：≥43kg/</w:t>
            </w:r>
            <w:r>
              <w:rPr>
                <w:rStyle w:val="265"/>
                <w:rFonts w:hint="eastAsia" w:asciiTheme="minorEastAsia" w:hAnsiTheme="minorEastAsia" w:eastAsia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，甲醛释放量未检出，TVOC≤0.05mg/</w:t>
            </w:r>
            <w:r>
              <w:rPr>
                <w:rFonts w:hint="eastAsia" w:ascii="宋体" w:hAnsi="宋体" w:eastAsia="宋体" w:cs="宋体"/>
                <w:color w:val="000000"/>
                <w:kern w:val="0"/>
                <w:sz w:val="18"/>
                <w:szCs w:val="18"/>
                <w:lang w:bidi="ar"/>
              </w:rPr>
              <w:t>㎡</w:t>
            </w:r>
            <w:r>
              <w:rPr>
                <w:rFonts w:hint="eastAsia" w:asciiTheme="minorEastAsia" w:hAnsiTheme="minorEastAsia" w:eastAsiaTheme="minorEastAsia" w:cstheme="minorEastAsia"/>
                <w:color w:val="000000"/>
                <w:kern w:val="0"/>
                <w:sz w:val="18"/>
                <w:szCs w:val="18"/>
                <w:lang w:bidi="ar"/>
              </w:rPr>
              <w:t>。                                                                                                                                                                                          3、机构：采用优质品牌前置同步倾仰锁定机构，经中性盐雾720h试验、乙酸盐雾600h试验无锈点、耐腐蚀</w:t>
            </w:r>
            <w:r>
              <w:rPr>
                <w:rFonts w:hint="eastAsia" w:asciiTheme="minorEastAsia" w:hAnsiTheme="minorEastAsia" w:eastAsiaTheme="minorEastAsia" w:cstheme="minorEastAsia"/>
                <w:color w:val="000000"/>
                <w:kern w:val="0"/>
                <w:sz w:val="18"/>
                <w:szCs w:val="18"/>
                <w:lang w:eastAsia="zh-CN" w:bidi="ar"/>
              </w:rPr>
              <w:t>等级达</w:t>
            </w:r>
            <w:r>
              <w:rPr>
                <w:rFonts w:hint="eastAsia" w:asciiTheme="minorEastAsia" w:hAnsiTheme="minorEastAsia" w:eastAsiaTheme="minorEastAsia" w:cstheme="minorEastAsia"/>
                <w:color w:val="000000"/>
                <w:kern w:val="0"/>
                <w:sz w:val="18"/>
                <w:szCs w:val="18"/>
                <w:lang w:bidi="ar"/>
              </w:rPr>
              <w:t>10级，符合QB/T 5619-2021《转椅底盘》、QB/T3832-1999《轻工产品金属镀层腐蚀试验结果的评价》、GB/T 10125-2021《人造气氛腐蚀试验 盐雾试验》标准。                                                                                                                                                   4、气压棒：#优质品牌气压棒，卡阻检测动态摩擦力最大值≤40N,伸展速度100-120mm/s，高低温存储性能衰减量≤0.5%，经过高低温储存性能试验的气弹簧应能承受30000次循环寿命试验试验后公称力的总衰减量应≤6%，动态摩擦力≤45N,无卡阻现象，在3倍锁定力拉伸作用下,保持5min,无肢解分离。气弹簧锁定在任意位置，经72h常温储存后，活塞杆不应产生位移。                                                                                               5、五星脚：钢制电镀五星脚架,半径≥350mm, 尼龙纤维合成脚轮，2次7560N 1min底座静载荷试验结果无损坏，符合QB/T 2280-2016《办公家具办公》标准。</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把</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1400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文件柜</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265"/>
                <w:rFonts w:hint="eastAsia" w:asciiTheme="minorEastAsia" w:hAnsiTheme="minorEastAsia" w:eastAsiaTheme="minorEastAsia" w:cstheme="minorEastAsia"/>
                <w:sz w:val="18"/>
                <w:szCs w:val="18"/>
                <w:lang w:bidi="ar"/>
              </w:rPr>
            </w:pPr>
            <w:r>
              <w:rPr>
                <w:rStyle w:val="265"/>
                <w:rFonts w:hint="eastAsia" w:asciiTheme="minorEastAsia" w:hAnsiTheme="minorEastAsia" w:eastAsiaTheme="minorEastAsia" w:cstheme="minorEastAsia"/>
                <w:sz w:val="18"/>
                <w:szCs w:val="18"/>
                <w:lang w:bidi="ar"/>
              </w:rPr>
              <w:t>参考规格：</w:t>
            </w:r>
            <w:r>
              <w:rPr>
                <w:rFonts w:hint="eastAsia" w:asciiTheme="minorEastAsia" w:hAnsiTheme="minorEastAsia" w:eastAsiaTheme="minorEastAsia" w:cstheme="minorEastAsia"/>
                <w:color w:val="000000"/>
                <w:kern w:val="0"/>
                <w:sz w:val="18"/>
                <w:szCs w:val="18"/>
                <w:lang w:bidi="ar"/>
              </w:rPr>
              <w:t>800×400×2000mm</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Style w:val="265"/>
                <w:rFonts w:hint="eastAsia" w:asciiTheme="minorEastAsia" w:hAnsiTheme="minorEastAsia" w:eastAsiaTheme="minorEastAsia" w:cstheme="minorEastAsia"/>
                <w:sz w:val="18"/>
                <w:szCs w:val="18"/>
                <w:lang w:bidi="ar"/>
              </w:rPr>
              <w:t>1、基材：优质品牌中密度纤维板，甲醛释放量满足E0级，苯、甲苯、二甲苯≤5μg/</w:t>
            </w:r>
            <w:r>
              <w:rPr>
                <w:rStyle w:val="265"/>
                <w:rFonts w:hint="eastAsia" w:asciiTheme="minorEastAsia" w:hAnsiTheme="minorEastAsia" w:cstheme="minorEastAsia"/>
                <w:sz w:val="18"/>
                <w:szCs w:val="18"/>
                <w:lang w:val="en-US" w:eastAsia="zh-CN" w:bidi="ar"/>
              </w:rPr>
              <w:t>m³</w:t>
            </w:r>
            <w:r>
              <w:rPr>
                <w:rStyle w:val="265"/>
                <w:rFonts w:hint="eastAsia" w:asciiTheme="minorEastAsia" w:hAnsiTheme="minorEastAsia" w:eastAsiaTheme="minorEastAsia" w:cstheme="minorEastAsia"/>
                <w:sz w:val="18"/>
                <w:szCs w:val="18"/>
                <w:lang w:bidi="ar"/>
              </w:rPr>
              <w:t>，TVOC≤50μg/</w:t>
            </w:r>
            <w:r>
              <w:rPr>
                <w:rStyle w:val="265"/>
                <w:rFonts w:hint="eastAsia" w:asciiTheme="minorEastAsia" w:hAnsiTheme="minorEastAsia" w:cstheme="minorEastAsia"/>
                <w:sz w:val="18"/>
                <w:szCs w:val="18"/>
                <w:lang w:val="en-US" w:eastAsia="zh-CN" w:bidi="ar"/>
              </w:rPr>
              <w:t>m³</w:t>
            </w:r>
            <w:r>
              <w:rPr>
                <w:rStyle w:val="265"/>
                <w:rFonts w:hint="eastAsia" w:asciiTheme="minorEastAsia" w:hAnsiTheme="minorEastAsia" w:eastAsiaTheme="minorEastAsia" w:cstheme="minorEastAsia"/>
                <w:sz w:val="18"/>
                <w:szCs w:val="18"/>
                <w:lang w:bidi="ar"/>
              </w:rPr>
              <w:t>，含水率3%～6%,密度0.70～0.80g/cm</w:t>
            </w:r>
            <w:r>
              <w:rPr>
                <w:rStyle w:val="275"/>
                <w:rFonts w:hint="eastAsia" w:asciiTheme="minorEastAsia" w:hAnsiTheme="minorEastAsia" w:eastAsiaTheme="minorEastAsia" w:cstheme="minorEastAsia"/>
                <w:sz w:val="18"/>
                <w:szCs w:val="18"/>
                <w:lang w:bidi="ar"/>
              </w:rPr>
              <w:t>³</w:t>
            </w:r>
            <w:r>
              <w:rPr>
                <w:rStyle w:val="265"/>
                <w:rFonts w:hint="eastAsia" w:asciiTheme="minorEastAsia" w:hAnsiTheme="minorEastAsia" w:eastAsiaTheme="minorEastAsia" w:cstheme="minorEastAsia"/>
                <w:sz w:val="18"/>
                <w:szCs w:val="18"/>
                <w:lang w:bidi="ar"/>
              </w:rPr>
              <w:t xml:space="preserve">，板内密度偏差±3%，吸水厚度膨胀率≤10%，表面胶合强度≥1.4MPa，内胶合强度≥0.8MPa，静曲强度≥25MPa，弹性模量≥3000MPa，板面握螺钉力≥1450N，板边握螺钉力≥700N,燃烧增长速率指数≤230W/s，符合火焰横向蔓延未到达试样长翼边缘，60s内无燃烧滴落物引燃纸现象。燃烧性能等级符合GB 8624-2012 B1级标准。                                                           </w:t>
            </w:r>
            <w:r>
              <w:rPr>
                <w:rStyle w:val="265"/>
                <w:rFonts w:hint="eastAsia" w:asciiTheme="minorEastAsia" w:hAnsiTheme="minorEastAsia" w:eastAsiaTheme="minorEastAsia" w:cstheme="minorEastAsia"/>
                <w:sz w:val="18"/>
                <w:szCs w:val="18"/>
                <w:lang w:bidi="ar"/>
              </w:rPr>
              <w:br w:type="textWrapping"/>
            </w:r>
            <w:r>
              <w:rPr>
                <w:rStyle w:val="265"/>
                <w:rFonts w:hint="eastAsia" w:asciiTheme="minorEastAsia" w:hAnsiTheme="minorEastAsia" w:eastAsiaTheme="minorEastAsia" w:cstheme="minorEastAsia"/>
                <w:sz w:val="18"/>
                <w:szCs w:val="18"/>
                <w:lang w:bidi="ar"/>
              </w:rPr>
              <w:t>2、采用天然实木木皮，厚度0.8mm，含水率6%-8%，甲醛释放量≤0.005mg/</w:t>
            </w:r>
            <w:r>
              <w:rPr>
                <w:rStyle w:val="265"/>
                <w:rFonts w:hint="eastAsia" w:asciiTheme="minorEastAsia" w:hAnsiTheme="minorEastAsia" w:cstheme="minorEastAsia"/>
                <w:sz w:val="18"/>
                <w:szCs w:val="18"/>
                <w:lang w:val="en-US" w:eastAsia="zh-CN" w:bidi="ar"/>
              </w:rPr>
              <w:t>m³</w:t>
            </w:r>
            <w:r>
              <w:rPr>
                <w:rStyle w:val="265"/>
                <w:rFonts w:hint="eastAsia" w:asciiTheme="minorEastAsia" w:hAnsiTheme="minorEastAsia" w:eastAsiaTheme="minorEastAsia" w:cstheme="minorEastAsia"/>
                <w:sz w:val="18"/>
                <w:szCs w:val="18"/>
                <w:lang w:bidi="ar"/>
              </w:rPr>
              <w:t xml:space="preserve">，木皮应木纹流畅，色泽纹理一致，接缝处自然均匀无瑕疵，台面的力度均衡经过防虫防腐处理，耐磨性好。             </w:t>
            </w:r>
            <w:r>
              <w:rPr>
                <w:rStyle w:val="265"/>
                <w:rFonts w:hint="eastAsia" w:asciiTheme="minorEastAsia" w:hAnsiTheme="minorEastAsia" w:eastAsiaTheme="minorEastAsia" w:cstheme="minorEastAsia"/>
                <w:sz w:val="18"/>
                <w:szCs w:val="18"/>
                <w:lang w:bidi="ar"/>
              </w:rPr>
              <w:br w:type="textWrapping"/>
            </w:r>
            <w:r>
              <w:rPr>
                <w:rStyle w:val="265"/>
                <w:rFonts w:hint="eastAsia" w:asciiTheme="minorEastAsia" w:hAnsiTheme="minorEastAsia" w:eastAsiaTheme="minorEastAsia" w:cstheme="minorEastAsia"/>
                <w:sz w:val="18"/>
                <w:szCs w:val="18"/>
                <w:lang w:bidi="ar"/>
              </w:rPr>
              <w:t>3、油漆：优质品牌环保水性漆，甲醛含量≤5mg/kg，VOC含量≤2g/L，乙二醇醚及醚酯总和含量≤50mg/kg，苯、甲苯、二甲苯、乙苯的总量≤50mg/kg，烷基酚聚氧乙烯醚总和含量≤10mg/kg，细度≤15μm，不挥发物≥37%，硬度（擦伤）≥B，附着力&gt;1级，检验依据:GB 18581-2020《木器涂料中有害物质限量》。</w:t>
            </w:r>
            <w:r>
              <w:rPr>
                <w:rStyle w:val="265"/>
                <w:rFonts w:hint="eastAsia" w:asciiTheme="minorEastAsia" w:hAnsiTheme="minorEastAsia" w:eastAsiaTheme="minorEastAsia" w:cstheme="minorEastAsia"/>
                <w:sz w:val="18"/>
                <w:szCs w:val="18"/>
                <w:lang w:bidi="ar"/>
              </w:rPr>
              <w:br w:type="textWrapping"/>
            </w:r>
            <w:r>
              <w:rPr>
                <w:rStyle w:val="265"/>
                <w:rFonts w:hint="eastAsia" w:asciiTheme="minorEastAsia" w:hAnsiTheme="minorEastAsia" w:eastAsiaTheme="minorEastAsia" w:cstheme="minorEastAsia"/>
                <w:sz w:val="18"/>
                <w:szCs w:val="18"/>
                <w:lang w:bidi="ar"/>
              </w:rPr>
              <w:t xml:space="preserve">4、连接件：采用优质三合一，锁紧角度175-185度，偏心体抗压强度≥350N，预埋螺母抗拉强度≥1150N，中连接螺杆螺纹与预埋螺纹的抗拉强度≥3050N，三合一偏心连接件中偏心体与连接螺杆的扭矩≥10N.m，耐腐蚀600h乙酸盐雾达到10级标准，720h中性盐雾达到10级标准。检验依据：符合GB/T 28203-2011《家具用连接件技术要求及试验方法》、GB/T 10125-2021《人造气氛腐蚀试验 盐雾试验》。                                                                                                                                                                                  </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个</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2000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沙发</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参考规格：三人位</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 xml:space="preserve">1、表层：选用优质品牌环保皮，游离甲醛含量≤1.5mg/kg，pH值6.0～8.0，50000次耐折牢度（无裂纹），撕裂力≥85N，禁用偶氮染料含量低于检出限标准，VOC含量≤10mg/kg，可萃取的重金属铅、镉不得检出。涂层厚度≤25μm，干擦500次变色4-5级，沾色4-5级。涂层粘着牢度≥3.4μm，气味≤2级。检验依据:GB/T16799-2018《家具用皮革》。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2、实木板框架:优质进口含水率低9%以下的硬木木方及5mm的多层夹板,经防虫、防腐等化学处理。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3、海棉：优质品牌成型海绵，40%压陷硬度偏差350±5N，65%/25%压陷比≥2.2，75%压缩永久变形≤2.4%，回弹率≥55%，拉伸强度≥115kPa，伸长率≥92%，撕裂强度≥2.5N/cm，干热老化后拉伸强度≥145kPa，湿热老化后拉伸强度≥110kPa，密度：≥43k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，甲醛释放量未检出，TVOC≤0.05mg/</w:t>
            </w:r>
            <w:r>
              <w:rPr>
                <w:rFonts w:hint="eastAsia" w:ascii="宋体" w:hAnsi="宋体" w:eastAsia="宋体" w:cs="宋体"/>
                <w:color w:val="000000"/>
                <w:kern w:val="0"/>
                <w:sz w:val="18"/>
                <w:szCs w:val="18"/>
                <w:lang w:bidi="ar"/>
              </w:rPr>
              <w:t>㎡</w:t>
            </w:r>
            <w:r>
              <w:rPr>
                <w:rFonts w:hint="eastAsia" w:asciiTheme="minorEastAsia" w:hAnsiTheme="minorEastAsia" w:eastAsiaTheme="minorEastAsia" w:cstheme="minorEastAsia"/>
                <w:color w:val="000000"/>
                <w:kern w:val="0"/>
                <w:sz w:val="18"/>
                <w:szCs w:val="18"/>
                <w:lang w:bidi="ar"/>
              </w:rPr>
              <w:t>。                                                                                                      4、脚架：不锈钢沙发脚架</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个</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3300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5</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茶几</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参考规格：500×700×550mm</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1、基材：#优质环保刨花板，甲醛释放量满足E0级，苯、甲苯、二甲苯≤5μg/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，TVOC≤50μg/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含水率6%～7%,板内密度偏差±2%，2h吸水厚度膨胀率≤1%，表面胶合强度≥2MPa，内胶合强度≥0.80MPa，静曲强度≥30MPa，弹性模量≥3810MPa，板面握螺钉力≥1810N，板边握螺钉力≥1610N,燃烧增长速率指数≤150W/s，符合火焰横向蔓延未到达试样长翼边缘，60s内无燃烧滴落物引燃纸现象。燃烧性能等级符合GB 8624-2012 B1级标准。                                                                                                                                             2、采用优质浸渍纸饰面刨花板，甲醛释放量满足E0级，各项性能指标均达到国家保准，其中静曲强度≥19Mpa、弹性模量≥3600Mpa、内结合强度≥0.60Mpa、表面胶合强度≥1.5Mpa、2h吸水厚度膨胀率≤0.2%、握螺钉力板边≥1650N，握螺钉力板面≥1710N、苯、甲苯、二甲苯≤5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，TVOC≤50μg/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 xml:space="preserve">，表面耐香烟灼烧、表面耐干热、表面耐龟裂、表面耐水蒸气均达到5级，木材含水率≤6%。表面耐磨磨耗值≤25mg/100r。检验依据:GB/T 15102-2017《浸渍胶膜纸饰面纤维板和刨花板》GB 18580-2017《室内装饰装修材料人造板及其制品中甲醛释放限量》GB/T 39600-2021《人造板及其制品甲醛释放量分级》，HJ571-2010《环境标志产品技术要求人造板及其制品》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3、#PVC封边：优质PVC封边条同色封边，甲醛释放量≤0.05mg/L，耐开裂性能达到1级，耐磨性能磨30r后无露底现象，厚度1.5mm。铅、镉、铬、汞、砷、钡、锑、硒均未检出或低于检出限。检验依据:QB/T4463-2013《家具用封边条技术要求》。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4、五金配件：采用品牌优质五金件，均经过酸洗、磷洗等防锈处理，符合GB/T 10125-2021《人造气氛腐蚀试验盐雾试验》QB/T3832-1999《轻工产品金属镀层腐蚀试验结果的评价》标准。</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个</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600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6</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沙发</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参考规格：标准</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 xml:space="preserve">1、面层：布艺覆面，甲醛含量未检出、可分解致癌芳香胺染料未检出，耐水、耐酸汗渍、耐碱汗渍、耐干摩擦均达到4-5级，PH值6-7，符合GB18401-2010《国家纺织产品基本安全技术规范》、QBT1952.1-2023《软体家具 沙发》、GBT18885-2020《生态纺织品技术要求》标准；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2、实木框架:硬杂木实木框架，木料经四面刨光处理，结合部位牢固无松动。框架主体榫结构。内部衬垫物干燥、卫生。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3、海棉：优质品牌成型海绵，40%压陷硬度偏差350±5N，65%/25%压陷比≥2.2，75%压缩永久变形≤2.4%，回弹率≥55%，拉伸强度≥115kPa，伸长率≥92%，撕裂强度≥2.5N/cm，干热老化后拉伸强度≥145kPa，湿热老化后拉伸强度≥110kPa，密度：≥43k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，甲醛释放量未检出，TVOC≤0.05mg/</w:t>
            </w:r>
            <w:r>
              <w:rPr>
                <w:rFonts w:hint="eastAsia" w:ascii="宋体" w:hAnsi="宋体" w:eastAsia="宋体" w:cs="宋体"/>
                <w:color w:val="000000"/>
                <w:kern w:val="0"/>
                <w:sz w:val="18"/>
                <w:szCs w:val="18"/>
                <w:lang w:bidi="ar"/>
              </w:rPr>
              <w:t>㎡</w:t>
            </w:r>
            <w:r>
              <w:rPr>
                <w:rFonts w:hint="eastAsia" w:asciiTheme="minorEastAsia" w:hAnsiTheme="minorEastAsia" w:eastAsiaTheme="minorEastAsia" w:cstheme="minorEastAsia"/>
                <w:color w:val="000000"/>
                <w:kern w:val="0"/>
                <w:sz w:val="18"/>
                <w:szCs w:val="18"/>
                <w:lang w:bidi="ar"/>
              </w:rPr>
              <w:t xml:space="preserve">，放置点燃香烟后1小时内未观察到试样表面或内部出现任何续燃、阴燃想象。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4、油漆：优质品牌环保水性漆，甲醛含量≤5mg/kg，VOC含量≤2g/L，乙二醇醚及醚酯总和含量≤50mg/kg，苯、甲苯、二甲苯、乙苯的总量≤50mg/kg，烷基酚聚氧乙烯醚总和含量≤10mg/kg，细度≤15μm，不挥发物≥37%，硬度（擦伤）≥B，附着力&gt;1级，使用水性漆自动喷漆线新型设备，漆面附着力强、触感舒适、色泽温润美观，检验依据:GB 18581-2020《木器涂料中有害物质限量》。</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个</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2000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7</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茶几</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参考规格：500×700×550mm</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1、基材：优质品牌中密度纤维板，甲醛释放量满足E0级，苯、甲苯、二甲苯≤5μg/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，TVOC≤50μg/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 xml:space="preserve">，含水率3%～6%,密度0.70～0.80g/cm³，板内密度偏差±3%，吸水厚度膨胀率≤10%，表面胶合强度≥1.4MPa，内胶合强度≥0.8MPa，静曲强度≥25MPa，弹性模量≥3000MPa，板面握螺钉力≥1450N，板边握螺钉力≥700N,燃烧增长速率指数≤230W/s，符合火焰横向蔓延未到达试样长翼边缘，60s内无燃烧滴落物引燃纸现象。燃烧性能等级符合GB 8624-2012 B1级标准。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2、采用天然实木木皮，厚度0.8mm，含水率6%-8%，甲醛释放量≤0.005mg/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 xml:space="preserve">，木皮应木纹流畅，色泽纹理一致，接缝处自然均匀无瑕疵，台面的力度均衡经过防虫防腐处理，耐磨性好。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3、油漆：优质品牌环保水性漆，甲醛含量≤5mg/kg，VOC含量≤2g/L，乙二醇醚及醚酯总和含量≤50mg/kg，苯、甲苯、二甲苯、乙苯的总量≤50mg/kg，烷基酚聚氧乙烯醚总和含量≤10mg/kg，细度≤15μm，不挥发物≥37%，硬度（擦伤）≥B，附着力&gt;1级，检验依据:GB 18581-2020《木器涂料中有害物质限量》。</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4、连接件：采用优质三合一，锁紧角度175-185度，偏心体抗压强度≥350N，预埋螺母抗拉强度≥1150N，中连接螺杆螺纹与预埋螺纹的抗拉强度≥3050N，三合一偏心连接件中偏心体与连接螺杆的扭矩≥10N.m，耐腐蚀600h乙酸盐雾达到10级标准，720h中性盐雾达到10级标准。检验依据：符合GB/T 28203-2011《家具用连接件技术要求及试验方法》、GB/T 10125-2021《人造气氛腐蚀试验 盐雾试验》。                                                                                                                                                                                  </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个</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980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8</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茶水柜</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参考规格：900×420×900mm</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1、基材：优质品牌中密度纤维板，甲醛释放量满足E0级，苯、甲苯、二甲苯≤5μg/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，TVOC≤50μg/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 xml:space="preserve">，含水率3%～6%,密度0.70～0.80g/cm³，板内密度偏差±3%，吸水厚度膨胀率≤10%，表面胶合强度≥1.4MPa，内胶合强度≥0.8MPa，静曲强度≥25MPa，弹性模量≥3000MPa，板面握螺钉力≥1450N，板边握螺钉力≥700N,燃烧增长速率指数≤230W/s，符合火焰横向蔓延未到达试样长翼边缘，60s内无燃烧滴落物引燃纸现象。燃烧性能等级符合GB 8624-2012 B1级标准。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2、采用天然实木木皮，厚度0.8mm，含水率6%-8%，甲醛释放量≤0.005mg/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 xml:space="preserve">，木皮应木纹流畅，色泽纹理一致，接缝处自然均匀无瑕疵，台面的力度均衡经过防虫防腐处理，耐磨性好。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3、油漆：优质品牌环保水性漆，甲醛含量≤5mg/kg，VOC含量≤2g/L，乙二醇醚及醚酯总和含量≤50mg/kg，苯、甲苯、二甲苯、乙苯的总量≤50mg/kg，烷基酚聚氧乙烯醚总和含量≤10mg/kg，细度≤15μm，不挥发物≥37%，硬度（擦伤）≥B，附着力&gt;1级，检验依据:GB 18581-2020《木器涂料中有害物质限量》。</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4、连接件：采用优质三合一，锁紧角度175-185度，偏心体抗压强度≥350N，预埋螺母抗拉强度≥1150N，中连接螺杆螺纹与预埋螺纹的抗拉强度≥3050N，三合一偏心连接件中偏心体与连接螺杆的扭矩≥10N.m，耐腐蚀600h乙酸盐雾达到10级标准，720h中性盐雾达到10级标准。检验依据：符合GB/T 28203-2011《家具用连接件技术要求及试验方法》、GB/T 10125-2021《人造气氛腐蚀试验 盐雾试验》。                                                                                                                                                                                   </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个</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1600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9</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衣柜</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参考规格：800×400×2000mm</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1、基材：优质品牌中密度纤维板，甲醛释放量满足E0级，苯、甲苯、二甲苯≤5μg/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，TVOC≤50μg/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 xml:space="preserve">，含水率3%～6%,密度0.70～0.80g/cm³，板内密度偏差±3%，吸水厚度膨胀率≤10%，表面胶合强度≥1.4MPa，内胶合强度≥0.8MPa，静曲强度≥25MPa，弹性模量≥3000MPa，板面握螺钉力≥1450N，板边握螺钉力≥700N,燃烧增长速率指数≤230W/s，符合火焰横向蔓延未到达试样长翼边缘，60s内无燃烧滴落物引燃纸现象。燃烧性能等级符合GB 8624-2012 B1级标准。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2、采用天然实木木皮，厚度0.8mm，含水率6%-8%，甲醛释放量≤0.005mg/</w:t>
            </w:r>
            <w:r>
              <w:rPr>
                <w:rFonts w:hint="eastAsia" w:asciiTheme="minorEastAsia" w:hAnsiTheme="minorEastAsia" w:cstheme="minorEastAsia"/>
                <w:color w:val="000000"/>
                <w:kern w:val="0"/>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 xml:space="preserve">，木皮应木纹流畅，色泽纹理一致，接缝处自然均匀无瑕疵，台面的力度均衡经过防虫防腐处理，耐磨性好。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3、油漆：优质品牌环保水性漆，甲醛含量≤5mg/kg，VOC含量≤2g/L，乙二醇醚及醚酯总和含量≤50mg/kg，苯、甲苯、二甲苯、乙苯的总量≤50mg/kg，烷基酚聚氧乙烯醚总和含量≤10mg/kg，细度≤15μm，不挥发物≥37%，硬度（擦伤）≥B，附着力&gt;1级，检验依据:GB 18581-2020《木器涂料中有害物质限量》。</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4、连接件：采用优质三合一，锁紧角度175-185度，偏心体抗压强度≥350N，预埋螺母抗拉强度≥1150N，中连接螺杆螺纹与预埋螺纹的抗拉强度≥3050N，三合一偏心连接件中偏心体与连接螺杆的扭矩≥10N.m，耐腐蚀600h乙酸盐雾达到10级标准，720h中性盐雾达到10级标准。检验依据：符合GB/T 28203-2011《家具用连接件技术要求及试验方法》、GB/T 10125-2021《人造气氛腐蚀试验 盐雾试验》。                                                                                                                                                                                  </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个</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2400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10</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会议桌</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参考规格：6400×1800×750mm</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1、基材：优质品牌中密度纤维板，甲醛释放量满足E0级，苯、甲苯、二甲苯≤5μg/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，TVOC≤50μg/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 xml:space="preserve">，含水率3%～6%,密度0.70～0.80g/cm³，板内密度偏差±3%，吸水厚度膨胀率≤10%，表面胶合强度≥1.4MPa，内胶合强度≥0.8MPa，静曲强度≥25MPa，弹性模量≥3000MPa，板面握螺钉力≥1450N，板边握螺钉力≥700N,燃烧增长速率指数≤230W/s，符合火焰横向蔓延未到达试样长翼边缘，60s内无燃烧滴落物引燃纸现象。燃烧性能等级符合GB 8624-2012 B1级标准。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2、采用天然实木木皮，厚度0.8mm，含水率6%-8%，甲醛释放量≤0.005mg/</w:t>
            </w:r>
            <w:r>
              <w:rPr>
                <w:rFonts w:hint="eastAsia" w:asciiTheme="minorEastAsia" w:hAnsiTheme="minorEastAsia" w:cstheme="minorEastAsia"/>
                <w:color w:val="000000"/>
                <w:kern w:val="0"/>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 xml:space="preserve">，木皮应木纹流畅，色泽纹理一致，接缝处自然均匀无瑕疵，台面的力度均衡经过防虫防腐处理，耐磨性好。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3、油漆：优质品牌环保水性漆，甲醛含量≤5mg/kg，VOC含量≤2g/L，乙二醇醚及醚酯总和含量≤50mg/kg，苯、甲苯、二甲苯、乙苯的总量≤50mg/kg，烷基酚聚氧乙烯醚总和含量≤10mg/kg，细度≤15μm，不挥发物≥37%，硬度（擦伤）≥B，附着力&gt;1级，检验依据:GB 18581-2020《木器涂料中有害物质限量》。</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4、连接件：采用优质三合一，锁紧角度175-185度，偏心体抗压强度≥350N，预埋螺母抗拉强度≥1150N，中连接螺杆螺纹与预埋螺纹的抗拉强度≥3050N，三合一偏心连接件中偏心体与连接螺杆的扭矩≥10N.m，耐腐蚀600h乙酸盐雾达到10级标准，720h中性盐雾达到10级标准。检验依据：符合GB/T 28203-2011《家具用连接件技术要求及试验方法》、GB/T 10125-2021《人造气氛腐蚀试验 盐雾试验》。                                                                                                                                                                                   </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张</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24000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11</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会议椅</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参考规格：标准</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表层：选用优质品牌环保皮，游离甲醛含量≤1.5mg/kg，pH值6.0～8.0，50000次耐折牢度（无裂纹），撕裂力≥85N，禁用偶氮染料含量低于检出限标准，VOC含量≤10mg/kg，可萃取的重金属铅、镉不得检出。涂层厚度≤25μm，干擦500次变色4-5级，沾色4-5级。涂层粘着牢度≥3.4μm，气味≤2级。检验依据:GB/T16799-2018《家具用皮革》。                                                                                                         2、海棉：优质品牌成型海绵，40%压陷硬度偏差350±5N，65%/25%压陷比≥2.2，75%压缩永久变形≤2.4%，回弹率≥55%，拉伸强度≥115kPa，伸长率≥92%，撕裂强度≥2.5N/cm，干热老化后拉伸强度≥145kPa，湿热老化后拉伸强度≥110kPa，密度：≥43k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，甲醛释放量未检出，TVOC≤0.05mg/</w:t>
            </w:r>
            <w:r>
              <w:rPr>
                <w:rFonts w:hint="eastAsia" w:ascii="宋体" w:hAnsi="宋体" w:eastAsia="宋体" w:cs="宋体"/>
                <w:color w:val="000000"/>
                <w:kern w:val="0"/>
                <w:sz w:val="18"/>
                <w:szCs w:val="18"/>
                <w:lang w:bidi="ar"/>
              </w:rPr>
              <w:t>㎡</w:t>
            </w:r>
            <w:r>
              <w:rPr>
                <w:rFonts w:hint="eastAsia" w:asciiTheme="minorEastAsia" w:hAnsiTheme="minorEastAsia" w:eastAsiaTheme="minorEastAsia" w:cstheme="minorEastAsia"/>
                <w:color w:val="000000"/>
                <w:kern w:val="0"/>
                <w:sz w:val="18"/>
                <w:szCs w:val="18"/>
                <w:lang w:bidi="ar"/>
              </w:rPr>
              <w:t>。                                                                                                                                                                                          3、机构：采用优质品牌前置同步倾仰锁定机构，经中性盐雾720h试验、乙酸盐雾600h试验无锈点、耐腐蚀</w:t>
            </w:r>
            <w:r>
              <w:rPr>
                <w:rFonts w:hint="eastAsia" w:asciiTheme="minorEastAsia" w:hAnsiTheme="minorEastAsia" w:eastAsiaTheme="minorEastAsia" w:cstheme="minorEastAsia"/>
                <w:color w:val="000000"/>
                <w:kern w:val="0"/>
                <w:sz w:val="18"/>
                <w:szCs w:val="18"/>
                <w:lang w:eastAsia="zh-CN" w:bidi="ar"/>
              </w:rPr>
              <w:t>等级</w:t>
            </w:r>
            <w:r>
              <w:rPr>
                <w:rFonts w:hint="eastAsia" w:asciiTheme="minorEastAsia" w:hAnsiTheme="minorEastAsia" w:eastAsiaTheme="minorEastAsia" w:cstheme="minorEastAsia"/>
                <w:color w:val="000000"/>
                <w:kern w:val="0"/>
                <w:sz w:val="18"/>
                <w:szCs w:val="18"/>
                <w:lang w:bidi="ar"/>
              </w:rPr>
              <w:t>达10级，符合QB/T 5619-2021《转椅底盘》、QB/T3832-1999《轻工产品金属镀层腐蚀试验结果的评价》、GB/T 10125-2021《人造气氛腐蚀试验 盐雾试验》标准。                                                                                                                                                   4、气压棒：优质品牌气压棒，卡阻检测动态摩擦力最大值≤40N,伸展速度100-120mm/s，高低温存储性能衰减量≤0.5%，经过高低温储存性能试验的气弹簧应能承受30000次循环寿命试验试验后公称力的总衰减量应≤6%，动态摩擦力≤45N,无卡阻现象，在3倍锁定力拉伸作用下,保持5min,无肢解分离。气弹簧锁定在任意位置，经72h常温储存后，活塞杆不应产生位移。                                                                                               5、五星脚：钢制电镀五星脚架,半径≥350mm, 尼龙纤维合成脚轮，2次7560N 1min底座静载荷试验结果无损坏，符合QB/T 2280-2016《办公家具办公》标准。</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20</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把</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1180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12</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茶水柜</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参考规格：900×420×900mm</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1、基材：优质品牌中密度纤维板，甲醛释放量满足E0级，苯、甲苯、二甲苯≤5μg/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，TVOC≤50μg/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 xml:space="preserve">，含水率3%～6%,密度0.70～0.80g/cm³，板内密度偏差±3%，吸水厚度膨胀率≤10%，表面胶合强度≥1.4MPa，内胶合强度≥0.8MPa，静曲强度≥25MPa，弹性模量≥3000MPa，板面握螺钉力≥1450N，板边握螺钉力≥700N,燃烧增长速率指数≤230W/s，符合火焰横向蔓延未到达试样长翼边缘，60s内无燃烧滴落物引燃纸现象。燃烧性能等级符合GB 8624-2012 B1级标准。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2、采用天然实木木皮，厚度0.8mm，含水率6%-8%，甲醛释放量≤0.005mg/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 xml:space="preserve">，接缝处自然均匀无瑕疵，台面的力度均衡经过防虫防腐处理，耐磨性好。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3、油漆：优质品牌环保水性漆，甲醛含量≤5mg/kg，VOC含量≤2g/L，乙二醇醚及醚酯总和含量≤50mg/kg，苯、甲苯、二甲苯、乙苯的总量≤50mg/kg，烷基酚聚氧乙烯醚总和含量≤10mg/kg，细度≤15μm，不挥发物≥37%，硬度（擦伤）≥B，附着力&gt;1级，检验依据:GB 18581-2020《木器涂料中有害物质限量》。</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4、连接件：采用优质三合一，锁紧角度175-185度，偏心体抗压强度≥350N，预埋螺母抗拉强度≥1150N，中连接螺杆螺纹与预埋螺纹的抗拉强度≥3050N，三合一偏心连接件中偏心体与连接螺杆的扭矩≥10N.m，耐腐蚀600h乙酸盐雾达到10级标准，720h中性盐雾达到10级标准。检验依据：符合GB/T 28203-2011《家具用连接件技术要求及试验方法》、GB/T 10125-2021《人造气氛腐蚀试验 盐雾试验》。                                                                                                                                                                                  </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个</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1600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13</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kern w:val="0"/>
                <w:sz w:val="18"/>
                <w:szCs w:val="18"/>
                <w:lang w:bidi="ar"/>
              </w:rPr>
              <w:t>办公桌</w:t>
            </w:r>
            <w:r>
              <w:rPr>
                <w:rFonts w:hint="eastAsia" w:asciiTheme="minorEastAsia" w:hAnsiTheme="minorEastAsia" w:cstheme="minorEastAsia"/>
                <w:color w:val="000000"/>
                <w:kern w:val="0"/>
                <w:sz w:val="18"/>
                <w:szCs w:val="18"/>
                <w:lang w:eastAsia="zh-CN" w:bidi="ar"/>
              </w:rPr>
              <w:t>（</w:t>
            </w:r>
            <w:r>
              <w:rPr>
                <w:rFonts w:hint="eastAsia" w:asciiTheme="minorEastAsia" w:hAnsiTheme="minorEastAsia" w:cstheme="minorEastAsia"/>
                <w:color w:val="000000"/>
                <w:kern w:val="0"/>
                <w:sz w:val="18"/>
                <w:szCs w:val="18"/>
                <w:lang w:val="en-US" w:eastAsia="zh-CN" w:bidi="ar"/>
              </w:rPr>
              <w:t>核心产品</w:t>
            </w:r>
            <w:r>
              <w:rPr>
                <w:rFonts w:hint="eastAsia" w:asciiTheme="minorEastAsia" w:hAnsiTheme="minorEastAsia" w:cstheme="minorEastAsia"/>
                <w:color w:val="000000"/>
                <w:kern w:val="0"/>
                <w:sz w:val="18"/>
                <w:szCs w:val="18"/>
                <w:lang w:eastAsia="zh-CN" w:bidi="ar"/>
              </w:rPr>
              <w:t>）</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参考规格：1600×1600×750mm</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1、基材：优质环保刨花板，甲醛释放量满足E0级，苯、甲苯、二甲苯≤5μg/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，TVOC≤50μg/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含水率6%～7%,板内密度偏差±2%，2h吸水厚度膨胀率≤1%，表面胶合强度≥2MPa，内胶合强度≥0.80MPa，静曲强度≥30MPa，弹性模量≥3810MPa，板面握螺钉力≥1810N，板边握螺钉力≥1610N,燃烧增长速率指数≤150W/s，符合火焰横向蔓延未到达试样长翼边缘，60s内无燃烧滴落物引燃纸现象。燃烧性能等级符合GB 8624-2012 B1级标准。                                                                                                                                             2、采用优质浸渍纸饰面刨花板，甲醛释放量满足E0级，各项性能指标均达到国家保准，其中静曲强度≥19Mpa、弹性模量≥3600Mpa、内结合强度≥0.60Mpa、表面胶合强度≥1.5Mpa、2h吸水厚度膨胀率≤0.2%、握螺钉力板边≥1650N，握螺钉力板面≥1710N、苯、甲苯、二甲苯≤5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，TVOC≤50μg/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 xml:space="preserve">，表面耐香烟灼烧、表面耐干热、表面耐龟裂、表面耐水蒸气均达到5级，木材含水率≤6%。表面耐磨磨耗值≤25mg/100r。检验依据:GB/T 15102-2017《浸渍胶膜纸饰面纤维板和刨花板》GB 18580-2017《室内装饰装修材料人造板及其制品中甲醛释放限量》GB/T 39600-2021《人造板及其制品甲醛释放量分级》，HJ571-2010《环境标志产品技术要求人造板及其制品》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3、PVC封边：优质PVC封边条同色封边，甲醛释放量≤0.05mg/L，耐开裂性能达到1级，耐磨性能磨30r后无露底现象，厚度1.5mm。铅、镉、铬、汞、砷、钡、锑、硒均未检出或低于检出限。检验依据:QB/T4463-2013《家具用封边条技术要求》。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4、五金：采用品牌优质五金件，均经过酸洗、磷洗等防锈处理，符合GB/T 10125-2021《人造气氛腐蚀试验盐雾试验》QB/T3832-1999《轻工产品金属镀层腐蚀试验结果的评价》标准。                                                                       5、配置：主副台结构，隐藏走线功能。</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14</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张</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1900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14</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办公椅</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参考规格：高背</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表层：#采用优质品牌网布面料，甲醛含量≤20mg/kg，pH值4-5，可分解致癌芳香胺染料：未检出，锑、砷、铅、镉、铬、六价铬、钴、铜、镍、汞、总铅、总镉不得检出，无异味、阻燃性：通过香烟抗引燃试验（无续燃、阴燃）。检验依据符合GB/T 18885-2020《生态纺织品技术要求》、GB18401-2010《国家纺织产品基本安全技术规范》。                                                                                                        2、海棉：优质品牌成型海绵，40%压陷硬度偏差350±5N，65%/25%压陷比≥2.2，75%压缩永久变形≤2.4%，回弹率≥55%，拉伸强度≥115kPa，伸长率≥92%，撕裂强度≥2.5N/cm，干热老化后拉伸强度≥145kPa，湿热老化后拉伸强度≥110kPa，密度：≥43k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，甲醛释放量未检出，TVOC≤0.05mg/</w:t>
            </w:r>
            <w:r>
              <w:rPr>
                <w:rFonts w:hint="eastAsia" w:ascii="宋体" w:hAnsi="宋体" w:eastAsia="宋体" w:cs="宋体"/>
                <w:color w:val="000000"/>
                <w:kern w:val="0"/>
                <w:sz w:val="18"/>
                <w:szCs w:val="18"/>
                <w:lang w:bidi="ar"/>
              </w:rPr>
              <w:t>㎡</w:t>
            </w:r>
            <w:r>
              <w:rPr>
                <w:rFonts w:hint="eastAsia" w:asciiTheme="minorEastAsia" w:hAnsiTheme="minorEastAsia" w:eastAsiaTheme="minorEastAsia" w:cstheme="minorEastAsia"/>
                <w:color w:val="000000"/>
                <w:kern w:val="0"/>
                <w:sz w:val="18"/>
                <w:szCs w:val="18"/>
                <w:lang w:bidi="ar"/>
              </w:rPr>
              <w:t>，，放置点燃香烟后1小时内未观察到试样表面或内部出现任何续燃、阴燃想象。                                                 3、衬板：优质品牌多层板，甲醛释放量满足E0级，含水率6%～7.5%,胶合强度≥0.78MPa，静曲强度（顺纹≥47MPa，横纹≥43MPa），弹性模量（顺纹≥6020MPa，横纹≥5750MPa），苯、甲苯、二甲苯未检出，总挥发性有机化合物（TVOC）未检出。检验依据:GB/T9846-2015《普通胶合板》、GB/T 39600-2021《人造板及其制品甲醛释放量分级》。                                                                                                                                                                                        4、机构：采用优质品牌前置同步倾仰锁定机构，经中性盐雾720h试验、乙酸盐雾600h试验无锈点、耐腐蚀</w:t>
            </w:r>
            <w:r>
              <w:rPr>
                <w:rFonts w:hint="eastAsia" w:asciiTheme="minorEastAsia" w:hAnsiTheme="minorEastAsia" w:eastAsiaTheme="minorEastAsia" w:cstheme="minorEastAsia"/>
                <w:color w:val="000000"/>
                <w:kern w:val="0"/>
                <w:sz w:val="18"/>
                <w:szCs w:val="18"/>
                <w:lang w:eastAsia="zh-CN" w:bidi="ar"/>
              </w:rPr>
              <w:t>等级达</w:t>
            </w:r>
            <w:r>
              <w:rPr>
                <w:rFonts w:hint="eastAsia" w:asciiTheme="minorEastAsia" w:hAnsiTheme="minorEastAsia" w:eastAsiaTheme="minorEastAsia" w:cstheme="minorEastAsia"/>
                <w:color w:val="000000"/>
                <w:kern w:val="0"/>
                <w:sz w:val="18"/>
                <w:szCs w:val="18"/>
                <w:lang w:bidi="ar"/>
              </w:rPr>
              <w:t>10级，符合QB/T 5619-2021《转椅底盘》、QB/T3832-1999《轻工产品金属镀层腐蚀试验结果的评价》、GB/T 10125-2021《人造气氛腐蚀试验 盐雾试验》标准。                                                                                                                                                   5、气压棒：优质品牌气压棒，卡阻检测动态摩擦力最大值≤40N,伸展速度100-120mm/s，高低温存储性能衰减量≤0.5%，经过高低温储存性能试验的气弹簧应能承受30000次循环寿命试验试验后公称力的总衰减量应≤6%，动态摩擦力≤45N,无卡阻现象，在3倍锁定力拉伸作用下,保持5min,无肢解分离。气弹簧锁定在任意位置，经72h常温储存后，活塞杆不应产生位移。                                                                                               6、五星脚：钢制电镀五星脚架,半径≥350mm, 尼龙纤维合成脚轮，2次7560N 1min底座静载荷试验结果无损坏，符合QB/T 2280-2016《办公家具办公》标准；φ60/25PU防震轮。</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14</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把</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700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15</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文件更衣柜</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参考规格：1200×500×1850mm</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1、优质0.8mm优质冷轧钢板，静电喷塑，经中性盐雾720h试验、乙酸盐雾600h试验无锈点、耐腐蚀</w:t>
            </w:r>
            <w:r>
              <w:rPr>
                <w:rFonts w:hint="eastAsia" w:asciiTheme="minorEastAsia" w:hAnsiTheme="minorEastAsia" w:eastAsiaTheme="minorEastAsia" w:cstheme="minorEastAsia"/>
                <w:color w:val="000000"/>
                <w:kern w:val="0"/>
                <w:sz w:val="18"/>
                <w:szCs w:val="18"/>
                <w:lang w:eastAsia="zh-CN" w:bidi="ar"/>
              </w:rPr>
              <w:t>等级达</w:t>
            </w:r>
            <w:r>
              <w:rPr>
                <w:rFonts w:hint="eastAsia" w:asciiTheme="minorEastAsia" w:hAnsiTheme="minorEastAsia" w:eastAsiaTheme="minorEastAsia" w:cstheme="minorEastAsia"/>
                <w:color w:val="000000"/>
                <w:kern w:val="0"/>
                <w:sz w:val="18"/>
                <w:szCs w:val="18"/>
                <w:lang w:bidi="ar"/>
              </w:rPr>
              <w:t xml:space="preserve">10级，所有金属表面处理剂，经除油、除锈、除脂后，环氧树脂环保塑粉，静电喷塑处理，环保健康；符合QB/T 1952.1-2023《软体家具沙发》、GB/T 10125-2021《人造气氛腐蚀试验盐雾试验》、QB/T 3832-1999《轻工产品金属镀层腐蚀试验结果的评价》标准；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2、#塑粉：表面经脱脂陶化液处理，烘干预热后进行环保品牌塑粉静电喷涂，塑粉总铅Pb含量≤2.0mg/kg，镉Cd含量≤2.5mg/kg，铬Cr含量≤0.7mg/kg，汞Hg含量≤2.5mg/kg，硬度≥H，附着力0级，耐沸水性2h无异常。耐酸性240h无异常，耐碱性168h无异常，压陷深度4mm，涂层无开裂及脱离。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3、五金：品牌管理钥匙功能锁具，品牌缓冲阻尼铰链，均经过酸洗、磷洗等防锈处理，符合GB/T 10125-2021《人造气氛腐蚀试验盐雾试验》QB/T3832-1999《轻工产品金属镀层腐蚀试验结果的评价》标准；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4、配置：文件柜+更衣柜，钢制内嵌拉手，内置可调整高度脚。</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14</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个</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1620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16</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单人床</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参考规格：1200×2000mm</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1、基材：#优质环保刨花板，甲醛释放量满足E0级，苯、甲苯、二甲苯≤5μg/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，TVOC≤50μg/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含水率6%～7%,板内密度偏差±2%，2h吸水厚度膨胀率≤1%，表面胶合强度≥2MPa，内胶合强度≥0.80MPa，静曲强度≥30MPa，弹性模量≥3810MPa，板面握螺钉力≥1810N，板边握螺钉力≥1610N,燃烧增长速率指数≤150W/s，符合火焰横向蔓延未到达试样长翼边缘，60s内无燃烧滴落物引燃纸现象。燃烧性能等级符合GB 8624-2012 B1级标准。                                                                                                                                             2、采用优质浸渍纸饰面刨花板，甲醛释放量满足E0级，各项性能指标均达到国家保准，其中静曲强度≥19Mpa、弹性模量≥3600Mpa、内结合强度≥0.60Mpa、表面胶合强度≥1.5Mpa、2h吸水厚度膨胀率≤0.2%、握螺钉力板边≥1650N，握螺钉力板面≥1710N、苯、甲苯、二甲苯≤5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，TVOC≤50μg/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 xml:space="preserve">，表面耐香烟灼烧、表面耐干热、表面耐龟裂、表面耐水蒸气均达到5级，木材含水率≤6%。表面耐磨磨耗值≤25mg/100r。检验依据:GB/T 15102-2017《浸渍胶膜纸饰面纤维板和刨花板》GB 18580-2017《室内装饰装修材料人造板及其制品中甲醛释放限量》GB/T 39600-2021《人造板及其制品甲醛释放量分级》，HJ571-2010《环境标志产品技术要求人造板及其制品》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3、PVC封边：优质PVC封边条同色封边，甲醛释放量≤0.05mg/L，耐开裂性能达到1级，耐磨性能磨30r后无露底现象，厚度1.5mm。铅、镉、铬、汞、砷、钡、锑、硒均未检出或低于检出限。检验依据:QB/T4463-2013《家具用封边条技术要求》。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4、五金配件：采用优质三合一，锁紧角度175-185度，偏心体抗压强度≥350N，预埋螺母抗拉强度≥1150N，中连接螺杆螺纹与预埋螺纹的抗拉强度≥3050N，三合一偏心连接件中偏心体与连接螺杆的扭矩≥10N.m，耐腐蚀600h乙酸盐雾达到10级标准，720h中性盐雾达到10级标准。检验依据：符合GB/T 28203-2011《家具用连接件技术要求及试验方法》、GB/T 10125-2021《人造气氛腐蚀试验 盐雾试验》。                                                                                                                                                                                   5、优质环保床垫。</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10</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张</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2100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17</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床头柜</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参考规格：405×450×500mm</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1、基材：优质环保刨花板，甲醛释放量满足E0级，苯、甲苯、二甲苯≤5μg/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，TVOC≤50μg/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含水率6%～7%,板内密度偏差±2%，2h吸水厚度膨胀率≤1%，表面胶合强度≥2MPa，内胶合强度≥0.80MPa，静曲强度≥30MPa，弹性模量≥3810MPa，板面握螺钉力≥1810N，板边握螺钉力≥1610N,燃烧增长速率指数≤150W/s，符合火焰横向蔓延未到达试样长翼边缘，60s内无燃烧滴落物引燃纸现象。燃烧性能等级符合GB 8624-2012 B1级标准。                                                                                                                                             2、采用优质浸渍纸饰面刨花板，甲醛释放量满足E0级，各项性能指标均达到国家保准，其中静曲强度≥19Mpa、弹性模量≥3600Mpa、内结合强度≥0.60Mpa、表面胶合强度≥1.5Mpa、2h吸水厚度膨胀率≤0.2%、握螺钉力板边≥1650N，握螺钉力板面≥1710N、苯、甲苯、二甲苯≤5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，TVOC≤50μg/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 xml:space="preserve">，表面耐香烟灼烧、表面耐干热、表面耐龟裂、表面耐水蒸气均达到5级，木材含水率≤6%。表面耐磨磨耗值≤25mg/100r。检验依据:GB/T 15102-2017《浸渍胶膜纸饰面纤维板和刨花板》GB 18580-2017《室内装饰装修材料人造板及其制品中甲醛释放限量》GB/T 39600-2021《人造板及其制品甲醛释放量分级》，HJ571-2010《环境标志产品技术要求人造板及其制品》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3、PVC封边：优质PVC封边条同色封边，甲醛释放量≤0.05mg/L，耐开裂性能达到1级，耐磨性能磨30r后无露底现象，厚度1.5mm。铅、镉、铬、汞、砷、钡、锑、硒均未检出或低于检出限。检验依据:QB/T4463-2013《家具用封边条技术要求》。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4、五金配件：采用优质三合一，锁紧角度175-185度，偏心体抗压强度≥350N，预埋螺母抗拉强度≥1150N，中连接螺杆螺纹与预埋螺纹的抗拉强度≥3050N，三合一偏心连接件中偏心体与连接螺杆的扭矩≥10N.m，耐腐蚀600h乙酸盐雾达到10级标准，720h中性盐雾达到10级标准。检验依据：符合GB/T 28203-2011《家具用连接件技术要求及试验方法》、GB/T 10125-2021《人造气氛腐蚀试验 盐雾试验》。</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10</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个</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280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18</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更衣柜</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参考规格：800×600×2000mm</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1、基材：优质环保刨花板，甲醛释放量满足E0级，苯、甲苯、二甲苯≤5μg/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，TVOC≤50μg/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含水率6%～7%,板内密度偏差±2%，2h吸水厚度膨胀率≤1%，表面胶合强度≥2MPa，内胶合强度≥0.80MPa，静曲强度≥30MPa，弹性模量≥3810MPa，板面握螺钉力≥1810N，板边握螺钉力≥1610N,燃烧增长速率指数≤150W/s，符合火焰横向蔓延未到达试样长翼边缘，60s内无燃烧滴落物引燃纸现象。燃烧性能等级符合GB 8624-2012 B1级标准。                                                                                                                                             2、采用优质浸渍纸饰面刨花板，甲醛释放量满足E0级，各项性能指标均达到国家保准，其中静曲强度≥19Mpa、弹性模量≥3600Mpa、内结合强度≥0.60Mpa、表面胶合强度≥1.5Mpa、2h吸水厚度膨胀率≤0.2%、握螺钉力板边≥1650N，握螺钉力板面≥1710N、苯、甲苯、二甲苯≤5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，TVOC≤50μg/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 xml:space="preserve">，表面耐香烟灼烧、表面耐干热、表面耐龟裂、表面耐水蒸气均达到5级，木材含水率≤6%。表面耐磨磨耗值≤25mg/100r。检验依据:GB/T 15102-2017《浸渍胶膜纸饰面纤维板和刨花板》GB 18580-2017《室内装饰装修材料人造板及其制品中甲醛释放限量》GB/T 39600-2021《人造板及其制品甲醛释放量分级》，HJ571-2010《环境标志产品技术要求人造板及其制品》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3、PVC封边：优质PVC封边条同色封边，甲醛释放量≤0.05mg/L，耐开裂性能达到1级，耐磨性能磨30r后无露底现象，厚度1.5mm。铅、镉、铬、汞、砷、钡、锑、硒均未检出或低于检出限。检验依据:QB/T4463-2013《家具用封边条技术要求》。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4、五金配件：采用优质三合一，锁紧角度175-185度，偏心体抗压强度≥350N，预埋螺母抗拉强度≥1150N，中连接螺杆螺纹与预埋螺纹的抗拉强度≥3050N，三合一偏心连接件中偏心体与连接螺杆的扭矩≥10N.m，耐腐蚀600h乙酸盐雾达到10级标准，720h中性盐雾达到10级标准。检验依据：符合GB/T 28203-2011《家具用连接件技术要求及试验方法》、GB/T 10125-2021《人造气氛腐蚀试验 盐雾试验》。</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10</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个</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1360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19</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沙发</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参考规格：三人位</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 xml:space="preserve">1、面层：布艺覆面，甲醛含量未检出、可分解致癌芳香胺染料未检出，耐水、耐酸汗渍、耐碱汗渍、耐干摩擦均达到4-5级，PH值6-7，符合GB18401-2010《国家纺织产品基本安全技术规范》、QBT1952.1-2023《软体家具 沙发》、GBT18885-2020《生态纺织品技术要求》标准；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2、实木框架:硬杂木实木框架，木料经四面刨光处理，结合部位牢固无松动。框架主体榫结构。内部衬垫物干燥、卫生。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3、海棉：优质品牌成型海绵，40%压陷硬度偏差350±5N，65%/25%压陷比≥2.2，75%压缩永久变形≤2.4%，回弹率≥55%，拉伸强度≥115kPa，伸长率≥92%，撕裂强度≥2.5N/cm，干热老化后拉伸强度≥145kPa，湿热老化后拉伸强度≥110kPa，密度：≥43k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，甲醛释放量未检出，TVOC≤0.05mg/</w:t>
            </w:r>
            <w:r>
              <w:rPr>
                <w:rFonts w:hint="eastAsia" w:ascii="宋体" w:hAnsi="宋体" w:eastAsia="宋体" w:cs="宋体"/>
                <w:color w:val="000000"/>
                <w:kern w:val="0"/>
                <w:sz w:val="18"/>
                <w:szCs w:val="18"/>
                <w:lang w:bidi="ar"/>
              </w:rPr>
              <w:t>㎡</w:t>
            </w:r>
            <w:r>
              <w:rPr>
                <w:rFonts w:hint="eastAsia" w:asciiTheme="minorEastAsia" w:hAnsiTheme="minorEastAsia" w:eastAsiaTheme="minorEastAsia" w:cstheme="minorEastAsia"/>
                <w:color w:val="000000"/>
                <w:kern w:val="0"/>
                <w:sz w:val="18"/>
                <w:szCs w:val="18"/>
                <w:lang w:bidi="ar"/>
              </w:rPr>
              <w:t xml:space="preserve">。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4、油漆：优质品牌环保水性漆，甲醛含量≤5mg/kg，VOC含量≤2g/L，乙二醇醚及醚酯总和含量≤50mg/kg，苯、甲苯、二甲苯、乙苯的总量≤50mg/kg，烷基酚聚氧乙烯醚总和含量≤10mg/kg，细度≤15μm，不挥发物≥37%，硬度（擦伤）≥B，附着力&gt;1级，检验依据:GB 18581-2020《木器涂料中有害物质限量》。</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个</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3800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20</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沙发</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参考规格：单人位</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 xml:space="preserve">1、面层：布艺覆面，甲醛含量未检出、可分解致癌芳香胺染料未检出，耐水、耐酸汗渍、耐碱汗渍、耐干摩擦均达到4-5级，PH值6-7，符合GB18401-2010《国家纺织产品基本安全技术规范》、QBT1952.1-2023《软体家具 沙发》、GBT18885-2020《生态纺织品技术要求》标准；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2、实木框架:硬杂木实木框架，木料经四面刨光处理，结合部位牢固无松动。框架主体榫结构。内部衬垫物干燥、卫生。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3、海棉：优质品牌成型海绵，40%压陷硬度偏差350±5N，65%/25%压陷比≥2.2，75%压缩永久变形≤2.4%，回弹率≥55%，拉伸强度≥115kPa，伸长率≥92%，撕裂强度≥2.5N/cm，干热老化后拉伸强度≥145kPa，湿热老化后拉伸强度≥110kPa，密度：≥43k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，甲醛释放量未检出，TVOC≤0.05mg/</w:t>
            </w:r>
            <w:r>
              <w:rPr>
                <w:rFonts w:hint="eastAsia" w:ascii="宋体" w:hAnsi="宋体" w:eastAsia="宋体" w:cs="宋体"/>
                <w:color w:val="000000"/>
                <w:kern w:val="0"/>
                <w:sz w:val="18"/>
                <w:szCs w:val="18"/>
                <w:lang w:bidi="ar"/>
              </w:rPr>
              <w:t>㎡</w:t>
            </w:r>
            <w:r>
              <w:rPr>
                <w:rFonts w:hint="eastAsia" w:asciiTheme="minorEastAsia" w:hAnsiTheme="minorEastAsia" w:eastAsiaTheme="minorEastAsia" w:cstheme="minorEastAsia"/>
                <w:color w:val="000000"/>
                <w:kern w:val="0"/>
                <w:sz w:val="18"/>
                <w:szCs w:val="18"/>
                <w:lang w:bidi="ar"/>
              </w:rPr>
              <w:t xml:space="preserve">。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4、油漆：优质品牌环保水性漆，甲醛含量≤5mg/kg，VOC含量≤2g/L，乙二醇醚及醚酯总和含量≤50mg/kg，苯、甲苯、二甲苯、乙苯的总量≤50mg/kg，烷基酚聚氧乙烯醚总和含量≤10mg/kg，细度≤15μm，不挥发物≥37%，硬度（擦伤）≥B，附着力&gt;1级，使用水性漆自动喷漆线新型设备，漆面附着力强、触感舒适、色泽温润美观，检验依据:GB 18581-2020《木器涂料中有害物质限量》。</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个</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1800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21</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茶几</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参考规格：1200×600×450mm</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1、基材：优质环保刨花板，甲醛释放量满足E0级，苯、甲苯、二甲苯≤5μg/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，TVOC≤50μg/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含水率6%～7%,板内密度偏差±2%，2h吸水厚度膨胀率≤1%，表面胶合强度≥2MPa，内胶合强度≥0.80MPa，静曲强度≥30MPa，弹性模量≥3810MPa，板面握螺钉力≥1810N，板边握螺钉力≥1610N,燃烧增长速率指数≤150W/s，符合火焰横向蔓延未到达试样长翼边缘，60s内无燃烧滴落物引燃纸现象。燃烧性能等级符合GB 8624-2012 B1级标准。                                                                                                                                             2、采用优质浸渍纸饰面刨花板，甲醛释放量满足E0级，各项性能指标均达到国家保准，其中静曲强度≥19Mpa、弹性模量≥3600Mpa、内结合强度≥0.60Mpa、表面胶合强度≥1.5Mpa、2h吸水厚度膨胀率≤0.2%、握螺钉力板边≥1650N，握螺钉力板面≥1710N、苯、甲苯、二甲苯≤5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，TVOC≤50μg/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 xml:space="preserve">，表面耐香烟灼烧、表面耐干热、表面耐龟裂、表面耐水蒸气均达到5级，木材含水率≤6%。表面耐磨磨耗值≤25mg/100r。检验依据:GB/T 15102-2017《浸渍胶膜纸饰面纤维板和刨花板》GB 18580-2017《室内装饰装修材料人造板及其制品中甲醛释放限量》GB/T 39600-2021《人造板及其制品甲醛释放量分级》，HJ571-2010《环境标志产品技术要求人造板及其制品》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3、PVC封边：优质PVC封边条同色封边，甲醛释放量≤0.05mg/L，耐开裂性能达到1级，耐磨性能磨30r后无露底现象，厚度1.5mm。铅、镉、铬、汞、砷、钡、锑、硒均未检出或低于检出限。检验依据:QB/T4463-2013《家具用封边条技术要求》。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4、五金配件：采用品牌优质五金件，均经过酸洗、磷洗等防锈处理，符合GB/T 10125-2021《人造气氛腐蚀试验盐雾试验》QB/T3832-1999《轻工产品金属镀层腐蚀试验结果的评价》标准。</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个</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750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22</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茶几</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参考规格：500×700×550mm</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1、基材：优质环保刨花板，甲醛释放量满足E0级，苯、甲苯、二甲苯≤5μg/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，TVOC≤50μg/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含水率6%～7%,板内密度偏差±2%，2h吸水厚度膨胀率≤1%，表面胶合强度≥2MPa，内胶合强度≥0.80MPa，静曲强度≥30MPa，弹性模量≥3810MPa，板面握螺钉力≥1810N，板边握螺钉力≥1610N,燃烧增长速率指数≤150W/s，符合火焰横向蔓延未到达试样长翼边缘，60s内无燃烧滴落物引燃纸现象。燃烧性能等级符合GB 8624-2012 B1级标准。                                                                                                                                             2、采用优质浸渍纸饰面刨花板，甲醛释放量满足E0级，各项性能指标均达到国家保准，其中静曲强度≥19Mpa、弹性模量≥3600Mpa、内结合强度≥0.60Mpa、表面胶合强度≥1.5Mpa、2h吸水厚度膨胀率≤0.2%、握螺钉力板边≥1650N，握螺钉力板面≥1710N、苯、甲苯、二甲苯≤5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，TVOC≤50μg/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 xml:space="preserve">，表面耐香烟灼烧、表面耐干热、表面耐龟裂、表面耐水蒸气均达到5级，木材含水率≤6%。表面耐磨磨耗值≤25mg/100r。检验依据:GB/T 15102-2017《浸渍胶膜纸饰面纤维板和刨花板》GB 18580-2017《室内装饰装修材料人造板及其制品中甲醛释放限量》GB/T 39600-2021《人造板及其制品甲醛释放量分级》，HJ571-2010《环境标志产品技术要求人造板及其制品》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3、PVC封边：优质PVC封边条同色封边，甲醛释放量≤0.05mg/L，耐开裂性能达到1级，耐磨性能磨30r后无露底现象，厚度1.5mm。铅、镉、铬、汞、砷、钡、锑、硒均未检出或低于检出限。检验依据:QB/T4463-2013《家具用封边条技术要求》。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4、五金配件：采用品牌优质五金件，均经过酸洗、磷洗等防锈处理，符合GB/T 10125-2021《人造气氛腐蚀试验盐雾试验》QB/T3832-1999《轻工产品金属镀层腐蚀试验结果的评价》标准。</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个</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560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23</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办公桌</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参考规格：1200×600×750mm</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1、基材：优质环保刨花板，甲醛释放量满足E0级，苯、甲苯、二甲苯≤5μg/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，TVOC≤50μg/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 xml:space="preserve">，含水率6%～7%,板内密度偏差±2%，2h吸水厚度膨胀率≤1%，表面胶合强度≥2MPa，内胶合强度≥0.80MPa，静曲强度≥30MPa，弹性模量≥3810MPa，板面握螺钉力≥1810N，板边握螺钉力≥1610N,燃烧增长速率指数≤150W/s，符合火焰横向蔓延未到达试样长翼边缘，60s内无燃烧滴落物引燃纸现象。燃烧性能等级符合GB 8624-2012 B1级标准。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2、PVC封边：优质PVC封边条同色封边，甲醛释放量≤0.05mg/L，耐开裂性能达到1级，耐磨性能磨30r后无露底现象，厚度1.5mm。铅、镉、铬、汞、砷、钡、锑、硒均未检出或低于检出限。检验依据:QB/T4463-2013《家具用封边条技术要求》。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3、钢架：#采用壁厚1.5mm优质钢管，依据参照GB/T 10125-2021《人造气氛腐蚀试验 盐雾试验》QB/T3832-1999《轻工产品金属镀层腐蚀试验 结果的评价》标准检测。中性盐雾试验720h无锈点10级，乙酸盐雾试验600h无锈点10级。</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张</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480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24</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办公椅</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参考规格：标准</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表层：采用优质品牌网布面料，甲醛含量≤20mg/kg，pH值4-5，可分解致癌芳香胺染料：未检出，锑、砷、铅、镉、铬、六价铬、钴、铜、镍、汞、总铅、总镉不得检出，无异味、阻燃性：通过香烟抗引燃试验（无续燃、阴燃）。检验依据符合GB/T 18885-2020《生态纺织品技术要求》、GB18401-2010《国家纺织产品基本安全技术规范》。                                                                                                        2、海棉：优质品牌成型海绵，40%压陷硬度偏差350±5N，65%/25%压陷比≥2.2，75%压缩永久变形≤2.4%，回弹率≥55%，拉伸强度≥115kPa，伸长率≥92%，撕裂强度≥2.5N/cm，干热老化后拉伸强度≥145kPa，湿热老化后拉伸强度≥110kPa，密度：≥43kg/</w:t>
            </w:r>
            <w:r>
              <w:rPr>
                <w:rStyle w:val="265"/>
                <w:rFonts w:hint="eastAsia" w:asciiTheme="minorEastAsia" w:hAnsiTheme="minorEastAsia" w:cstheme="minorEastAsia"/>
                <w:sz w:val="18"/>
                <w:szCs w:val="18"/>
                <w:lang w:val="en-US" w:eastAsia="zh-CN" w:bidi="ar"/>
              </w:rPr>
              <w:t>m³</w:t>
            </w:r>
            <w:r>
              <w:rPr>
                <w:rFonts w:hint="eastAsia" w:asciiTheme="minorEastAsia" w:hAnsiTheme="minorEastAsia" w:eastAsiaTheme="minorEastAsia" w:cstheme="minorEastAsia"/>
                <w:color w:val="000000"/>
                <w:kern w:val="0"/>
                <w:sz w:val="18"/>
                <w:szCs w:val="18"/>
                <w:lang w:bidi="ar"/>
              </w:rPr>
              <w:t>，甲醛释放量未检出，TVOC≤0.05mg/</w:t>
            </w:r>
            <w:r>
              <w:rPr>
                <w:rFonts w:hint="eastAsia" w:ascii="宋体" w:hAnsi="宋体" w:eastAsia="宋体" w:cs="宋体"/>
                <w:color w:val="000000"/>
                <w:kern w:val="0"/>
                <w:sz w:val="18"/>
                <w:szCs w:val="18"/>
                <w:lang w:bidi="ar"/>
              </w:rPr>
              <w:t>㎡</w:t>
            </w:r>
            <w:r>
              <w:rPr>
                <w:rFonts w:hint="eastAsia" w:asciiTheme="minorEastAsia" w:hAnsiTheme="minorEastAsia" w:eastAsiaTheme="minorEastAsia" w:cstheme="minorEastAsia"/>
                <w:color w:val="000000"/>
                <w:kern w:val="0"/>
                <w:sz w:val="18"/>
                <w:szCs w:val="18"/>
                <w:lang w:bidi="ar"/>
              </w:rPr>
              <w:t xml:space="preserve">。                                                 3、衬板：#优质品牌多层板，甲醛释放量满足E0级，含水率6%～7.5%,胶合强度≥0.78MPa，静曲强度（顺纹≥47MPa，横纹≥43MPa），弹性模量（顺纹≥6020MPa，横纹≥5750MPa），苯、甲苯、二甲苯未检出，总挥发性有机化合物（TVOC）未检出。检验依据:GB/T9846-2015《普通胶合板》、GB/T 39600-2021《人造板及其制品甲醛释放量分级》。                                                                          4、钢架：采用壁厚1.5mm优质钢管，依据参照GB/T 10125-2021《人造气氛腐蚀试验 盐雾试验》QB/T3832-1999《轻工产品金属镀层腐蚀试验 结果的评价》标准检测。中性盐雾试验720h无锈点10级，乙酸盐雾试验600h无锈点10级。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配置：专业开模黑色PP+玻纤椅背，黑色圈型扶手。</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把</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350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25</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文件柜</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参考规格：900×400×1850mm</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1、优质0.8mm优质冷轧钢板，静电喷塑，经中性盐雾720h试验、乙酸盐雾600h试验无锈点、耐腐蚀</w:t>
            </w:r>
            <w:r>
              <w:rPr>
                <w:rFonts w:hint="eastAsia" w:asciiTheme="minorEastAsia" w:hAnsiTheme="minorEastAsia" w:eastAsiaTheme="minorEastAsia" w:cstheme="minorEastAsia"/>
                <w:color w:val="000000"/>
                <w:kern w:val="0"/>
                <w:sz w:val="18"/>
                <w:szCs w:val="18"/>
                <w:lang w:eastAsia="zh-CN" w:bidi="ar"/>
              </w:rPr>
              <w:t>等级达</w:t>
            </w:r>
            <w:r>
              <w:rPr>
                <w:rFonts w:hint="eastAsia" w:asciiTheme="minorEastAsia" w:hAnsiTheme="minorEastAsia" w:eastAsiaTheme="minorEastAsia" w:cstheme="minorEastAsia"/>
                <w:color w:val="000000"/>
                <w:kern w:val="0"/>
                <w:sz w:val="18"/>
                <w:szCs w:val="18"/>
                <w:lang w:bidi="ar"/>
              </w:rPr>
              <w:t xml:space="preserve">10级，所有金属表面处理剂，符合QB/T 1952.1-2023《软体家具沙发》、GB/T 10125-2021《人造气氛腐蚀试验盐雾试验》、QB/T 3832-1999《轻工产品金属镀层腐蚀试验结果的评价》标准；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2、塑粉：表面经脱脂陶化液处理，烘干预热后进行环保品牌塑粉静电喷涂，塑粉总铅Pb含量≤2.0mg/kg，镉Cd含量≤2.5mg/kg，铬Cr含量≤0.7mg/kg，汞Hg含量≤2.5mg/kg，硬度≥H，附着力0级，耐沸水性2h无异常。耐酸性240h无异常，耐碱性168h无异常，压陷深度4mm，涂层无开裂及脱离。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3、五金：品牌管理钥匙功能锁具，品牌缓冲阻尼铰链，均经过酸洗、磷洗等防锈处理，符合GB/T 10125-2021《人造气氛腐蚀试验盐雾试验》QB/T3832-1999《轻工产品金属镀层腐蚀试验结果的评价》标准；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4、配置：钢柜12mm薄边设计，文件柜上2下1活动层板，钢制内嵌拉手，内置可调整高度脚。</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个</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1300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26</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单人床</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参考规格：2000×900×750mm</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1、材质：优质一级冷轧钢管，静电喷塑，经中性盐雾720h试验、乙酸盐雾600h试验无锈点、耐腐蚀</w:t>
            </w:r>
            <w:r>
              <w:rPr>
                <w:rFonts w:hint="eastAsia" w:asciiTheme="minorEastAsia" w:hAnsiTheme="minorEastAsia" w:eastAsiaTheme="minorEastAsia" w:cstheme="minorEastAsia"/>
                <w:color w:val="000000"/>
                <w:kern w:val="0"/>
                <w:sz w:val="18"/>
                <w:szCs w:val="18"/>
                <w:lang w:eastAsia="zh-CN" w:bidi="ar"/>
              </w:rPr>
              <w:t>等级</w:t>
            </w:r>
            <w:r>
              <w:rPr>
                <w:rFonts w:hint="eastAsia" w:asciiTheme="minorEastAsia" w:hAnsiTheme="minorEastAsia" w:eastAsiaTheme="minorEastAsia" w:cstheme="minorEastAsia"/>
                <w:color w:val="000000"/>
                <w:kern w:val="0"/>
                <w:sz w:val="18"/>
                <w:szCs w:val="18"/>
                <w:lang w:bidi="ar"/>
              </w:rPr>
              <w:t>达10级，所有金属表面处理剂符合GB/T 10125-2021《人造气氛腐蚀试验盐雾试验》、QB/T 3832-1999《轻工产品金属镀层腐蚀试验结果的评价》标准。                                                                    2、塑粉：表面经脱脂陶化液处理，烘干预热后进行环保品牌塑粉静电喷涂，塑粉总铅Pb含量≤2.0mg/kg，镉Cd含量≤2.5mg/kg，铬Cr含量≤0.7mg/kg，汞Hg含量≤2.5mg/kg，硬度≥H，附着力0级，耐沸水性2h无异常。耐酸性240h无异常，耐碱性168h无异常，压陷深度4mm，涂层无开裂及脱离。                                                           床腿4根：50*50方钢管，壁厚1.2mm</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床枉梁：40*80矩形钢管，壁厚1.2mm</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床带五根：25*25方钢管，壁厚1.2mm</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护栏：20*20方钢管，壁厚1.2mm</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2、床板采用：优质品牌多层板，甲醛释放量满足E0级，含水率6%～7.5%,胶合强度≥0.78MPa，静曲强度（顺纹≥47MPa，横纹≥43MPa），弹性模量（顺纹≥6020MPa，横纹≥5750MPa），苯、甲苯、二甲苯未检出，总挥发性有机化合物（TVOC）未检出。检验依据:GB/T9846-2015《普通胶合板》、GB/T 39600-2021《人造板及其制品甲醛释放量分级》。                                                                          3、套脚：采用工程塑料注塑成型，对立柱上下切面做封闭处理。</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张</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700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27</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更衣柜</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参考规格：900×500×1850mm</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1、优质0.8mm优质冷轧钢板，静电喷塑，经中性盐雾720h试验、乙酸盐雾600h试验无锈点、耐腐蚀</w:t>
            </w:r>
            <w:r>
              <w:rPr>
                <w:rFonts w:hint="eastAsia" w:asciiTheme="minorEastAsia" w:hAnsiTheme="minorEastAsia" w:eastAsiaTheme="minorEastAsia" w:cstheme="minorEastAsia"/>
                <w:color w:val="000000"/>
                <w:kern w:val="0"/>
                <w:sz w:val="18"/>
                <w:szCs w:val="18"/>
                <w:lang w:eastAsia="zh-CN" w:bidi="ar"/>
              </w:rPr>
              <w:t>等级达</w:t>
            </w:r>
            <w:r>
              <w:rPr>
                <w:rFonts w:hint="eastAsia" w:asciiTheme="minorEastAsia" w:hAnsiTheme="minorEastAsia" w:eastAsiaTheme="minorEastAsia" w:cstheme="minorEastAsia"/>
                <w:color w:val="000000"/>
                <w:kern w:val="0"/>
                <w:sz w:val="18"/>
                <w:szCs w:val="18"/>
                <w:lang w:bidi="ar"/>
              </w:rPr>
              <w:t xml:space="preserve">10级，所有金属表面处理剂，经除油、除锈、除脂后，环氧树脂环保塑粉，静电喷塑处理，环保健康；符合QB/T 1952.1-2023《软体家具沙发》、GB/T 10125-2021《人造气氛腐蚀试验盐雾试验》、QB/T 3832-1999《轻工产品金属镀层腐蚀试验结果的评价》标准；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2、塑粉：表面经脱脂陶化液处理，烘干预热后进行环保品牌塑粉静电喷涂，塑粉总铅Pb含量≤2.0mg/kg，镉Cd含量≤2.5mg/kg，铬Cr含量≤0.7mg/kg，汞Hg含量≤2.5mg/kg，硬度≥H，附着力0级，耐沸水性2h无异常。耐酸性240h无异常，耐碱性168h无异常，压陷深度4mm，涂层无开裂及脱离。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 xml:space="preserve">3、五金：#品牌管理钥匙功能锁具，品牌缓冲阻尼铰链，均经过酸洗、磷洗等防锈处理，符合GB/T 10125-2021《人造气氛腐蚀试验盐雾试验》QB/T3832-1999《轻工产品金属镀层腐蚀试验结果的评价》标准；                                  </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4、配置：钢柜12mm薄边设计，上下各1块活动层板，配置挂衣杆，穿衣镜，钢制内嵌拉手，内置可调整高度脚。</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个</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1400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28</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洽谈桌</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val="en-US" w:eastAsia="zh-CN" w:bidi="ar"/>
              </w:rPr>
              <w:t>参考</w:t>
            </w:r>
            <w:r>
              <w:rPr>
                <w:rFonts w:hint="eastAsia" w:asciiTheme="minorEastAsia" w:hAnsiTheme="minorEastAsia" w:eastAsiaTheme="minorEastAsia" w:cstheme="minorEastAsia"/>
                <w:color w:val="000000"/>
                <w:kern w:val="0"/>
                <w:sz w:val="18"/>
                <w:szCs w:val="18"/>
                <w:lang w:bidi="ar"/>
              </w:rPr>
              <w:t xml:space="preserve">规格：1270×400×1100mm                                                                  基材：采用≧40mm厚橡胶木实木面，桌架采用≧40×40×1.5mm高频焊管。                                                                                                                                                              </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 xml:space="preserve">涂饰：粉末静电喷涂,焊接牢固，洗除锈,锌洗磷化后粉末喷涂，防护性好附着力强。                                                                                                                                                                                   脚垫：防腐材料, 采用特制模具注塑脚垫。                                                                                                                                                                           结构：四腿结构。 </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4</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2200</w:t>
            </w:r>
          </w:p>
        </w:tc>
      </w:tr>
      <w:tr>
        <w:tblPrEx>
          <w:tblLayout w:type="fixed"/>
          <w:tblCellMar>
            <w:top w:w="0" w:type="dxa"/>
            <w:left w:w="108" w:type="dxa"/>
            <w:bottom w:w="0" w:type="dxa"/>
            <w:right w:w="108" w:type="dxa"/>
          </w:tblCellMar>
        </w:tblPrEx>
        <w:trPr>
          <w:trHeight w:val="23"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29</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长条桌</w:t>
            </w:r>
          </w:p>
        </w:tc>
        <w:tc>
          <w:tcPr>
            <w:tcW w:w="72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val="en-US" w:eastAsia="zh-CN" w:bidi="ar"/>
              </w:rPr>
              <w:t>参考</w:t>
            </w:r>
            <w:r>
              <w:rPr>
                <w:rFonts w:hint="eastAsia" w:asciiTheme="minorEastAsia" w:hAnsiTheme="minorEastAsia" w:eastAsiaTheme="minorEastAsia" w:cstheme="minorEastAsia"/>
                <w:color w:val="000000"/>
                <w:kern w:val="0"/>
                <w:sz w:val="18"/>
                <w:szCs w:val="18"/>
                <w:lang w:bidi="ar"/>
              </w:rPr>
              <w:t>规格：1600×600×760mm                                                          基材：采用≧30mm厚橡胶木实木，纹理颜色一致，无结疤，无瑕疵，木材含水率8-10%。</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 xml:space="preserve">涂饰：采用环保水性漆，水性漆涂饰,非显孔亚光，两面均衡涂饰,漆膜附着力达到1级。                                                                                    脚垫: 防腐材料, 采用特制模具ABS注塑脚垫。                                                                                                                                                                                                                                                                                                                       </w:t>
            </w:r>
          </w:p>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 xml:space="preserve">结构：整体实木结构。 </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4</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3960</w:t>
            </w:r>
          </w:p>
        </w:tc>
      </w:tr>
    </w:tbl>
    <w:p>
      <w:pPr>
        <w:pStyle w:val="272"/>
        <w:keepNext w:val="0"/>
        <w:keepLines w:val="0"/>
        <w:pageBreakBefore w:val="0"/>
        <w:kinsoku/>
        <w:wordWrap/>
        <w:overflowPunct/>
        <w:topLinePunct w:val="0"/>
        <w:autoSpaceDE/>
        <w:autoSpaceDN/>
        <w:bidi w:val="0"/>
        <w:adjustRightInd/>
        <w:snapToGrid/>
        <w:spacing w:line="240" w:lineRule="auto"/>
        <w:ind w:left="420" w:leftChars="200" w:right="0" w:rightChars="0" w:firstLine="0" w:firstLineChars="0"/>
        <w:textAlignment w:val="auto"/>
        <w:rPr>
          <w:rFonts w:hint="eastAsia" w:ascii="宋体" w:hAnsi="宋体" w:cs="宋体"/>
        </w:rPr>
      </w:pPr>
      <w:r>
        <w:rPr>
          <w:rFonts w:hint="eastAsia" w:ascii="宋体" w:hAnsi="宋体" w:cs="宋体"/>
          <w:b/>
          <w:bCs/>
        </w:rPr>
        <w:t>二、售后服务</w:t>
      </w:r>
    </w:p>
    <w:p>
      <w:pPr>
        <w:pStyle w:val="272"/>
        <w:keepNext w:val="0"/>
        <w:keepLines w:val="0"/>
        <w:pageBreakBefore w:val="0"/>
        <w:kinsoku/>
        <w:wordWrap/>
        <w:overflowPunct/>
        <w:topLinePunct w:val="0"/>
        <w:autoSpaceDE/>
        <w:autoSpaceDN/>
        <w:bidi w:val="0"/>
        <w:adjustRightInd/>
        <w:snapToGrid/>
        <w:spacing w:line="240" w:lineRule="auto"/>
        <w:ind w:left="420" w:leftChars="200" w:right="0" w:rightChars="0" w:firstLine="0" w:firstLineChars="0"/>
        <w:textAlignment w:val="auto"/>
        <w:rPr>
          <w:rFonts w:hint="eastAsia" w:ascii="宋体" w:hAnsi="宋体" w:cs="宋体"/>
          <w:color w:val="000000"/>
        </w:rPr>
      </w:pPr>
      <w:r>
        <w:rPr>
          <w:rFonts w:hint="eastAsia" w:ascii="宋体" w:hAnsi="宋体" w:cs="宋体"/>
          <w:color w:val="000000"/>
        </w:rPr>
        <w:t xml:space="preserve">自验收合格之日后： </w:t>
      </w:r>
    </w:p>
    <w:p>
      <w:pPr>
        <w:pStyle w:val="272"/>
        <w:keepNext w:val="0"/>
        <w:keepLines w:val="0"/>
        <w:pageBreakBefore w:val="0"/>
        <w:kinsoku/>
        <w:wordWrap/>
        <w:overflowPunct/>
        <w:topLinePunct w:val="0"/>
        <w:autoSpaceDE/>
        <w:autoSpaceDN/>
        <w:bidi w:val="0"/>
        <w:adjustRightInd/>
        <w:snapToGrid/>
        <w:spacing w:line="240" w:lineRule="auto"/>
        <w:ind w:left="420" w:leftChars="200" w:right="0" w:rightChars="0" w:firstLine="0" w:firstLineChars="0"/>
        <w:textAlignment w:val="auto"/>
        <w:rPr>
          <w:rFonts w:hint="eastAsia" w:ascii="宋体" w:hAnsi="宋体" w:cs="宋体"/>
          <w:color w:val="000000"/>
        </w:rPr>
      </w:pPr>
      <w:r>
        <w:rPr>
          <w:rFonts w:hint="eastAsia" w:ascii="宋体" w:hAnsi="宋体" w:cs="宋体"/>
          <w:color w:val="000000"/>
        </w:rPr>
        <w:t>（1）免费质保期限：投标人应在投标文件中承诺免费质保期不</w:t>
      </w:r>
      <w:r>
        <w:rPr>
          <w:rFonts w:hint="eastAsia" w:ascii="宋体" w:hAnsi="宋体" w:cs="宋体"/>
        </w:rPr>
        <w:t>少</w:t>
      </w:r>
      <w:r>
        <w:rPr>
          <w:rFonts w:hint="eastAsia" w:ascii="宋体" w:hAnsi="宋体" w:cs="宋体"/>
          <w:color w:val="auto"/>
        </w:rPr>
        <w:t>于3年</w:t>
      </w:r>
      <w:r>
        <w:rPr>
          <w:rFonts w:hint="eastAsia" w:ascii="宋体" w:hAnsi="宋体" w:cs="宋体"/>
        </w:rPr>
        <w:t>。</w:t>
      </w:r>
    </w:p>
    <w:p>
      <w:pPr>
        <w:pStyle w:val="272"/>
        <w:keepNext w:val="0"/>
        <w:keepLines w:val="0"/>
        <w:pageBreakBefore w:val="0"/>
        <w:kinsoku/>
        <w:wordWrap/>
        <w:overflowPunct/>
        <w:topLinePunct w:val="0"/>
        <w:autoSpaceDE/>
        <w:autoSpaceDN/>
        <w:bidi w:val="0"/>
        <w:adjustRightInd/>
        <w:snapToGrid/>
        <w:spacing w:line="240" w:lineRule="auto"/>
        <w:ind w:left="420" w:leftChars="200" w:right="0" w:rightChars="0" w:firstLine="0" w:firstLineChars="0"/>
        <w:textAlignment w:val="auto"/>
        <w:rPr>
          <w:rFonts w:hint="eastAsia" w:ascii="宋体" w:hAnsi="宋体" w:cs="宋体"/>
          <w:color w:val="000000"/>
        </w:rPr>
      </w:pPr>
      <w:r>
        <w:rPr>
          <w:rFonts w:hint="eastAsia" w:ascii="宋体" w:hAnsi="宋体" w:cs="宋体"/>
          <w:color w:val="000000"/>
        </w:rPr>
        <w:t>（2）投标人确保对使用方提出的保修等质量信息，投标人应明示售后服务中心地址（地址以投标人营业执照注册地或其他有效证明材料为准）、电话、负责人和服务组织机构，应设置24小时服务热线电话。</w:t>
      </w:r>
    </w:p>
    <w:p>
      <w:pPr>
        <w:pStyle w:val="272"/>
        <w:keepNext w:val="0"/>
        <w:keepLines w:val="0"/>
        <w:pageBreakBefore w:val="0"/>
        <w:kinsoku/>
        <w:wordWrap/>
        <w:overflowPunct/>
        <w:topLinePunct w:val="0"/>
        <w:autoSpaceDE/>
        <w:autoSpaceDN/>
        <w:bidi w:val="0"/>
        <w:adjustRightInd/>
        <w:snapToGrid/>
        <w:spacing w:line="240" w:lineRule="auto"/>
        <w:ind w:right="0" w:rightChars="0"/>
        <w:textAlignment w:val="auto"/>
        <w:rPr>
          <w:rFonts w:hint="eastAsia" w:ascii="宋体" w:hAnsi="宋体" w:cs="宋体"/>
          <w:b/>
          <w:bCs/>
          <w:color w:val="000000"/>
        </w:rPr>
      </w:pPr>
      <w:r>
        <w:rPr>
          <w:rFonts w:hint="eastAsia" w:ascii="宋体" w:hAnsi="宋体" w:cs="宋体"/>
          <w:b/>
          <w:bCs/>
          <w:color w:val="000000"/>
        </w:rPr>
        <w:t>三、交货</w:t>
      </w:r>
      <w:r>
        <w:rPr>
          <w:rFonts w:hint="eastAsia" w:ascii="宋体" w:hAnsi="宋体" w:cs="宋体"/>
          <w:b/>
          <w:bCs/>
          <w:color w:val="000000"/>
          <w:lang w:eastAsia="zh-CN"/>
        </w:rPr>
        <w:t>完工</w:t>
      </w:r>
      <w:r>
        <w:rPr>
          <w:rFonts w:hint="eastAsia" w:ascii="宋体" w:hAnsi="宋体" w:cs="宋体"/>
          <w:b/>
          <w:bCs/>
          <w:color w:val="000000"/>
        </w:rPr>
        <w:t>日期及地点</w:t>
      </w:r>
    </w:p>
    <w:p>
      <w:pPr>
        <w:pStyle w:val="272"/>
        <w:keepNext w:val="0"/>
        <w:keepLines w:val="0"/>
        <w:pageBreakBefore w:val="0"/>
        <w:kinsoku/>
        <w:wordWrap/>
        <w:overflowPunct/>
        <w:topLinePunct w:val="0"/>
        <w:autoSpaceDE/>
        <w:autoSpaceDN/>
        <w:bidi w:val="0"/>
        <w:adjustRightInd/>
        <w:snapToGrid/>
        <w:spacing w:line="240" w:lineRule="auto"/>
        <w:ind w:left="420" w:leftChars="200" w:right="0" w:rightChars="0" w:firstLine="0" w:firstLineChars="0"/>
        <w:textAlignment w:val="auto"/>
        <w:rPr>
          <w:rFonts w:hint="eastAsia" w:ascii="宋体" w:hAnsi="宋体" w:cs="宋体"/>
          <w:color w:val="000000"/>
        </w:rPr>
      </w:pPr>
      <w:r>
        <w:rPr>
          <w:rFonts w:hint="eastAsia" w:ascii="宋体" w:hAnsi="宋体" w:cs="宋体"/>
          <w:color w:val="000000"/>
        </w:rPr>
        <w:t>（1）日期：合同签订生效后</w:t>
      </w:r>
      <w:r>
        <w:rPr>
          <w:rFonts w:hint="eastAsia" w:ascii="宋体" w:hAnsi="宋体" w:cs="宋体"/>
          <w:lang w:val="en-US" w:eastAsia="zh-CN"/>
        </w:rPr>
        <w:t>4</w:t>
      </w:r>
      <w:r>
        <w:rPr>
          <w:rFonts w:hint="eastAsia" w:ascii="宋体" w:hAnsi="宋体" w:cs="宋体"/>
        </w:rPr>
        <w:t>0个日历</w:t>
      </w:r>
      <w:r>
        <w:rPr>
          <w:rFonts w:hint="eastAsia" w:ascii="宋体" w:hAnsi="宋体" w:cs="宋体"/>
          <w:color w:val="000000"/>
        </w:rPr>
        <w:t>日内。</w:t>
      </w:r>
    </w:p>
    <w:p>
      <w:pPr>
        <w:pStyle w:val="272"/>
        <w:keepNext w:val="0"/>
        <w:keepLines w:val="0"/>
        <w:pageBreakBefore w:val="0"/>
        <w:kinsoku/>
        <w:wordWrap/>
        <w:overflowPunct/>
        <w:topLinePunct w:val="0"/>
        <w:autoSpaceDE/>
        <w:autoSpaceDN/>
        <w:bidi w:val="0"/>
        <w:adjustRightInd/>
        <w:snapToGrid/>
        <w:spacing w:line="240" w:lineRule="auto"/>
        <w:ind w:left="420" w:leftChars="200" w:right="0" w:rightChars="0" w:firstLine="0" w:firstLineChars="0"/>
        <w:textAlignment w:val="auto"/>
        <w:rPr>
          <w:rFonts w:hint="eastAsia" w:ascii="宋体" w:hAnsi="宋体" w:cs="宋体"/>
          <w:b/>
          <w:bCs/>
          <w:color w:val="000000"/>
        </w:rPr>
      </w:pPr>
      <w:r>
        <w:rPr>
          <w:rFonts w:hint="eastAsia" w:ascii="宋体" w:hAnsi="宋体" w:cs="宋体"/>
          <w:color w:val="000000"/>
        </w:rPr>
        <w:t>（2）地点：用户指定。</w:t>
      </w:r>
    </w:p>
    <w:p>
      <w:pPr>
        <w:pStyle w:val="272"/>
        <w:keepNext w:val="0"/>
        <w:keepLines w:val="0"/>
        <w:pageBreakBefore w:val="0"/>
        <w:kinsoku/>
        <w:wordWrap/>
        <w:overflowPunct/>
        <w:topLinePunct w:val="0"/>
        <w:autoSpaceDE/>
        <w:autoSpaceDN/>
        <w:bidi w:val="0"/>
        <w:adjustRightInd/>
        <w:snapToGrid/>
        <w:spacing w:line="240" w:lineRule="auto"/>
        <w:ind w:left="420" w:leftChars="200" w:right="0" w:rightChars="0" w:firstLine="0" w:firstLineChars="0"/>
        <w:textAlignment w:val="auto"/>
        <w:rPr>
          <w:rFonts w:hint="eastAsia" w:ascii="宋体" w:hAnsi="宋体" w:cs="宋体"/>
          <w:b/>
          <w:bCs/>
          <w:color w:val="000000"/>
        </w:rPr>
      </w:pPr>
      <w:r>
        <w:rPr>
          <w:rFonts w:hint="eastAsia" w:ascii="宋体" w:hAnsi="宋体" w:cs="宋体"/>
          <w:b/>
          <w:bCs/>
          <w:color w:val="000000"/>
        </w:rPr>
        <w:t>四、验收</w:t>
      </w:r>
    </w:p>
    <w:p>
      <w:pPr>
        <w:pStyle w:val="272"/>
        <w:keepNext w:val="0"/>
        <w:keepLines w:val="0"/>
        <w:pageBreakBefore w:val="0"/>
        <w:kinsoku/>
        <w:wordWrap/>
        <w:overflowPunct/>
        <w:topLinePunct w:val="0"/>
        <w:autoSpaceDE/>
        <w:autoSpaceDN/>
        <w:bidi w:val="0"/>
        <w:adjustRightInd/>
        <w:snapToGrid/>
        <w:spacing w:line="240" w:lineRule="auto"/>
        <w:ind w:left="420" w:leftChars="200" w:right="0" w:rightChars="0" w:firstLine="0" w:firstLineChars="0"/>
        <w:textAlignment w:val="auto"/>
        <w:rPr>
          <w:rFonts w:hint="eastAsia" w:ascii="宋体" w:hAnsi="宋体" w:cs="宋体"/>
          <w:color w:val="000000"/>
        </w:rPr>
      </w:pPr>
      <w:r>
        <w:rPr>
          <w:rFonts w:hint="eastAsia" w:ascii="宋体" w:hAnsi="宋体" w:cs="宋体"/>
          <w:color w:val="000000"/>
        </w:rPr>
        <w:t>全部设备交付使用后并试运行7日之内由用户方组织验收。</w:t>
      </w:r>
    </w:p>
    <w:p>
      <w:pPr>
        <w:pStyle w:val="272"/>
        <w:keepNext w:val="0"/>
        <w:keepLines w:val="0"/>
        <w:pageBreakBefore w:val="0"/>
        <w:kinsoku/>
        <w:wordWrap/>
        <w:overflowPunct/>
        <w:topLinePunct w:val="0"/>
        <w:autoSpaceDE/>
        <w:autoSpaceDN/>
        <w:bidi w:val="0"/>
        <w:adjustRightInd/>
        <w:snapToGrid/>
        <w:spacing w:line="240" w:lineRule="auto"/>
        <w:ind w:left="420" w:leftChars="200" w:right="0" w:rightChars="0" w:firstLine="0" w:firstLineChars="0"/>
        <w:textAlignment w:val="auto"/>
        <w:rPr>
          <w:rFonts w:hint="eastAsia" w:ascii="宋体" w:hAnsi="宋体" w:cs="宋体"/>
          <w:b/>
          <w:bCs/>
          <w:color w:val="000000"/>
        </w:rPr>
      </w:pPr>
      <w:r>
        <w:rPr>
          <w:rFonts w:hint="eastAsia" w:ascii="宋体" w:hAnsi="宋体" w:cs="宋体"/>
          <w:b/>
          <w:bCs/>
          <w:color w:val="000000"/>
        </w:rPr>
        <w:t>五、付款方式</w:t>
      </w:r>
    </w:p>
    <w:p>
      <w:pPr>
        <w:pStyle w:val="272"/>
        <w:keepNext w:val="0"/>
        <w:keepLines w:val="0"/>
        <w:pageBreakBefore w:val="0"/>
        <w:kinsoku/>
        <w:wordWrap/>
        <w:overflowPunct/>
        <w:topLinePunct w:val="0"/>
        <w:autoSpaceDE/>
        <w:autoSpaceDN/>
        <w:bidi w:val="0"/>
        <w:adjustRightInd/>
        <w:snapToGrid/>
        <w:spacing w:line="240" w:lineRule="auto"/>
        <w:ind w:left="420" w:leftChars="200" w:right="0" w:rightChars="0" w:firstLine="0" w:firstLineChars="0"/>
        <w:textAlignment w:val="auto"/>
        <w:rPr>
          <w:rFonts w:hint="eastAsia" w:ascii="宋体" w:hAnsi="宋体" w:cs="宋体"/>
          <w:color w:val="000000"/>
        </w:rPr>
      </w:pPr>
      <w:r>
        <w:rPr>
          <w:rFonts w:hint="eastAsia" w:ascii="宋体" w:hAnsi="宋体" w:cs="宋体"/>
          <w:color w:val="000000"/>
        </w:rPr>
        <w:t>（1）合同签署生效后，由采购方向中标商支付合同总价</w:t>
      </w:r>
      <w:r>
        <w:rPr>
          <w:rFonts w:hint="eastAsia" w:ascii="宋体" w:hAnsi="宋体" w:cs="宋体"/>
        </w:rPr>
        <w:t>50%的货款，同时中标商向采购方支付合同总价5%的履约保证金，自项目验收合格之日</w:t>
      </w:r>
      <w:r>
        <w:rPr>
          <w:rFonts w:hint="eastAsia" w:ascii="宋体" w:hAnsi="宋体" w:cs="宋体"/>
          <w:color w:val="000000"/>
        </w:rPr>
        <w:t>起</w:t>
      </w:r>
      <w:r>
        <w:rPr>
          <w:rFonts w:hint="eastAsia" w:ascii="宋体" w:hAnsi="宋体" w:cs="宋体"/>
          <w:color w:val="000000"/>
          <w:lang w:val="en-US" w:eastAsia="zh-CN"/>
        </w:rPr>
        <w:t>1</w:t>
      </w:r>
      <w:r>
        <w:rPr>
          <w:rFonts w:hint="eastAsia" w:ascii="宋体" w:hAnsi="宋体" w:cs="宋体"/>
          <w:color w:val="000000"/>
        </w:rPr>
        <w:t>年后无息退还。</w:t>
      </w:r>
    </w:p>
    <w:p>
      <w:pPr>
        <w:pStyle w:val="272"/>
        <w:keepNext w:val="0"/>
        <w:keepLines w:val="0"/>
        <w:pageBreakBefore w:val="0"/>
        <w:kinsoku/>
        <w:wordWrap/>
        <w:overflowPunct/>
        <w:topLinePunct w:val="0"/>
        <w:autoSpaceDE/>
        <w:autoSpaceDN/>
        <w:bidi w:val="0"/>
        <w:adjustRightInd/>
        <w:snapToGrid/>
        <w:spacing w:line="240" w:lineRule="auto"/>
        <w:ind w:left="420" w:leftChars="200" w:right="0" w:rightChars="0" w:firstLine="0" w:firstLineChars="0"/>
        <w:textAlignment w:val="auto"/>
        <w:rPr>
          <w:rFonts w:hint="eastAsia" w:ascii="宋体" w:hAnsi="宋体" w:cs="宋体"/>
          <w:color w:val="000000"/>
        </w:rPr>
      </w:pPr>
      <w:r>
        <w:rPr>
          <w:rFonts w:hint="eastAsia" w:ascii="宋体" w:hAnsi="宋体" w:cs="宋体"/>
          <w:color w:val="000000"/>
        </w:rPr>
        <w:t>（2）中标商将货物送达合同指定地点并安装调试完毕验收合格后，由采购方向中标商支付合同总价50%的货款（具体支付日期以财政资金到账时间为准）。</w:t>
      </w:r>
    </w:p>
    <w:p>
      <w:pPr>
        <w:pStyle w:val="272"/>
        <w:keepNext w:val="0"/>
        <w:keepLines w:val="0"/>
        <w:pageBreakBefore w:val="0"/>
        <w:kinsoku/>
        <w:wordWrap/>
        <w:overflowPunct/>
        <w:topLinePunct w:val="0"/>
        <w:autoSpaceDE/>
        <w:autoSpaceDN/>
        <w:bidi w:val="0"/>
        <w:adjustRightInd/>
        <w:snapToGrid/>
        <w:spacing w:line="240" w:lineRule="auto"/>
        <w:ind w:left="420" w:leftChars="200" w:right="0" w:rightChars="0" w:firstLine="0" w:firstLineChars="0"/>
        <w:textAlignment w:val="auto"/>
        <w:rPr>
          <w:rFonts w:hint="eastAsia" w:ascii="宋体" w:hAnsi="宋体" w:cs="宋体"/>
          <w:b/>
          <w:bCs/>
          <w:color w:val="000000"/>
        </w:rPr>
      </w:pPr>
      <w:r>
        <w:rPr>
          <w:rFonts w:hint="eastAsia" w:ascii="宋体" w:hAnsi="宋体" w:cs="宋体"/>
          <w:b/>
          <w:bCs/>
          <w:color w:val="000000"/>
          <w:lang w:eastAsia="zh-CN"/>
        </w:rPr>
        <w:t>六</w:t>
      </w:r>
      <w:r>
        <w:rPr>
          <w:rFonts w:hint="eastAsia" w:ascii="宋体" w:hAnsi="宋体" w:cs="宋体"/>
          <w:b/>
          <w:bCs/>
          <w:color w:val="000000"/>
        </w:rPr>
        <w:t>、总体要求</w:t>
      </w:r>
    </w:p>
    <w:p>
      <w:pPr>
        <w:pStyle w:val="272"/>
        <w:keepNext w:val="0"/>
        <w:keepLines w:val="0"/>
        <w:pageBreakBefore w:val="0"/>
        <w:kinsoku/>
        <w:wordWrap/>
        <w:overflowPunct/>
        <w:topLinePunct w:val="0"/>
        <w:autoSpaceDE/>
        <w:autoSpaceDN/>
        <w:bidi w:val="0"/>
        <w:adjustRightInd/>
        <w:snapToGrid/>
        <w:spacing w:line="240" w:lineRule="auto"/>
        <w:ind w:left="420" w:leftChars="200" w:right="0" w:rightChars="0" w:firstLine="0" w:firstLineChars="0"/>
        <w:textAlignment w:val="auto"/>
        <w:outlineLvl w:val="9"/>
        <w:rPr>
          <w:rFonts w:hint="eastAsia" w:ascii="宋体" w:hAnsi="宋体" w:eastAsia="宋体" w:cs="宋体"/>
          <w:color w:val="000000"/>
        </w:rPr>
      </w:pPr>
      <w:r>
        <w:rPr>
          <w:rFonts w:hint="eastAsia" w:ascii="宋体" w:hAnsi="宋体" w:eastAsia="宋体" w:cs="宋体"/>
          <w:color w:val="000000"/>
        </w:rPr>
        <w:t>1.投标人所投产品应为满足、相当于或者高于本招标文件要求的货物。</w:t>
      </w:r>
    </w:p>
    <w:p>
      <w:pPr>
        <w:pStyle w:val="2"/>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color w:val="000000"/>
        </w:rPr>
      </w:pPr>
      <w:r>
        <w:rPr>
          <w:rFonts w:hint="eastAsia" w:ascii="宋体" w:hAnsi="宋体" w:eastAsia="宋体" w:cs="宋体"/>
          <w:color w:val="000000"/>
        </w:rPr>
        <w:t>2.软硬件设备需具备可靠性、安全性，符合国家和相关行业标准。</w:t>
      </w:r>
    </w:p>
    <w:p>
      <w:pPr>
        <w:pStyle w:val="2"/>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本项目不接受进口产品的投标。</w:t>
      </w:r>
    </w:p>
    <w:p>
      <w:pPr>
        <w:pStyle w:val="2"/>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4"/>
          <w:szCs w:val="24"/>
          <w:lang w:eastAsia="zh-CN"/>
        </w:rPr>
      </w:pPr>
      <w:r>
        <w:rPr>
          <w:rFonts w:hint="eastAsia" w:ascii="宋体" w:hAnsi="宋体" w:eastAsia="宋体" w:cs="宋体"/>
          <w:color w:val="000000"/>
          <w:lang w:val="en-US" w:eastAsia="zh-CN"/>
        </w:rPr>
        <w:t>4.本项目核心产品详见</w:t>
      </w:r>
      <w:r>
        <w:rPr>
          <w:rFonts w:hint="eastAsia" w:ascii="宋体" w:hAnsi="宋体" w:eastAsia="宋体" w:cs="宋体"/>
          <w:sz w:val="24"/>
          <w:szCs w:val="24"/>
        </w:rPr>
        <w:t>投标人须知资料表</w:t>
      </w:r>
      <w:r>
        <w:rPr>
          <w:rFonts w:hint="eastAsia" w:ascii="宋体" w:hAnsi="宋体" w:eastAsia="宋体" w:cs="宋体"/>
          <w:sz w:val="24"/>
          <w:szCs w:val="24"/>
          <w:lang w:eastAsia="zh-CN"/>
        </w:rPr>
        <w:t>或需求清单。</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4"/>
          <w:szCs w:val="24"/>
          <w:lang w:val="en-US" w:eastAsia="zh-CN"/>
        </w:rPr>
      </w:pPr>
    </w:p>
    <w:p>
      <w:pPr>
        <w:numPr>
          <w:ilvl w:val="0"/>
          <w:numId w:val="0"/>
        </w:numPr>
        <w:spacing w:line="360" w:lineRule="auto"/>
        <w:jc w:val="center"/>
        <w:rPr>
          <w:rFonts w:hint="eastAsia" w:ascii="宋体" w:hAnsi="宋体" w:cs="宋体"/>
          <w:b/>
          <w:sz w:val="36"/>
          <w:szCs w:val="36"/>
        </w:rPr>
      </w:pPr>
      <w:bookmarkStart w:id="775" w:name="_Toc26892"/>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r>
        <w:rPr>
          <w:rFonts w:hint="eastAsia" w:ascii="宋体" w:hAnsi="宋体" w:cs="宋体"/>
          <w:b/>
          <w:sz w:val="36"/>
          <w:szCs w:val="36"/>
        </w:rPr>
        <w:t>第六章   拟签订的合同文本</w:t>
      </w:r>
      <w:bookmarkEnd w:id="775"/>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ind w:firstLine="720" w:firstLineChars="300"/>
        <w:rPr>
          <w:rFonts w:hint="eastAsia" w:ascii="宋体" w:hAnsi="宋体" w:cs="宋体"/>
          <w:color w:val="000000"/>
          <w:sz w:val="24"/>
        </w:rPr>
      </w:pP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b/>
          <w:bCs/>
          <w:sz w:val="44"/>
        </w:rPr>
      </w:pPr>
      <w:bookmarkStart w:id="776" w:name="_Toc27509"/>
      <w:r>
        <w:rPr>
          <w:rFonts w:hint="eastAsia" w:ascii="宋体"/>
          <w:color w:val="000000" w:themeColor="text1"/>
          <w:sz w:val="28"/>
          <w14:textFill>
            <w14:solidFill>
              <w14:schemeClr w14:val="tx1"/>
            </w14:solidFill>
          </w14:textFill>
        </w:rPr>
        <w:t xml:space="preserve">       </w:t>
      </w:r>
      <w:r>
        <w:rPr>
          <w:rFonts w:hint="eastAsia" w:ascii="宋体" w:hAnsi="宋体"/>
          <w:kern w:val="44"/>
          <w:sz w:val="28"/>
          <w:szCs w:val="28"/>
        </w:rPr>
        <w:t xml:space="preserve"> </w:t>
      </w:r>
      <w:r>
        <w:rPr>
          <w:rFonts w:hint="eastAsia" w:ascii="宋体" w:hAnsi="宋体"/>
          <w:b/>
          <w:bCs/>
          <w:sz w:val="44"/>
        </w:rPr>
        <w:t>政府采购合同（货物类）</w:t>
      </w: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rPr>
      </w:pPr>
      <w:r>
        <w:rPr>
          <w:rFonts w:hint="eastAsia" w:ascii="宋体" w:hAnsi="宋体"/>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5938" w:leftChars="-200" w:hanging="6358" w:hangingChars="3028"/>
        <w:jc w:val="right"/>
        <w:textAlignment w:val="auto"/>
        <w:outlineLvl w:val="9"/>
        <w:rPr>
          <w:rFonts w:hint="eastAsia" w:ascii="宋体" w:hAnsi="宋体"/>
          <w:sz w:val="28"/>
          <w:szCs w:val="28"/>
        </w:rPr>
      </w:pPr>
      <w:r>
        <w:rPr>
          <w:rFonts w:hint="eastAsia" w:ascii="宋体" w:hAnsi="宋体"/>
        </w:rPr>
        <w:t xml:space="preserve">                                                            </w:t>
      </w:r>
      <w:r>
        <w:rPr>
          <w:rFonts w:hint="eastAsia" w:ascii="宋体" w:hAnsi="宋体"/>
          <w:sz w:val="28"/>
          <w:szCs w:val="28"/>
        </w:rPr>
        <w:t>采购中心已备案</w:t>
      </w:r>
      <w:r>
        <w:rPr>
          <w:rFonts w:hint="eastAsia" w:ascii="宋体" w:hAnsi="宋体"/>
        </w:rPr>
        <w:t xml:space="preserve">                                                     </w:t>
      </w:r>
      <w:r>
        <w:rPr>
          <w:rFonts w:hint="eastAsia" w:ascii="宋体" w:hAnsi="宋体"/>
          <w:sz w:val="28"/>
          <w:szCs w:val="28"/>
        </w:rPr>
        <w:t>年  月</w:t>
      </w:r>
      <w:r>
        <w:rPr>
          <w:rFonts w:hint="eastAsia" w:ascii="宋体" w:hAnsi="宋体"/>
          <w:color w:val="FF0000"/>
          <w:sz w:val="28"/>
          <w:szCs w:val="28"/>
        </w:rPr>
        <w:t xml:space="preserve">  </w:t>
      </w:r>
      <w:r>
        <w:rPr>
          <w:rFonts w:hint="eastAsia" w:ascii="宋体" w:hAnsi="宋体"/>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项目编号</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Cs/>
          <w:sz w:val="30"/>
          <w:szCs w:val="30"/>
        </w:rPr>
      </w:pPr>
      <w:r>
        <w:rPr>
          <w:rFonts w:hint="eastAsia" w:ascii="宋体" w:hAnsi="宋体"/>
          <w:sz w:val="30"/>
          <w:szCs w:val="30"/>
        </w:rPr>
        <w:t>合同编号：</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500" w:hanging="1500" w:hangingChars="500"/>
        <w:textAlignment w:val="auto"/>
        <w:outlineLvl w:val="9"/>
        <w:rPr>
          <w:rFonts w:hint="eastAsia" w:ascii="宋体" w:hAnsi="宋体"/>
          <w:sz w:val="30"/>
          <w:szCs w:val="30"/>
        </w:rPr>
      </w:pPr>
      <w:r>
        <w:rPr>
          <w:rFonts w:hint="eastAsia" w:ascii="宋体" w:hAnsi="宋体"/>
          <w:sz w:val="30"/>
        </w:rPr>
        <w:t>项目名称：</w:t>
      </w:r>
      <w:r>
        <w:rPr>
          <w:rFonts w:hint="eastAsia" w:ascii="宋体" w:hAnsi="宋体"/>
          <w:sz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500" w:right="-334" w:rightChars="-159" w:hanging="1500" w:hangingChars="500"/>
        <w:textAlignment w:val="auto"/>
        <w:outlineLvl w:val="9"/>
        <w:rPr>
          <w:rFonts w:hint="eastAsia" w:ascii="宋体" w:hAnsi="宋体"/>
          <w:sz w:val="30"/>
          <w:szCs w:val="30"/>
        </w:rPr>
      </w:pPr>
      <w:r>
        <w:rPr>
          <w:rFonts w:hint="eastAsia" w:ascii="宋体" w:hAnsi="宋体"/>
          <w:sz w:val="30"/>
        </w:rPr>
        <w:t>货物名称</w:t>
      </w:r>
      <w:r>
        <w:rPr>
          <w:rFonts w:hint="eastAsia" w:ascii="宋体" w:hAnsi="宋体"/>
          <w:b/>
          <w:bCs/>
          <w:sz w:val="30"/>
          <w:szCs w:val="30"/>
        </w:rPr>
        <w:t>：</w:t>
      </w:r>
      <w:r>
        <w:rPr>
          <w:rFonts w:hint="eastAsia" w:ascii="宋体" w:hAnsi="宋体"/>
          <w:b/>
          <w:bCs/>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甲    方：</w:t>
      </w:r>
      <w:r>
        <w:rPr>
          <w:rFonts w:hint="eastAsia" w:ascii="宋体" w:hAnsi="宋体"/>
          <w:sz w:val="30"/>
          <w:u w:val="single"/>
        </w:rPr>
        <w:t xml:space="preserve">                             </w:t>
      </w:r>
      <w:r>
        <w:rPr>
          <w:rFonts w:hint="eastAsia" w:ascii="宋体" w:hAnsi="宋体"/>
          <w:sz w:val="30"/>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u w:val="singl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乙</w:t>
      </w:r>
      <w:r>
        <w:rPr>
          <w:rFonts w:hint="eastAsia" w:ascii="宋体" w:hAnsi="宋体"/>
          <w:sz w:val="30"/>
        </w:rPr>
        <w:tab/>
      </w:r>
      <w:r>
        <w:rPr>
          <w:rFonts w:hint="eastAsia" w:ascii="宋体" w:hAnsi="宋体"/>
          <w:sz w:val="30"/>
        </w:rPr>
        <w:t xml:space="preserve">   方</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r>
        <w:rPr>
          <w:rFonts w:hint="eastAsia" w:ascii="宋体" w:hAnsi="宋体"/>
          <w:sz w:val="30"/>
        </w:rPr>
        <w:t xml:space="preserve">签署日期：   年  月 </w:t>
      </w:r>
      <w:r>
        <w:rPr>
          <w:rFonts w:hint="eastAsia" w:ascii="宋体" w:hAnsi="宋体"/>
          <w:color w:val="FF0000"/>
          <w:sz w:val="30"/>
        </w:rPr>
        <w:t xml:space="preserve"> </w:t>
      </w:r>
      <w:r>
        <w:rPr>
          <w:rFonts w:hint="eastAsia" w:ascii="宋体" w:hAnsi="宋体"/>
          <w:sz w:val="30"/>
        </w:rPr>
        <w:t>日</w:t>
      </w:r>
    </w:p>
    <w:p>
      <w:pPr>
        <w:spacing w:line="360" w:lineRule="auto"/>
        <w:jc w:val="center"/>
        <w:rPr>
          <w:rFonts w:hint="eastAsia" w:ascii="宋体" w:hAnsi="宋体" w:cs="宋体"/>
          <w:b/>
          <w:bCs/>
          <w:szCs w:val="24"/>
        </w:rPr>
      </w:pPr>
    </w:p>
    <w:p>
      <w:pPr>
        <w:spacing w:line="360" w:lineRule="auto"/>
        <w:jc w:val="center"/>
        <w:rPr>
          <w:rFonts w:hint="eastAsia" w:ascii="宋体" w:hAnsi="宋体" w:cs="宋体"/>
          <w:b/>
          <w:bCs/>
          <w:szCs w:val="24"/>
        </w:rPr>
      </w:pPr>
    </w:p>
    <w:p>
      <w:pPr>
        <w:pStyle w:val="2"/>
        <w:rPr>
          <w:rFonts w:hint="eastAsia" w:ascii="宋体" w:hAnsi="宋体" w:cs="宋体"/>
          <w:b/>
          <w:bCs/>
          <w:szCs w:val="24"/>
        </w:rPr>
      </w:pPr>
    </w:p>
    <w:p>
      <w:pPr>
        <w:pStyle w:val="2"/>
        <w:rPr>
          <w:rFonts w:hint="eastAsia" w:ascii="宋体" w:hAnsi="宋体" w:cs="宋体"/>
          <w:b/>
          <w:bCs/>
          <w:szCs w:val="24"/>
        </w:rPr>
      </w:pPr>
    </w:p>
    <w:p>
      <w:pPr>
        <w:pStyle w:val="2"/>
        <w:rPr>
          <w:rFonts w:hint="eastAsia" w:ascii="宋体" w:hAnsi="宋体" w:cs="宋体"/>
          <w:b/>
          <w:bCs/>
          <w:szCs w:val="24"/>
        </w:rPr>
      </w:pPr>
    </w:p>
    <w:p>
      <w:pPr>
        <w:spacing w:line="360" w:lineRule="auto"/>
        <w:jc w:val="center"/>
        <w:rPr>
          <w:rFonts w:hint="eastAsia" w:ascii="宋体" w:hAnsi="宋体" w:cs="宋体"/>
          <w:b/>
          <w:bCs/>
          <w:szCs w:val="24"/>
        </w:rPr>
      </w:pPr>
      <w:r>
        <w:rPr>
          <w:rFonts w:hint="eastAsia" w:ascii="宋体" w:hAnsi="宋体" w:cs="宋体"/>
          <w:b/>
          <w:bCs/>
          <w:szCs w:val="24"/>
        </w:rPr>
        <w:t>合   同  书</w:t>
      </w:r>
    </w:p>
    <w:p>
      <w:pPr>
        <w:spacing w:line="360" w:lineRule="auto"/>
        <w:ind w:left="19" w:leftChars="9" w:firstLine="716" w:firstLineChars="341"/>
        <w:rPr>
          <w:rFonts w:hint="eastAsia" w:ascii="宋体" w:hAnsi="宋体" w:cs="宋体"/>
          <w:szCs w:val="24"/>
        </w:rPr>
      </w:pPr>
      <w:r>
        <w:rPr>
          <w:rFonts w:hint="eastAsia" w:ascii="宋体" w:hAnsi="宋体" w:cs="宋体"/>
          <w:bCs/>
          <w:szCs w:val="24"/>
          <w:u w:val="single"/>
        </w:rPr>
        <w:t xml:space="preserve">  （甲方）   </w:t>
      </w:r>
      <w:r>
        <w:rPr>
          <w:rFonts w:hint="eastAsia" w:ascii="宋体" w:hAnsi="宋体" w:cs="宋体"/>
          <w:szCs w:val="24"/>
        </w:rPr>
        <w:t>在</w:t>
      </w:r>
      <w:r>
        <w:rPr>
          <w:rFonts w:hint="eastAsia" w:ascii="宋体" w:hAnsi="宋体" w:cs="宋体"/>
          <w:bCs/>
          <w:szCs w:val="24"/>
          <w:u w:val="single"/>
        </w:rPr>
        <w:t xml:space="preserve">   （项目名称）  </w:t>
      </w:r>
      <w:r>
        <w:rPr>
          <w:rFonts w:hint="eastAsia" w:ascii="宋体" w:hAnsi="宋体" w:cs="宋体"/>
          <w:szCs w:val="24"/>
        </w:rPr>
        <w:t>中所需</w:t>
      </w:r>
      <w:r>
        <w:rPr>
          <w:rFonts w:hint="eastAsia" w:ascii="宋体" w:hAnsi="宋体" w:cs="宋体"/>
          <w:bCs/>
          <w:szCs w:val="24"/>
          <w:u w:val="single"/>
        </w:rPr>
        <w:t>（货物名称）</w:t>
      </w:r>
      <w:r>
        <w:rPr>
          <w:rFonts w:hint="eastAsia" w:ascii="宋体" w:hAnsi="宋体" w:cs="宋体"/>
          <w:szCs w:val="24"/>
        </w:rPr>
        <w:t>经北京市石景山区政府采购中心以</w:t>
      </w:r>
      <w:r>
        <w:rPr>
          <w:rFonts w:hint="eastAsia" w:ascii="宋体" w:hAnsi="宋体" w:cs="宋体"/>
          <w:szCs w:val="24"/>
          <w:u w:val="single"/>
        </w:rPr>
        <w:t xml:space="preserve"> （项目编号）号</w:t>
      </w:r>
      <w:r>
        <w:rPr>
          <w:rFonts w:hint="eastAsia" w:ascii="宋体" w:hAnsi="宋体" w:cs="宋体"/>
          <w:szCs w:val="24"/>
        </w:rPr>
        <w:t>招标文件在国内公开招标。经评标委员会评定</w:t>
      </w:r>
      <w:r>
        <w:rPr>
          <w:rFonts w:hint="eastAsia" w:ascii="宋体" w:hAnsi="宋体" w:cs="宋体"/>
          <w:szCs w:val="24"/>
          <w:u w:val="single"/>
        </w:rPr>
        <w:t xml:space="preserve">  （乙方）  </w:t>
      </w:r>
      <w:r>
        <w:rPr>
          <w:rFonts w:hint="eastAsia" w:ascii="宋体" w:hAnsi="宋体" w:cs="宋体"/>
          <w:szCs w:val="24"/>
        </w:rPr>
        <w:t>为中标人。甲、乙双方同意按照下面的条款和条件，签署本合同。</w:t>
      </w:r>
    </w:p>
    <w:p>
      <w:pPr>
        <w:spacing w:line="360" w:lineRule="auto"/>
        <w:ind w:left="359" w:leftChars="171" w:firstLine="420" w:firstLineChars="200"/>
        <w:rPr>
          <w:rFonts w:hint="eastAsia" w:ascii="宋体" w:hAnsi="宋体" w:cs="宋体"/>
          <w:szCs w:val="24"/>
        </w:rPr>
      </w:pPr>
    </w:p>
    <w:p>
      <w:pPr>
        <w:numPr>
          <w:ilvl w:val="0"/>
          <w:numId w:val="18"/>
        </w:numPr>
        <w:spacing w:line="360" w:lineRule="auto"/>
        <w:ind w:firstLine="420" w:firstLineChars="200"/>
        <w:rPr>
          <w:rFonts w:hint="eastAsia" w:ascii="宋体" w:hAnsi="宋体" w:cs="宋体"/>
          <w:szCs w:val="24"/>
        </w:rPr>
      </w:pPr>
      <w:r>
        <w:rPr>
          <w:rFonts w:hint="eastAsia" w:ascii="宋体" w:hAnsi="宋体" w:cs="宋体"/>
          <w:szCs w:val="24"/>
        </w:rPr>
        <w:t>合同文件：下列文件构成本合同的组成部分，应该认为是一个整体，彼此相互解释，相互补充。为便于解释，组成合同的多个文件的优先支配地位的次序如下：</w:t>
      </w:r>
    </w:p>
    <w:p>
      <w:pPr>
        <w:spacing w:line="360" w:lineRule="auto"/>
        <w:ind w:firstLine="420" w:firstLineChars="200"/>
        <w:rPr>
          <w:rFonts w:hint="eastAsia" w:ascii="宋体" w:hAnsi="宋体" w:cs="宋体"/>
          <w:szCs w:val="24"/>
        </w:rPr>
      </w:pPr>
      <w:r>
        <w:rPr>
          <w:rFonts w:hint="eastAsia" w:ascii="宋体" w:hAnsi="宋体" w:cs="宋体"/>
          <w:szCs w:val="24"/>
        </w:rPr>
        <w:t>1、本合同书</w:t>
      </w:r>
    </w:p>
    <w:p>
      <w:pPr>
        <w:spacing w:line="360" w:lineRule="auto"/>
        <w:ind w:firstLine="420" w:firstLineChars="200"/>
        <w:rPr>
          <w:rFonts w:hint="eastAsia" w:ascii="宋体" w:hAnsi="宋体" w:cs="宋体"/>
          <w:szCs w:val="24"/>
        </w:rPr>
      </w:pPr>
      <w:r>
        <w:rPr>
          <w:rFonts w:hint="eastAsia" w:ascii="宋体" w:hAnsi="宋体" w:cs="宋体"/>
          <w:szCs w:val="24"/>
        </w:rPr>
        <w:t>2、中标通知书</w:t>
      </w:r>
    </w:p>
    <w:p>
      <w:pPr>
        <w:spacing w:line="360" w:lineRule="auto"/>
        <w:ind w:firstLine="420" w:firstLineChars="200"/>
        <w:rPr>
          <w:rFonts w:hint="eastAsia" w:ascii="宋体" w:hAnsi="宋体" w:cs="宋体"/>
          <w:szCs w:val="24"/>
        </w:rPr>
      </w:pPr>
      <w:r>
        <w:rPr>
          <w:rFonts w:hint="eastAsia" w:ascii="宋体" w:hAnsi="宋体" w:cs="宋体"/>
          <w:szCs w:val="24"/>
        </w:rPr>
        <w:t>3、补充协议</w:t>
      </w:r>
    </w:p>
    <w:p>
      <w:pPr>
        <w:spacing w:line="360" w:lineRule="auto"/>
        <w:ind w:firstLine="420" w:firstLineChars="200"/>
        <w:rPr>
          <w:rFonts w:hint="eastAsia" w:ascii="宋体" w:hAnsi="宋体" w:cs="宋体"/>
          <w:szCs w:val="24"/>
        </w:rPr>
      </w:pPr>
      <w:r>
        <w:rPr>
          <w:rFonts w:hint="eastAsia" w:ascii="宋体" w:hAnsi="宋体" w:cs="宋体"/>
          <w:szCs w:val="24"/>
        </w:rPr>
        <w:t>4、投标文件       （含澄清文件）</w:t>
      </w:r>
    </w:p>
    <w:p>
      <w:pPr>
        <w:spacing w:line="360" w:lineRule="auto"/>
        <w:ind w:firstLine="420" w:firstLineChars="200"/>
        <w:rPr>
          <w:rFonts w:hint="eastAsia" w:ascii="宋体" w:hAnsi="宋体" w:cs="宋体"/>
          <w:szCs w:val="24"/>
        </w:rPr>
      </w:pPr>
      <w:r>
        <w:rPr>
          <w:rFonts w:hint="eastAsia" w:ascii="宋体" w:hAnsi="宋体" w:cs="宋体"/>
          <w:szCs w:val="24"/>
        </w:rPr>
        <w:t>5、招标文件       （含招标文件补充通知）</w:t>
      </w:r>
    </w:p>
    <w:p>
      <w:pPr>
        <w:spacing w:line="360" w:lineRule="auto"/>
        <w:ind w:firstLine="420" w:firstLineChars="200"/>
        <w:rPr>
          <w:rFonts w:hint="eastAsia" w:ascii="宋体" w:hAnsi="宋体" w:cs="宋体"/>
          <w:szCs w:val="24"/>
        </w:rPr>
      </w:pPr>
      <w:r>
        <w:rPr>
          <w:rFonts w:hint="eastAsia" w:ascii="宋体" w:hAnsi="宋体" w:cs="宋体"/>
          <w:szCs w:val="24"/>
        </w:rPr>
        <w:t>6、货物清单       （附合同后）</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二、定义：本合同中的下列术语应解释为：</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1、“合同”系指甲乙双方签署的,合同格式中载明双方所达成的协议,包括构成合同的所有的附件、附录和构成合同的所有文件。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2、“合同价”系指根据合同规定,在乙方正确、完全履行合同义务后，甲方应付的价格。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3、“货物”系指乙方根据合同规定须向甲方提供的所有硬件设备、安装调试、技术资料及其它材料。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4、“服务”系指根据合同规定乙方承担与供货有关的辅助服务,如送货、安装、调试、维修、提供技术援助、培训和其它类似的义务。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三、采购货物及数量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货物名称： </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u w:val="single"/>
        </w:rPr>
      </w:pPr>
      <w:r>
        <w:rPr>
          <w:rFonts w:hint="eastAsia" w:ascii="宋体" w:hAnsi="宋体" w:cs="宋体"/>
          <w:szCs w:val="24"/>
        </w:rPr>
        <w:t xml:space="preserve">    采购数量： </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价格：</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四、技术规格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1、乙方提供的货物的技术规格、功能结构等应与其投标文件中的相关内容及技术资料等相关内容一致。</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2、当所供货物、价格、服务等与投标文件不一致时,</w:t>
      </w:r>
      <w:r>
        <w:rPr>
          <w:rFonts w:hint="eastAsia" w:ascii="宋体" w:hAnsi="宋体" w:cs="宋体"/>
          <w:color w:val="000000"/>
          <w:szCs w:val="24"/>
        </w:rPr>
        <w:t>乙方</w:t>
      </w:r>
      <w:r>
        <w:rPr>
          <w:rFonts w:hint="eastAsia" w:ascii="宋体" w:hAnsi="宋体" w:cs="宋体"/>
          <w:szCs w:val="24"/>
        </w:rPr>
        <w:t>应提出书面申请。</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3、乙方承诺投标文件中有关技术资料的正偏离参数具有向下指标的兼容性。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五、权利保证</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1、乙方应保证对其提供的货物拥有合法的所有权。</w:t>
      </w:r>
      <w:r>
        <w:rPr>
          <w:rFonts w:hint="eastAsia" w:ascii="宋体" w:hAnsi="宋体" w:cs="宋体"/>
          <w:color w:val="000000"/>
          <w:szCs w:val="24"/>
        </w:rPr>
        <w:t>若乙</w:t>
      </w:r>
      <w:r>
        <w:rPr>
          <w:rFonts w:hint="eastAsia" w:ascii="宋体" w:hAnsi="宋体" w:cs="宋体"/>
          <w:szCs w:val="24"/>
        </w:rPr>
        <w:t>方所交货物包含任何知识产权，乙方应保证不侵犯任何第三方的知识产权。对乙方所交货物引起的任何所有权、知识产权纠纷，乙方应以自己的费用解决，同时乙方要赔偿甲方因此而遭受的经济损失（包括但不限于法院诉讼的费用、律师费、损害赔偿费、罚款等）。</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w:t>
      </w:r>
      <w:r>
        <w:rPr>
          <w:rFonts w:hint="eastAsia" w:ascii="宋体" w:hAnsi="宋体" w:cs="宋体"/>
          <w:color w:val="000000"/>
          <w:szCs w:val="24"/>
        </w:rPr>
        <w:t>乙方保证在货物上不存在其他任何第三人的担保物权。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3、乙方保证货物不侵犯任何第三人的姓名权、名称权、肖像权、荣誉权等人身权。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4、如上所述的诉讼或其他法律程序禁止甲方使用货物，乙方应赔偿甲方因此而受到的损失。对于甲方购买的货物，乙方应当：</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1）自付费用向销售人取得使用货物的许可。</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2）自负风险及费用将货物运回并退回甲方已支付的货款。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六、供货时间及包装要求</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1、供货时间自合同签订之日起不超过</w:t>
      </w:r>
      <w:r>
        <w:rPr>
          <w:rFonts w:hint="eastAsia" w:ascii="宋体" w:hAnsi="宋体" w:cs="宋体"/>
          <w:szCs w:val="24"/>
          <w:u w:val="single"/>
        </w:rPr>
        <w:t xml:space="preserve">   </w:t>
      </w:r>
      <w:r>
        <w:rPr>
          <w:rFonts w:hint="eastAsia" w:ascii="宋体" w:hAnsi="宋体" w:cs="宋体"/>
          <w:szCs w:val="24"/>
        </w:rPr>
        <w:t>个日历日。供货商应将本批全部货物运抵甲方指定的使用单位并完成安装调试投入使用。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2、乙方提供的全部货物均应采用标准保护措施进行包装，确保货物安全无损运抵现场。由于包装、运输、安装、调试等不善所引起的货物损坏和损失均由乙方承担。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3、每件包装箱内应附一份详细装箱单、使用说明书、质量合格证等相关资料。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七、装运条件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1、乙方负责安排运输工具,运输过程中涉及的全部费用均由乙方承担。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2、乙方将全部货物运抵使用单位指定地点并完成安装调试工作后，乙方完成交付。</w:t>
      </w:r>
    </w:p>
    <w:p>
      <w:pPr>
        <w:spacing w:line="360" w:lineRule="auto"/>
        <w:ind w:right="99" w:rightChars="47" w:firstLine="417" w:firstLineChars="199"/>
        <w:rPr>
          <w:rFonts w:hint="eastAsia" w:ascii="宋体" w:hAnsi="宋体" w:cs="宋体"/>
          <w:color w:val="FF9900"/>
          <w:szCs w:val="24"/>
        </w:rPr>
      </w:pPr>
      <w:r>
        <w:rPr>
          <w:rFonts w:hint="eastAsia" w:ascii="宋体" w:hAnsi="宋体" w:cs="宋体"/>
          <w:szCs w:val="24"/>
        </w:rPr>
        <w:t>八、货款支付：</w:t>
      </w:r>
    </w:p>
    <w:p>
      <w:pPr>
        <w:spacing w:line="560" w:lineRule="exact"/>
        <w:ind w:firstLine="480"/>
        <w:rPr>
          <w:rFonts w:hint="eastAsia" w:ascii="宋体" w:hAnsi="宋体"/>
        </w:rPr>
      </w:pPr>
      <w:r>
        <w:rPr>
          <w:rFonts w:hint="eastAsia" w:ascii="宋体" w:hAnsi="宋体"/>
        </w:rPr>
        <w:t>本合同的付款方式为：</w:t>
      </w:r>
    </w:p>
    <w:p>
      <w:pPr>
        <w:spacing w:line="560" w:lineRule="exact"/>
        <w:ind w:firstLine="480"/>
        <w:rPr>
          <w:rFonts w:hint="eastAsia" w:ascii="宋体" w:hAnsi="宋体" w:cs="宋体"/>
          <w:szCs w:val="24"/>
        </w:rPr>
      </w:pPr>
      <w:r>
        <w:rPr>
          <w:rFonts w:hint="eastAsia" w:ascii="宋体" w:hAnsi="宋体" w:cs="宋体"/>
          <w:szCs w:val="24"/>
        </w:rPr>
        <w:t xml:space="preserve">1、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九、技术资料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1、交货时，乙方应将货物的完整技术资料、保修单和售后服务承诺书等材料交给甲方指定单位，技术资料、保修单和售后服务承诺书应该与投标文件相一致。以上材料构成乙方是否正确履行合同的依据之一。</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2、甲方因使用、维修需要，有翻译成其它文字和复印的权利。</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十、质量保证</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应保证货物是全新、未使用的合格产品，并完全符合合同规定的质量、规格和性能等要求。乙方应保证所提供的货物经正确安装调试、正常使用和在使用寿命期内应具有满意的性能。在货物最终验收后的质量保证期之内，乙方应对由于设计、工艺或材料的缺陷而产生的任何不足或故障负责，费用由乙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2、本合同涉及货物的质量保证以招标文件为准。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3、本合同涉及货物的质量保证期以投标书中“保修和售后服务承诺书”为准。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4、若乙方违反上述担保，货物被禁止使用，乙方应自负风险和费用将货物收回，退还甲方已支付的货款。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十一、保修和售后服务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1、乙方负责设备的免费送货。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2、质量保证期内设备（包括易损件）出现故障，乙方应在投标文件中承诺响应时间内免费上门服务并免费更换损坏的部件。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3、质量保证期后，维修调试、更换配件等只收取成本费。</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4、如果乙方在收到报修通知后在投标文件承诺的时间内没有维修或弥补缺陷,甲方可采取必要的补救措施,但风险和费用将由乙方承担。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5、设备售出后乙方应用多种方式定期进行回访。</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6、乙方应兑现投标文件中“质量保证和售后服务承诺书”中承诺的其它各项售后服务。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十二、检验和安装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1、在交货前乙方应对货物的质量、规格、性能、数量等进行详细而全面的检验。</w:t>
      </w:r>
    </w:p>
    <w:p>
      <w:pPr>
        <w:spacing w:line="360" w:lineRule="auto"/>
        <w:ind w:right="99" w:rightChars="47" w:firstLine="417" w:firstLineChars="199"/>
        <w:rPr>
          <w:rFonts w:hint="eastAsia" w:ascii="宋体" w:hAnsi="宋体" w:cs="宋体"/>
          <w:color w:val="FF0000"/>
          <w:szCs w:val="24"/>
        </w:rPr>
      </w:pPr>
      <w:r>
        <w:rPr>
          <w:rFonts w:hint="eastAsia" w:ascii="宋体" w:hAnsi="宋体" w:cs="宋体"/>
          <w:szCs w:val="24"/>
        </w:rPr>
        <w:t>2、</w:t>
      </w:r>
      <w:r>
        <w:rPr>
          <w:rFonts w:hint="eastAsia" w:ascii="宋体" w:hAnsi="宋体" w:cs="宋体"/>
          <w:color w:val="000000"/>
          <w:szCs w:val="24"/>
        </w:rPr>
        <w:t>严格按照甲方和产品安装要求进行安装；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3、货物运抵甲方指定的使用单位并经乙方安装调试后,</w:t>
      </w:r>
      <w:r>
        <w:rPr>
          <w:rFonts w:hint="eastAsia" w:ascii="宋体" w:hAnsi="宋体" w:cs="宋体"/>
          <w:color w:val="000000"/>
          <w:szCs w:val="24"/>
        </w:rPr>
        <w:t>由甲乙双方</w:t>
      </w:r>
      <w:r>
        <w:rPr>
          <w:rFonts w:hint="eastAsia" w:ascii="宋体" w:hAnsi="宋体" w:cs="宋体"/>
          <w:szCs w:val="24"/>
        </w:rPr>
        <w:t>验收。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十三、索赔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1、若验收不合格，延误工期，甲方以书面形式通知乙方，提出索赔。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2、在质量保证期内，如果货物存在规格、性能等方面与合同不符，或证实货物是有缺陷的，包括潜在的缺陷或使用不符合要求的部件等，甲方以书面形式通知乙方，提出索赔。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3、当甲方与乙方对货物的质量性能和技术指标等存在的问题认知不一致时,可向当地的商检局或产品检验所申请对货物的质量、技术规格等进行检验，并出具检验证书。检验费用由责任方负担。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4、如果乙方对甲方提出的索赔负有责任，乙方应按照甲方同意的下列一种方式解决索赔事宜：</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（1）若设备检验不合格，甲方要求退货，乙方承担由此发生的一切损失和费用。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（2）如验收不合格，延误工期，乙方应承担甲方所遭受的一切经济损失。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用符合规格、质量和性能要求的新零件、部件或货物来更换有缺陷的部分，乙方应承担一切费用和风险并负担甲方所遭受的损失。同时，乙方应按合同条款第十条规定，相应延长修补或更换部分的质量保证期。</w:t>
      </w:r>
    </w:p>
    <w:p>
      <w:pPr>
        <w:spacing w:line="360" w:lineRule="auto"/>
        <w:ind w:right="99" w:rightChars="47" w:firstLine="417" w:firstLineChars="199"/>
        <w:rPr>
          <w:rFonts w:hint="eastAsia" w:ascii="宋体" w:hAnsi="宋体" w:cs="宋体"/>
          <w:color w:val="000000"/>
          <w:szCs w:val="24"/>
        </w:rPr>
      </w:pPr>
      <w:r>
        <w:rPr>
          <w:rFonts w:hint="eastAsia" w:ascii="宋体" w:hAnsi="宋体" w:cs="宋体"/>
          <w:color w:val="000000"/>
          <w:szCs w:val="24"/>
        </w:rPr>
        <w:t>5、如果在甲方发出索赔通知后十天内,乙方未作答复，上述索赔应视为已被乙方接受；如乙方未能在甲方提出索赔通知后十天内或甲方同意的更长时间内，按照合同条款规定的任何的一种方法解决索赔事宜，甲方有权从质量保证金中扣出索赔金额，如果质量保证金不足以补偿给甲方造成的损失或已支付乙方，乙方另外赔偿相应的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十四、争议解决方式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1、甲乙双方通过友好协商，解决在执行合同中所发生的或与本合同有关的一切争端，如从协商开始十日内仍得不到解决，甲乙方双方将争端提交石景山区政府采购管理科进行调解。</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2、如调解不成，双方可以到合同签署地人民法院提请诉讼。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3、诉讼的费用应由败诉方负担。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4、在诉讼期间，除正在进行诉讼的部分外，本合同其它部分应继续执行。</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十五、不可抗力</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1、由于自然灾害、社会因素、政府行为及其他经双方同意的原因，导致本合同不能全部或部分履行，甲乙双方互不承担违约责任，善后事宜由双方协商。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2、受事故影响的一方应在事故发生后叁日内以书面形式通知另一方，并将有关部门出具的证明文件提交给另一方。</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十六、税费</w:t>
      </w:r>
    </w:p>
    <w:p>
      <w:pPr>
        <w:spacing w:line="360" w:lineRule="auto"/>
        <w:ind w:right="99" w:rightChars="47" w:firstLine="417" w:firstLineChars="199"/>
        <w:rPr>
          <w:rFonts w:hint="eastAsia" w:ascii="宋体" w:hAnsi="宋体" w:cs="宋体"/>
          <w:color w:val="000000"/>
          <w:szCs w:val="24"/>
        </w:rPr>
      </w:pPr>
      <w:r>
        <w:rPr>
          <w:rFonts w:hint="eastAsia" w:ascii="宋体" w:hAnsi="宋体" w:cs="宋体"/>
          <w:color w:val="000000"/>
          <w:szCs w:val="24"/>
        </w:rPr>
        <w:t>1、中国政府根据现行税法对甲方征收的与本合同有关的一切税费均由甲方负担。</w:t>
      </w:r>
    </w:p>
    <w:p>
      <w:pPr>
        <w:spacing w:line="360" w:lineRule="auto"/>
        <w:ind w:right="99" w:rightChars="47" w:firstLine="417" w:firstLineChars="199"/>
        <w:rPr>
          <w:rFonts w:hint="eastAsia" w:ascii="宋体" w:hAnsi="宋体" w:cs="宋体"/>
          <w:szCs w:val="24"/>
        </w:rPr>
      </w:pPr>
      <w:r>
        <w:rPr>
          <w:rFonts w:hint="eastAsia" w:ascii="宋体" w:hAnsi="宋体" w:cs="宋体"/>
          <w:color w:val="000000"/>
          <w:szCs w:val="24"/>
        </w:rPr>
        <w:t>2、中国政府根据现行税法对乙方征收的与本合同有关的一切税费均由</w:t>
      </w:r>
      <w:r>
        <w:rPr>
          <w:rFonts w:hint="eastAsia" w:ascii="宋体" w:hAnsi="宋体" w:cs="宋体"/>
          <w:szCs w:val="24"/>
        </w:rPr>
        <w:t>乙方负担。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十七、合同解除和终止</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1、合同解除：</w:t>
      </w:r>
      <w:r>
        <w:rPr>
          <w:rFonts w:hint="eastAsia" w:ascii="宋体" w:hAnsi="宋体" w:cs="宋体"/>
          <w:color w:val="000000"/>
          <w:szCs w:val="24"/>
        </w:rPr>
        <w:t>在甲方对乙方违约而采取的任何补救措施不受影响的情况下，</w:t>
      </w:r>
      <w:r>
        <w:rPr>
          <w:rFonts w:hint="eastAsia" w:ascii="宋体" w:hAnsi="宋体" w:cs="宋体"/>
          <w:szCs w:val="24"/>
        </w:rPr>
        <w:t>出现下列情况，甲方可向乙方发出书面通知，提出解除合同，并要求退货、返款。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（1）乙方未能在规定的期限或甲方同意延长的期限内交货。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（2）乙方使用假冒、伪劣产品，或达不到合同规定的质量、性能。</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（3）乙方其它严重违反合同规定的行为。</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2、提前终止合同：如果乙方在合同履行期间破产，甲方可在任何时候以书面形式通知乙方即时终止合同，不予退还质量保证金，并保留甲方已经采取或将要采取的补救措施的权利。</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十八、违约责任</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因乙方原因（包括乙方提供的货物未达到验收标准）使货物未按规定运抵甲方指定地点，每延迟一日，乙方应按逾期所涉金额的1‰向甲方支付违约金，违约金最多不得超过逾期所涉金额的5%。若乙方延迟超过50天，甲方有权解除合同，并要求乙方全部退还所收费用，赔偿经济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2、乙方所提供的货物质量不符合本合同约定标准时，乙方应负责及时更换、维修，甲方有权拒绝付款，并追究乙方违约责任。</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3、因产品缺陷而产生的退换货或赔偿损失的直接费用，如检验费、退换货往返运费、保险费、仓储费及装卸费等，均由乙方承担。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4、因产品质量缺陷造成第三方损害而要求甲方赔偿的，甲方有权随时向乙方追索费用。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5、如乙方出现严重违反合同条款并给甲方带来损失时，甲方可视情况采取以下一种或多种方式：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（1）在质量保证金中扣除直接损失和间接损失。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（2）解除合同。</w:t>
      </w:r>
    </w:p>
    <w:p>
      <w:pPr>
        <w:tabs>
          <w:tab w:val="left" w:pos="1050"/>
          <w:tab w:val="left" w:pos="1260"/>
        </w:tabs>
        <w:spacing w:line="360" w:lineRule="auto"/>
        <w:ind w:right="99" w:rightChars="47" w:firstLine="417" w:firstLineChars="199"/>
        <w:rPr>
          <w:rFonts w:hint="eastAsia" w:ascii="宋体" w:hAnsi="宋体" w:cs="宋体"/>
          <w:szCs w:val="24"/>
        </w:rPr>
      </w:pPr>
      <w:r>
        <w:rPr>
          <w:rFonts w:hint="eastAsia" w:ascii="宋体" w:hAnsi="宋体" w:cs="宋体"/>
          <w:szCs w:val="24"/>
        </w:rPr>
        <w:t>（3）将违约行为上报政府采购办公室，由政府采购办公室对违反合同行为做出处理，在政府采购网上公布。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十九、转让：未经甲方事先书面同意，乙方不得部分转让或全部转让其应履行的合同义务。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二十、适用法律 ：本合同应按照中华人民共和国的相关法律进行解释。</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二十一、合同生效及其它：合同在甲乙双方签字盖章后开始生效。本合同一式三份，甲乙双方各执一份，石景山区政府采购中心备案一份。如需修改或补充合同内容，经协商，双方应签署书面修改或补充协议，该协议作为本合同的一个组成部分。</w:t>
      </w:r>
    </w:p>
    <w:p>
      <w:pPr>
        <w:spacing w:line="360" w:lineRule="auto"/>
        <w:ind w:right="99" w:rightChars="47" w:firstLine="417" w:firstLineChars="199"/>
        <w:rPr>
          <w:rFonts w:hint="eastAsia" w:ascii="宋体" w:hAnsi="宋体" w:cs="宋体"/>
          <w:szCs w:val="24"/>
        </w:rPr>
      </w:pPr>
    </w:p>
    <w:p>
      <w:pPr>
        <w:ind w:left="4696" w:leftChars="-114" w:hanging="4935" w:hangingChars="2350"/>
        <w:rPr>
          <w:rFonts w:hint="eastAsia" w:ascii="宋体" w:hAnsi="宋体"/>
        </w:rPr>
      </w:pPr>
    </w:p>
    <w:p>
      <w:pPr>
        <w:ind w:left="4698" w:leftChars="187" w:right="-733" w:rightChars="-349" w:hanging="4305" w:hangingChars="2050"/>
        <w:rPr>
          <w:rFonts w:hint="eastAsia" w:ascii="宋体" w:hAnsi="宋体"/>
        </w:rPr>
      </w:pPr>
      <w:r>
        <w:rPr>
          <w:rFonts w:hint="eastAsia" w:ascii="宋体" w:hAnsi="宋体"/>
        </w:rPr>
        <w:t>甲方：                                  乙方：</w:t>
      </w:r>
    </w:p>
    <w:p>
      <w:pPr>
        <w:ind w:left="4929" w:leftChars="86" w:hanging="4748" w:hangingChars="2261"/>
        <w:rPr>
          <w:rFonts w:hint="eastAsia" w:ascii="宋体" w:hAnsi="宋体"/>
        </w:rPr>
      </w:pPr>
      <w:r>
        <w:rPr>
          <w:rFonts w:hint="eastAsia" w:ascii="宋体" w:hAnsi="宋体"/>
        </w:rPr>
        <w:t xml:space="preserve">                         </w:t>
      </w:r>
    </w:p>
    <w:p>
      <w:pPr>
        <w:spacing w:before="624" w:beforeLines="200"/>
        <w:ind w:firstLine="573"/>
        <w:rPr>
          <w:rFonts w:hint="eastAsia" w:ascii="宋体" w:hAnsi="宋体"/>
        </w:rPr>
      </w:pPr>
      <w:r>
        <w:rPr>
          <w:rFonts w:hint="eastAsia" w:ascii="宋体" w:hAnsi="宋体"/>
        </w:rPr>
        <w:t>名称：（印章）                        名称：（印章）</w:t>
      </w:r>
    </w:p>
    <w:p>
      <w:pPr>
        <w:ind w:firstLine="570"/>
        <w:rPr>
          <w:rFonts w:hint="eastAsia" w:ascii="宋体" w:hAnsi="宋体"/>
        </w:rPr>
      </w:pPr>
      <w:r>
        <w:rPr>
          <w:rFonts w:hint="eastAsia" w:ascii="宋体" w:hAnsi="宋体"/>
        </w:rPr>
        <w:t xml:space="preserve">          </w:t>
      </w:r>
    </w:p>
    <w:p>
      <w:pPr>
        <w:ind w:firstLine="570"/>
        <w:rPr>
          <w:rFonts w:hint="eastAsia" w:ascii="宋体" w:hAnsi="宋体"/>
        </w:rPr>
      </w:pPr>
      <w:r>
        <w:rPr>
          <w:rFonts w:hint="eastAsia" w:ascii="宋体" w:hAnsi="宋体"/>
        </w:rPr>
        <w:t xml:space="preserve">     年  月</w:t>
      </w:r>
      <w:r>
        <w:rPr>
          <w:rFonts w:hint="eastAsia" w:ascii="宋体" w:hAnsi="宋体"/>
          <w:color w:val="FF0000"/>
        </w:rPr>
        <w:t xml:space="preserve">  </w:t>
      </w:r>
      <w:r>
        <w:rPr>
          <w:rFonts w:hint="eastAsia" w:ascii="宋体" w:hAnsi="宋体"/>
        </w:rPr>
        <w:t>日                       年  月</w:t>
      </w:r>
      <w:r>
        <w:rPr>
          <w:rFonts w:hint="eastAsia" w:ascii="宋体" w:hAnsi="宋体"/>
          <w:color w:val="FF0000"/>
        </w:rPr>
        <w:t xml:space="preserve">  </w:t>
      </w:r>
      <w:r>
        <w:rPr>
          <w:rFonts w:hint="eastAsia" w:ascii="宋体" w:hAnsi="宋体"/>
        </w:rPr>
        <w:t>日</w:t>
      </w:r>
    </w:p>
    <w:p>
      <w:pPr>
        <w:pStyle w:val="2"/>
        <w:rPr>
          <w:rFonts w:hint="eastAsia"/>
        </w:rPr>
      </w:pPr>
    </w:p>
    <w:p>
      <w:pPr>
        <w:spacing w:before="312" w:beforeLines="100"/>
        <w:ind w:firstLine="573"/>
        <w:rPr>
          <w:rFonts w:hint="eastAsia" w:ascii="宋体" w:hAnsi="宋体"/>
          <w:u w:val="single"/>
        </w:rPr>
      </w:pPr>
      <w:r>
        <w:rPr>
          <w:rFonts w:hint="eastAsia" w:ascii="宋体" w:hAnsi="宋体"/>
        </w:rPr>
        <w:t>法定代表人或                          法定代表人或</w:t>
      </w:r>
    </w:p>
    <w:p>
      <w:pPr>
        <w:ind w:firstLine="570"/>
        <w:rPr>
          <w:rFonts w:hint="eastAsia" w:ascii="宋体" w:hAnsi="宋体"/>
          <w:u w:val="single"/>
        </w:rPr>
      </w:pPr>
      <w:r>
        <w:rPr>
          <w:rFonts w:hint="eastAsia" w:ascii="宋体" w:hAnsi="宋体"/>
        </w:rPr>
        <w:t>授权代理（签字）：</w:t>
      </w:r>
      <w:r>
        <w:rPr>
          <w:rFonts w:hint="eastAsia" w:ascii="宋体" w:hAnsi="宋体"/>
          <w:u w:val="single"/>
        </w:rPr>
        <w:t xml:space="preserve">             </w:t>
      </w:r>
      <w:r>
        <w:rPr>
          <w:rFonts w:hint="eastAsia" w:ascii="宋体" w:hAnsi="宋体"/>
        </w:rPr>
        <w:t xml:space="preserve">       授权代理（签字）：</w:t>
      </w:r>
      <w:r>
        <w:rPr>
          <w:rFonts w:hint="eastAsia" w:ascii="宋体" w:hAnsi="宋体"/>
          <w:u w:val="single"/>
        </w:rPr>
        <w:t xml:space="preserve">          </w:t>
      </w:r>
    </w:p>
    <w:p>
      <w:pPr>
        <w:pStyle w:val="34"/>
        <w:ind w:left="480"/>
      </w:pPr>
    </w:p>
    <w:p>
      <w:pPr>
        <w:ind w:left="5082" w:leftChars="270" w:hanging="4515" w:hangingChars="2150"/>
        <w:rPr>
          <w:rFonts w:hint="eastAsia" w:ascii="宋体" w:hAnsi="宋体"/>
          <w:u w:val="single"/>
        </w:rPr>
      </w:pPr>
      <w:r>
        <w:rPr>
          <w:rFonts w:hint="eastAsia" w:ascii="宋体" w:hAnsi="宋体"/>
        </w:rPr>
        <w:t xml:space="preserve">地    址：                            地    址： </w:t>
      </w:r>
    </w:p>
    <w:p>
      <w:pPr>
        <w:ind w:firstLine="1470" w:firstLineChars="700"/>
        <w:rPr>
          <w:rFonts w:hint="eastAsia" w:ascii="宋体" w:hAnsi="宋体"/>
          <w:u w:val="single"/>
        </w:rPr>
      </w:pPr>
      <w:r>
        <w:rPr>
          <w:rFonts w:hint="eastAsia" w:ascii="宋体" w:hAnsi="宋体"/>
        </w:rPr>
        <w:t xml:space="preserve">                                     </w:t>
      </w:r>
    </w:p>
    <w:p>
      <w:pPr>
        <w:ind w:firstLine="570"/>
        <w:rPr>
          <w:rFonts w:hint="eastAsia" w:ascii="宋体" w:hAnsi="宋体"/>
        </w:rPr>
      </w:pPr>
      <w:r>
        <w:rPr>
          <w:rFonts w:hint="eastAsia" w:ascii="宋体" w:hAnsi="宋体"/>
        </w:rPr>
        <w:t xml:space="preserve"> </w:t>
      </w:r>
    </w:p>
    <w:p>
      <w:pPr>
        <w:ind w:firstLine="570"/>
        <w:rPr>
          <w:rFonts w:hint="eastAsia" w:ascii="宋体" w:hAnsi="宋体"/>
          <w:u w:val="single"/>
        </w:rPr>
      </w:pPr>
      <w:r>
        <w:rPr>
          <w:rFonts w:hint="eastAsia" w:ascii="宋体" w:hAnsi="宋体"/>
        </w:rPr>
        <w:t xml:space="preserve">邮政编码：                            邮政编码： </w:t>
      </w:r>
    </w:p>
    <w:p>
      <w:pPr>
        <w:ind w:firstLine="570"/>
        <w:rPr>
          <w:rFonts w:hint="eastAsia" w:ascii="宋体" w:hAnsi="宋体"/>
        </w:rPr>
      </w:pPr>
      <w:r>
        <w:rPr>
          <w:rFonts w:hint="eastAsia" w:ascii="宋体" w:hAnsi="宋体"/>
        </w:rPr>
        <w:t xml:space="preserve"> </w:t>
      </w:r>
    </w:p>
    <w:p>
      <w:pPr>
        <w:ind w:firstLine="570"/>
        <w:rPr>
          <w:rFonts w:hint="eastAsia" w:ascii="宋体" w:hAnsi="宋体"/>
        </w:rPr>
      </w:pPr>
      <w:r>
        <w:rPr>
          <w:rFonts w:hint="eastAsia" w:ascii="宋体" w:hAnsi="宋体"/>
        </w:rPr>
        <w:t xml:space="preserve">电    话：                            电     话：  </w:t>
      </w:r>
    </w:p>
    <w:p>
      <w:pPr>
        <w:ind w:firstLine="570"/>
        <w:rPr>
          <w:rFonts w:hint="eastAsia" w:ascii="宋体" w:hAnsi="宋体"/>
        </w:rPr>
      </w:pPr>
    </w:p>
    <w:p>
      <w:pPr>
        <w:ind w:firstLine="570"/>
        <w:rPr>
          <w:rFonts w:hint="eastAsia" w:ascii="宋体" w:hAnsi="宋体"/>
          <w:u w:val="single"/>
        </w:rPr>
      </w:pPr>
      <w:r>
        <w:rPr>
          <w:rFonts w:hint="eastAsia" w:ascii="宋体" w:hAnsi="宋体"/>
        </w:rPr>
        <w:t>开户银行：                            开户银行：</w:t>
      </w:r>
    </w:p>
    <w:p>
      <w:pPr>
        <w:ind w:firstLine="570"/>
        <w:rPr>
          <w:rFonts w:hint="eastAsia" w:ascii="宋体" w:hAnsi="宋体"/>
        </w:rPr>
      </w:pPr>
    </w:p>
    <w:p>
      <w:pPr>
        <w:ind w:firstLine="570"/>
        <w:rPr>
          <w:rFonts w:hint="eastAsia" w:ascii="宋体" w:hAnsi="宋体"/>
        </w:rPr>
      </w:pPr>
      <w:r>
        <w:rPr>
          <w:rFonts w:hint="eastAsia" w:ascii="宋体" w:hAnsi="宋体"/>
        </w:rPr>
        <w:t>帐    号：                            帐     号：</w:t>
      </w:r>
    </w:p>
    <w:p>
      <w:pPr>
        <w:autoSpaceDE w:val="0"/>
        <w:autoSpaceDN w:val="0"/>
        <w:snapToGrid w:val="0"/>
        <w:spacing w:line="480" w:lineRule="auto"/>
        <w:rPr>
          <w:rFonts w:hint="eastAsia" w:ascii="宋体"/>
          <w:color w:val="000000" w:themeColor="text1"/>
          <w:sz w:val="28"/>
          <w14:textFill>
            <w14:solidFill>
              <w14:schemeClr w14:val="tx1"/>
            </w14:solidFill>
          </w14:textFill>
        </w:rPr>
      </w:pPr>
      <w:r>
        <w:rPr>
          <w:rFonts w:hint="eastAsia" w:ascii="宋体"/>
          <w:color w:val="000000" w:themeColor="text1"/>
          <w:sz w:val="28"/>
          <w14:textFill>
            <w14:solidFill>
              <w14:schemeClr w14:val="tx1"/>
            </w14:solidFill>
          </w14:textFill>
        </w:rPr>
        <w:t xml:space="preserve">               </w:t>
      </w: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76"/>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pPr>
        <w:pStyle w:val="17"/>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17"/>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r>
        <w:rPr>
          <w:rFonts w:hint="eastAsia"/>
          <w:b/>
          <w:bCs/>
          <w:spacing w:val="-6"/>
        </w:rPr>
        <w:t>（资格证明文件）</w:t>
      </w:r>
      <w:r>
        <w:rPr>
          <w:b/>
          <w:bCs/>
          <w:spacing w:val="-6"/>
        </w:rPr>
        <w:t>封面（非实质性格式）</w:t>
      </w:r>
    </w:p>
    <w:p>
      <w:pPr>
        <w:pStyle w:val="17"/>
        <w:spacing w:before="352" w:line="196" w:lineRule="auto"/>
        <w:ind w:left="1819"/>
        <w:rPr>
          <w:rFonts w:hint="eastAsia"/>
          <w:b/>
          <w:bCs/>
          <w:spacing w:val="-8"/>
          <w:sz w:val="83"/>
          <w:szCs w:val="83"/>
        </w:rPr>
      </w:pPr>
    </w:p>
    <w:p>
      <w:pPr>
        <w:pStyle w:val="17"/>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17"/>
        <w:spacing w:before="134" w:line="205" w:lineRule="auto"/>
        <w:ind w:left="546"/>
        <w:jc w:val="center"/>
        <w:rPr>
          <w:rFonts w:hint="eastAsia"/>
          <w:b/>
          <w:bCs/>
          <w:spacing w:val="-11"/>
          <w:sz w:val="56"/>
          <w:szCs w:val="56"/>
        </w:rPr>
      </w:pPr>
      <w:r>
        <w:rPr>
          <w:rFonts w:hint="eastAsia"/>
          <w:b/>
          <w:bCs/>
          <w:spacing w:val="-6"/>
          <w:sz w:val="56"/>
          <w:szCs w:val="56"/>
        </w:rPr>
        <w:t>（资格证明文件）</w:t>
      </w:r>
    </w:p>
    <w:p>
      <w:pPr>
        <w:pStyle w:val="17"/>
        <w:spacing w:before="134" w:line="205" w:lineRule="auto"/>
        <w:ind w:left="546"/>
        <w:rPr>
          <w:rFonts w:hint="eastAsia"/>
          <w:b/>
          <w:bCs/>
          <w:spacing w:val="-11"/>
        </w:rPr>
      </w:pPr>
    </w:p>
    <w:p>
      <w:pPr>
        <w:pStyle w:val="17"/>
        <w:spacing w:before="134" w:line="205" w:lineRule="auto"/>
        <w:ind w:left="546"/>
        <w:rPr>
          <w:rFonts w:hint="eastAsia"/>
          <w:b/>
          <w:bCs/>
          <w:spacing w:val="-11"/>
        </w:rPr>
      </w:pPr>
    </w:p>
    <w:p>
      <w:pPr>
        <w:pStyle w:val="17"/>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17"/>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17"/>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17"/>
        <w:spacing w:before="134" w:line="205" w:lineRule="auto"/>
        <w:ind w:left="1447"/>
        <w:rPr>
          <w:b/>
          <w:bCs/>
          <w:spacing w:val="34"/>
        </w:rPr>
      </w:pPr>
      <w:r>
        <w:rPr>
          <w:rFonts w:hint="eastAsia"/>
          <w:b/>
          <w:bCs/>
          <w:spacing w:val="34"/>
        </w:rPr>
        <w:t>通讯地址：</w:t>
      </w:r>
    </w:p>
    <w:p>
      <w:pPr>
        <w:pStyle w:val="17"/>
        <w:spacing w:before="134" w:line="205" w:lineRule="auto"/>
        <w:ind w:left="1447"/>
        <w:rPr>
          <w:rFonts w:hint="eastAsia"/>
          <w:b/>
          <w:bCs/>
          <w:spacing w:val="34"/>
        </w:rPr>
      </w:pPr>
    </w:p>
    <w:p>
      <w:pPr>
        <w:spacing w:line="360" w:lineRule="auto"/>
        <w:outlineLvl w:val="2"/>
        <w:rPr>
          <w:color w:val="000000"/>
          <w:sz w:val="24"/>
          <w:szCs w:val="20"/>
        </w:rPr>
      </w:pPr>
      <w:r>
        <w:rPr>
          <w:color w:val="000000"/>
          <w:sz w:val="24"/>
          <w:szCs w:val="20"/>
        </w:rPr>
        <w:t xml:space="preserve">1 </w:t>
      </w:r>
      <w:r>
        <w:rPr>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pPr>
        <w:pStyle w:val="5"/>
        <w:rPr>
          <w:rFonts w:ascii="Times New Roman"/>
          <w:b/>
          <w:bCs/>
          <w:color w:val="000000"/>
          <w:u w:val="none"/>
        </w:rPr>
      </w:pPr>
      <w:r>
        <w:rPr>
          <w:rFonts w:ascii="Times New Roman"/>
          <w:b/>
          <w:bCs/>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9"/>
        </w:numPr>
        <w:spacing w:line="360" w:lineRule="auto"/>
        <w:ind w:left="1134"/>
        <w:rPr>
          <w:sz w:val="24"/>
          <w:szCs w:val="22"/>
        </w:rPr>
      </w:pPr>
      <w:r>
        <w:rPr>
          <w:sz w:val="24"/>
          <w:szCs w:val="22"/>
        </w:rPr>
        <w:t>具有良好的商业信誉和健全的财务会计制度；</w:t>
      </w:r>
    </w:p>
    <w:p>
      <w:pPr>
        <w:numPr>
          <w:ilvl w:val="0"/>
          <w:numId w:val="19"/>
        </w:numPr>
        <w:spacing w:line="360" w:lineRule="auto"/>
        <w:ind w:left="1134"/>
        <w:rPr>
          <w:sz w:val="24"/>
          <w:szCs w:val="22"/>
        </w:rPr>
      </w:pPr>
      <w:r>
        <w:rPr>
          <w:sz w:val="24"/>
          <w:szCs w:val="22"/>
        </w:rPr>
        <w:t>具有履行合同所必需的设备和专业技术能力；</w:t>
      </w:r>
    </w:p>
    <w:p>
      <w:pPr>
        <w:numPr>
          <w:ilvl w:val="0"/>
          <w:numId w:val="19"/>
        </w:numPr>
        <w:spacing w:line="360" w:lineRule="auto"/>
        <w:ind w:left="1134"/>
        <w:rPr>
          <w:sz w:val="24"/>
          <w:szCs w:val="22"/>
        </w:rPr>
      </w:pPr>
      <w:r>
        <w:rPr>
          <w:sz w:val="24"/>
          <w:szCs w:val="22"/>
        </w:rPr>
        <w:t>有依法缴纳税收和社会保障资金的良好记录；</w:t>
      </w:r>
    </w:p>
    <w:p>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9"/>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9"/>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pStyle w:val="17"/>
        <w:spacing w:before="307" w:line="360" w:lineRule="auto"/>
        <w:ind w:left="18"/>
        <w:outlineLvl w:val="2"/>
        <w:rPr>
          <w:rFonts w:hint="eastAsia"/>
          <w:b/>
          <w:bCs w:val="0"/>
          <w:color w:val="auto"/>
          <w:sz w:val="24"/>
          <w:szCs w:val="24"/>
          <w:lang w:val="en-US" w:eastAsia="zh-CN"/>
        </w:rPr>
      </w:pPr>
      <w:r>
        <w:rPr>
          <w:rFonts w:hint="eastAsia"/>
          <w:b/>
          <w:bCs w:val="0"/>
          <w:color w:val="auto"/>
          <w:sz w:val="24"/>
          <w:szCs w:val="24"/>
          <w:lang w:val="en-US" w:eastAsia="zh-CN"/>
        </w:rPr>
        <w:t>2 落实政府采购政策需满足的资格要求</w:t>
      </w:r>
    </w:p>
    <w:p>
      <w:pPr>
        <w:spacing w:line="360" w:lineRule="auto"/>
        <w:outlineLvl w:val="2"/>
        <w:rPr>
          <w:b/>
          <w:bCs/>
          <w:color w:val="000000"/>
          <w:sz w:val="24"/>
          <w:szCs w:val="20"/>
        </w:rPr>
      </w:pPr>
      <w:r>
        <w:rPr>
          <w:rFonts w:hint="eastAsia"/>
          <w:b/>
          <w:bCs/>
          <w:color w:val="000000"/>
          <w:sz w:val="24"/>
          <w:szCs w:val="20"/>
          <w:lang w:val="en-US" w:eastAsia="zh-CN"/>
        </w:rPr>
        <w:t>2-1</w:t>
      </w:r>
      <w:r>
        <w:rPr>
          <w:b/>
          <w:bCs/>
          <w:color w:val="000000"/>
          <w:sz w:val="24"/>
          <w:szCs w:val="20"/>
        </w:rPr>
        <w:t>中小企业声明函</w:t>
      </w: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jc w:val="center"/>
        <w:rPr>
          <w:rFonts w:hint="eastAsia" w:ascii="宋体" w:hAnsi="宋体"/>
          <w:b/>
          <w:color w:val="auto"/>
          <w:sz w:val="24"/>
          <w:szCs w:val="24"/>
        </w:rPr>
      </w:pPr>
      <w:r>
        <w:rPr>
          <w:rFonts w:hint="eastAsia" w:ascii="宋体" w:hAnsi="宋体"/>
          <w:b/>
          <w:color w:val="auto"/>
          <w:sz w:val="35"/>
          <w:szCs w:val="35"/>
        </w:rPr>
        <w:t>中小企业声明函（货物）</w:t>
      </w:r>
      <w:r>
        <w:rPr>
          <w:rFonts w:hint="eastAsia" w:ascii="宋体" w:hAnsi="宋体"/>
          <w:b/>
          <w:color w:val="auto"/>
          <w:sz w:val="35"/>
          <w:szCs w:val="35"/>
          <w:lang w:eastAsia="zh-CN"/>
        </w:rPr>
        <w:t>格式</w:t>
      </w:r>
    </w:p>
    <w:p>
      <w:pPr>
        <w:spacing w:line="300" w:lineRule="auto"/>
        <w:rPr>
          <w:rFonts w:hint="eastAsia" w:ascii="宋体" w:hAnsi="宋体"/>
          <w:color w:val="auto"/>
          <w:sz w:val="24"/>
          <w:szCs w:val="24"/>
        </w:rPr>
      </w:pP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本公司（联合体）郑重声明，根据《政府采购促进中小企业发展暂行办法》（财库〔2020〕46号）的规定，本公司(联合体)参加_</w:t>
      </w:r>
      <w:r>
        <w:rPr>
          <w:rFonts w:hint="eastAsia" w:ascii="宋体" w:hAnsi="宋体"/>
          <w:color w:val="auto"/>
          <w:sz w:val="24"/>
          <w:szCs w:val="24"/>
          <w:u w:val="single"/>
        </w:rPr>
        <w:t>（单位名称）_</w:t>
      </w:r>
      <w:r>
        <w:rPr>
          <w:rFonts w:hint="eastAsia" w:ascii="宋体" w:hAnsi="宋体"/>
          <w:color w:val="auto"/>
          <w:sz w:val="24"/>
          <w:szCs w:val="24"/>
        </w:rPr>
        <w:t>的</w:t>
      </w:r>
      <w:r>
        <w:rPr>
          <w:rFonts w:hint="eastAsia" w:ascii="宋体" w:hAnsi="宋体"/>
          <w:color w:val="auto"/>
          <w:sz w:val="24"/>
          <w:szCs w:val="24"/>
          <w:u w:val="single"/>
        </w:rPr>
        <w:t>（项目名称）</w:t>
      </w:r>
      <w:r>
        <w:rPr>
          <w:rFonts w:hint="eastAsia" w:ascii="宋体" w:hAnsi="宋体"/>
          <w:color w:val="auto"/>
          <w:sz w:val="24"/>
          <w:szCs w:val="24"/>
        </w:rPr>
        <w:t>采购活动，提供的货物全部由符合政策要求的中小企业制造。相关企业（含联合体中的中小企业、签订分包意向协议的中小企业）的具体情况如下：</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1.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2.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本公司对上述声明内容的真实性负责。如有虚假，将依法承担相应责任。</w:t>
      </w:r>
    </w:p>
    <w:p>
      <w:pPr>
        <w:spacing w:before="156" w:beforeLines="50" w:line="360" w:lineRule="auto"/>
        <w:ind w:firstLine="4680" w:firstLineChars="1950"/>
        <w:rPr>
          <w:rFonts w:hint="eastAsia" w:ascii="宋体" w:hAnsi="宋体"/>
          <w:color w:val="auto"/>
          <w:sz w:val="24"/>
          <w:szCs w:val="24"/>
        </w:rPr>
      </w:pPr>
      <w:r>
        <w:rPr>
          <w:rFonts w:hint="eastAsia" w:ascii="宋体" w:hAnsi="宋体"/>
          <w:color w:val="auto"/>
          <w:sz w:val="24"/>
          <w:szCs w:val="24"/>
        </w:rPr>
        <w:t>企业名称（盖章）：</w:t>
      </w:r>
    </w:p>
    <w:p>
      <w:pPr>
        <w:spacing w:line="360" w:lineRule="auto"/>
        <w:ind w:right="480" w:firstLine="4680" w:firstLineChars="1950"/>
        <w:rPr>
          <w:rFonts w:hint="eastAsia" w:ascii="宋体" w:hAnsi="宋体"/>
          <w:color w:val="auto"/>
          <w:sz w:val="24"/>
          <w:szCs w:val="24"/>
        </w:rPr>
      </w:pPr>
      <w:r>
        <w:rPr>
          <w:rFonts w:hint="eastAsia" w:ascii="宋体" w:hAnsi="宋体"/>
          <w:color w:val="auto"/>
          <w:sz w:val="24"/>
          <w:szCs w:val="24"/>
        </w:rPr>
        <w:t>日 期：</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说明：</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1.从业人员、营业收入、资产总额填报上一年度数据，无上一年度数据的新成立企业可不填报。</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2.在货物采购项目中，供应商提供的货物既有中小企业制造货物，也有大型企业制造货物的，不享受本办法规定的中小企业扶持政策，无须提供本声明函。</w:t>
      </w:r>
    </w:p>
    <w:p>
      <w:pPr>
        <w:spacing w:before="240" w:beforeLines="100" w:after="240" w:afterLines="100" w:line="360" w:lineRule="auto"/>
        <w:jc w:val="left"/>
        <w:rPr>
          <w:rFonts w:hint="eastAsia" w:ascii="宋体" w:hAnsi="宋体"/>
          <w:b w:val="0"/>
          <w:bCs/>
          <w:color w:val="auto"/>
          <w:sz w:val="24"/>
          <w:szCs w:val="24"/>
        </w:rPr>
      </w:pPr>
      <w:r>
        <w:rPr>
          <w:rFonts w:hint="eastAsia" w:ascii="宋体" w:hAnsi="宋体"/>
          <w:b w:val="0"/>
          <w:bCs/>
          <w:color w:val="auto"/>
          <w:sz w:val="24"/>
          <w:szCs w:val="24"/>
        </w:rPr>
        <w:t>3.本声明函中标的名称</w:t>
      </w:r>
      <w:r>
        <w:rPr>
          <w:rFonts w:hint="eastAsia" w:ascii="宋体" w:hAnsi="宋体"/>
          <w:b w:val="0"/>
          <w:bCs/>
          <w:color w:val="auto"/>
          <w:sz w:val="24"/>
          <w:szCs w:val="24"/>
          <w:lang w:eastAsia="zh-CN"/>
        </w:rPr>
        <w:t>详见</w:t>
      </w:r>
      <w:r>
        <w:rPr>
          <w:rFonts w:hint="eastAsia" w:ascii="宋体" w:hAnsi="宋体"/>
          <w:b w:val="0"/>
          <w:bCs/>
          <w:color w:val="auto"/>
          <w:sz w:val="24"/>
          <w:szCs w:val="24"/>
        </w:rPr>
        <w:t>招标文件第</w:t>
      </w:r>
      <w:r>
        <w:rPr>
          <w:rFonts w:hint="eastAsia" w:ascii="宋体" w:hAnsi="宋体"/>
          <w:b w:val="0"/>
          <w:bCs/>
          <w:color w:val="auto"/>
          <w:sz w:val="24"/>
          <w:szCs w:val="24"/>
          <w:lang w:eastAsia="zh-CN"/>
        </w:rPr>
        <w:t>五</w:t>
      </w:r>
      <w:r>
        <w:rPr>
          <w:rFonts w:hint="eastAsia" w:ascii="宋体" w:hAnsi="宋体"/>
          <w:b w:val="0"/>
          <w:bCs/>
          <w:color w:val="auto"/>
          <w:sz w:val="24"/>
          <w:szCs w:val="24"/>
        </w:rPr>
        <w:t>部分采购需求中的采购清单，且须与采购清单中信息一致。</w:t>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tabs>
          <w:tab w:val="left" w:pos="4860"/>
        </w:tabs>
        <w:spacing w:line="588" w:lineRule="exact"/>
        <w:ind w:right="1560" w:firstLine="504" w:firstLineChars="200"/>
        <w:jc w:val="center"/>
        <w:rPr>
          <w:spacing w:val="6"/>
          <w:sz w:val="24"/>
        </w:rPr>
      </w:pPr>
      <w:r>
        <w:rPr>
          <w:spacing w:val="6"/>
          <w:sz w:val="24"/>
        </w:rPr>
        <w:t xml:space="preserve">               </w:t>
      </w:r>
      <w:r>
        <w:rPr>
          <w:rFonts w:hint="eastAsia"/>
          <w:spacing w:val="6"/>
          <w:sz w:val="24"/>
          <w:lang w:val="en-US" w:eastAsia="zh-CN"/>
        </w:rPr>
        <w:t xml:space="preserve">  </w:t>
      </w:r>
      <w:r>
        <w:rPr>
          <w:spacing w:val="6"/>
          <w:sz w:val="24"/>
        </w:rPr>
        <w:t>单位名称（盖章）：</w:t>
      </w:r>
    </w:p>
    <w:p>
      <w:pPr>
        <w:tabs>
          <w:tab w:val="left" w:pos="5040"/>
        </w:tabs>
        <w:spacing w:line="360" w:lineRule="auto"/>
        <w:ind w:right="4032" w:rightChars="1920"/>
        <w:jc w:val="right"/>
        <w:rPr>
          <w:rFonts w:hint="eastAsia" w:ascii="宋体" w:hAnsi="宋体" w:cs="宋体"/>
          <w:spacing w:val="1"/>
          <w:sz w:val="24"/>
          <w:szCs w:val="24"/>
          <w:lang w:val="en-US" w:eastAsia="zh-CN"/>
        </w:rPr>
      </w:pPr>
      <w:r>
        <w:rPr>
          <w:spacing w:val="6"/>
          <w:sz w:val="24"/>
        </w:rPr>
        <w:t xml:space="preserve">  </w:t>
      </w:r>
      <w:r>
        <w:rPr>
          <w:rFonts w:hint="eastAsia"/>
          <w:spacing w:val="6"/>
          <w:sz w:val="24"/>
          <w:lang w:val="en-US" w:eastAsia="zh-CN"/>
        </w:rPr>
        <w:t xml:space="preserve">       </w:t>
      </w:r>
      <w:r>
        <w:rPr>
          <w:spacing w:val="6"/>
          <w:sz w:val="24"/>
        </w:rPr>
        <w:t>日  期：</w:t>
      </w:r>
    </w:p>
    <w:p>
      <w:pPr>
        <w:pStyle w:val="17"/>
        <w:spacing w:before="308" w:line="201" w:lineRule="auto"/>
        <w:ind w:left="6"/>
        <w:outlineLvl w:val="1"/>
        <w:rPr>
          <w:rFonts w:hint="eastAsia" w:ascii="宋体" w:hAnsi="宋体" w:eastAsia="宋体" w:cs="宋体"/>
          <w:sz w:val="24"/>
          <w:szCs w:val="24"/>
        </w:rPr>
      </w:pPr>
      <w:bookmarkStart w:id="777" w:name="_Hlt520271212"/>
      <w:bookmarkEnd w:id="777"/>
      <w:bookmarkStart w:id="778" w:name="_Hlt520273711"/>
      <w:bookmarkEnd w:id="778"/>
      <w:bookmarkStart w:id="779" w:name="_Hlt520274065"/>
      <w:bookmarkEnd w:id="779"/>
      <w:bookmarkStart w:id="780" w:name="_Hlt520274407"/>
      <w:bookmarkEnd w:id="780"/>
      <w:bookmarkStart w:id="781" w:name="_Hlt520343392"/>
      <w:bookmarkEnd w:id="781"/>
      <w:bookmarkStart w:id="782" w:name="_Hlt520350918"/>
      <w:bookmarkEnd w:id="782"/>
      <w:bookmarkStart w:id="783" w:name="_Hlt520343000"/>
      <w:bookmarkEnd w:id="783"/>
      <w:bookmarkStart w:id="784" w:name="_Hlt520274393"/>
      <w:bookmarkEnd w:id="784"/>
      <w:bookmarkStart w:id="785" w:name="_Hlt520274121"/>
      <w:bookmarkEnd w:id="785"/>
      <w:bookmarkStart w:id="786" w:name="_Hlt520355504"/>
      <w:bookmarkEnd w:id="786"/>
      <w:bookmarkStart w:id="787" w:name="_Ref467988698"/>
      <w:bookmarkStart w:id="788" w:name="_Toc480942349"/>
      <w:bookmarkStart w:id="789" w:name="_Toc150774761"/>
      <w:bookmarkStart w:id="790" w:name="_Toc195842921"/>
      <w:bookmarkStart w:id="791" w:name="_Toc226337252"/>
      <w:bookmarkStart w:id="792" w:name="_Toc127151556"/>
      <w:bookmarkStart w:id="793" w:name="_Toc150480794"/>
      <w:bookmarkStart w:id="794" w:name="_Toc226965746"/>
      <w:bookmarkStart w:id="795" w:name="_Toc226309800"/>
      <w:bookmarkStart w:id="796" w:name="_Toc520356217"/>
      <w:bookmarkStart w:id="797" w:name="_Toc142311058"/>
      <w:bookmarkStart w:id="798" w:name="_Toc226965829"/>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17"/>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件）封面（非实质性格式）</w:t>
      </w:r>
    </w:p>
    <w:p>
      <w:pPr>
        <w:pStyle w:val="17"/>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17"/>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17"/>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17"/>
        <w:spacing w:before="12" w:line="205" w:lineRule="auto"/>
        <w:ind w:left="546"/>
        <w:rPr>
          <w:rFonts w:hint="eastAsia" w:ascii="宋体" w:hAnsi="宋体" w:eastAsia="宋体" w:cs="宋体"/>
          <w:sz w:val="21"/>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17"/>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17"/>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headerReference r:id="rId14" w:type="default"/>
          <w:footerReference r:id="rId15" w:type="default"/>
          <w:pgSz w:w="11907" w:h="16840"/>
          <w:pgMar w:top="1149" w:right="1133" w:bottom="1060" w:left="1701" w:header="875" w:footer="886" w:gutter="0"/>
          <w:pgBorders>
            <w:top w:val="none" w:sz="0" w:space="0"/>
            <w:left w:val="none" w:sz="0" w:space="0"/>
            <w:bottom w:val="none" w:sz="0" w:space="0"/>
            <w:right w:val="none" w:sz="0" w:space="0"/>
          </w:pgBorders>
          <w:pgNumType w:fmt="decimal" w:start="26"/>
          <w:cols w:equalWidth="0" w:num="1">
            <w:col w:w="9073"/>
          </w:cols>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787"/>
      <w:bookmarkEnd w:id="788"/>
      <w:r>
        <w:rPr>
          <w:b/>
          <w:bCs/>
          <w:color w:val="000000"/>
          <w:sz w:val="24"/>
        </w:rPr>
        <w:t>书</w:t>
      </w:r>
      <w:bookmarkEnd w:id="789"/>
      <w:bookmarkEnd w:id="790"/>
      <w:bookmarkEnd w:id="791"/>
      <w:bookmarkEnd w:id="792"/>
      <w:bookmarkEnd w:id="793"/>
      <w:bookmarkEnd w:id="794"/>
      <w:bookmarkEnd w:id="795"/>
      <w:bookmarkEnd w:id="796"/>
      <w:bookmarkEnd w:id="797"/>
      <w:bookmarkEnd w:id="798"/>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799" w:name="_Hlt520356243"/>
      <w:bookmarkEnd w:id="799"/>
      <w:bookmarkStart w:id="800" w:name="_Hlt520355938"/>
      <w:bookmarkEnd w:id="800"/>
      <w:bookmarkStart w:id="801" w:name="_Toc264969247"/>
      <w:bookmarkStart w:id="802" w:name="_Toc150774762"/>
      <w:bookmarkStart w:id="803" w:name="_Toc305158899"/>
      <w:bookmarkStart w:id="804" w:name="_Toc127151557"/>
      <w:bookmarkStart w:id="805" w:name="_Toc226309801"/>
      <w:bookmarkStart w:id="806" w:name="_Toc305158825"/>
      <w:bookmarkStart w:id="807" w:name="_Toc195842922"/>
      <w:bookmarkStart w:id="808" w:name="_Ref467988705"/>
      <w:bookmarkStart w:id="809" w:name="_Toc226965747"/>
      <w:bookmarkStart w:id="810" w:name="_Toc226965830"/>
      <w:bookmarkStart w:id="811" w:name="_Toc520356218"/>
      <w:bookmarkStart w:id="812" w:name="_Toc480942350"/>
      <w:bookmarkStart w:id="813" w:name="_Toc226337253"/>
      <w:bookmarkStart w:id="814" w:name="_Toc142311059"/>
      <w:bookmarkStart w:id="815" w:name="_Toc265228395"/>
      <w:bookmarkStart w:id="816" w:name="_Toc150480795"/>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17"/>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17"/>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17"/>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17"/>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17"/>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17"/>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17"/>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17"/>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17"/>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17"/>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17"/>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17"/>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17"/>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17"/>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17"/>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17"/>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17"/>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17"/>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4"/>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17"/>
        <w:spacing w:before="307" w:line="196" w:lineRule="auto"/>
        <w:ind w:left="50"/>
        <w:outlineLvl w:val="1"/>
        <w:rPr>
          <w:rFonts w:hint="eastAsia" w:ascii="宋体" w:hAnsi="宋体" w:eastAsia="宋体" w:cs="宋体"/>
          <w:sz w:val="24"/>
          <w:szCs w:val="24"/>
        </w:rPr>
      </w:pPr>
    </w:p>
    <w:p>
      <w:pPr>
        <w:pStyle w:val="17"/>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17"/>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17"/>
        <w:spacing w:before="339" w:line="190" w:lineRule="auto"/>
        <w:rPr>
          <w:rFonts w:hint="eastAsia" w:ascii="宋体" w:hAnsi="宋体" w:eastAsia="宋体" w:cs="宋体"/>
          <w:sz w:val="25"/>
          <w:szCs w:val="25"/>
        </w:rPr>
      </w:pPr>
    </w:p>
    <w:p>
      <w:pPr>
        <w:pStyle w:val="17"/>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17"/>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6"/>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7"/>
              <w:autoSpaceDE w:val="0"/>
              <w:autoSpaceDN w:val="0"/>
              <w:rPr>
                <w:rFonts w:hint="eastAsia" w:ascii="宋体" w:hAnsi="宋体" w:eastAsia="宋体" w:cs="宋体"/>
              </w:rPr>
            </w:pPr>
          </w:p>
        </w:tc>
        <w:tc>
          <w:tcPr>
            <w:tcW w:w="3707" w:type="dxa"/>
            <w:vMerge w:val="continue"/>
            <w:tcBorders>
              <w:top w:val="nil"/>
            </w:tcBorders>
            <w:vAlign w:val="top"/>
          </w:tcPr>
          <w:p>
            <w:pPr>
              <w:pStyle w:val="267"/>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7"/>
              <w:autoSpaceDE w:val="0"/>
              <w:autoSpaceDN w:val="0"/>
              <w:rPr>
                <w:rFonts w:hint="eastAsia" w:ascii="宋体" w:hAnsi="宋体" w:eastAsia="宋体" w:cs="宋体"/>
              </w:rPr>
            </w:pPr>
          </w:p>
        </w:tc>
        <w:tc>
          <w:tcPr>
            <w:tcW w:w="3707" w:type="dxa"/>
            <w:vAlign w:val="top"/>
          </w:tcPr>
          <w:p>
            <w:pPr>
              <w:pStyle w:val="267"/>
              <w:autoSpaceDE w:val="0"/>
              <w:autoSpaceDN w:val="0"/>
              <w:rPr>
                <w:rFonts w:hint="eastAsia" w:ascii="宋体" w:hAnsi="宋体" w:eastAsia="宋体" w:cs="宋体"/>
              </w:rPr>
            </w:pPr>
          </w:p>
        </w:tc>
        <w:tc>
          <w:tcPr>
            <w:tcW w:w="1988" w:type="dxa"/>
            <w:vAlign w:val="top"/>
          </w:tcPr>
          <w:p>
            <w:pPr>
              <w:pStyle w:val="267"/>
              <w:autoSpaceDE w:val="0"/>
              <w:autoSpaceDN w:val="0"/>
              <w:rPr>
                <w:rFonts w:hint="eastAsia" w:ascii="宋体" w:hAnsi="宋体" w:eastAsia="宋体" w:cs="宋体"/>
              </w:rPr>
            </w:pPr>
          </w:p>
        </w:tc>
        <w:tc>
          <w:tcPr>
            <w:tcW w:w="1987" w:type="dxa"/>
            <w:vAlign w:val="top"/>
          </w:tcPr>
          <w:p>
            <w:pPr>
              <w:pStyle w:val="267"/>
              <w:autoSpaceDE w:val="0"/>
              <w:autoSpaceDN w:val="0"/>
              <w:rPr>
                <w:rFonts w:hint="eastAsia" w:ascii="宋体" w:hAnsi="宋体" w:eastAsia="宋体" w:cs="宋体"/>
              </w:rPr>
            </w:pPr>
          </w:p>
        </w:tc>
      </w:tr>
    </w:tbl>
    <w:p>
      <w:pPr>
        <w:pStyle w:val="17"/>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17"/>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7"/>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6" w:type="default"/>
          <w:footerReference r:id="rId17"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Pr>
        <w:pStyle w:val="17"/>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17"/>
        <w:spacing w:before="150" w:line="205" w:lineRule="auto"/>
        <w:ind w:left="5859"/>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17"/>
        <w:spacing w:before="107" w:line="190" w:lineRule="auto"/>
        <w:ind w:left="80"/>
        <w:rPr>
          <w:rFonts w:hint="eastAsia" w:ascii="宋体" w:hAnsi="宋体" w:eastAsia="宋体" w:cs="宋体"/>
          <w:sz w:val="25"/>
          <w:szCs w:val="25"/>
        </w:rPr>
      </w:pPr>
    </w:p>
    <w:p>
      <w:pPr>
        <w:pStyle w:val="17"/>
        <w:spacing w:before="248" w:line="179"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项目名称：</w:t>
      </w:r>
      <w:r>
        <w:rPr>
          <w:rFonts w:hint="eastAsia" w:ascii="宋体" w:hAnsi="宋体" w:eastAsia="宋体" w:cs="宋体"/>
          <w:sz w:val="24"/>
          <w:szCs w:val="24"/>
          <w:u w:val="single" w:color="auto"/>
        </w:rPr>
        <w:t xml:space="preserve">                 </w:t>
      </w:r>
      <w:r>
        <w:rPr>
          <w:rFonts w:hint="eastAsia" w:ascii="宋体" w:hAnsi="宋体" w:eastAsia="宋体" w:cs="宋体"/>
          <w:spacing w:val="-57"/>
          <w:sz w:val="24"/>
          <w:szCs w:val="24"/>
        </w:rPr>
        <w:t xml:space="preserve"> </w:t>
      </w:r>
      <w:r>
        <w:rPr>
          <w:rFonts w:hint="eastAsia" w:ascii="宋体" w:hAnsi="宋体" w:eastAsia="宋体" w:cs="宋体"/>
          <w:sz w:val="24"/>
          <w:szCs w:val="24"/>
        </w:rPr>
        <w:t>报价单位：人民币元</w:t>
      </w:r>
    </w:p>
    <w:tbl>
      <w:tblPr>
        <w:tblStyle w:val="256"/>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52"/>
        <w:gridCol w:w="1324"/>
        <w:gridCol w:w="944"/>
        <w:gridCol w:w="1253"/>
        <w:gridCol w:w="1253"/>
        <w:gridCol w:w="1253"/>
        <w:gridCol w:w="1254"/>
        <w:gridCol w:w="1254"/>
        <w:gridCol w:w="1253"/>
        <w:gridCol w:w="1024"/>
        <w:gridCol w:w="831"/>
        <w:gridCol w:w="10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52" w:hRule="atLeast"/>
        </w:trPr>
        <w:tc>
          <w:tcPr>
            <w:tcW w:w="503" w:type="dxa"/>
            <w:textDirection w:val="tbRlV"/>
            <w:vAlign w:val="top"/>
          </w:tcPr>
          <w:p>
            <w:pPr>
              <w:autoSpaceDE w:val="0"/>
              <w:autoSpaceDN w:val="0"/>
              <w:spacing w:before="149" w:line="179" w:lineRule="auto"/>
              <w:ind w:left="218"/>
              <w:rPr>
                <w:rFonts w:hint="eastAsia" w:ascii="宋体" w:hAnsi="宋体" w:eastAsia="宋体" w:cs="宋体"/>
                <w:sz w:val="24"/>
                <w:szCs w:val="24"/>
              </w:rPr>
            </w:pPr>
            <w:r>
              <w:rPr>
                <w:rFonts w:hint="eastAsia" w:ascii="宋体" w:hAnsi="宋体" w:eastAsia="宋体" w:cs="宋体"/>
                <w:b/>
                <w:bCs/>
                <w:spacing w:val="20"/>
                <w:sz w:val="24"/>
                <w:szCs w:val="24"/>
              </w:rPr>
              <w:t>序 号</w:t>
            </w:r>
          </w:p>
        </w:tc>
        <w:tc>
          <w:tcPr>
            <w:tcW w:w="1052" w:type="dxa"/>
            <w:vAlign w:val="top"/>
          </w:tcPr>
          <w:p>
            <w:pPr>
              <w:autoSpaceDE w:val="0"/>
              <w:autoSpaceDN w:val="0"/>
              <w:spacing w:before="218" w:line="202" w:lineRule="auto"/>
              <w:ind w:left="106" w:right="222"/>
              <w:rPr>
                <w:rFonts w:hint="eastAsia" w:ascii="宋体" w:hAnsi="宋体" w:eastAsia="宋体" w:cs="宋体"/>
                <w:sz w:val="24"/>
                <w:szCs w:val="24"/>
              </w:rPr>
            </w:pPr>
            <w:r>
              <w:rPr>
                <w:rFonts w:hint="eastAsia" w:ascii="宋体" w:hAnsi="宋体" w:eastAsia="宋体" w:cs="宋体"/>
                <w:b/>
                <w:bCs/>
                <w:spacing w:val="-2"/>
                <w:sz w:val="24"/>
                <w:szCs w:val="24"/>
              </w:rPr>
              <w:t>分项名</w:t>
            </w:r>
            <w:r>
              <w:rPr>
                <w:rFonts w:hint="eastAsia" w:ascii="宋体" w:hAnsi="宋体" w:eastAsia="宋体" w:cs="宋体"/>
                <w:b/>
                <w:bCs/>
                <w:spacing w:val="1"/>
                <w:sz w:val="24"/>
                <w:szCs w:val="24"/>
              </w:rPr>
              <w:t xml:space="preserve"> </w:t>
            </w:r>
            <w:r>
              <w:rPr>
                <w:rFonts w:hint="eastAsia" w:ascii="宋体" w:hAnsi="宋体" w:eastAsia="宋体" w:cs="宋体"/>
                <w:b/>
                <w:bCs/>
                <w:sz w:val="24"/>
                <w:szCs w:val="24"/>
              </w:rPr>
              <w:t>称</w:t>
            </w:r>
          </w:p>
        </w:tc>
        <w:tc>
          <w:tcPr>
            <w:tcW w:w="1324" w:type="dxa"/>
            <w:vAlign w:val="top"/>
          </w:tcPr>
          <w:p>
            <w:pPr>
              <w:pStyle w:val="267"/>
              <w:autoSpaceDE w:val="0"/>
              <w:autoSpaceDN w:val="0"/>
              <w:spacing w:line="287" w:lineRule="auto"/>
              <w:rPr>
                <w:rFonts w:hint="eastAsia" w:ascii="宋体" w:hAnsi="宋体" w:eastAsia="宋体" w:cs="宋体"/>
              </w:rPr>
            </w:pPr>
          </w:p>
          <w:p>
            <w:pPr>
              <w:autoSpaceDE w:val="0"/>
              <w:autoSpaceDN w:val="0"/>
              <w:spacing w:before="103" w:line="201" w:lineRule="auto"/>
              <w:ind w:left="109"/>
              <w:rPr>
                <w:rFonts w:hint="eastAsia" w:ascii="宋体" w:hAnsi="宋体" w:eastAsia="宋体" w:cs="宋体"/>
                <w:sz w:val="24"/>
                <w:szCs w:val="24"/>
              </w:rPr>
            </w:pPr>
            <w:r>
              <w:rPr>
                <w:rFonts w:hint="eastAsia" w:ascii="宋体" w:hAnsi="宋体" w:eastAsia="宋体" w:cs="宋体"/>
                <w:b/>
                <w:bCs/>
                <w:spacing w:val="-2"/>
                <w:sz w:val="24"/>
                <w:szCs w:val="24"/>
              </w:rPr>
              <w:t>制造商</w:t>
            </w:r>
          </w:p>
        </w:tc>
        <w:tc>
          <w:tcPr>
            <w:tcW w:w="944" w:type="dxa"/>
            <w:vAlign w:val="top"/>
          </w:tcPr>
          <w:p>
            <w:pPr>
              <w:pStyle w:val="267"/>
              <w:autoSpaceDE w:val="0"/>
              <w:autoSpaceDN w:val="0"/>
              <w:spacing w:before="219" w:line="201" w:lineRule="auto"/>
              <w:ind w:left="132" w:right="266" w:hanging="23"/>
              <w:rPr>
                <w:rFonts w:hint="eastAsia" w:ascii="宋体" w:hAnsi="宋体" w:eastAsia="宋体" w:cs="宋体"/>
                <w:sz w:val="24"/>
                <w:szCs w:val="24"/>
              </w:rPr>
            </w:pPr>
            <w:r>
              <w:rPr>
                <w:rFonts w:hint="eastAsia" w:ascii="宋体" w:hAnsi="宋体" w:eastAsia="宋体" w:cs="宋体"/>
                <w:b/>
                <w:bCs/>
                <w:spacing w:val="5"/>
                <w:sz w:val="24"/>
                <w:szCs w:val="24"/>
              </w:rPr>
              <w:t>产地/</w:t>
            </w:r>
            <w:r>
              <w:rPr>
                <w:rFonts w:hint="eastAsia" w:ascii="宋体" w:hAnsi="宋体" w:eastAsia="宋体" w:cs="宋体"/>
                <w:b/>
                <w:bCs/>
                <w:sz w:val="24"/>
                <w:szCs w:val="24"/>
              </w:rPr>
              <w:t xml:space="preserve"> </w:t>
            </w:r>
            <w:r>
              <w:rPr>
                <w:rFonts w:hint="eastAsia" w:ascii="宋体" w:hAnsi="宋体" w:eastAsia="宋体" w:cs="宋体"/>
                <w:b/>
                <w:bCs/>
                <w:spacing w:val="-15"/>
                <w:sz w:val="24"/>
                <w:szCs w:val="24"/>
              </w:rPr>
              <w:t>国别</w:t>
            </w:r>
          </w:p>
        </w:tc>
        <w:tc>
          <w:tcPr>
            <w:tcW w:w="1253" w:type="dxa"/>
            <w:vAlign w:val="top"/>
          </w:tcPr>
          <w:p>
            <w:pPr>
              <w:autoSpaceDE w:val="0"/>
              <w:autoSpaceDN w:val="0"/>
              <w:spacing w:before="48" w:line="193" w:lineRule="auto"/>
              <w:ind w:left="146" w:right="143" w:firstLine="120"/>
              <w:jc w:val="both"/>
              <w:rPr>
                <w:rFonts w:hint="eastAsia" w:ascii="宋体" w:hAnsi="宋体" w:eastAsia="宋体" w:cs="宋体"/>
                <w:sz w:val="24"/>
                <w:szCs w:val="24"/>
              </w:rPr>
            </w:pPr>
            <w:r>
              <w:rPr>
                <w:rFonts w:hint="eastAsia" w:ascii="宋体" w:hAnsi="宋体" w:eastAsia="宋体" w:cs="宋体"/>
                <w:b/>
                <w:bCs/>
                <w:spacing w:val="-2"/>
                <w:sz w:val="24"/>
                <w:szCs w:val="24"/>
              </w:rPr>
              <w:t>制造商</w:t>
            </w:r>
            <w:r>
              <w:rPr>
                <w:rFonts w:hint="eastAsia" w:ascii="宋体" w:hAnsi="宋体" w:eastAsia="宋体" w:cs="宋体"/>
                <w:b/>
                <w:bCs/>
                <w:sz w:val="24"/>
                <w:szCs w:val="24"/>
              </w:rPr>
              <w:t xml:space="preserve">  </w:t>
            </w:r>
            <w:r>
              <w:rPr>
                <w:rFonts w:hint="eastAsia" w:ascii="宋体" w:hAnsi="宋体" w:eastAsia="宋体" w:cs="宋体"/>
                <w:b/>
                <w:bCs/>
                <w:spacing w:val="-1"/>
                <w:sz w:val="24"/>
                <w:szCs w:val="24"/>
              </w:rPr>
              <w:t>统一社会</w:t>
            </w:r>
            <w:r>
              <w:rPr>
                <w:rFonts w:hint="eastAsia" w:ascii="宋体" w:hAnsi="宋体" w:eastAsia="宋体" w:cs="宋体"/>
                <w:b/>
                <w:bCs/>
                <w:sz w:val="24"/>
                <w:szCs w:val="24"/>
              </w:rPr>
              <w:t xml:space="preserve"> </w:t>
            </w:r>
            <w:r>
              <w:rPr>
                <w:rFonts w:hint="eastAsia" w:ascii="宋体" w:hAnsi="宋体" w:eastAsia="宋体" w:cs="宋体"/>
                <w:b/>
                <w:bCs/>
                <w:spacing w:val="-1"/>
                <w:sz w:val="24"/>
                <w:szCs w:val="24"/>
              </w:rPr>
              <w:t>信用代码</w:t>
            </w:r>
          </w:p>
        </w:tc>
        <w:tc>
          <w:tcPr>
            <w:tcW w:w="1253" w:type="dxa"/>
            <w:vAlign w:val="top"/>
          </w:tcPr>
          <w:p>
            <w:pPr>
              <w:autoSpaceDE w:val="0"/>
              <w:autoSpaceDN w:val="0"/>
              <w:spacing w:before="218" w:line="201" w:lineRule="auto"/>
              <w:ind w:left="389" w:right="261" w:hanging="120"/>
              <w:rPr>
                <w:rFonts w:hint="eastAsia" w:ascii="宋体" w:hAnsi="宋体" w:eastAsia="宋体" w:cs="宋体"/>
                <w:sz w:val="24"/>
                <w:szCs w:val="24"/>
              </w:rPr>
            </w:pPr>
            <w:r>
              <w:rPr>
                <w:rFonts w:hint="eastAsia" w:ascii="宋体" w:hAnsi="宋体" w:eastAsia="宋体" w:cs="宋体"/>
                <w:b/>
                <w:bCs/>
                <w:spacing w:val="-2"/>
                <w:sz w:val="24"/>
                <w:szCs w:val="24"/>
              </w:rPr>
              <w:t>制造商</w:t>
            </w:r>
            <w:r>
              <w:rPr>
                <w:rFonts w:hint="eastAsia" w:ascii="宋体" w:hAnsi="宋体" w:eastAsia="宋体" w:cs="宋体"/>
                <w:b/>
                <w:bCs/>
                <w:spacing w:val="1"/>
                <w:sz w:val="24"/>
                <w:szCs w:val="24"/>
              </w:rPr>
              <w:t xml:space="preserve"> </w:t>
            </w:r>
            <w:r>
              <w:rPr>
                <w:rFonts w:hint="eastAsia" w:ascii="宋体" w:hAnsi="宋体" w:eastAsia="宋体" w:cs="宋体"/>
                <w:b/>
                <w:bCs/>
                <w:spacing w:val="-3"/>
                <w:sz w:val="24"/>
                <w:szCs w:val="24"/>
              </w:rPr>
              <w:t>规模</w:t>
            </w:r>
          </w:p>
        </w:tc>
        <w:tc>
          <w:tcPr>
            <w:tcW w:w="1253" w:type="dxa"/>
            <w:vAlign w:val="top"/>
          </w:tcPr>
          <w:p>
            <w:pPr>
              <w:autoSpaceDE w:val="0"/>
              <w:autoSpaceDN w:val="0"/>
              <w:spacing w:before="45" w:line="201" w:lineRule="auto"/>
              <w:ind w:left="269" w:right="141" w:hanging="120"/>
              <w:rPr>
                <w:rFonts w:hint="eastAsia" w:ascii="宋体" w:hAnsi="宋体" w:eastAsia="宋体" w:cs="宋体"/>
                <w:sz w:val="24"/>
                <w:szCs w:val="24"/>
              </w:rPr>
            </w:pPr>
            <w:r>
              <w:rPr>
                <w:rFonts w:hint="eastAsia" w:ascii="宋体" w:hAnsi="宋体" w:eastAsia="宋体" w:cs="宋体"/>
                <w:b/>
                <w:bCs/>
                <w:spacing w:val="-1"/>
                <w:sz w:val="24"/>
                <w:szCs w:val="24"/>
              </w:rPr>
              <w:t>制造商所</w:t>
            </w:r>
            <w:r>
              <w:rPr>
                <w:rFonts w:hint="eastAsia" w:ascii="宋体" w:hAnsi="宋体" w:eastAsia="宋体" w:cs="宋体"/>
                <w:b/>
                <w:bCs/>
                <w:sz w:val="24"/>
                <w:szCs w:val="24"/>
              </w:rPr>
              <w:t xml:space="preserve"> </w:t>
            </w:r>
            <w:r>
              <w:rPr>
                <w:rFonts w:hint="eastAsia" w:ascii="宋体" w:hAnsi="宋体" w:eastAsia="宋体" w:cs="宋体"/>
                <w:b/>
                <w:bCs/>
                <w:spacing w:val="-2"/>
                <w:sz w:val="24"/>
                <w:szCs w:val="24"/>
              </w:rPr>
              <w:t>属性别</w:t>
            </w:r>
          </w:p>
        </w:tc>
        <w:tc>
          <w:tcPr>
            <w:tcW w:w="1254" w:type="dxa"/>
            <w:vAlign w:val="top"/>
          </w:tcPr>
          <w:p>
            <w:pPr>
              <w:autoSpaceDE w:val="0"/>
              <w:autoSpaceDN w:val="0"/>
              <w:spacing w:before="45" w:line="201" w:lineRule="auto"/>
              <w:ind w:left="389" w:right="140" w:hanging="239"/>
              <w:rPr>
                <w:rFonts w:hint="eastAsia" w:ascii="宋体" w:hAnsi="宋体" w:eastAsia="宋体" w:cs="宋体"/>
                <w:sz w:val="24"/>
                <w:szCs w:val="24"/>
              </w:rPr>
            </w:pPr>
            <w:r>
              <w:rPr>
                <w:rFonts w:hint="eastAsia" w:ascii="宋体" w:hAnsi="宋体" w:eastAsia="宋体" w:cs="宋体"/>
                <w:b/>
                <w:bCs/>
                <w:spacing w:val="-1"/>
                <w:sz w:val="24"/>
                <w:szCs w:val="24"/>
              </w:rPr>
              <w:t>外商投资</w:t>
            </w:r>
            <w:r>
              <w:rPr>
                <w:rFonts w:hint="eastAsia" w:ascii="宋体" w:hAnsi="宋体" w:eastAsia="宋体" w:cs="宋体"/>
                <w:b/>
                <w:bCs/>
                <w:spacing w:val="1"/>
                <w:sz w:val="24"/>
                <w:szCs w:val="24"/>
              </w:rPr>
              <w:t xml:space="preserve"> </w:t>
            </w:r>
            <w:r>
              <w:rPr>
                <w:rFonts w:hint="eastAsia" w:ascii="宋体" w:hAnsi="宋体" w:eastAsia="宋体" w:cs="宋体"/>
                <w:b/>
                <w:bCs/>
                <w:spacing w:val="-2"/>
                <w:sz w:val="24"/>
                <w:szCs w:val="24"/>
              </w:rPr>
              <w:t>类型</w:t>
            </w:r>
          </w:p>
        </w:tc>
        <w:tc>
          <w:tcPr>
            <w:tcW w:w="1254" w:type="dxa"/>
            <w:vAlign w:val="top"/>
          </w:tcPr>
          <w:p>
            <w:pPr>
              <w:pStyle w:val="267"/>
              <w:autoSpaceDE w:val="0"/>
              <w:autoSpaceDN w:val="0"/>
              <w:spacing w:line="286" w:lineRule="auto"/>
              <w:rPr>
                <w:rFonts w:hint="eastAsia" w:ascii="宋体" w:hAnsi="宋体" w:eastAsia="宋体" w:cs="宋体"/>
              </w:rPr>
            </w:pPr>
          </w:p>
          <w:p>
            <w:pPr>
              <w:autoSpaceDE w:val="0"/>
              <w:autoSpaceDN w:val="0"/>
              <w:spacing w:before="103" w:line="201" w:lineRule="auto"/>
              <w:ind w:left="407"/>
              <w:rPr>
                <w:rFonts w:hint="eastAsia" w:ascii="宋体" w:hAnsi="宋体" w:eastAsia="宋体" w:cs="宋体"/>
                <w:sz w:val="24"/>
                <w:szCs w:val="24"/>
              </w:rPr>
            </w:pPr>
            <w:r>
              <w:rPr>
                <w:rFonts w:hint="eastAsia" w:ascii="宋体" w:hAnsi="宋体" w:eastAsia="宋体" w:cs="宋体"/>
                <w:b/>
                <w:bCs/>
                <w:spacing w:val="-12"/>
                <w:sz w:val="24"/>
                <w:szCs w:val="24"/>
              </w:rPr>
              <w:t>品牌</w:t>
            </w:r>
          </w:p>
        </w:tc>
        <w:tc>
          <w:tcPr>
            <w:tcW w:w="1253" w:type="dxa"/>
            <w:vAlign w:val="top"/>
          </w:tcPr>
          <w:p>
            <w:pPr>
              <w:autoSpaceDE w:val="0"/>
              <w:autoSpaceDN w:val="0"/>
              <w:spacing w:before="219" w:line="202" w:lineRule="auto"/>
              <w:ind w:left="113" w:right="177"/>
              <w:rPr>
                <w:rFonts w:hint="eastAsia" w:ascii="宋体" w:hAnsi="宋体" w:eastAsia="宋体" w:cs="宋体"/>
                <w:sz w:val="24"/>
                <w:szCs w:val="24"/>
              </w:rPr>
            </w:pPr>
            <w:r>
              <w:rPr>
                <w:rFonts w:hint="eastAsia" w:ascii="宋体" w:hAnsi="宋体" w:eastAsia="宋体" w:cs="宋体"/>
                <w:b/>
                <w:bCs/>
                <w:spacing w:val="-1"/>
                <w:sz w:val="24"/>
                <w:szCs w:val="24"/>
              </w:rPr>
              <w:t>规格、型</w:t>
            </w:r>
            <w:r>
              <w:rPr>
                <w:rFonts w:hint="eastAsia" w:ascii="宋体" w:hAnsi="宋体" w:eastAsia="宋体" w:cs="宋体"/>
                <w:b/>
                <w:bCs/>
                <w:sz w:val="24"/>
                <w:szCs w:val="24"/>
              </w:rPr>
              <w:t xml:space="preserve"> 号</w:t>
            </w:r>
          </w:p>
        </w:tc>
        <w:tc>
          <w:tcPr>
            <w:tcW w:w="1024" w:type="dxa"/>
            <w:vAlign w:val="top"/>
          </w:tcPr>
          <w:p>
            <w:pPr>
              <w:autoSpaceDE w:val="0"/>
              <w:autoSpaceDN w:val="0"/>
              <w:spacing w:before="217" w:line="199" w:lineRule="auto"/>
              <w:ind w:left="102" w:right="183" w:firstLine="9"/>
              <w:rPr>
                <w:rFonts w:hint="eastAsia" w:ascii="宋体" w:hAnsi="宋体" w:eastAsia="宋体" w:cs="宋体"/>
                <w:sz w:val="24"/>
                <w:szCs w:val="24"/>
              </w:rPr>
            </w:pPr>
            <w:r>
              <w:rPr>
                <w:rFonts w:hint="eastAsia" w:ascii="宋体" w:hAnsi="宋体" w:eastAsia="宋体" w:cs="宋体"/>
                <w:b/>
                <w:bCs/>
                <w:spacing w:val="-2"/>
                <w:sz w:val="24"/>
                <w:szCs w:val="24"/>
              </w:rPr>
              <w:t>单价</w:t>
            </w:r>
            <w:r>
              <w:rPr>
                <w:rFonts w:hint="eastAsia" w:ascii="宋体" w:hAnsi="宋体" w:eastAsia="宋体" w:cs="宋体"/>
                <w:b/>
                <w:bCs/>
                <w:sz w:val="24"/>
                <w:szCs w:val="24"/>
              </w:rPr>
              <w:t xml:space="preserve">    </w:t>
            </w:r>
            <w:r>
              <w:rPr>
                <w:rFonts w:hint="eastAsia" w:ascii="宋体" w:hAnsi="宋体" w:eastAsia="宋体" w:cs="宋体"/>
                <w:b/>
                <w:bCs/>
                <w:spacing w:val="4"/>
                <w:sz w:val="24"/>
                <w:szCs w:val="24"/>
              </w:rPr>
              <w:t>（元）</w:t>
            </w:r>
          </w:p>
        </w:tc>
        <w:tc>
          <w:tcPr>
            <w:tcW w:w="831" w:type="dxa"/>
            <w:vAlign w:val="top"/>
          </w:tcPr>
          <w:p>
            <w:pPr>
              <w:pStyle w:val="267"/>
              <w:autoSpaceDE w:val="0"/>
              <w:autoSpaceDN w:val="0"/>
              <w:spacing w:line="286" w:lineRule="auto"/>
              <w:rPr>
                <w:rFonts w:hint="eastAsia" w:ascii="宋体" w:hAnsi="宋体" w:eastAsia="宋体" w:cs="宋体"/>
              </w:rPr>
            </w:pPr>
          </w:p>
          <w:p>
            <w:pPr>
              <w:autoSpaceDE w:val="0"/>
              <w:autoSpaceDN w:val="0"/>
              <w:spacing w:before="103" w:line="201" w:lineRule="auto"/>
              <w:ind w:left="113"/>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026" w:type="dxa"/>
            <w:vAlign w:val="top"/>
          </w:tcPr>
          <w:p>
            <w:pPr>
              <w:autoSpaceDE w:val="0"/>
              <w:autoSpaceDN w:val="0"/>
              <w:spacing w:before="217" w:line="199" w:lineRule="auto"/>
              <w:ind w:left="102" w:right="185" w:firstLine="9"/>
              <w:rPr>
                <w:rFonts w:hint="eastAsia" w:ascii="宋体" w:hAnsi="宋体" w:eastAsia="宋体" w:cs="宋体"/>
                <w:sz w:val="24"/>
                <w:szCs w:val="24"/>
              </w:rPr>
            </w:pPr>
            <w:r>
              <w:rPr>
                <w:rFonts w:hint="eastAsia" w:ascii="宋体" w:hAnsi="宋体" w:eastAsia="宋体" w:cs="宋体"/>
                <w:b/>
                <w:bCs/>
                <w:spacing w:val="-2"/>
                <w:sz w:val="24"/>
                <w:szCs w:val="24"/>
              </w:rPr>
              <w:t>合价</w:t>
            </w:r>
            <w:r>
              <w:rPr>
                <w:rFonts w:hint="eastAsia" w:ascii="宋体" w:hAnsi="宋体" w:eastAsia="宋体" w:cs="宋体"/>
                <w:b/>
                <w:bCs/>
                <w:sz w:val="24"/>
                <w:szCs w:val="24"/>
              </w:rPr>
              <w:t xml:space="preserve">    </w:t>
            </w:r>
            <w:r>
              <w:rPr>
                <w:rFonts w:hint="eastAsia" w:ascii="宋体" w:hAnsi="宋体" w:eastAsia="宋体" w:cs="宋体"/>
                <w:b/>
                <w:bCs/>
                <w:spacing w:val="4"/>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7"/>
              <w:autoSpaceDE w:val="0"/>
              <w:autoSpaceDN w:val="0"/>
              <w:spacing w:before="44" w:line="199" w:lineRule="auto"/>
              <w:ind w:left="134"/>
              <w:rPr>
                <w:rFonts w:hint="eastAsia" w:ascii="宋体" w:hAnsi="宋体" w:eastAsia="宋体" w:cs="宋体"/>
                <w:sz w:val="24"/>
                <w:szCs w:val="24"/>
              </w:rPr>
            </w:pPr>
            <w:r>
              <w:rPr>
                <w:rFonts w:hint="eastAsia" w:ascii="宋体" w:hAnsi="宋体" w:eastAsia="宋体" w:cs="宋体"/>
                <w:sz w:val="24"/>
                <w:szCs w:val="24"/>
              </w:rPr>
              <w:t>1</w:t>
            </w:r>
          </w:p>
        </w:tc>
        <w:tc>
          <w:tcPr>
            <w:tcW w:w="1052" w:type="dxa"/>
            <w:vAlign w:val="top"/>
          </w:tcPr>
          <w:p>
            <w:pPr>
              <w:pStyle w:val="267"/>
              <w:autoSpaceDE w:val="0"/>
              <w:autoSpaceDN w:val="0"/>
              <w:rPr>
                <w:rFonts w:hint="eastAsia" w:ascii="宋体" w:hAnsi="宋体" w:eastAsia="宋体" w:cs="宋体"/>
              </w:rPr>
            </w:pPr>
          </w:p>
        </w:tc>
        <w:tc>
          <w:tcPr>
            <w:tcW w:w="1324" w:type="dxa"/>
            <w:vAlign w:val="top"/>
          </w:tcPr>
          <w:p>
            <w:pPr>
              <w:pStyle w:val="267"/>
              <w:autoSpaceDE w:val="0"/>
              <w:autoSpaceDN w:val="0"/>
              <w:rPr>
                <w:rFonts w:hint="eastAsia" w:ascii="宋体" w:hAnsi="宋体" w:eastAsia="宋体" w:cs="宋体"/>
              </w:rPr>
            </w:pPr>
          </w:p>
        </w:tc>
        <w:tc>
          <w:tcPr>
            <w:tcW w:w="944" w:type="dxa"/>
            <w:vAlign w:val="top"/>
          </w:tcPr>
          <w:p>
            <w:pPr>
              <w:pStyle w:val="267"/>
              <w:autoSpaceDE w:val="0"/>
              <w:autoSpaceDN w:val="0"/>
              <w:rPr>
                <w:rFonts w:hint="eastAsia" w:ascii="宋体" w:hAnsi="宋体" w:eastAsia="宋体" w:cs="宋体"/>
              </w:rPr>
            </w:pPr>
          </w:p>
        </w:tc>
        <w:tc>
          <w:tcPr>
            <w:tcW w:w="1253" w:type="dxa"/>
            <w:vAlign w:val="top"/>
          </w:tcPr>
          <w:p>
            <w:pPr>
              <w:pStyle w:val="267"/>
              <w:autoSpaceDE w:val="0"/>
              <w:autoSpaceDN w:val="0"/>
              <w:rPr>
                <w:rFonts w:hint="eastAsia" w:ascii="宋体" w:hAnsi="宋体" w:eastAsia="宋体" w:cs="宋体"/>
              </w:rPr>
            </w:pPr>
          </w:p>
        </w:tc>
        <w:tc>
          <w:tcPr>
            <w:tcW w:w="1253" w:type="dxa"/>
            <w:vAlign w:val="top"/>
          </w:tcPr>
          <w:p>
            <w:pPr>
              <w:pStyle w:val="267"/>
              <w:autoSpaceDE w:val="0"/>
              <w:autoSpaceDN w:val="0"/>
              <w:rPr>
                <w:rFonts w:hint="eastAsia" w:ascii="宋体" w:hAnsi="宋体" w:eastAsia="宋体" w:cs="宋体"/>
              </w:rPr>
            </w:pPr>
          </w:p>
        </w:tc>
        <w:tc>
          <w:tcPr>
            <w:tcW w:w="1253" w:type="dxa"/>
            <w:vAlign w:val="top"/>
          </w:tcPr>
          <w:p>
            <w:pPr>
              <w:pStyle w:val="267"/>
              <w:autoSpaceDE w:val="0"/>
              <w:autoSpaceDN w:val="0"/>
              <w:rPr>
                <w:rFonts w:hint="eastAsia" w:ascii="宋体" w:hAnsi="宋体" w:eastAsia="宋体" w:cs="宋体"/>
              </w:rPr>
            </w:pPr>
          </w:p>
        </w:tc>
        <w:tc>
          <w:tcPr>
            <w:tcW w:w="1254" w:type="dxa"/>
            <w:vAlign w:val="top"/>
          </w:tcPr>
          <w:p>
            <w:pPr>
              <w:pStyle w:val="267"/>
              <w:autoSpaceDE w:val="0"/>
              <w:autoSpaceDN w:val="0"/>
              <w:rPr>
                <w:rFonts w:hint="eastAsia" w:ascii="宋体" w:hAnsi="宋体" w:eastAsia="宋体" w:cs="宋体"/>
              </w:rPr>
            </w:pPr>
          </w:p>
        </w:tc>
        <w:tc>
          <w:tcPr>
            <w:tcW w:w="1254" w:type="dxa"/>
            <w:vAlign w:val="top"/>
          </w:tcPr>
          <w:p>
            <w:pPr>
              <w:pStyle w:val="267"/>
              <w:autoSpaceDE w:val="0"/>
              <w:autoSpaceDN w:val="0"/>
              <w:rPr>
                <w:rFonts w:hint="eastAsia" w:ascii="宋体" w:hAnsi="宋体" w:eastAsia="宋体" w:cs="宋体"/>
              </w:rPr>
            </w:pPr>
          </w:p>
        </w:tc>
        <w:tc>
          <w:tcPr>
            <w:tcW w:w="1253" w:type="dxa"/>
            <w:vAlign w:val="top"/>
          </w:tcPr>
          <w:p>
            <w:pPr>
              <w:pStyle w:val="267"/>
              <w:autoSpaceDE w:val="0"/>
              <w:autoSpaceDN w:val="0"/>
              <w:rPr>
                <w:rFonts w:hint="eastAsia" w:ascii="宋体" w:hAnsi="宋体" w:eastAsia="宋体" w:cs="宋体"/>
              </w:rPr>
            </w:pPr>
          </w:p>
        </w:tc>
        <w:tc>
          <w:tcPr>
            <w:tcW w:w="1024" w:type="dxa"/>
            <w:vAlign w:val="top"/>
          </w:tcPr>
          <w:p>
            <w:pPr>
              <w:pStyle w:val="267"/>
              <w:autoSpaceDE w:val="0"/>
              <w:autoSpaceDN w:val="0"/>
              <w:rPr>
                <w:rFonts w:hint="eastAsia" w:ascii="宋体" w:hAnsi="宋体" w:eastAsia="宋体" w:cs="宋体"/>
              </w:rPr>
            </w:pPr>
          </w:p>
        </w:tc>
        <w:tc>
          <w:tcPr>
            <w:tcW w:w="831" w:type="dxa"/>
            <w:vAlign w:val="top"/>
          </w:tcPr>
          <w:p>
            <w:pPr>
              <w:pStyle w:val="267"/>
              <w:autoSpaceDE w:val="0"/>
              <w:autoSpaceDN w:val="0"/>
              <w:rPr>
                <w:rFonts w:hint="eastAsia" w:ascii="宋体" w:hAnsi="宋体" w:eastAsia="宋体" w:cs="宋体"/>
              </w:rPr>
            </w:pPr>
          </w:p>
        </w:tc>
        <w:tc>
          <w:tcPr>
            <w:tcW w:w="1026"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7"/>
              <w:autoSpaceDE w:val="0"/>
              <w:autoSpaceDN w:val="0"/>
              <w:spacing w:before="42" w:line="201" w:lineRule="auto"/>
              <w:ind w:left="125"/>
              <w:rPr>
                <w:rFonts w:hint="eastAsia" w:ascii="宋体" w:hAnsi="宋体" w:eastAsia="宋体" w:cs="宋体"/>
                <w:sz w:val="24"/>
                <w:szCs w:val="24"/>
              </w:rPr>
            </w:pPr>
            <w:r>
              <w:rPr>
                <w:rFonts w:hint="eastAsia" w:ascii="宋体" w:hAnsi="宋体" w:eastAsia="宋体" w:cs="宋体"/>
                <w:spacing w:val="1"/>
                <w:sz w:val="24"/>
                <w:szCs w:val="24"/>
              </w:rPr>
              <w:t>2</w:t>
            </w:r>
          </w:p>
        </w:tc>
        <w:tc>
          <w:tcPr>
            <w:tcW w:w="1052" w:type="dxa"/>
            <w:vAlign w:val="top"/>
          </w:tcPr>
          <w:p>
            <w:pPr>
              <w:pStyle w:val="267"/>
              <w:autoSpaceDE w:val="0"/>
              <w:autoSpaceDN w:val="0"/>
              <w:rPr>
                <w:rFonts w:hint="eastAsia" w:ascii="宋体" w:hAnsi="宋体" w:eastAsia="宋体" w:cs="宋体"/>
              </w:rPr>
            </w:pPr>
          </w:p>
        </w:tc>
        <w:tc>
          <w:tcPr>
            <w:tcW w:w="1324" w:type="dxa"/>
            <w:vAlign w:val="top"/>
          </w:tcPr>
          <w:p>
            <w:pPr>
              <w:pStyle w:val="267"/>
              <w:autoSpaceDE w:val="0"/>
              <w:autoSpaceDN w:val="0"/>
              <w:rPr>
                <w:rFonts w:hint="eastAsia" w:ascii="宋体" w:hAnsi="宋体" w:eastAsia="宋体" w:cs="宋体"/>
              </w:rPr>
            </w:pPr>
          </w:p>
        </w:tc>
        <w:tc>
          <w:tcPr>
            <w:tcW w:w="944" w:type="dxa"/>
            <w:vAlign w:val="top"/>
          </w:tcPr>
          <w:p>
            <w:pPr>
              <w:pStyle w:val="267"/>
              <w:autoSpaceDE w:val="0"/>
              <w:autoSpaceDN w:val="0"/>
              <w:rPr>
                <w:rFonts w:hint="eastAsia" w:ascii="宋体" w:hAnsi="宋体" w:eastAsia="宋体" w:cs="宋体"/>
              </w:rPr>
            </w:pPr>
          </w:p>
        </w:tc>
        <w:tc>
          <w:tcPr>
            <w:tcW w:w="1253" w:type="dxa"/>
            <w:vAlign w:val="top"/>
          </w:tcPr>
          <w:p>
            <w:pPr>
              <w:pStyle w:val="267"/>
              <w:autoSpaceDE w:val="0"/>
              <w:autoSpaceDN w:val="0"/>
              <w:rPr>
                <w:rFonts w:hint="eastAsia" w:ascii="宋体" w:hAnsi="宋体" w:eastAsia="宋体" w:cs="宋体"/>
              </w:rPr>
            </w:pPr>
          </w:p>
        </w:tc>
        <w:tc>
          <w:tcPr>
            <w:tcW w:w="1253" w:type="dxa"/>
            <w:vAlign w:val="top"/>
          </w:tcPr>
          <w:p>
            <w:pPr>
              <w:pStyle w:val="267"/>
              <w:autoSpaceDE w:val="0"/>
              <w:autoSpaceDN w:val="0"/>
              <w:rPr>
                <w:rFonts w:hint="eastAsia" w:ascii="宋体" w:hAnsi="宋体" w:eastAsia="宋体" w:cs="宋体"/>
              </w:rPr>
            </w:pPr>
          </w:p>
        </w:tc>
        <w:tc>
          <w:tcPr>
            <w:tcW w:w="1253" w:type="dxa"/>
            <w:vAlign w:val="top"/>
          </w:tcPr>
          <w:p>
            <w:pPr>
              <w:pStyle w:val="267"/>
              <w:autoSpaceDE w:val="0"/>
              <w:autoSpaceDN w:val="0"/>
              <w:rPr>
                <w:rFonts w:hint="eastAsia" w:ascii="宋体" w:hAnsi="宋体" w:eastAsia="宋体" w:cs="宋体"/>
              </w:rPr>
            </w:pPr>
          </w:p>
        </w:tc>
        <w:tc>
          <w:tcPr>
            <w:tcW w:w="1254" w:type="dxa"/>
            <w:vAlign w:val="top"/>
          </w:tcPr>
          <w:p>
            <w:pPr>
              <w:pStyle w:val="267"/>
              <w:autoSpaceDE w:val="0"/>
              <w:autoSpaceDN w:val="0"/>
              <w:rPr>
                <w:rFonts w:hint="eastAsia" w:ascii="宋体" w:hAnsi="宋体" w:eastAsia="宋体" w:cs="宋体"/>
              </w:rPr>
            </w:pPr>
          </w:p>
        </w:tc>
        <w:tc>
          <w:tcPr>
            <w:tcW w:w="1254" w:type="dxa"/>
            <w:vAlign w:val="top"/>
          </w:tcPr>
          <w:p>
            <w:pPr>
              <w:pStyle w:val="267"/>
              <w:autoSpaceDE w:val="0"/>
              <w:autoSpaceDN w:val="0"/>
              <w:rPr>
                <w:rFonts w:hint="eastAsia" w:ascii="宋体" w:hAnsi="宋体" w:eastAsia="宋体" w:cs="宋体"/>
              </w:rPr>
            </w:pPr>
          </w:p>
        </w:tc>
        <w:tc>
          <w:tcPr>
            <w:tcW w:w="1253" w:type="dxa"/>
            <w:vAlign w:val="top"/>
          </w:tcPr>
          <w:p>
            <w:pPr>
              <w:pStyle w:val="267"/>
              <w:autoSpaceDE w:val="0"/>
              <w:autoSpaceDN w:val="0"/>
              <w:rPr>
                <w:rFonts w:hint="eastAsia" w:ascii="宋体" w:hAnsi="宋体" w:eastAsia="宋体" w:cs="宋体"/>
              </w:rPr>
            </w:pPr>
          </w:p>
        </w:tc>
        <w:tc>
          <w:tcPr>
            <w:tcW w:w="1024" w:type="dxa"/>
            <w:vAlign w:val="top"/>
          </w:tcPr>
          <w:p>
            <w:pPr>
              <w:pStyle w:val="267"/>
              <w:autoSpaceDE w:val="0"/>
              <w:autoSpaceDN w:val="0"/>
              <w:rPr>
                <w:rFonts w:hint="eastAsia" w:ascii="宋体" w:hAnsi="宋体" w:eastAsia="宋体" w:cs="宋体"/>
              </w:rPr>
            </w:pPr>
          </w:p>
        </w:tc>
        <w:tc>
          <w:tcPr>
            <w:tcW w:w="831" w:type="dxa"/>
            <w:vAlign w:val="top"/>
          </w:tcPr>
          <w:p>
            <w:pPr>
              <w:pStyle w:val="267"/>
              <w:autoSpaceDE w:val="0"/>
              <w:autoSpaceDN w:val="0"/>
              <w:rPr>
                <w:rFonts w:hint="eastAsia" w:ascii="宋体" w:hAnsi="宋体" w:eastAsia="宋体" w:cs="宋体"/>
              </w:rPr>
            </w:pPr>
          </w:p>
        </w:tc>
        <w:tc>
          <w:tcPr>
            <w:tcW w:w="1026"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7"/>
              <w:autoSpaceDE w:val="0"/>
              <w:autoSpaceDN w:val="0"/>
              <w:spacing w:before="42" w:line="201" w:lineRule="auto"/>
              <w:ind w:left="126"/>
              <w:rPr>
                <w:rFonts w:hint="eastAsia" w:ascii="宋体" w:hAnsi="宋体" w:eastAsia="宋体" w:cs="宋体"/>
                <w:sz w:val="24"/>
                <w:szCs w:val="24"/>
              </w:rPr>
            </w:pPr>
            <w:r>
              <w:rPr>
                <w:rFonts w:hint="eastAsia" w:ascii="宋体" w:hAnsi="宋体" w:eastAsia="宋体" w:cs="宋体"/>
                <w:sz w:val="24"/>
                <w:szCs w:val="24"/>
              </w:rPr>
              <w:t>3</w:t>
            </w:r>
          </w:p>
        </w:tc>
        <w:tc>
          <w:tcPr>
            <w:tcW w:w="1052" w:type="dxa"/>
            <w:vAlign w:val="top"/>
          </w:tcPr>
          <w:p>
            <w:pPr>
              <w:pStyle w:val="267"/>
              <w:autoSpaceDE w:val="0"/>
              <w:autoSpaceDN w:val="0"/>
              <w:rPr>
                <w:rFonts w:hint="eastAsia" w:ascii="宋体" w:hAnsi="宋体" w:eastAsia="宋体" w:cs="宋体"/>
              </w:rPr>
            </w:pPr>
          </w:p>
        </w:tc>
        <w:tc>
          <w:tcPr>
            <w:tcW w:w="1324" w:type="dxa"/>
            <w:vAlign w:val="top"/>
          </w:tcPr>
          <w:p>
            <w:pPr>
              <w:pStyle w:val="267"/>
              <w:autoSpaceDE w:val="0"/>
              <w:autoSpaceDN w:val="0"/>
              <w:rPr>
                <w:rFonts w:hint="eastAsia" w:ascii="宋体" w:hAnsi="宋体" w:eastAsia="宋体" w:cs="宋体"/>
              </w:rPr>
            </w:pPr>
          </w:p>
        </w:tc>
        <w:tc>
          <w:tcPr>
            <w:tcW w:w="944" w:type="dxa"/>
            <w:vAlign w:val="top"/>
          </w:tcPr>
          <w:p>
            <w:pPr>
              <w:pStyle w:val="267"/>
              <w:autoSpaceDE w:val="0"/>
              <w:autoSpaceDN w:val="0"/>
              <w:rPr>
                <w:rFonts w:hint="eastAsia" w:ascii="宋体" w:hAnsi="宋体" w:eastAsia="宋体" w:cs="宋体"/>
              </w:rPr>
            </w:pPr>
          </w:p>
        </w:tc>
        <w:tc>
          <w:tcPr>
            <w:tcW w:w="1253" w:type="dxa"/>
            <w:vAlign w:val="top"/>
          </w:tcPr>
          <w:p>
            <w:pPr>
              <w:pStyle w:val="267"/>
              <w:autoSpaceDE w:val="0"/>
              <w:autoSpaceDN w:val="0"/>
              <w:rPr>
                <w:rFonts w:hint="eastAsia" w:ascii="宋体" w:hAnsi="宋体" w:eastAsia="宋体" w:cs="宋体"/>
              </w:rPr>
            </w:pPr>
          </w:p>
        </w:tc>
        <w:tc>
          <w:tcPr>
            <w:tcW w:w="1253" w:type="dxa"/>
            <w:vAlign w:val="top"/>
          </w:tcPr>
          <w:p>
            <w:pPr>
              <w:pStyle w:val="267"/>
              <w:autoSpaceDE w:val="0"/>
              <w:autoSpaceDN w:val="0"/>
              <w:rPr>
                <w:rFonts w:hint="eastAsia" w:ascii="宋体" w:hAnsi="宋体" w:eastAsia="宋体" w:cs="宋体"/>
              </w:rPr>
            </w:pPr>
          </w:p>
        </w:tc>
        <w:tc>
          <w:tcPr>
            <w:tcW w:w="1253" w:type="dxa"/>
            <w:vAlign w:val="top"/>
          </w:tcPr>
          <w:p>
            <w:pPr>
              <w:pStyle w:val="267"/>
              <w:autoSpaceDE w:val="0"/>
              <w:autoSpaceDN w:val="0"/>
              <w:rPr>
                <w:rFonts w:hint="eastAsia" w:ascii="宋体" w:hAnsi="宋体" w:eastAsia="宋体" w:cs="宋体"/>
              </w:rPr>
            </w:pPr>
          </w:p>
        </w:tc>
        <w:tc>
          <w:tcPr>
            <w:tcW w:w="1254" w:type="dxa"/>
            <w:vAlign w:val="top"/>
          </w:tcPr>
          <w:p>
            <w:pPr>
              <w:pStyle w:val="267"/>
              <w:autoSpaceDE w:val="0"/>
              <w:autoSpaceDN w:val="0"/>
              <w:rPr>
                <w:rFonts w:hint="eastAsia" w:ascii="宋体" w:hAnsi="宋体" w:eastAsia="宋体" w:cs="宋体"/>
              </w:rPr>
            </w:pPr>
          </w:p>
        </w:tc>
        <w:tc>
          <w:tcPr>
            <w:tcW w:w="1254" w:type="dxa"/>
            <w:vAlign w:val="top"/>
          </w:tcPr>
          <w:p>
            <w:pPr>
              <w:pStyle w:val="267"/>
              <w:autoSpaceDE w:val="0"/>
              <w:autoSpaceDN w:val="0"/>
              <w:rPr>
                <w:rFonts w:hint="eastAsia" w:ascii="宋体" w:hAnsi="宋体" w:eastAsia="宋体" w:cs="宋体"/>
              </w:rPr>
            </w:pPr>
          </w:p>
        </w:tc>
        <w:tc>
          <w:tcPr>
            <w:tcW w:w="1253" w:type="dxa"/>
            <w:vAlign w:val="top"/>
          </w:tcPr>
          <w:p>
            <w:pPr>
              <w:pStyle w:val="267"/>
              <w:autoSpaceDE w:val="0"/>
              <w:autoSpaceDN w:val="0"/>
              <w:rPr>
                <w:rFonts w:hint="eastAsia" w:ascii="宋体" w:hAnsi="宋体" w:eastAsia="宋体" w:cs="宋体"/>
              </w:rPr>
            </w:pPr>
          </w:p>
        </w:tc>
        <w:tc>
          <w:tcPr>
            <w:tcW w:w="1024" w:type="dxa"/>
            <w:vAlign w:val="top"/>
          </w:tcPr>
          <w:p>
            <w:pPr>
              <w:pStyle w:val="267"/>
              <w:autoSpaceDE w:val="0"/>
              <w:autoSpaceDN w:val="0"/>
              <w:rPr>
                <w:rFonts w:hint="eastAsia" w:ascii="宋体" w:hAnsi="宋体" w:eastAsia="宋体" w:cs="宋体"/>
              </w:rPr>
            </w:pPr>
          </w:p>
        </w:tc>
        <w:tc>
          <w:tcPr>
            <w:tcW w:w="831" w:type="dxa"/>
            <w:vAlign w:val="top"/>
          </w:tcPr>
          <w:p>
            <w:pPr>
              <w:pStyle w:val="267"/>
              <w:autoSpaceDE w:val="0"/>
              <w:autoSpaceDN w:val="0"/>
              <w:rPr>
                <w:rFonts w:hint="eastAsia" w:ascii="宋体" w:hAnsi="宋体" w:eastAsia="宋体" w:cs="宋体"/>
              </w:rPr>
            </w:pPr>
          </w:p>
        </w:tc>
        <w:tc>
          <w:tcPr>
            <w:tcW w:w="1026"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503" w:type="dxa"/>
            <w:vAlign w:val="top"/>
          </w:tcPr>
          <w:p>
            <w:pPr>
              <w:pStyle w:val="267"/>
              <w:autoSpaceDE w:val="0"/>
              <w:autoSpaceDN w:val="0"/>
              <w:spacing w:before="46" w:line="197" w:lineRule="auto"/>
              <w:ind w:left="119"/>
              <w:rPr>
                <w:rFonts w:hint="eastAsia" w:ascii="宋体" w:hAnsi="宋体" w:eastAsia="宋体" w:cs="宋体"/>
                <w:sz w:val="24"/>
                <w:szCs w:val="24"/>
              </w:rPr>
            </w:pPr>
            <w:r>
              <w:rPr>
                <w:rFonts w:hint="eastAsia" w:ascii="宋体" w:hAnsi="宋体" w:eastAsia="宋体" w:cs="宋体"/>
                <w:spacing w:val="7"/>
                <w:sz w:val="24"/>
                <w:szCs w:val="24"/>
              </w:rPr>
              <w:t>4</w:t>
            </w:r>
          </w:p>
        </w:tc>
        <w:tc>
          <w:tcPr>
            <w:tcW w:w="1052" w:type="dxa"/>
            <w:vAlign w:val="top"/>
          </w:tcPr>
          <w:p>
            <w:pPr>
              <w:pStyle w:val="267"/>
              <w:autoSpaceDE w:val="0"/>
              <w:autoSpaceDN w:val="0"/>
              <w:rPr>
                <w:rFonts w:hint="eastAsia" w:ascii="宋体" w:hAnsi="宋体" w:eastAsia="宋体" w:cs="宋体"/>
              </w:rPr>
            </w:pPr>
          </w:p>
        </w:tc>
        <w:tc>
          <w:tcPr>
            <w:tcW w:w="1324" w:type="dxa"/>
            <w:vAlign w:val="top"/>
          </w:tcPr>
          <w:p>
            <w:pPr>
              <w:pStyle w:val="267"/>
              <w:autoSpaceDE w:val="0"/>
              <w:autoSpaceDN w:val="0"/>
              <w:rPr>
                <w:rFonts w:hint="eastAsia" w:ascii="宋体" w:hAnsi="宋体" w:eastAsia="宋体" w:cs="宋体"/>
              </w:rPr>
            </w:pPr>
          </w:p>
        </w:tc>
        <w:tc>
          <w:tcPr>
            <w:tcW w:w="944" w:type="dxa"/>
            <w:vAlign w:val="top"/>
          </w:tcPr>
          <w:p>
            <w:pPr>
              <w:pStyle w:val="267"/>
              <w:autoSpaceDE w:val="0"/>
              <w:autoSpaceDN w:val="0"/>
              <w:rPr>
                <w:rFonts w:hint="eastAsia" w:ascii="宋体" w:hAnsi="宋体" w:eastAsia="宋体" w:cs="宋体"/>
              </w:rPr>
            </w:pPr>
          </w:p>
        </w:tc>
        <w:tc>
          <w:tcPr>
            <w:tcW w:w="1253" w:type="dxa"/>
            <w:vAlign w:val="top"/>
          </w:tcPr>
          <w:p>
            <w:pPr>
              <w:pStyle w:val="267"/>
              <w:autoSpaceDE w:val="0"/>
              <w:autoSpaceDN w:val="0"/>
              <w:rPr>
                <w:rFonts w:hint="eastAsia" w:ascii="宋体" w:hAnsi="宋体" w:eastAsia="宋体" w:cs="宋体"/>
              </w:rPr>
            </w:pPr>
          </w:p>
        </w:tc>
        <w:tc>
          <w:tcPr>
            <w:tcW w:w="1253" w:type="dxa"/>
            <w:vAlign w:val="top"/>
          </w:tcPr>
          <w:p>
            <w:pPr>
              <w:pStyle w:val="267"/>
              <w:autoSpaceDE w:val="0"/>
              <w:autoSpaceDN w:val="0"/>
              <w:rPr>
                <w:rFonts w:hint="eastAsia" w:ascii="宋体" w:hAnsi="宋体" w:eastAsia="宋体" w:cs="宋体"/>
              </w:rPr>
            </w:pPr>
          </w:p>
        </w:tc>
        <w:tc>
          <w:tcPr>
            <w:tcW w:w="1253" w:type="dxa"/>
            <w:vAlign w:val="top"/>
          </w:tcPr>
          <w:p>
            <w:pPr>
              <w:pStyle w:val="267"/>
              <w:autoSpaceDE w:val="0"/>
              <w:autoSpaceDN w:val="0"/>
              <w:rPr>
                <w:rFonts w:hint="eastAsia" w:ascii="宋体" w:hAnsi="宋体" w:eastAsia="宋体" w:cs="宋体"/>
              </w:rPr>
            </w:pPr>
          </w:p>
        </w:tc>
        <w:tc>
          <w:tcPr>
            <w:tcW w:w="1254" w:type="dxa"/>
            <w:vAlign w:val="top"/>
          </w:tcPr>
          <w:p>
            <w:pPr>
              <w:pStyle w:val="267"/>
              <w:autoSpaceDE w:val="0"/>
              <w:autoSpaceDN w:val="0"/>
              <w:rPr>
                <w:rFonts w:hint="eastAsia" w:ascii="宋体" w:hAnsi="宋体" w:eastAsia="宋体" w:cs="宋体"/>
              </w:rPr>
            </w:pPr>
          </w:p>
        </w:tc>
        <w:tc>
          <w:tcPr>
            <w:tcW w:w="1254" w:type="dxa"/>
            <w:vAlign w:val="top"/>
          </w:tcPr>
          <w:p>
            <w:pPr>
              <w:pStyle w:val="267"/>
              <w:autoSpaceDE w:val="0"/>
              <w:autoSpaceDN w:val="0"/>
              <w:rPr>
                <w:rFonts w:hint="eastAsia" w:ascii="宋体" w:hAnsi="宋体" w:eastAsia="宋体" w:cs="宋体"/>
              </w:rPr>
            </w:pPr>
          </w:p>
        </w:tc>
        <w:tc>
          <w:tcPr>
            <w:tcW w:w="1253" w:type="dxa"/>
            <w:vAlign w:val="top"/>
          </w:tcPr>
          <w:p>
            <w:pPr>
              <w:pStyle w:val="267"/>
              <w:autoSpaceDE w:val="0"/>
              <w:autoSpaceDN w:val="0"/>
              <w:rPr>
                <w:rFonts w:hint="eastAsia" w:ascii="宋体" w:hAnsi="宋体" w:eastAsia="宋体" w:cs="宋体"/>
              </w:rPr>
            </w:pPr>
          </w:p>
        </w:tc>
        <w:tc>
          <w:tcPr>
            <w:tcW w:w="1024" w:type="dxa"/>
            <w:vAlign w:val="top"/>
          </w:tcPr>
          <w:p>
            <w:pPr>
              <w:pStyle w:val="267"/>
              <w:autoSpaceDE w:val="0"/>
              <w:autoSpaceDN w:val="0"/>
              <w:rPr>
                <w:rFonts w:hint="eastAsia" w:ascii="宋体" w:hAnsi="宋体" w:eastAsia="宋体" w:cs="宋体"/>
              </w:rPr>
            </w:pPr>
          </w:p>
        </w:tc>
        <w:tc>
          <w:tcPr>
            <w:tcW w:w="831" w:type="dxa"/>
            <w:vAlign w:val="top"/>
          </w:tcPr>
          <w:p>
            <w:pPr>
              <w:pStyle w:val="267"/>
              <w:autoSpaceDE w:val="0"/>
              <w:autoSpaceDN w:val="0"/>
              <w:rPr>
                <w:rFonts w:hint="eastAsia" w:ascii="宋体" w:hAnsi="宋体" w:eastAsia="宋体" w:cs="宋体"/>
              </w:rPr>
            </w:pPr>
          </w:p>
        </w:tc>
        <w:tc>
          <w:tcPr>
            <w:tcW w:w="1026"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7"/>
              <w:autoSpaceDE w:val="0"/>
              <w:autoSpaceDN w:val="0"/>
              <w:spacing w:before="196" w:line="77" w:lineRule="exact"/>
              <w:ind w:left="135"/>
              <w:rPr>
                <w:rFonts w:hint="eastAsia" w:ascii="宋体" w:hAnsi="宋体" w:eastAsia="宋体" w:cs="宋体"/>
                <w:sz w:val="24"/>
                <w:szCs w:val="24"/>
              </w:rPr>
            </w:pPr>
            <w:r>
              <w:rPr>
                <w:rFonts w:hint="eastAsia" w:ascii="宋体" w:hAnsi="宋体" w:eastAsia="宋体" w:cs="宋体"/>
                <w:position w:val="1"/>
                <w:sz w:val="24"/>
                <w:szCs w:val="24"/>
              </w:rPr>
              <w:t>…</w:t>
            </w:r>
          </w:p>
        </w:tc>
        <w:tc>
          <w:tcPr>
            <w:tcW w:w="1052" w:type="dxa"/>
            <w:vAlign w:val="top"/>
          </w:tcPr>
          <w:p>
            <w:pPr>
              <w:pStyle w:val="267"/>
              <w:autoSpaceDE w:val="0"/>
              <w:autoSpaceDN w:val="0"/>
              <w:rPr>
                <w:rFonts w:hint="eastAsia" w:ascii="宋体" w:hAnsi="宋体" w:eastAsia="宋体" w:cs="宋体"/>
              </w:rPr>
            </w:pPr>
          </w:p>
        </w:tc>
        <w:tc>
          <w:tcPr>
            <w:tcW w:w="1324" w:type="dxa"/>
            <w:vAlign w:val="top"/>
          </w:tcPr>
          <w:p>
            <w:pPr>
              <w:pStyle w:val="267"/>
              <w:autoSpaceDE w:val="0"/>
              <w:autoSpaceDN w:val="0"/>
              <w:rPr>
                <w:rFonts w:hint="eastAsia" w:ascii="宋体" w:hAnsi="宋体" w:eastAsia="宋体" w:cs="宋体"/>
              </w:rPr>
            </w:pPr>
          </w:p>
        </w:tc>
        <w:tc>
          <w:tcPr>
            <w:tcW w:w="944" w:type="dxa"/>
            <w:vAlign w:val="top"/>
          </w:tcPr>
          <w:p>
            <w:pPr>
              <w:pStyle w:val="267"/>
              <w:autoSpaceDE w:val="0"/>
              <w:autoSpaceDN w:val="0"/>
              <w:rPr>
                <w:rFonts w:hint="eastAsia" w:ascii="宋体" w:hAnsi="宋体" w:eastAsia="宋体" w:cs="宋体"/>
              </w:rPr>
            </w:pPr>
          </w:p>
        </w:tc>
        <w:tc>
          <w:tcPr>
            <w:tcW w:w="1253" w:type="dxa"/>
            <w:vAlign w:val="top"/>
          </w:tcPr>
          <w:p>
            <w:pPr>
              <w:pStyle w:val="267"/>
              <w:autoSpaceDE w:val="0"/>
              <w:autoSpaceDN w:val="0"/>
              <w:rPr>
                <w:rFonts w:hint="eastAsia" w:ascii="宋体" w:hAnsi="宋体" w:eastAsia="宋体" w:cs="宋体"/>
              </w:rPr>
            </w:pPr>
          </w:p>
        </w:tc>
        <w:tc>
          <w:tcPr>
            <w:tcW w:w="1253" w:type="dxa"/>
            <w:vAlign w:val="top"/>
          </w:tcPr>
          <w:p>
            <w:pPr>
              <w:pStyle w:val="267"/>
              <w:autoSpaceDE w:val="0"/>
              <w:autoSpaceDN w:val="0"/>
              <w:rPr>
                <w:rFonts w:hint="eastAsia" w:ascii="宋体" w:hAnsi="宋体" w:eastAsia="宋体" w:cs="宋体"/>
              </w:rPr>
            </w:pPr>
          </w:p>
        </w:tc>
        <w:tc>
          <w:tcPr>
            <w:tcW w:w="1253" w:type="dxa"/>
            <w:vAlign w:val="top"/>
          </w:tcPr>
          <w:p>
            <w:pPr>
              <w:pStyle w:val="267"/>
              <w:autoSpaceDE w:val="0"/>
              <w:autoSpaceDN w:val="0"/>
              <w:rPr>
                <w:rFonts w:hint="eastAsia" w:ascii="宋体" w:hAnsi="宋体" w:eastAsia="宋体" w:cs="宋体"/>
              </w:rPr>
            </w:pPr>
          </w:p>
        </w:tc>
        <w:tc>
          <w:tcPr>
            <w:tcW w:w="1254" w:type="dxa"/>
            <w:vAlign w:val="top"/>
          </w:tcPr>
          <w:p>
            <w:pPr>
              <w:pStyle w:val="267"/>
              <w:autoSpaceDE w:val="0"/>
              <w:autoSpaceDN w:val="0"/>
              <w:rPr>
                <w:rFonts w:hint="eastAsia" w:ascii="宋体" w:hAnsi="宋体" w:eastAsia="宋体" w:cs="宋体"/>
              </w:rPr>
            </w:pPr>
          </w:p>
        </w:tc>
        <w:tc>
          <w:tcPr>
            <w:tcW w:w="1254" w:type="dxa"/>
            <w:vAlign w:val="top"/>
          </w:tcPr>
          <w:p>
            <w:pPr>
              <w:pStyle w:val="267"/>
              <w:autoSpaceDE w:val="0"/>
              <w:autoSpaceDN w:val="0"/>
              <w:rPr>
                <w:rFonts w:hint="eastAsia" w:ascii="宋体" w:hAnsi="宋体" w:eastAsia="宋体" w:cs="宋体"/>
              </w:rPr>
            </w:pPr>
          </w:p>
        </w:tc>
        <w:tc>
          <w:tcPr>
            <w:tcW w:w="1253" w:type="dxa"/>
            <w:vAlign w:val="top"/>
          </w:tcPr>
          <w:p>
            <w:pPr>
              <w:pStyle w:val="267"/>
              <w:autoSpaceDE w:val="0"/>
              <w:autoSpaceDN w:val="0"/>
              <w:rPr>
                <w:rFonts w:hint="eastAsia" w:ascii="宋体" w:hAnsi="宋体" w:eastAsia="宋体" w:cs="宋体"/>
              </w:rPr>
            </w:pPr>
          </w:p>
        </w:tc>
        <w:tc>
          <w:tcPr>
            <w:tcW w:w="1024" w:type="dxa"/>
            <w:vAlign w:val="top"/>
          </w:tcPr>
          <w:p>
            <w:pPr>
              <w:pStyle w:val="267"/>
              <w:autoSpaceDE w:val="0"/>
              <w:autoSpaceDN w:val="0"/>
              <w:rPr>
                <w:rFonts w:hint="eastAsia" w:ascii="宋体" w:hAnsi="宋体" w:eastAsia="宋体" w:cs="宋体"/>
              </w:rPr>
            </w:pPr>
          </w:p>
        </w:tc>
        <w:tc>
          <w:tcPr>
            <w:tcW w:w="831" w:type="dxa"/>
            <w:vAlign w:val="top"/>
          </w:tcPr>
          <w:p>
            <w:pPr>
              <w:pStyle w:val="267"/>
              <w:autoSpaceDE w:val="0"/>
              <w:autoSpaceDN w:val="0"/>
              <w:rPr>
                <w:rFonts w:hint="eastAsia" w:ascii="宋体" w:hAnsi="宋体" w:eastAsia="宋体" w:cs="宋体"/>
              </w:rPr>
            </w:pPr>
          </w:p>
        </w:tc>
        <w:tc>
          <w:tcPr>
            <w:tcW w:w="1026"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6" w:hRule="atLeast"/>
        </w:trPr>
        <w:tc>
          <w:tcPr>
            <w:tcW w:w="13198" w:type="dxa"/>
            <w:gridSpan w:val="12"/>
            <w:vAlign w:val="top"/>
          </w:tcPr>
          <w:p>
            <w:pPr>
              <w:autoSpaceDE w:val="0"/>
              <w:autoSpaceDN w:val="0"/>
              <w:spacing w:before="44" w:line="176" w:lineRule="auto"/>
              <w:ind w:left="11903"/>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026" w:type="dxa"/>
            <w:vAlign w:val="top"/>
          </w:tcPr>
          <w:p>
            <w:pPr>
              <w:pStyle w:val="267"/>
              <w:autoSpaceDE w:val="0"/>
              <w:autoSpaceDN w:val="0"/>
              <w:rPr>
                <w:rFonts w:hint="eastAsia" w:ascii="宋体" w:hAnsi="宋体" w:eastAsia="宋体" w:cs="宋体"/>
              </w:rPr>
            </w:pPr>
          </w:p>
        </w:tc>
      </w:tr>
    </w:tbl>
    <w:p>
      <w:pPr>
        <w:pStyle w:val="17"/>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17"/>
        <w:numPr>
          <w:ilvl w:val="0"/>
          <w:numId w:val="20"/>
        </w:numPr>
        <w:spacing w:before="5" w:line="199" w:lineRule="auto"/>
        <w:ind w:left="610" w:right="2708"/>
        <w:rPr>
          <w:rFonts w:hint="eastAsia" w:ascii="宋体" w:hAnsi="宋体" w:eastAsia="宋体" w:cs="宋体"/>
          <w:spacing w:val="3"/>
          <w:sz w:val="24"/>
          <w:szCs w:val="24"/>
        </w:rPr>
      </w:pPr>
      <w:r>
        <w:rPr>
          <w:rFonts w:hint="eastAsia" w:ascii="宋体" w:hAnsi="宋体" w:eastAsia="宋体" w:cs="宋体"/>
          <w:spacing w:val="-1"/>
          <w:sz w:val="24"/>
          <w:szCs w:val="24"/>
        </w:rPr>
        <w:t>如果不提供分项报价将视为没有实质性响应招标文件。</w:t>
      </w:r>
      <w:r>
        <w:rPr>
          <w:rFonts w:hint="eastAsia" w:ascii="宋体" w:hAnsi="宋体" w:eastAsia="宋体" w:cs="宋体"/>
          <w:spacing w:val="3"/>
          <w:sz w:val="24"/>
          <w:szCs w:val="24"/>
        </w:rPr>
        <w:t xml:space="preserve"> </w:t>
      </w:r>
    </w:p>
    <w:p>
      <w:pPr>
        <w:pStyle w:val="17"/>
        <w:numPr>
          <w:ilvl w:val="0"/>
          <w:numId w:val="20"/>
        </w:numPr>
        <w:spacing w:before="5" w:line="199" w:lineRule="auto"/>
        <w:ind w:left="610" w:right="2708"/>
        <w:rPr>
          <w:rFonts w:hint="eastAsia" w:ascii="宋体" w:hAnsi="宋体" w:eastAsia="宋体" w:cs="宋体"/>
          <w:sz w:val="25"/>
          <w:szCs w:val="25"/>
        </w:rPr>
      </w:pPr>
      <w:r>
        <w:rPr>
          <w:rFonts w:hint="eastAsia" w:ascii="宋体" w:hAnsi="宋体" w:eastAsia="宋体" w:cs="宋体"/>
          <w:sz w:val="24"/>
          <w:szCs w:val="24"/>
        </w:rPr>
        <w:t>上述各项的详细规格（如有</w:t>
      </w:r>
      <w:r>
        <w:rPr>
          <w:rFonts w:hint="eastAsia" w:ascii="宋体" w:hAnsi="宋体" w:eastAsia="宋体" w:cs="宋体"/>
          <w:spacing w:val="-56"/>
          <w:sz w:val="24"/>
          <w:szCs w:val="24"/>
        </w:rPr>
        <w:t>），</w:t>
      </w:r>
      <w:r>
        <w:rPr>
          <w:rFonts w:hint="eastAsia" w:ascii="宋体" w:hAnsi="宋体" w:eastAsia="宋体" w:cs="宋体"/>
          <w:sz w:val="24"/>
          <w:szCs w:val="24"/>
        </w:rPr>
        <w:t>可另页描述。</w:t>
      </w:r>
    </w:p>
    <w:p>
      <w:pPr>
        <w:pStyle w:val="17"/>
        <w:numPr>
          <w:ilvl w:val="0"/>
          <w:numId w:val="20"/>
        </w:numPr>
        <w:spacing w:before="5" w:line="199" w:lineRule="auto"/>
        <w:ind w:left="610" w:right="2708"/>
        <w:rPr>
          <w:rFonts w:hint="eastAsia" w:ascii="宋体" w:hAnsi="宋体" w:eastAsia="宋体" w:cs="宋体"/>
          <w:sz w:val="25"/>
          <w:szCs w:val="25"/>
        </w:rPr>
      </w:pPr>
      <w:r>
        <w:rPr>
          <w:rFonts w:hint="eastAsia" w:ascii="宋体" w:hAnsi="宋体" w:eastAsia="宋体" w:cs="宋体"/>
          <w:spacing w:val="-2"/>
          <w:sz w:val="24"/>
          <w:szCs w:val="24"/>
        </w:rPr>
        <w:t>制造商规模列应填写“大型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中型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”、“小型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”、“微型</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“其他</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”，且不应与《中小企业声明函》或《拟分包情况说明》中内容矛</w:t>
      </w:r>
      <w:r>
        <w:rPr>
          <w:rFonts w:hint="eastAsia" w:ascii="宋体" w:hAnsi="宋体" w:eastAsia="宋体" w:cs="宋体"/>
          <w:spacing w:val="-4"/>
          <w:sz w:val="24"/>
          <w:szCs w:val="24"/>
        </w:rPr>
        <w:t>盾。制造商所属性别请填写</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“男</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“女</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w:t>
      </w:r>
      <w:r>
        <w:rPr>
          <w:rFonts w:hint="eastAsia" w:ascii="宋体" w:hAnsi="宋体" w:eastAsia="宋体" w:cs="宋体"/>
          <w:sz w:val="24"/>
          <w:szCs w:val="24"/>
        </w:rPr>
        <w:t>指拥有制造商 51%以上绝对所有权的性别</w:t>
      </w:r>
      <w:r>
        <w:rPr>
          <w:rFonts w:hint="eastAsia" w:ascii="宋体" w:hAnsi="宋体" w:eastAsia="宋体" w:cs="宋体"/>
          <w:spacing w:val="-30"/>
          <w:sz w:val="24"/>
          <w:szCs w:val="24"/>
        </w:rPr>
        <w:t xml:space="preserve"> </w:t>
      </w:r>
      <w:r>
        <w:rPr>
          <w:rFonts w:hint="eastAsia" w:ascii="宋体" w:hAnsi="宋体" w:eastAsia="宋体" w:cs="宋体"/>
          <w:sz w:val="24"/>
          <w:szCs w:val="24"/>
        </w:rPr>
        <w:t>；绝对所有权拥有者可以是一</w:t>
      </w:r>
      <w:r>
        <w:rPr>
          <w:rFonts w:hint="eastAsia" w:ascii="宋体" w:hAnsi="宋体" w:eastAsia="宋体" w:cs="宋体"/>
          <w:spacing w:val="-1"/>
          <w:sz w:val="24"/>
          <w:szCs w:val="24"/>
        </w:rPr>
        <w:t>个人，也可以</w:t>
      </w:r>
      <w:r>
        <w:rPr>
          <w:rFonts w:hint="eastAsia" w:ascii="宋体" w:hAnsi="宋体" w:eastAsia="宋体" w:cs="宋体"/>
          <w:spacing w:val="3"/>
          <w:sz w:val="24"/>
          <w:szCs w:val="24"/>
        </w:rPr>
        <w:t>是多人合计计算。外商投资类型请填写</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“外商单</w:t>
      </w:r>
      <w:r>
        <w:rPr>
          <w:rFonts w:hint="eastAsia" w:ascii="宋体" w:hAnsi="宋体" w:eastAsia="宋体" w:cs="宋体"/>
          <w:spacing w:val="2"/>
          <w:sz w:val="24"/>
          <w:szCs w:val="24"/>
        </w:rPr>
        <w:t>独投资</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、“外商部分投资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内资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p>
    <w:p>
      <w:pPr>
        <w:widowControl/>
        <w:jc w:val="left"/>
        <w:rPr>
          <w:color w:val="000000"/>
          <w:sz w:val="24"/>
          <w:szCs w:val="20"/>
        </w:rPr>
        <w:sectPr>
          <w:headerReference r:id="rId18" w:type="default"/>
          <w:footerReference r:id="rId19" w:type="default"/>
          <w:pgSz w:w="16840" w:h="11907" w:orient="landscape"/>
          <w:pgMar w:top="1701" w:right="1418" w:bottom="1134" w:left="1418" w:header="851" w:footer="851" w:gutter="0"/>
          <w:pgBorders>
            <w:top w:val="none" w:sz="0" w:space="0"/>
            <w:left w:val="none" w:sz="0" w:space="0"/>
            <w:bottom w:val="none" w:sz="0" w:space="0"/>
            <w:right w:val="none" w:sz="0" w:space="0"/>
          </w:pgBorders>
          <w:pgNumType w:fmt="decimal"/>
          <w:cols w:space="720" w:num="1"/>
          <w:docGrid w:linePitch="462" w:charSpace="0"/>
        </w:sectPr>
      </w:pPr>
    </w:p>
    <w:p>
      <w:pPr>
        <w:pStyle w:val="17"/>
        <w:spacing w:before="307" w:line="196" w:lineRule="auto"/>
        <w:ind w:left="131"/>
        <w:rPr>
          <w:rFonts w:hint="eastAsia" w:ascii="宋体" w:hAnsi="宋体" w:eastAsia="宋体" w:cs="宋体"/>
          <w:sz w:val="24"/>
          <w:szCs w:val="24"/>
        </w:rPr>
      </w:pPr>
      <w:bookmarkStart w:id="817" w:name="_Toc264969252"/>
      <w:bookmarkStart w:id="818" w:name="_Toc127151562"/>
      <w:bookmarkStart w:id="819" w:name="_Toc150774765"/>
      <w:bookmarkStart w:id="820" w:name="_Toc142311062"/>
      <w:bookmarkStart w:id="821" w:name="_Toc226337258"/>
      <w:bookmarkStart w:id="822" w:name="_Toc226965752"/>
      <w:bookmarkStart w:id="823" w:name="_Toc305158830"/>
      <w:bookmarkStart w:id="824" w:name="_Toc195842927"/>
      <w:bookmarkStart w:id="825" w:name="_Toc305158904"/>
      <w:bookmarkStart w:id="826" w:name="_Toc265228400"/>
      <w:bookmarkStart w:id="827" w:name="_Toc226965835"/>
      <w:bookmarkStart w:id="828" w:name="_Toc226309806"/>
      <w:bookmarkStart w:id="829" w:name="_Toc150480798"/>
      <w:r>
        <w:rPr>
          <w:rFonts w:hint="eastAsia"/>
          <w:b/>
          <w:bCs w:val="0"/>
          <w:i w:val="0"/>
          <w:iCs/>
          <w:color w:val="auto"/>
          <w:sz w:val="24"/>
          <w:lang w:val="en-US" w:eastAsia="zh-CN"/>
        </w:rPr>
        <w:t>2-</w:t>
      </w:r>
      <w:r>
        <w:rPr>
          <w:rFonts w:hint="eastAsia"/>
          <w:b/>
          <w:bCs w:val="0"/>
          <w:color w:val="000000"/>
          <w:sz w:val="24"/>
          <w:szCs w:val="20"/>
          <w:lang w:val="en-US" w:eastAsia="zh-CN"/>
        </w:rPr>
        <w:t>5</w:t>
      </w:r>
      <w:r>
        <w:rPr>
          <w:b/>
          <w:bCs w:val="0"/>
          <w:color w:val="000000"/>
          <w:sz w:val="24"/>
          <w:szCs w:val="20"/>
        </w:rPr>
        <w:t xml:space="preserve">  </w:t>
      </w:r>
      <w:bookmarkEnd w:id="817"/>
      <w:bookmarkEnd w:id="818"/>
      <w:bookmarkEnd w:id="819"/>
      <w:bookmarkEnd w:id="820"/>
      <w:bookmarkEnd w:id="821"/>
      <w:bookmarkEnd w:id="822"/>
      <w:bookmarkEnd w:id="823"/>
      <w:bookmarkEnd w:id="824"/>
      <w:bookmarkEnd w:id="825"/>
      <w:bookmarkEnd w:id="826"/>
      <w:bookmarkEnd w:id="827"/>
      <w:bookmarkEnd w:id="828"/>
      <w:bookmarkEnd w:id="829"/>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17"/>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17"/>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7"/>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7"/>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bl>
    <w:p>
      <w:pPr>
        <w:pStyle w:val="17"/>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7"/>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17"/>
        <w:spacing w:before="212" w:line="200" w:lineRule="auto"/>
        <w:ind w:left="169"/>
        <w:outlineLvl w:val="1"/>
        <w:rPr>
          <w:rFonts w:hint="eastAsia" w:ascii="宋体" w:hAnsi="宋体" w:eastAsia="宋体" w:cs="宋体"/>
          <w:b/>
          <w:bCs/>
          <w:sz w:val="24"/>
          <w:szCs w:val="24"/>
        </w:rPr>
      </w:pPr>
      <w:r>
        <w:rPr>
          <w:b/>
          <w:i/>
          <w:color w:val="FF0000"/>
          <w:sz w:val="24"/>
        </w:rPr>
        <w:br w:type="page"/>
      </w:r>
      <w:bookmarkStart w:id="830" w:name="_Toc226337257"/>
      <w:bookmarkStart w:id="831" w:name="_Toc195842926"/>
      <w:bookmarkStart w:id="832" w:name="_Toc264969251"/>
      <w:bookmarkStart w:id="833" w:name="_Toc142311061"/>
      <w:bookmarkStart w:id="834" w:name="_Toc265228399"/>
      <w:bookmarkStart w:id="835" w:name="_Toc127151561"/>
      <w:bookmarkStart w:id="836" w:name="_Toc226965751"/>
      <w:bookmarkStart w:id="837" w:name="_Toc305158903"/>
      <w:bookmarkStart w:id="838" w:name="_Toc226965834"/>
      <w:bookmarkStart w:id="839" w:name="_Toc305158829"/>
      <w:bookmarkStart w:id="840" w:name="_Toc226309805"/>
      <w:bookmarkStart w:id="841" w:name="_Toc150480797"/>
      <w:bookmarkStart w:id="842" w:name="_Toc150774764"/>
      <w:r>
        <w:rPr>
          <w:rFonts w:hint="eastAsia"/>
          <w:b/>
          <w:bCs/>
          <w:color w:val="000000"/>
          <w:sz w:val="24"/>
          <w:szCs w:val="20"/>
          <w:lang w:val="en-US" w:eastAsia="zh-CN"/>
        </w:rPr>
        <w:t>2-6</w:t>
      </w:r>
      <w:r>
        <w:rPr>
          <w:b/>
          <w:bCs/>
          <w:color w:val="000000"/>
          <w:sz w:val="24"/>
          <w:szCs w:val="20"/>
        </w:rPr>
        <w:t xml:space="preserve">  </w:t>
      </w:r>
      <w:bookmarkEnd w:id="830"/>
      <w:bookmarkEnd w:id="831"/>
      <w:bookmarkEnd w:id="832"/>
      <w:bookmarkEnd w:id="833"/>
      <w:bookmarkEnd w:id="834"/>
      <w:bookmarkEnd w:id="835"/>
      <w:bookmarkEnd w:id="836"/>
      <w:bookmarkEnd w:id="837"/>
      <w:bookmarkEnd w:id="838"/>
      <w:bookmarkEnd w:id="839"/>
      <w:bookmarkEnd w:id="840"/>
      <w:bookmarkEnd w:id="841"/>
      <w:bookmarkEnd w:id="842"/>
      <w:r>
        <w:rPr>
          <w:rFonts w:hint="eastAsia" w:ascii="宋体" w:hAnsi="宋体" w:eastAsia="宋体" w:cs="宋体"/>
          <w:b/>
          <w:bCs/>
          <w:sz w:val="24"/>
          <w:szCs w:val="24"/>
        </w:rPr>
        <w:t>采购需求偏离表（实质性格式）</w:t>
      </w:r>
    </w:p>
    <w:p>
      <w:pPr>
        <w:pStyle w:val="17"/>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17"/>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6"/>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7"/>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17"/>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17"/>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17"/>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20" w:type="default"/>
          <w:footerReference r:id="rId21" w:type="default"/>
          <w:pgSz w:w="11907" w:h="16840"/>
          <w:pgMar w:top="1149" w:right="1133" w:bottom="1060" w:left="1701" w:header="875" w:footer="886" w:gutter="0"/>
          <w:pgBorders>
            <w:top w:val="none" w:sz="0" w:space="0"/>
            <w:left w:val="none" w:sz="0" w:space="0"/>
            <w:bottom w:val="none" w:sz="0" w:space="0"/>
            <w:right w:val="none" w:sz="0" w:space="0"/>
          </w:pgBorders>
          <w:pgNumType w:fmt="decimal"/>
          <w:cols w:space="720" w:num="1"/>
        </w:sectPr>
      </w:pPr>
    </w:p>
    <w:p>
      <w:pPr>
        <w:pStyle w:val="17"/>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17"/>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bl>
    <w:p>
      <w:pPr>
        <w:pStyle w:val="17"/>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17"/>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7"/>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17"/>
        <w:spacing w:before="4" w:line="360" w:lineRule="auto"/>
        <w:rPr>
          <w:rFonts w:hint="eastAsia" w:cs="宋体"/>
          <w:spacing w:val="3"/>
        </w:rPr>
      </w:pPr>
    </w:p>
    <w:p>
      <w:pPr>
        <w:spacing w:line="360" w:lineRule="auto"/>
        <w:rPr>
          <w:rFonts w:hint="eastAsia"/>
          <w:color w:val="auto"/>
        </w:rPr>
      </w:pPr>
      <w:r>
        <w:rPr>
          <w:rFonts w:hint="eastAsia" w:ascii="宋体" w:hAnsi="宋体" w:cs="宋体"/>
          <w:color w:val="auto"/>
          <w:sz w:val="24"/>
          <w:lang w:val="en-US" w:eastAsia="zh-CN"/>
        </w:rPr>
        <w:t xml:space="preserve">2-8 </w:t>
      </w:r>
      <w:r>
        <w:rPr>
          <w:rFonts w:hint="eastAsia" w:ascii="宋体" w:hAnsi="宋体"/>
          <w:b/>
          <w:bCs/>
          <w:color w:val="auto"/>
          <w:sz w:val="24"/>
        </w:rPr>
        <w:t>证明投标货物的合格性和符合招标文件规定的文件</w:t>
      </w:r>
      <w:r>
        <w:rPr>
          <w:rFonts w:hint="eastAsia"/>
          <w:b/>
          <w:color w:val="auto"/>
          <w:sz w:val="24"/>
          <w:szCs w:val="24"/>
        </w:rPr>
        <w:t>（应答本</w:t>
      </w:r>
      <w:r>
        <w:rPr>
          <w:rFonts w:hint="eastAsia"/>
          <w:b/>
          <w:color w:val="auto"/>
          <w:sz w:val="24"/>
          <w:szCs w:val="24"/>
          <w:lang w:eastAsia="zh-CN"/>
        </w:rPr>
        <w:t>招标文件</w:t>
      </w:r>
      <w:r>
        <w:rPr>
          <w:rFonts w:hint="eastAsia"/>
          <w:b/>
          <w:color w:val="auto"/>
          <w:sz w:val="24"/>
          <w:szCs w:val="24"/>
        </w:rPr>
        <w:fldChar w:fldCharType="begin"/>
      </w:r>
      <w:r>
        <w:rPr>
          <w:rFonts w:hint="eastAsia"/>
          <w:b/>
          <w:color w:val="auto"/>
          <w:sz w:val="24"/>
          <w:szCs w:val="24"/>
        </w:rPr>
        <w:instrText xml:space="preserve"> HYPERLINK \l "_2总体技术要求" </w:instrText>
      </w:r>
      <w:r>
        <w:rPr>
          <w:rFonts w:hint="eastAsia"/>
          <w:b/>
          <w:color w:val="auto"/>
          <w:sz w:val="24"/>
          <w:szCs w:val="24"/>
        </w:rPr>
        <w:fldChar w:fldCharType="separate"/>
      </w:r>
      <w:r>
        <w:rPr>
          <w:rFonts w:hint="eastAsia"/>
          <w:b/>
          <w:color w:val="auto"/>
          <w:sz w:val="24"/>
          <w:szCs w:val="24"/>
        </w:rPr>
        <w:t>第</w:t>
      </w:r>
      <w:r>
        <w:rPr>
          <w:rFonts w:hint="eastAsia"/>
          <w:b/>
          <w:color w:val="auto"/>
          <w:sz w:val="24"/>
          <w:szCs w:val="24"/>
          <w:lang w:eastAsia="zh-CN"/>
        </w:rPr>
        <w:t>五章</w:t>
      </w:r>
      <w:r>
        <w:rPr>
          <w:rFonts w:hint="eastAsia"/>
          <w:b/>
          <w:color w:val="auto"/>
          <w:sz w:val="24"/>
          <w:szCs w:val="24"/>
        </w:rPr>
        <w:t>“</w:t>
      </w:r>
      <w:r>
        <w:rPr>
          <w:rFonts w:hint="eastAsia"/>
          <w:b/>
          <w:color w:val="auto"/>
          <w:sz w:val="24"/>
          <w:szCs w:val="24"/>
        </w:rPr>
        <w:fldChar w:fldCharType="end"/>
      </w:r>
      <w:r>
        <w:rPr>
          <w:rFonts w:hint="eastAsia"/>
          <w:b/>
          <w:color w:val="auto"/>
          <w:sz w:val="24"/>
          <w:szCs w:val="24"/>
          <w:lang w:eastAsia="zh-CN"/>
        </w:rPr>
        <w:t>采购需求</w:t>
      </w:r>
      <w:r>
        <w:rPr>
          <w:rFonts w:hint="eastAsia"/>
          <w:b/>
          <w:color w:val="auto"/>
          <w:sz w:val="24"/>
          <w:szCs w:val="24"/>
        </w:rPr>
        <w:t>”中的具体要求</w:t>
      </w:r>
      <w:r>
        <w:rPr>
          <w:rStyle w:val="270"/>
          <w:rFonts w:hint="eastAsia" w:ascii="宋体" w:hAnsi="宋体"/>
          <w:b/>
          <w:color w:val="auto"/>
        </w:rPr>
        <w:t xml:space="preserve">，格式自拟） </w:t>
      </w:r>
    </w:p>
    <w:p>
      <w:pPr>
        <w:spacing w:line="360" w:lineRule="auto"/>
        <w:rPr>
          <w:rStyle w:val="270"/>
          <w:rFonts w:hint="eastAsia" w:ascii="宋体" w:hAnsi="宋体"/>
          <w:bCs/>
          <w:color w:val="auto"/>
        </w:rPr>
      </w:pPr>
      <w:r>
        <w:rPr>
          <w:rStyle w:val="270"/>
          <w:rFonts w:hint="eastAsia" w:ascii="宋体" w:hAnsi="宋体"/>
          <w:bCs/>
          <w:color w:val="auto"/>
          <w:lang w:val="en-US" w:eastAsia="zh-CN"/>
        </w:rPr>
        <w:t>2-8-1</w:t>
      </w:r>
      <w:r>
        <w:rPr>
          <w:rStyle w:val="270"/>
          <w:rFonts w:hint="eastAsia" w:ascii="宋体" w:hAnsi="宋体"/>
          <w:bCs/>
          <w:color w:val="auto"/>
        </w:rPr>
        <w:t>投标人应提交证明文件，证明其拟供的合同项下的货物和服务的合格性符合招标文件规定。该证明文件是投标文件的一部分。</w:t>
      </w:r>
    </w:p>
    <w:p>
      <w:pPr>
        <w:spacing w:line="360" w:lineRule="auto"/>
        <w:rPr>
          <w:rStyle w:val="270"/>
          <w:rFonts w:hint="eastAsia" w:ascii="宋体" w:hAnsi="宋体"/>
          <w:bCs/>
          <w:color w:val="auto"/>
        </w:rPr>
      </w:pPr>
      <w:r>
        <w:rPr>
          <w:rStyle w:val="270"/>
          <w:rFonts w:hint="eastAsia" w:ascii="宋体" w:hAnsi="宋体"/>
          <w:bCs/>
          <w:color w:val="auto"/>
          <w:lang w:val="en-US" w:eastAsia="zh-CN"/>
        </w:rPr>
        <w:t>2-8-2</w:t>
      </w:r>
      <w:r>
        <w:rPr>
          <w:rStyle w:val="270"/>
          <w:rFonts w:hint="eastAsia" w:ascii="宋体" w:hAnsi="宋体"/>
          <w:bCs/>
          <w:color w:val="auto"/>
        </w:rPr>
        <w:t>上款所述的证明文件，可以是文字资料、图纸和数据，它包括：</w:t>
      </w:r>
    </w:p>
    <w:p>
      <w:pPr>
        <w:spacing w:line="360" w:lineRule="auto"/>
        <w:rPr>
          <w:rStyle w:val="270"/>
          <w:rFonts w:hint="eastAsia" w:ascii="宋体" w:hAnsi="宋体"/>
          <w:bCs/>
          <w:color w:val="auto"/>
        </w:rPr>
      </w:pPr>
      <w:r>
        <w:rPr>
          <w:rStyle w:val="270"/>
          <w:rFonts w:hint="eastAsia" w:ascii="宋体" w:hAnsi="宋体"/>
          <w:bCs/>
          <w:color w:val="auto"/>
          <w:lang w:val="en-US" w:eastAsia="zh-CN"/>
        </w:rPr>
        <w:t>2-8-2-1</w:t>
      </w:r>
      <w:r>
        <w:rPr>
          <w:rStyle w:val="270"/>
          <w:rFonts w:hint="eastAsia" w:ascii="宋体" w:hAnsi="宋体"/>
          <w:bCs/>
          <w:color w:val="auto"/>
        </w:rPr>
        <w:t>货物主要技术指标和性能的详细说明。</w:t>
      </w:r>
    </w:p>
    <w:p>
      <w:pPr>
        <w:spacing w:line="360" w:lineRule="auto"/>
        <w:rPr>
          <w:rStyle w:val="270"/>
          <w:rFonts w:hint="eastAsia" w:ascii="宋体" w:hAnsi="宋体"/>
          <w:bCs/>
          <w:color w:val="auto"/>
        </w:rPr>
      </w:pPr>
      <w:r>
        <w:rPr>
          <w:rStyle w:val="270"/>
          <w:rFonts w:hint="eastAsia" w:ascii="宋体" w:hAnsi="宋体"/>
          <w:bCs/>
          <w:color w:val="auto"/>
          <w:lang w:val="en-US" w:eastAsia="zh-CN"/>
        </w:rPr>
        <w:t>2-8-2-2</w:t>
      </w:r>
      <w:r>
        <w:rPr>
          <w:rStyle w:val="270"/>
          <w:rFonts w:hint="eastAsia" w:ascii="宋体" w:hAnsi="宋体"/>
          <w:bCs/>
          <w:color w:val="auto"/>
        </w:rPr>
        <w:t>货物从买方开始使用至招标文件规定的保质期内正常、连续地使用所必须的备件和专用工具清单。</w:t>
      </w:r>
    </w:p>
    <w:p>
      <w:pPr>
        <w:spacing w:line="360" w:lineRule="auto"/>
        <w:rPr>
          <w:rStyle w:val="270"/>
          <w:rFonts w:hint="eastAsia" w:ascii="宋体" w:hAnsi="宋体"/>
          <w:bCs/>
          <w:color w:val="auto"/>
        </w:rPr>
      </w:pPr>
      <w:r>
        <w:rPr>
          <w:rStyle w:val="270"/>
          <w:rFonts w:hint="eastAsia" w:ascii="宋体" w:hAnsi="宋体"/>
          <w:bCs/>
          <w:color w:val="auto"/>
          <w:lang w:val="en-US" w:eastAsia="zh-CN"/>
        </w:rPr>
        <w:t>2-8-2-3</w:t>
      </w:r>
      <w:r>
        <w:rPr>
          <w:rStyle w:val="270"/>
          <w:rFonts w:hint="eastAsia" w:ascii="宋体" w:hAnsi="宋体"/>
          <w:bCs/>
          <w:color w:val="auto"/>
        </w:rPr>
        <w:t>对照招标文件技术规格，逐条说明所提供货物和服务已对招标文件的技术规格做出了实质性的响应，或申明与技术规格条文的偏差和例外。</w:t>
      </w:r>
    </w:p>
    <w:p>
      <w:pPr>
        <w:spacing w:line="360" w:lineRule="auto"/>
        <w:rPr>
          <w:rStyle w:val="270"/>
          <w:rFonts w:hint="eastAsia" w:ascii="宋体" w:hAnsi="宋体"/>
          <w:bCs/>
          <w:color w:val="auto"/>
        </w:rPr>
      </w:pPr>
      <w:r>
        <w:rPr>
          <w:rStyle w:val="270"/>
          <w:rFonts w:hint="eastAsia" w:ascii="宋体" w:hAnsi="宋体"/>
          <w:bCs/>
          <w:color w:val="auto"/>
          <w:lang w:val="en-US" w:eastAsia="zh-CN"/>
        </w:rPr>
        <w:t>2-8-2-4</w:t>
      </w:r>
      <w:r>
        <w:rPr>
          <w:rStyle w:val="270"/>
          <w:rFonts w:hint="eastAsia" w:ascii="宋体" w:hAnsi="宋体"/>
          <w:bCs/>
          <w:color w:val="auto"/>
        </w:rPr>
        <w:t>投标人应注意买方在技术规格中指出的工艺、材料和设备的标准，以及参照的牌号或分类号仅起说明作用，并没有任何限制性。投标人在投标中可以选用替代标准、牌号或分类号，但这些替代要实质上相当于技术规格的要求。</w:t>
      </w:r>
    </w:p>
    <w:p>
      <w:pPr>
        <w:spacing w:line="360" w:lineRule="auto"/>
        <w:rPr>
          <w:rStyle w:val="270"/>
          <w:rFonts w:hint="eastAsia" w:ascii="宋体" w:hAnsi="宋体"/>
          <w:b/>
          <w:bCs w:val="0"/>
          <w:color w:val="FF0000"/>
        </w:rPr>
      </w:pPr>
      <w:r>
        <w:rPr>
          <w:rStyle w:val="270"/>
          <w:rFonts w:hint="eastAsia" w:ascii="宋体" w:hAnsi="宋体"/>
          <w:bCs/>
          <w:color w:val="auto"/>
          <w:lang w:val="en-US" w:eastAsia="zh-CN"/>
        </w:rPr>
        <w:t>2-8-2-5</w:t>
      </w:r>
      <w:r>
        <w:rPr>
          <w:rStyle w:val="270"/>
          <w:rFonts w:hint="eastAsia" w:ascii="宋体" w:hAnsi="宋体"/>
          <w:bCs/>
          <w:color w:val="auto"/>
        </w:rPr>
        <w:t>招标文件要求的其他证明材料，</w:t>
      </w:r>
      <w:r>
        <w:rPr>
          <w:rStyle w:val="270"/>
          <w:rFonts w:hint="eastAsia" w:ascii="宋体" w:hAnsi="宋体"/>
          <w:b/>
          <w:bCs w:val="0"/>
          <w:color w:val="auto"/>
        </w:rPr>
        <w:t>如检测报告、</w:t>
      </w:r>
      <w:r>
        <w:rPr>
          <w:rStyle w:val="270"/>
          <w:rFonts w:hint="eastAsia" w:ascii="宋体" w:hAnsi="宋体"/>
          <w:b/>
          <w:bCs w:val="0"/>
          <w:color w:val="auto"/>
          <w:lang w:eastAsia="zh-CN"/>
        </w:rPr>
        <w:t>产品功能截图、</w:t>
      </w:r>
      <w:r>
        <w:rPr>
          <w:rStyle w:val="270"/>
          <w:rFonts w:hint="eastAsia" w:ascii="宋体" w:hAnsi="宋体"/>
          <w:b/>
          <w:bCs w:val="0"/>
          <w:color w:val="auto"/>
        </w:rPr>
        <w:t>环保产品认证</w:t>
      </w:r>
      <w:r>
        <w:rPr>
          <w:rStyle w:val="270"/>
          <w:rFonts w:hint="eastAsia" w:ascii="宋体" w:hAnsi="宋体"/>
          <w:b/>
          <w:bCs w:val="0"/>
          <w:color w:val="auto"/>
          <w:lang w:eastAsia="zh-CN"/>
        </w:rPr>
        <w:t>、</w:t>
      </w:r>
      <w:r>
        <w:rPr>
          <w:rStyle w:val="270"/>
          <w:rFonts w:hint="eastAsia" w:ascii="宋体" w:hAnsi="宋体"/>
          <w:b/>
          <w:bCs w:val="0"/>
          <w:color w:val="auto"/>
        </w:rPr>
        <w:t>节能产品认证</w:t>
      </w:r>
      <w:r>
        <w:rPr>
          <w:rStyle w:val="270"/>
          <w:rFonts w:hint="eastAsia" w:ascii="宋体" w:hAnsi="宋体"/>
          <w:b/>
          <w:bCs w:val="0"/>
          <w:color w:val="auto"/>
          <w:lang w:eastAsia="zh-CN"/>
        </w:rPr>
        <w:t>、投标人技术参数承诺函、投标产品彩页、制造商参数确认函</w:t>
      </w:r>
      <w:r>
        <w:rPr>
          <w:rStyle w:val="270"/>
          <w:rFonts w:hint="eastAsia" w:ascii="宋体" w:hAnsi="宋体"/>
          <w:b/>
          <w:bCs w:val="0"/>
          <w:color w:val="auto"/>
        </w:rPr>
        <w:t>等</w:t>
      </w:r>
      <w:r>
        <w:rPr>
          <w:rStyle w:val="270"/>
          <w:rFonts w:hint="eastAsia" w:ascii="宋体" w:hAnsi="宋体"/>
          <w:b/>
          <w:bCs w:val="0"/>
          <w:color w:val="auto"/>
          <w:lang w:eastAsia="zh-CN"/>
        </w:rPr>
        <w:t>材料</w:t>
      </w:r>
      <w:r>
        <w:rPr>
          <w:rStyle w:val="270"/>
          <w:rFonts w:hint="eastAsia" w:ascii="宋体" w:hAnsi="宋体"/>
          <w:b/>
          <w:bCs w:val="0"/>
          <w:color w:val="auto"/>
        </w:rPr>
        <w:t>。</w:t>
      </w:r>
    </w:p>
    <w:p>
      <w:pPr>
        <w:pStyle w:val="17"/>
        <w:spacing w:before="103" w:line="196" w:lineRule="auto"/>
        <w:ind w:left="300"/>
        <w:rPr>
          <w:rFonts w:hint="eastAsia" w:ascii="宋体" w:hAnsi="宋体" w:eastAsia="宋体" w:cs="宋体"/>
          <w:spacing w:val="-1"/>
          <w:sz w:val="24"/>
          <w:szCs w:val="24"/>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4"/>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rPr>
          <w:rFonts w:hint="eastAsia" w:ascii="宋体" w:hAnsi="宋体" w:cs="宋体"/>
          <w:spacing w:val="-13"/>
          <w:sz w:val="24"/>
          <w:szCs w:val="24"/>
          <w:lang w:val="en-US" w:eastAsia="zh-CN"/>
        </w:rPr>
      </w:pPr>
    </w:p>
    <w:p>
      <w:pPr>
        <w:widowControl/>
        <w:rPr>
          <w:rFonts w:hint="eastAsia" w:ascii="宋体" w:hAnsi="宋体" w:cs="宋体"/>
          <w:b/>
          <w:bCs/>
          <w:spacing w:val="-13"/>
          <w:sz w:val="24"/>
          <w:szCs w:val="24"/>
          <w:lang w:val="en-US" w:eastAsia="zh-CN"/>
        </w:rPr>
      </w:pPr>
      <w:r>
        <w:rPr>
          <w:rFonts w:hint="eastAsia" w:ascii="宋体" w:hAnsi="宋体" w:cs="宋体"/>
          <w:b/>
          <w:bCs/>
          <w:spacing w:val="-13"/>
          <w:sz w:val="24"/>
          <w:szCs w:val="24"/>
          <w:lang w:val="en-US" w:eastAsia="zh-CN"/>
        </w:rPr>
        <w:t>2-9 投标人业绩（证明材料需提供合同首页、标的（内容）页、与合同双方盖章页复印件加盖投标人公章）</w:t>
      </w:r>
    </w:p>
    <w:p>
      <w:pPr>
        <w:spacing w:before="156" w:beforeLines="50" w:after="156" w:afterLines="50" w:line="360" w:lineRule="auto"/>
        <w:jc w:val="center"/>
        <w:rPr>
          <w:rFonts w:hint="eastAsia" w:ascii="宋体" w:hAnsi="宋体"/>
          <w:b/>
          <w:szCs w:val="24"/>
        </w:rPr>
      </w:pPr>
      <w:r>
        <w:rPr>
          <w:rFonts w:hint="eastAsia" w:ascii="宋体" w:hAnsi="宋体"/>
          <w:b/>
          <w:szCs w:val="24"/>
        </w:rPr>
        <w:t>投标人相关业绩表</w:t>
      </w:r>
    </w:p>
    <w:p>
      <w:pPr>
        <w:spacing w:line="300" w:lineRule="auto"/>
        <w:ind w:left="359" w:leftChars="171"/>
        <w:rPr>
          <w:rFonts w:hint="eastAsia" w:ascii="宋体" w:hAnsi="宋体"/>
          <w:szCs w:val="24"/>
        </w:rPr>
      </w:pPr>
      <w:r>
        <w:rPr>
          <w:rFonts w:hint="eastAsia" w:ascii="宋体" w:hAnsi="宋体"/>
          <w:szCs w:val="24"/>
        </w:rPr>
        <w:t>项目编号：</w:t>
      </w:r>
    </w:p>
    <w:p>
      <w:pPr>
        <w:spacing w:line="300" w:lineRule="auto"/>
        <w:ind w:firstLine="315" w:firstLineChars="150"/>
        <w:rPr>
          <w:rFonts w:hint="eastAsia" w:ascii="宋体" w:hAnsi="宋体"/>
          <w:szCs w:val="24"/>
        </w:rPr>
      </w:pPr>
      <w:r>
        <w:rPr>
          <w:rFonts w:hint="eastAsia" w:ascii="宋体" w:hAnsi="宋体"/>
          <w:szCs w:val="24"/>
        </w:rPr>
        <w:t>项目名称：</w:t>
      </w:r>
    </w:p>
    <w:tbl>
      <w:tblPr>
        <w:tblStyle w:val="59"/>
        <w:tblW w:w="80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505"/>
        <w:gridCol w:w="1340"/>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序号</w:t>
            </w:r>
          </w:p>
        </w:tc>
        <w:tc>
          <w:tcPr>
            <w:tcW w:w="2355" w:type="dxa"/>
            <w:vAlign w:val="center"/>
          </w:tcPr>
          <w:p>
            <w:pPr>
              <w:snapToGrid w:val="0"/>
              <w:jc w:val="center"/>
              <w:rPr>
                <w:rFonts w:hint="eastAsia" w:ascii="宋体" w:hAnsi="宋体"/>
                <w:szCs w:val="21"/>
              </w:rPr>
            </w:pPr>
            <w:r>
              <w:rPr>
                <w:rFonts w:hint="eastAsia" w:ascii="宋体" w:hAnsi="宋体"/>
                <w:szCs w:val="21"/>
              </w:rPr>
              <w:t>甲方单位名称</w:t>
            </w:r>
          </w:p>
        </w:tc>
        <w:tc>
          <w:tcPr>
            <w:tcW w:w="1505" w:type="dxa"/>
            <w:vAlign w:val="center"/>
          </w:tcPr>
          <w:p>
            <w:pPr>
              <w:snapToGrid w:val="0"/>
              <w:jc w:val="center"/>
              <w:rPr>
                <w:rFonts w:hint="eastAsia" w:ascii="宋体" w:hAnsi="宋体"/>
                <w:szCs w:val="21"/>
              </w:rPr>
            </w:pPr>
            <w:r>
              <w:rPr>
                <w:rFonts w:hint="eastAsia" w:ascii="宋体" w:hAnsi="宋体"/>
                <w:szCs w:val="21"/>
              </w:rPr>
              <w:t>甲方联系人</w:t>
            </w:r>
          </w:p>
        </w:tc>
        <w:tc>
          <w:tcPr>
            <w:tcW w:w="1340" w:type="dxa"/>
            <w:vAlign w:val="center"/>
          </w:tcPr>
          <w:p>
            <w:pPr>
              <w:snapToGrid w:val="0"/>
              <w:jc w:val="center"/>
              <w:rPr>
                <w:rFonts w:hint="eastAsia" w:ascii="宋体" w:hAnsi="宋体"/>
                <w:szCs w:val="21"/>
              </w:rPr>
            </w:pPr>
            <w:r>
              <w:rPr>
                <w:rFonts w:hint="eastAsia" w:ascii="宋体" w:hAnsi="宋体"/>
                <w:szCs w:val="21"/>
              </w:rPr>
              <w:t>甲方电话</w:t>
            </w:r>
          </w:p>
        </w:tc>
        <w:tc>
          <w:tcPr>
            <w:tcW w:w="2187" w:type="dxa"/>
            <w:vAlign w:val="center"/>
          </w:tcPr>
          <w:p>
            <w:pPr>
              <w:snapToGrid w:val="0"/>
              <w:jc w:val="center"/>
              <w:rPr>
                <w:rFonts w:hint="eastAsia" w:ascii="宋体" w:hAnsi="宋体"/>
                <w:szCs w:val="21"/>
              </w:rPr>
            </w:pPr>
            <w:r>
              <w:rPr>
                <w:rFonts w:hint="eastAsia" w:ascii="宋体" w:hAnsi="宋体"/>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1</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2</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9" w:type="dxa"/>
            <w:textDirection w:val="tbRl"/>
            <w:vAlign w:val="center"/>
          </w:tcPr>
          <w:p>
            <w:pPr>
              <w:snapToGrid w:val="0"/>
              <w:ind w:left="113" w:right="113"/>
              <w:jc w:val="center"/>
              <w:rPr>
                <w:rFonts w:hint="eastAsia" w:ascii="宋体" w:hAnsi="宋体"/>
                <w:szCs w:val="21"/>
              </w:rPr>
            </w:pPr>
            <w:r>
              <w:rPr>
                <w:rFonts w:hint="eastAsia" w:ascii="宋体" w:hAnsi="宋体"/>
                <w:szCs w:val="21"/>
              </w:rPr>
              <w:t>…</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n</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bl>
    <w:p>
      <w:pPr>
        <w:pStyle w:val="29"/>
        <w:rPr>
          <w:rFonts w:hint="eastAsia" w:hAnsi="宋体"/>
          <w:sz w:val="24"/>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00" w:lineRule="auto"/>
        <w:ind w:firstLine="428" w:firstLineChars="200"/>
        <w:rPr>
          <w:rFonts w:hint="eastAsia" w:ascii="宋体" w:hAnsi="宋体"/>
          <w:szCs w:val="24"/>
          <w:u w:val="single"/>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before="156" w:beforeLines="50" w:line="360" w:lineRule="auto"/>
        <w:ind w:firstLine="210" w:firstLineChars="100"/>
        <w:rPr>
          <w:rFonts w:hint="eastAsia" w:ascii="宋体" w:hAnsi="宋体"/>
          <w:szCs w:val="24"/>
        </w:rPr>
      </w:pPr>
      <w:r>
        <w:rPr>
          <w:rFonts w:hint="eastAsia" w:ascii="宋体" w:hAnsi="宋体"/>
          <w:szCs w:val="24"/>
        </w:rPr>
        <w:t>填表说明：</w:t>
      </w:r>
    </w:p>
    <w:p>
      <w:pPr>
        <w:spacing w:line="360" w:lineRule="auto"/>
        <w:ind w:left="479" w:leftChars="114" w:hanging="240" w:hangingChars="100"/>
        <w:rPr>
          <w:rFonts w:hint="eastAsia" w:ascii="宋体" w:hAnsi="宋体"/>
          <w:sz w:val="24"/>
          <w:szCs w:val="24"/>
        </w:rPr>
      </w:pPr>
      <w:r>
        <w:rPr>
          <w:rFonts w:hint="eastAsia" w:ascii="宋体" w:hAnsi="宋体"/>
          <w:sz w:val="24"/>
          <w:szCs w:val="24"/>
        </w:rPr>
        <w:t>1.业绩按上述表格填写。</w:t>
      </w:r>
    </w:p>
    <w:p>
      <w:pPr>
        <w:widowControl/>
        <w:ind w:firstLine="240" w:firstLineChars="100"/>
        <w:rPr>
          <w:rFonts w:hint="eastAsia" w:ascii="宋体" w:hAnsi="宋体" w:cs="宋体"/>
          <w:b/>
          <w:bCs/>
          <w:spacing w:val="-13"/>
          <w:sz w:val="24"/>
          <w:szCs w:val="24"/>
          <w:lang w:val="en-US" w:eastAsia="zh-CN"/>
        </w:rPr>
      </w:pPr>
      <w:r>
        <w:rPr>
          <w:rFonts w:hint="eastAsia" w:ascii="宋体" w:hAnsi="宋体"/>
          <w:sz w:val="24"/>
          <w:szCs w:val="24"/>
        </w:rPr>
        <w:t>2.证明材料请附后。</w:t>
      </w:r>
    </w:p>
    <w:p>
      <w:pPr>
        <w:widowControl/>
        <w:rPr>
          <w:rFonts w:hint="eastAsia" w:ascii="宋体" w:hAnsi="宋体" w:cs="宋体"/>
          <w:b/>
          <w:bCs/>
          <w:spacing w:val="-13"/>
          <w:sz w:val="24"/>
          <w:szCs w:val="24"/>
          <w:lang w:val="en-US" w:eastAsia="zh-CN"/>
        </w:rPr>
      </w:pPr>
    </w:p>
    <w:p>
      <w:pPr>
        <w:widowControl/>
        <w:rPr>
          <w:rFonts w:hint="eastAsia" w:ascii="宋体" w:hAnsi="宋体" w:cs="宋体"/>
          <w:b/>
          <w:bCs/>
          <w:spacing w:val="-13"/>
          <w:sz w:val="24"/>
          <w:szCs w:val="24"/>
          <w:lang w:val="en-US" w:eastAsia="zh-CN"/>
        </w:rPr>
      </w:pPr>
      <w:r>
        <w:rPr>
          <w:rFonts w:hint="eastAsia" w:ascii="宋体" w:hAnsi="宋体" w:cs="宋体"/>
          <w:b/>
          <w:bCs/>
          <w:spacing w:val="-13"/>
          <w:sz w:val="24"/>
          <w:szCs w:val="24"/>
          <w:lang w:val="en-US" w:eastAsia="zh-CN"/>
        </w:rPr>
        <w:t>2-10 投标人相关证书（按招标文件要求提供相关材料，参照评标标准）</w:t>
      </w:r>
    </w:p>
    <w:p>
      <w:pPr>
        <w:pStyle w:val="2"/>
        <w:rPr>
          <w:rFonts w:hint="eastAsia"/>
          <w:lang w:val="en-US" w:eastAsia="zh-CN"/>
        </w:rPr>
      </w:pPr>
    </w:p>
    <w:p>
      <w:pPr>
        <w:widowControl/>
        <w:rPr>
          <w:rFonts w:hint="eastAsia" w:ascii="宋体" w:hAnsi="宋体" w:cs="宋体"/>
          <w:b/>
          <w:bCs/>
          <w:spacing w:val="-13"/>
          <w:sz w:val="24"/>
          <w:szCs w:val="24"/>
          <w:lang w:val="en-US" w:eastAsia="zh-CN"/>
        </w:rPr>
      </w:pPr>
      <w:r>
        <w:rPr>
          <w:rFonts w:hint="eastAsia" w:ascii="宋体" w:hAnsi="宋体" w:cs="宋体"/>
          <w:b/>
          <w:bCs/>
          <w:spacing w:val="-13"/>
          <w:sz w:val="24"/>
          <w:szCs w:val="24"/>
          <w:lang w:val="en-US" w:eastAsia="zh-CN"/>
        </w:rPr>
        <w:t>2-11  投标人信用及管理能力（按招标文件要求提供相关材料，参照评标标准）</w:t>
      </w:r>
    </w:p>
    <w:p>
      <w:pPr>
        <w:widowControl/>
        <w:rPr>
          <w:rFonts w:hint="eastAsia" w:ascii="宋体" w:hAnsi="宋体" w:cs="宋体"/>
          <w:b/>
          <w:bCs/>
          <w:spacing w:val="-13"/>
          <w:sz w:val="24"/>
          <w:szCs w:val="24"/>
          <w:lang w:val="en-US" w:eastAsia="zh-CN"/>
        </w:rPr>
      </w:pPr>
    </w:p>
    <w:p>
      <w:pPr>
        <w:widowControl/>
        <w:rPr>
          <w:rStyle w:val="270"/>
          <w:rFonts w:hint="eastAsia" w:ascii="宋体" w:hAnsi="宋体"/>
          <w:b/>
          <w:bCs/>
          <w:sz w:val="24"/>
          <w:szCs w:val="24"/>
        </w:rPr>
      </w:pPr>
      <w:r>
        <w:rPr>
          <w:rFonts w:hint="eastAsia" w:ascii="宋体" w:hAnsi="宋体" w:cs="宋体"/>
          <w:b/>
          <w:bCs/>
          <w:spacing w:val="-13"/>
          <w:sz w:val="24"/>
          <w:szCs w:val="24"/>
          <w:lang w:val="en-US" w:eastAsia="zh-CN"/>
        </w:rPr>
        <w:t>2-12  供货安装及调试方案</w:t>
      </w:r>
      <w:r>
        <w:rPr>
          <w:rFonts w:hint="eastAsia"/>
          <w:b/>
          <w:bCs/>
          <w:sz w:val="24"/>
          <w:szCs w:val="24"/>
        </w:rPr>
        <w:t>（应答本招标文件</w:t>
      </w:r>
      <w:r>
        <w:rPr>
          <w:b/>
          <w:bCs/>
          <w:sz w:val="24"/>
          <w:szCs w:val="24"/>
        </w:rPr>
        <w:fldChar w:fldCharType="begin"/>
      </w:r>
      <w:r>
        <w:rPr>
          <w:b/>
          <w:bCs/>
          <w:sz w:val="24"/>
          <w:szCs w:val="24"/>
        </w:rPr>
        <w:instrText xml:space="preserve"> HYPERLINK \l "_2总体技术要求" </w:instrText>
      </w:r>
      <w:r>
        <w:rPr>
          <w:b/>
          <w:bCs/>
          <w:sz w:val="24"/>
          <w:szCs w:val="24"/>
        </w:rPr>
        <w:fldChar w:fldCharType="separate"/>
      </w:r>
      <w:r>
        <w:rPr>
          <w:rFonts w:hint="eastAsia"/>
          <w:b/>
          <w:bCs/>
          <w:sz w:val="24"/>
          <w:szCs w:val="24"/>
        </w:rPr>
        <w:t>第</w:t>
      </w:r>
      <w:r>
        <w:rPr>
          <w:rFonts w:hint="eastAsia"/>
          <w:b/>
          <w:bCs/>
          <w:sz w:val="24"/>
          <w:szCs w:val="24"/>
          <w:lang w:eastAsia="zh-CN"/>
        </w:rPr>
        <w:t>五章</w:t>
      </w:r>
      <w:r>
        <w:rPr>
          <w:rFonts w:hint="eastAsia"/>
          <w:b/>
          <w:bCs/>
          <w:sz w:val="24"/>
          <w:szCs w:val="24"/>
        </w:rPr>
        <w:t>“</w:t>
      </w:r>
      <w:r>
        <w:rPr>
          <w:rFonts w:hint="eastAsia"/>
          <w:b/>
          <w:bCs/>
          <w:sz w:val="24"/>
          <w:szCs w:val="24"/>
        </w:rPr>
        <w:fldChar w:fldCharType="end"/>
      </w:r>
      <w:r>
        <w:rPr>
          <w:rFonts w:hint="eastAsia"/>
          <w:b/>
          <w:bCs/>
          <w:sz w:val="24"/>
          <w:szCs w:val="24"/>
        </w:rPr>
        <w:t>采购需求”中的具体要求</w:t>
      </w:r>
      <w:r>
        <w:rPr>
          <w:rStyle w:val="270"/>
          <w:rFonts w:hint="eastAsia" w:ascii="宋体" w:hAnsi="宋体"/>
          <w:b/>
          <w:bCs/>
          <w:sz w:val="24"/>
          <w:szCs w:val="24"/>
        </w:rPr>
        <w:t>，格式自拟）</w:t>
      </w:r>
    </w:p>
    <w:p>
      <w:pPr>
        <w:pStyle w:val="2"/>
        <w:rPr>
          <w:rStyle w:val="270"/>
          <w:rFonts w:hint="eastAsia" w:ascii="宋体" w:hAnsi="宋体"/>
          <w:b/>
          <w:bCs/>
          <w:sz w:val="24"/>
          <w:szCs w:val="24"/>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4"/>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rPr>
          <w:rStyle w:val="270"/>
          <w:rFonts w:hint="eastAsia" w:ascii="宋体" w:hAnsi="宋体"/>
          <w:b/>
          <w:bCs/>
          <w:sz w:val="24"/>
          <w:szCs w:val="24"/>
          <w:lang w:val="en-US" w:eastAsia="zh-CN"/>
        </w:rPr>
      </w:pPr>
    </w:p>
    <w:p>
      <w:pPr>
        <w:widowControl/>
        <w:rPr>
          <w:rStyle w:val="270"/>
          <w:rFonts w:hint="eastAsia" w:ascii="宋体" w:hAnsi="宋体"/>
          <w:b/>
        </w:rPr>
      </w:pPr>
      <w:r>
        <w:rPr>
          <w:rStyle w:val="270"/>
          <w:rFonts w:hint="eastAsia" w:ascii="宋体" w:hAnsi="宋体"/>
          <w:b/>
          <w:bCs/>
          <w:sz w:val="24"/>
          <w:szCs w:val="24"/>
          <w:lang w:val="en-US" w:eastAsia="zh-CN"/>
        </w:rPr>
        <w:t xml:space="preserve">2-13 </w:t>
      </w:r>
      <w:r>
        <w:rPr>
          <w:rFonts w:hint="eastAsia"/>
          <w:b/>
          <w:sz w:val="24"/>
          <w:szCs w:val="24"/>
        </w:rPr>
        <w:t>售后服务方案（应答本招标文件</w:t>
      </w:r>
      <w:r>
        <w:rPr>
          <w:sz w:val="24"/>
          <w:szCs w:val="24"/>
        </w:rPr>
        <w:fldChar w:fldCharType="begin"/>
      </w:r>
      <w:r>
        <w:rPr>
          <w:sz w:val="24"/>
          <w:szCs w:val="24"/>
        </w:rPr>
        <w:instrText xml:space="preserve"> HYPERLINK \l "_2总体技术要求" </w:instrText>
      </w:r>
      <w:r>
        <w:rPr>
          <w:sz w:val="24"/>
          <w:szCs w:val="24"/>
        </w:rPr>
        <w:fldChar w:fldCharType="separate"/>
      </w:r>
      <w:r>
        <w:rPr>
          <w:rFonts w:hint="eastAsia"/>
          <w:b/>
          <w:sz w:val="24"/>
          <w:szCs w:val="24"/>
        </w:rPr>
        <w:t>第</w:t>
      </w:r>
      <w:r>
        <w:rPr>
          <w:rFonts w:hint="eastAsia"/>
          <w:b/>
          <w:sz w:val="24"/>
          <w:szCs w:val="24"/>
          <w:lang w:eastAsia="zh-CN"/>
        </w:rPr>
        <w:t>五章</w:t>
      </w:r>
      <w:r>
        <w:rPr>
          <w:rFonts w:hint="eastAsia"/>
          <w:b/>
          <w:sz w:val="24"/>
          <w:szCs w:val="24"/>
        </w:rPr>
        <w:t>“</w:t>
      </w:r>
      <w:r>
        <w:rPr>
          <w:rFonts w:hint="eastAsia"/>
          <w:b/>
          <w:sz w:val="24"/>
          <w:szCs w:val="24"/>
        </w:rPr>
        <w:fldChar w:fldCharType="end"/>
      </w:r>
      <w:r>
        <w:rPr>
          <w:rFonts w:hint="eastAsia"/>
          <w:b/>
          <w:sz w:val="24"/>
          <w:szCs w:val="24"/>
        </w:rPr>
        <w:t>采购需求”中的具体要求</w:t>
      </w:r>
      <w:r>
        <w:rPr>
          <w:rStyle w:val="270"/>
          <w:rFonts w:hint="eastAsia" w:ascii="宋体" w:hAnsi="宋体"/>
          <w:b/>
          <w:sz w:val="24"/>
          <w:szCs w:val="24"/>
        </w:rPr>
        <w:t>，格式自拟）</w:t>
      </w:r>
    </w:p>
    <w:p>
      <w:pPr>
        <w:pStyle w:val="2"/>
        <w:ind w:left="0" w:leftChars="0" w:firstLine="0" w:firstLineChars="0"/>
        <w:rPr>
          <w:rStyle w:val="270"/>
          <w:rFonts w:hint="eastAsia" w:ascii="宋体" w:hAnsi="宋体"/>
          <w:b/>
          <w:bCs/>
          <w:sz w:val="24"/>
          <w:szCs w:val="24"/>
          <w:lang w:val="en-US" w:eastAsia="zh-CN"/>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4"/>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4"/>
        <w:ind w:left="0" w:leftChars="0" w:firstLine="0" w:firstLineChars="0"/>
        <w:rPr>
          <w:rFonts w:hint="eastAsia" w:ascii="宋体" w:hAnsi="宋体" w:eastAsia="宋体" w:cs="宋体"/>
          <w:spacing w:val="-13"/>
          <w:sz w:val="24"/>
          <w:szCs w:val="24"/>
        </w:rPr>
      </w:pPr>
    </w:p>
    <w:p>
      <w:pPr>
        <w:spacing w:line="360" w:lineRule="auto"/>
        <w:outlineLvl w:val="2"/>
        <w:rPr>
          <w:rFonts w:hint="eastAsia" w:ascii="宋体" w:hAnsi="宋体" w:cs="宋体"/>
          <w:b/>
          <w:bCs/>
          <w:spacing w:val="-13"/>
          <w:sz w:val="24"/>
          <w:szCs w:val="24"/>
          <w:lang w:val="en-US" w:eastAsia="zh-CN"/>
        </w:rPr>
      </w:pPr>
      <w:r>
        <w:rPr>
          <w:rFonts w:hint="eastAsia" w:ascii="宋体" w:hAnsi="宋体" w:cs="宋体"/>
          <w:b/>
          <w:bCs/>
          <w:spacing w:val="-13"/>
          <w:sz w:val="24"/>
          <w:szCs w:val="24"/>
          <w:lang w:val="en-US" w:eastAsia="zh-CN"/>
        </w:rPr>
        <w:t>2-14 生产设备能力（按招标文件要求提供相关材料，参照评标标准）</w:t>
      </w:r>
    </w:p>
    <w:p>
      <w:pPr>
        <w:spacing w:line="360" w:lineRule="auto"/>
        <w:outlineLvl w:val="2"/>
        <w:rPr>
          <w:rFonts w:hint="eastAsia" w:ascii="宋体" w:hAnsi="宋体" w:cs="宋体"/>
          <w:b/>
          <w:bCs/>
          <w:color w:val="auto"/>
          <w:sz w:val="24"/>
          <w:szCs w:val="24"/>
          <w:lang w:val="en-US" w:eastAsia="zh-CN"/>
        </w:rPr>
      </w:pPr>
      <w:r>
        <w:rPr>
          <w:rFonts w:hint="eastAsia" w:ascii="宋体" w:hAnsi="宋体" w:cs="宋体"/>
          <w:b/>
          <w:bCs/>
          <w:spacing w:val="-13"/>
          <w:sz w:val="24"/>
          <w:szCs w:val="24"/>
          <w:lang w:val="en-US" w:eastAsia="zh-CN"/>
        </w:rPr>
        <w:t>2-15 检测设备能力（按招标文件要求提供相关材料，参照评标标准）</w:t>
      </w:r>
    </w:p>
    <w:p>
      <w:pPr>
        <w:spacing w:line="360" w:lineRule="auto"/>
        <w:outlineLvl w:val="2"/>
        <w:rPr>
          <w:rFonts w:hint="eastAsia" w:ascii="宋体" w:hAnsi="宋体" w:cs="宋体"/>
          <w:b/>
          <w:bCs/>
          <w:color w:val="auto"/>
          <w:sz w:val="24"/>
          <w:szCs w:val="24"/>
          <w:lang w:val="en-US" w:eastAsia="zh-CN"/>
        </w:rPr>
      </w:pPr>
    </w:p>
    <w:p>
      <w:pPr>
        <w:spacing w:line="360" w:lineRule="auto"/>
        <w:outlineLvl w:val="2"/>
        <w:rPr>
          <w:rFonts w:hint="eastAsia" w:ascii="宋体" w:hAnsi="宋体"/>
          <w:b/>
          <w:bCs/>
          <w:sz w:val="24"/>
          <w:szCs w:val="24"/>
        </w:rPr>
      </w:pPr>
      <w:r>
        <w:rPr>
          <w:rFonts w:hint="eastAsia" w:ascii="宋体" w:hAnsi="宋体"/>
          <w:b/>
          <w:bCs/>
          <w:sz w:val="24"/>
          <w:szCs w:val="24"/>
          <w:lang w:val="en-US" w:eastAsia="zh-CN"/>
        </w:rPr>
        <w:t xml:space="preserve">2-16 </w:t>
      </w:r>
      <w:r>
        <w:rPr>
          <w:rFonts w:hint="eastAsia" w:ascii="宋体" w:hAnsi="宋体"/>
          <w:b/>
          <w:bCs/>
          <w:sz w:val="24"/>
          <w:szCs w:val="24"/>
        </w:rPr>
        <w:t>投标人认为有必要提供的其他文件</w:t>
      </w:r>
    </w:p>
    <w:p>
      <w:pPr>
        <w:pStyle w:val="2"/>
        <w:rPr>
          <w:rFonts w:hint="eastAsia"/>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00" w:lineRule="auto"/>
        <w:ind w:firstLine="428" w:firstLineChars="200"/>
        <w:rPr>
          <w:rFonts w:hint="eastAsia" w:ascii="宋体" w:hAnsi="宋体"/>
          <w:szCs w:val="24"/>
          <w:u w:val="single"/>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4"/>
        <w:ind w:left="0" w:leftChars="0" w:firstLine="0" w:firstLineChars="0"/>
        <w:rPr>
          <w:rFonts w:hint="eastAsia" w:ascii="宋体" w:hAnsi="宋体"/>
          <w:color w:val="auto"/>
          <w:sz w:val="24"/>
          <w:szCs w:val="24"/>
          <w:u w:val="none"/>
          <w:lang w:val="en-US" w:eastAsia="zh-CN"/>
        </w:rPr>
      </w:pPr>
    </w:p>
    <w:sectPr>
      <w:footerReference r:id="rId22" w:type="default"/>
      <w:pgSz w:w="11907" w:h="16840"/>
      <w:pgMar w:top="1361" w:right="1134" w:bottom="1361" w:left="1587"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Garamond">
    <w:altName w:val="PMingLiU"/>
    <w:panose1 w:val="02020404030301010803"/>
    <w:charset w:val="00"/>
    <w:family w:val="roman"/>
    <w:pitch w:val="default"/>
    <w:sig w:usb0="00000000" w:usb1="00000000" w:usb2="00000000" w:usb3="00000000" w:csb0="0000009F"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Microsoft Sans Serif">
    <w:panose1 w:val="020B0604020202020204"/>
    <w:charset w:val="00"/>
    <w:family w:val="swiss"/>
    <w:pitch w:val="default"/>
    <w:sig w:usb0="E1002AFF" w:usb1="C0000002" w:usb2="00000008" w:usb3="00000000" w:csb0="200101FF" w:csb1="2028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华文中宋">
    <w:altName w:val="宋体"/>
    <w:panose1 w:val="00000000000000000000"/>
    <w:charset w:val="00"/>
    <w:family w:val="auto"/>
    <w:pitch w:val="default"/>
    <w:sig w:usb0="00000000" w:usb1="00000000" w:usb2="00000000" w:usb3="00000000" w:csb0="00000000" w:csb1="00000000"/>
  </w:font>
  <w:font w:name="Noto Music">
    <w:altName w:val="Segoe Print"/>
    <w:panose1 w:val="020B0502040504020204"/>
    <w:charset w:val="00"/>
    <w:family w:val="auto"/>
    <w:pitch w:val="default"/>
    <w:sig w:usb0="00000000" w:usb1="00000000" w:usb2="01000000" w:usb3="00000000" w:csb0="00000001" w:csb1="00000000"/>
  </w:font>
  <w:font w:name="Wingdings 2">
    <w:altName w:val="Wingdings"/>
    <w:panose1 w:val="00000000000000000000"/>
    <w:charset w:val="00"/>
    <w:family w:val="auto"/>
    <w:pitch w:val="default"/>
    <w:sig w:usb0="00000000" w:usb1="00000000" w:usb2="00000000" w:usb3="00000000" w:csb0="00000000" w:csb1="00000000"/>
  </w:font>
  <w:font w:name="WPSEMBED17">
    <w:altName w:val="宋体"/>
    <w:panose1 w:val="02010600040101010101"/>
    <w:charset w:val="86"/>
    <w:family w:val="auto"/>
    <w:pitch w:val="default"/>
    <w:sig w:usb0="00000000" w:usb1="00000000" w:usb2="00000000" w:usb3="00000000" w:csb0="0004009F" w:csb1="DFD70000"/>
  </w:font>
  <w:font w:name="WPSEMBED18">
    <w:altName w:val="Segoe Print"/>
    <w:panose1 w:val="05020102010507070707"/>
    <w:charset w:val="00"/>
    <w:family w:val="auto"/>
    <w:pitch w:val="default"/>
    <w:sig w:usb0="00000000" w:usb1="00000000" w:usb2="00000000" w:usb3="00000000" w:csb0="80000000" w:csb1="00000000"/>
  </w:font>
  <w:font w:name="WPSEMBED19">
    <w:altName w:val="宋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&#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CC2Kw4CAAAJBAAADgAAAAAAAAABACAAAAAf&#10;AQAAZHJzL2Uyb0RvYy54bWxQSwUGAAAAAAYABgBZAQAAn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63</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65</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Style w:val="49"/>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2Q+s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vqJ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PZD6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7</w:t>
                    </w:r>
                    <w:r>
                      <w:fldChar w:fldCharType="end"/>
                    </w:r>
                  </w:p>
                </w:txbxContent>
              </v:textbox>
            </v:shape>
          </w:pict>
        </mc:Fallback>
      </mc:AlternateContent>
    </w:r>
  </w:p>
  <w:p>
    <w:pPr>
      <w:pStyle w:val="3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0n8CEAIAAAkEAAAOAAAAAAAAAAEAIAAA&#10;AB8BAABkcnMvZTJvRG9jLnhtbFBLBQYAAAAABgAGAFkBAACh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pPr>
      <w:pStyle w:val="3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56</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sz w:val="18"/>
                              <w:lang w:val="en-US" w:eastAsia="zh-CN"/>
                            </w:rPr>
                          </w:pPr>
                        </w:p>
                        <w:p>
                          <w:pPr>
                            <w:pStyle w:val="2"/>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sz w:val="18"/>
                        <w:lang w:val="en-US" w:eastAsia="zh-CN"/>
                      </w:rPr>
                    </w:pPr>
                  </w:p>
                  <w:p>
                    <w:pPr>
                      <w:pStyle w:val="2"/>
                      <w:rPr>
                        <w:rFonts w:hint="eastAsia"/>
                        <w:lang w:val="en-US"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011"/>
      <w:rPr>
        <w:rFonts w:ascii="Arial" w:hAnsi="Arial" w:eastAsia="Arial" w:cs="Arial"/>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rPr>
        <w:sz w:val="16"/>
        <w:szCs w:val="16"/>
      </w:rPr>
    </w:pPr>
    <w:r>
      <w:rPr>
        <w:rFonts w:hint="eastAsia"/>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eastAsia" w:ascii="宋体" w:hAnsi="宋体" w:cs="宋体"/>
        <w:bCs/>
        <w:sz w:val="21"/>
        <w:szCs w:val="21"/>
      </w:rPr>
      <w:t xml:space="preserve">                         </w:t>
    </w:r>
    <w:r>
      <w:rPr>
        <w:rFonts w:hint="eastAsia" w:ascii="宋体" w:hAnsi="宋体" w:cs="宋体"/>
        <w:bCs/>
      </w:rPr>
      <w:t xml:space="preserve">  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rPr>
        <w:sz w:val="16"/>
        <w:szCs w:val="16"/>
      </w:rPr>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jc w:val="right"/>
      <w:rPr>
        <w:sz w:val="18"/>
        <w:szCs w:val="18"/>
      </w:rPr>
    </w:pPr>
    <w: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10700"/>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732992" behindDoc="0" locked="0" layoutInCell="0" allowOverlap="1">
              <wp:simplePos x="0" y="0"/>
              <wp:positionH relativeFrom="page">
                <wp:posOffset>900430</wp:posOffset>
              </wp:positionH>
              <wp:positionV relativeFrom="page">
                <wp:posOffset>718185</wp:posOffset>
              </wp:positionV>
              <wp:extent cx="889317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8893175" cy="9525"/>
                      </a:xfrm>
                      <a:custGeom>
                        <a:avLst/>
                        <a:gdLst/>
                        <a:ahLst/>
                        <a:cxnLst/>
                        <a:pathLst>
                          <a:path w="14005" h="15">
                            <a:moveTo>
                              <a:pt x="0" y="0"/>
                            </a:moveTo>
                            <a:lnTo>
                              <a:pt x="14004" y="0"/>
                            </a:lnTo>
                            <a:lnTo>
                              <a:pt x="14004"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70.9pt;margin-top:56.55pt;height:0.75pt;width:700.25pt;mso-position-horizontal-relative:page;mso-position-vertical-relative:page;z-index:251732992;mso-width-relative:page;mso-height-relative:page;" fillcolor="#000000" filled="t" stroked="f" coordsize="14005,15" o:allowincell="f" o:gfxdata="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ZNykbVAAAADAEAAA8AAAAAAAAAAQAgAAAAIgAAAGRycy9kb3ducmV2&#10;LnhtbFBLAQIUABQAAAAIAIdO4kD8L1he/wEAADkEAAAOAAAAAAAAAAEAIAAAACQBAABkcnMvZTJv&#10;RG9jLnhtbFBLBQYAAAAABgAGAFkBAACVBQAAAAA=&#10;" path="m0,0l14004,0,14004,14,0,14,0,0xe">
              <v:fill on="t" focussize="0,0"/>
              <v:stroke on="f"/>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5768"/>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9203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920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Cg5bbv/AEAADYEAAAOAAAAAAAAAAEAIAAAACcBAABkcnMvZTJv&#10;RG9jLnhtbFBLBQYAAAAABgAGAFkBAACVBQ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F1790"/>
    <w:multiLevelType w:val="singleLevel"/>
    <w:tmpl w:val="8CFF1790"/>
    <w:lvl w:ilvl="0" w:tentative="0">
      <w:start w:val="1"/>
      <w:numFmt w:val="decimal"/>
      <w:suff w:val="nothing"/>
      <w:lvlText w:val="%1、"/>
      <w:lvlJc w:val="left"/>
    </w:lvl>
  </w:abstractNum>
  <w:abstractNum w:abstractNumId="1">
    <w:nsid w:val="00000001"/>
    <w:multiLevelType w:val="singleLevel"/>
    <w:tmpl w:val="00000001"/>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2">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3"/>
    <w:multiLevelType w:val="multilevel"/>
    <w:tmpl w:val="00000003"/>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lowerLetter"/>
      <w:pStyle w:val="23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05"/>
    <w:multiLevelType w:val="singleLevel"/>
    <w:tmpl w:val="00000005"/>
    <w:lvl w:ilvl="0" w:tentative="0">
      <w:start w:val="1"/>
      <w:numFmt w:val="decimal"/>
      <w:pStyle w:val="211"/>
      <w:lvlText w:val="%1."/>
      <w:lvlJc w:val="left"/>
      <w:pPr>
        <w:tabs>
          <w:tab w:val="left" w:pos="360"/>
        </w:tabs>
        <w:ind w:left="360" w:hanging="360"/>
      </w:pPr>
      <w:rPr>
        <w:rFonts w:hint="default"/>
      </w:rPr>
    </w:lvl>
  </w:abstractNum>
  <w:abstractNum w:abstractNumId="6">
    <w:nsid w:val="00000006"/>
    <w:multiLevelType w:val="multilevel"/>
    <w:tmpl w:val="00000006"/>
    <w:lvl w:ilvl="0" w:tentative="0">
      <w:start w:val="1"/>
      <w:numFmt w:val="decimal"/>
      <w:pStyle w:val="14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7">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09"/>
    <w:multiLevelType w:val="multilevel"/>
    <w:tmpl w:val="00000009"/>
    <w:lvl w:ilvl="0" w:tentative="0">
      <w:start w:val="1"/>
      <w:numFmt w:val="decimal"/>
      <w:pStyle w:val="2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B"/>
    <w:multiLevelType w:val="multilevel"/>
    <w:tmpl w:val="0000000B"/>
    <w:lvl w:ilvl="0" w:tentative="0">
      <w:start w:val="1"/>
      <w:numFmt w:val="decimal"/>
      <w:pStyle w:val="246"/>
      <w:lvlText w:val="%1"/>
      <w:lvlJc w:val="left"/>
      <w:pPr>
        <w:ind w:left="680" w:hanging="680"/>
      </w:pPr>
      <w:rPr>
        <w:rFonts w:hint="eastAsia" w:ascii="宋体" w:hAnsi="宋体" w:eastAsia="宋体"/>
      </w:rPr>
    </w:lvl>
    <w:lvl w:ilvl="1" w:tentative="0">
      <w:start w:val="1"/>
      <w:numFmt w:val="decimal"/>
      <w:pStyle w:val="202"/>
      <w:lvlText w:val="%1.%2"/>
      <w:lvlJc w:val="left"/>
      <w:pPr>
        <w:ind w:left="851" w:hanging="851"/>
      </w:pPr>
      <w:rPr>
        <w:rFonts w:hint="eastAsia" w:ascii="宋体" w:hAnsi="宋体" w:eastAsia="宋体"/>
        <w:color w:val="auto"/>
      </w:rPr>
    </w:lvl>
    <w:lvl w:ilvl="2" w:tentative="0">
      <w:start w:val="1"/>
      <w:numFmt w:val="decimal"/>
      <w:pStyle w:val="19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14"/>
    <w:multiLevelType w:val="multilevel"/>
    <w:tmpl w:val="00000014"/>
    <w:lvl w:ilvl="0" w:tentative="0">
      <w:start w:val="1"/>
      <w:numFmt w:val="decimal"/>
      <w:pStyle w:val="27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51A1ADD9"/>
    <w:multiLevelType w:val="singleLevel"/>
    <w:tmpl w:val="51A1ADD9"/>
    <w:lvl w:ilvl="0" w:tentative="0">
      <w:start w:val="2"/>
      <w:numFmt w:val="decimal"/>
      <w:lvlText w:val="%1."/>
      <w:lvlJc w:val="left"/>
      <w:pPr>
        <w:tabs>
          <w:tab w:val="left" w:pos="312"/>
        </w:tabs>
      </w:pPr>
    </w:lvl>
  </w:abstractNum>
  <w:abstractNum w:abstractNumId="17">
    <w:nsid w:val="60D2DDBF"/>
    <w:multiLevelType w:val="singleLevel"/>
    <w:tmpl w:val="60D2DDBF"/>
    <w:lvl w:ilvl="0" w:tentative="0">
      <w:start w:val="1"/>
      <w:numFmt w:val="chineseCounting"/>
      <w:suff w:val="nothing"/>
      <w:lvlText w:val="%1、"/>
      <w:lvlJc w:val="left"/>
    </w:lvl>
  </w:abstractNum>
  <w:abstractNum w:abstractNumId="18">
    <w:nsid w:val="67A9C9FC"/>
    <w:multiLevelType w:val="singleLevel"/>
    <w:tmpl w:val="67A9C9FC"/>
    <w:lvl w:ilvl="0" w:tentative="0">
      <w:start w:val="5"/>
      <w:numFmt w:val="chineseCounting"/>
      <w:suff w:val="space"/>
      <w:lvlText w:val="第%1章"/>
      <w:lvlJc w:val="left"/>
    </w:lvl>
  </w:abstractNum>
  <w:abstractNum w:abstractNumId="19">
    <w:nsid w:val="67AAC149"/>
    <w:multiLevelType w:val="singleLevel"/>
    <w:tmpl w:val="67AAC149"/>
    <w:lvl w:ilvl="0" w:tentative="0">
      <w:start w:val="2"/>
      <w:numFmt w:val="decimal"/>
      <w:suff w:val="nothing"/>
      <w:lvlText w:val="%1."/>
      <w:lvlJc w:val="left"/>
    </w:lvl>
  </w:abstractNum>
  <w:num w:numId="1">
    <w:abstractNumId w:val="1"/>
  </w:num>
  <w:num w:numId="2">
    <w:abstractNumId w:val="6"/>
  </w:num>
  <w:num w:numId="3">
    <w:abstractNumId w:val="3"/>
  </w:num>
  <w:num w:numId="4">
    <w:abstractNumId w:val="7"/>
  </w:num>
  <w:num w:numId="5">
    <w:abstractNumId w:val="10"/>
  </w:num>
  <w:num w:numId="6">
    <w:abstractNumId w:val="9"/>
  </w:num>
  <w:num w:numId="7">
    <w:abstractNumId w:val="5"/>
  </w:num>
  <w:num w:numId="8">
    <w:abstractNumId w:val="4"/>
  </w:num>
  <w:num w:numId="9">
    <w:abstractNumId w:val="14"/>
  </w:num>
  <w:num w:numId="10">
    <w:abstractNumId w:val="16"/>
  </w:num>
  <w:num w:numId="11">
    <w:abstractNumId w:val="8"/>
  </w:num>
  <w:num w:numId="12">
    <w:abstractNumId w:val="12"/>
  </w:num>
  <w:num w:numId="13">
    <w:abstractNumId w:val="2"/>
  </w:num>
  <w:num w:numId="14">
    <w:abstractNumId w:val="13"/>
  </w:num>
  <w:num w:numId="15">
    <w:abstractNumId w:val="11"/>
  </w:num>
  <w:num w:numId="16">
    <w:abstractNumId w:val="0"/>
  </w:num>
  <w:num w:numId="17">
    <w:abstractNumId w:val="18"/>
  </w:num>
  <w:num w:numId="18">
    <w:abstractNumId w:val="17"/>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191"/>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B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B6"/>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1C11"/>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038F6"/>
    <w:rsid w:val="015306FC"/>
    <w:rsid w:val="015B1D10"/>
    <w:rsid w:val="01916CD0"/>
    <w:rsid w:val="019610AF"/>
    <w:rsid w:val="01A41A6C"/>
    <w:rsid w:val="01A93B28"/>
    <w:rsid w:val="01BA1597"/>
    <w:rsid w:val="01D26EC6"/>
    <w:rsid w:val="01FA6456"/>
    <w:rsid w:val="02001A13"/>
    <w:rsid w:val="020566AE"/>
    <w:rsid w:val="02075AE8"/>
    <w:rsid w:val="0213766F"/>
    <w:rsid w:val="0219617A"/>
    <w:rsid w:val="02247C34"/>
    <w:rsid w:val="02407C3D"/>
    <w:rsid w:val="02512DF5"/>
    <w:rsid w:val="028B7BC0"/>
    <w:rsid w:val="02955F3C"/>
    <w:rsid w:val="0297402C"/>
    <w:rsid w:val="02A05858"/>
    <w:rsid w:val="02AB4649"/>
    <w:rsid w:val="02D30625"/>
    <w:rsid w:val="02D872E8"/>
    <w:rsid w:val="02DF7FCE"/>
    <w:rsid w:val="032064E7"/>
    <w:rsid w:val="033335E5"/>
    <w:rsid w:val="033436B5"/>
    <w:rsid w:val="033822ED"/>
    <w:rsid w:val="03624C00"/>
    <w:rsid w:val="03687D33"/>
    <w:rsid w:val="03702CAE"/>
    <w:rsid w:val="0379744C"/>
    <w:rsid w:val="03855958"/>
    <w:rsid w:val="03971A79"/>
    <w:rsid w:val="0399389A"/>
    <w:rsid w:val="03B263E4"/>
    <w:rsid w:val="03B3380D"/>
    <w:rsid w:val="03E06414"/>
    <w:rsid w:val="03EA1E1B"/>
    <w:rsid w:val="03F10EA8"/>
    <w:rsid w:val="03F42FA9"/>
    <w:rsid w:val="040618AD"/>
    <w:rsid w:val="041C6F8E"/>
    <w:rsid w:val="04246B5F"/>
    <w:rsid w:val="04252102"/>
    <w:rsid w:val="044277BB"/>
    <w:rsid w:val="04541A8E"/>
    <w:rsid w:val="04690431"/>
    <w:rsid w:val="047356B1"/>
    <w:rsid w:val="04C53F5B"/>
    <w:rsid w:val="04E348DB"/>
    <w:rsid w:val="04EC3396"/>
    <w:rsid w:val="04F84BE3"/>
    <w:rsid w:val="04FA5522"/>
    <w:rsid w:val="05010983"/>
    <w:rsid w:val="05013FF0"/>
    <w:rsid w:val="05224BE3"/>
    <w:rsid w:val="05280636"/>
    <w:rsid w:val="052E5C7E"/>
    <w:rsid w:val="05383082"/>
    <w:rsid w:val="053D0287"/>
    <w:rsid w:val="053D74C7"/>
    <w:rsid w:val="05436E42"/>
    <w:rsid w:val="055D06BE"/>
    <w:rsid w:val="05724525"/>
    <w:rsid w:val="057B478F"/>
    <w:rsid w:val="058137A3"/>
    <w:rsid w:val="05855D95"/>
    <w:rsid w:val="05954114"/>
    <w:rsid w:val="05C92ED4"/>
    <w:rsid w:val="05D33A35"/>
    <w:rsid w:val="05D576A0"/>
    <w:rsid w:val="05DD4D16"/>
    <w:rsid w:val="05F6260D"/>
    <w:rsid w:val="060743F1"/>
    <w:rsid w:val="0616068F"/>
    <w:rsid w:val="061C4818"/>
    <w:rsid w:val="063E0A78"/>
    <w:rsid w:val="065109CA"/>
    <w:rsid w:val="06565F0F"/>
    <w:rsid w:val="065F16F5"/>
    <w:rsid w:val="066A4B99"/>
    <w:rsid w:val="06723B26"/>
    <w:rsid w:val="0677686C"/>
    <w:rsid w:val="06932B20"/>
    <w:rsid w:val="06A97C2E"/>
    <w:rsid w:val="06AB2C06"/>
    <w:rsid w:val="06D519F6"/>
    <w:rsid w:val="06E472B9"/>
    <w:rsid w:val="070A5399"/>
    <w:rsid w:val="07156F31"/>
    <w:rsid w:val="07195989"/>
    <w:rsid w:val="07487961"/>
    <w:rsid w:val="074D537D"/>
    <w:rsid w:val="075F66B9"/>
    <w:rsid w:val="07611FF9"/>
    <w:rsid w:val="076D5A73"/>
    <w:rsid w:val="0791008B"/>
    <w:rsid w:val="07A604C0"/>
    <w:rsid w:val="07A75A3B"/>
    <w:rsid w:val="07AF3E24"/>
    <w:rsid w:val="07C74E9D"/>
    <w:rsid w:val="07EC46E8"/>
    <w:rsid w:val="07FF426F"/>
    <w:rsid w:val="080D0C27"/>
    <w:rsid w:val="08427DC9"/>
    <w:rsid w:val="08575EA1"/>
    <w:rsid w:val="088B467B"/>
    <w:rsid w:val="08996848"/>
    <w:rsid w:val="089A5072"/>
    <w:rsid w:val="08A318F8"/>
    <w:rsid w:val="08AF6210"/>
    <w:rsid w:val="08BB742D"/>
    <w:rsid w:val="08CD5D91"/>
    <w:rsid w:val="08E27B5D"/>
    <w:rsid w:val="08EF314D"/>
    <w:rsid w:val="08FD52F3"/>
    <w:rsid w:val="090306B4"/>
    <w:rsid w:val="09063EB5"/>
    <w:rsid w:val="090A100A"/>
    <w:rsid w:val="09273A6D"/>
    <w:rsid w:val="09334456"/>
    <w:rsid w:val="095262B0"/>
    <w:rsid w:val="09624E40"/>
    <w:rsid w:val="09790B5A"/>
    <w:rsid w:val="09865CBD"/>
    <w:rsid w:val="098705F9"/>
    <w:rsid w:val="099E5AD3"/>
    <w:rsid w:val="09A446E0"/>
    <w:rsid w:val="09A83CDB"/>
    <w:rsid w:val="09D3773D"/>
    <w:rsid w:val="09E17D6C"/>
    <w:rsid w:val="09E42CBA"/>
    <w:rsid w:val="09EA131A"/>
    <w:rsid w:val="09F67CEC"/>
    <w:rsid w:val="0A0C7DBE"/>
    <w:rsid w:val="0A67396E"/>
    <w:rsid w:val="0A756D7C"/>
    <w:rsid w:val="0A791B72"/>
    <w:rsid w:val="0A8141D0"/>
    <w:rsid w:val="0A8C47E5"/>
    <w:rsid w:val="0A9918A5"/>
    <w:rsid w:val="0AA43F61"/>
    <w:rsid w:val="0AAB7D65"/>
    <w:rsid w:val="0AD74E58"/>
    <w:rsid w:val="0AF87DC5"/>
    <w:rsid w:val="0B053D9D"/>
    <w:rsid w:val="0B056E63"/>
    <w:rsid w:val="0B33553F"/>
    <w:rsid w:val="0B5A10DA"/>
    <w:rsid w:val="0B6202FE"/>
    <w:rsid w:val="0B636D31"/>
    <w:rsid w:val="0B660C1A"/>
    <w:rsid w:val="0B6E1798"/>
    <w:rsid w:val="0B6F04C6"/>
    <w:rsid w:val="0B851F21"/>
    <w:rsid w:val="0B8A5EA6"/>
    <w:rsid w:val="0B8B5DC2"/>
    <w:rsid w:val="0B8D01CD"/>
    <w:rsid w:val="0B926EDF"/>
    <w:rsid w:val="0B970E83"/>
    <w:rsid w:val="0B9E5D00"/>
    <w:rsid w:val="0BA4681F"/>
    <w:rsid w:val="0BCD2E70"/>
    <w:rsid w:val="0BD01310"/>
    <w:rsid w:val="0BD116CD"/>
    <w:rsid w:val="0BEE65B4"/>
    <w:rsid w:val="0BF84470"/>
    <w:rsid w:val="0C211FA7"/>
    <w:rsid w:val="0C586080"/>
    <w:rsid w:val="0C777CB3"/>
    <w:rsid w:val="0CA72825"/>
    <w:rsid w:val="0CB076F6"/>
    <w:rsid w:val="0CB07C93"/>
    <w:rsid w:val="0CB20C97"/>
    <w:rsid w:val="0CC454E2"/>
    <w:rsid w:val="0CEC05AE"/>
    <w:rsid w:val="0D046D09"/>
    <w:rsid w:val="0D443FE3"/>
    <w:rsid w:val="0D475FEC"/>
    <w:rsid w:val="0D51690C"/>
    <w:rsid w:val="0D594B4C"/>
    <w:rsid w:val="0D621535"/>
    <w:rsid w:val="0D6A19A4"/>
    <w:rsid w:val="0D6B0C82"/>
    <w:rsid w:val="0D6C7581"/>
    <w:rsid w:val="0D7B7DD4"/>
    <w:rsid w:val="0D881D67"/>
    <w:rsid w:val="0D97217F"/>
    <w:rsid w:val="0DA45344"/>
    <w:rsid w:val="0DA94DDF"/>
    <w:rsid w:val="0DB02F73"/>
    <w:rsid w:val="0DC36C95"/>
    <w:rsid w:val="0DD5331A"/>
    <w:rsid w:val="0DDD5ACC"/>
    <w:rsid w:val="0DEA4AFF"/>
    <w:rsid w:val="0E1B3B90"/>
    <w:rsid w:val="0E1D3535"/>
    <w:rsid w:val="0E456044"/>
    <w:rsid w:val="0E541DEF"/>
    <w:rsid w:val="0E694544"/>
    <w:rsid w:val="0E7E2C68"/>
    <w:rsid w:val="0E8A1321"/>
    <w:rsid w:val="0EB209F2"/>
    <w:rsid w:val="0EB36095"/>
    <w:rsid w:val="0EC07B9C"/>
    <w:rsid w:val="0EC468EB"/>
    <w:rsid w:val="0EC950C3"/>
    <w:rsid w:val="0EF76FA1"/>
    <w:rsid w:val="0F1110B9"/>
    <w:rsid w:val="0F185E60"/>
    <w:rsid w:val="0F225ABE"/>
    <w:rsid w:val="0F294DF1"/>
    <w:rsid w:val="0F295DEA"/>
    <w:rsid w:val="0F3A05A2"/>
    <w:rsid w:val="0F466078"/>
    <w:rsid w:val="0F4F3A8E"/>
    <w:rsid w:val="0F56131B"/>
    <w:rsid w:val="0F69322C"/>
    <w:rsid w:val="0F883043"/>
    <w:rsid w:val="0F9532BB"/>
    <w:rsid w:val="0F9C0497"/>
    <w:rsid w:val="0FD74732"/>
    <w:rsid w:val="101000E7"/>
    <w:rsid w:val="101E79CF"/>
    <w:rsid w:val="102C2ED2"/>
    <w:rsid w:val="103C24E8"/>
    <w:rsid w:val="104D5524"/>
    <w:rsid w:val="10671B95"/>
    <w:rsid w:val="10A80300"/>
    <w:rsid w:val="10C22A64"/>
    <w:rsid w:val="10DD43F1"/>
    <w:rsid w:val="10FE5A6B"/>
    <w:rsid w:val="1111262D"/>
    <w:rsid w:val="11121593"/>
    <w:rsid w:val="11391213"/>
    <w:rsid w:val="113D7DAC"/>
    <w:rsid w:val="114D5422"/>
    <w:rsid w:val="11695CA6"/>
    <w:rsid w:val="11785937"/>
    <w:rsid w:val="118B1B6C"/>
    <w:rsid w:val="11910661"/>
    <w:rsid w:val="11A258DB"/>
    <w:rsid w:val="11F17561"/>
    <w:rsid w:val="11FA6A07"/>
    <w:rsid w:val="120C1974"/>
    <w:rsid w:val="121746D8"/>
    <w:rsid w:val="126734FA"/>
    <w:rsid w:val="127D7F3F"/>
    <w:rsid w:val="129A31C8"/>
    <w:rsid w:val="12A10989"/>
    <w:rsid w:val="12B075EA"/>
    <w:rsid w:val="12B82A9A"/>
    <w:rsid w:val="12CC5537"/>
    <w:rsid w:val="12D15108"/>
    <w:rsid w:val="12D57A4B"/>
    <w:rsid w:val="12DB732A"/>
    <w:rsid w:val="12E6615B"/>
    <w:rsid w:val="12F045F8"/>
    <w:rsid w:val="1303182D"/>
    <w:rsid w:val="134309D4"/>
    <w:rsid w:val="13437A0A"/>
    <w:rsid w:val="134442E1"/>
    <w:rsid w:val="135B3E85"/>
    <w:rsid w:val="135E65D1"/>
    <w:rsid w:val="13610B0C"/>
    <w:rsid w:val="1378782D"/>
    <w:rsid w:val="139E022A"/>
    <w:rsid w:val="13BF729C"/>
    <w:rsid w:val="13CE65D6"/>
    <w:rsid w:val="13F61D29"/>
    <w:rsid w:val="13F87C86"/>
    <w:rsid w:val="140C5112"/>
    <w:rsid w:val="14252271"/>
    <w:rsid w:val="14292642"/>
    <w:rsid w:val="14365E7A"/>
    <w:rsid w:val="14391A53"/>
    <w:rsid w:val="143C2399"/>
    <w:rsid w:val="143D3CA5"/>
    <w:rsid w:val="14452377"/>
    <w:rsid w:val="14583435"/>
    <w:rsid w:val="14602280"/>
    <w:rsid w:val="146E67DD"/>
    <w:rsid w:val="146F01F8"/>
    <w:rsid w:val="147E4554"/>
    <w:rsid w:val="147F6568"/>
    <w:rsid w:val="148236C8"/>
    <w:rsid w:val="14AD36C2"/>
    <w:rsid w:val="14D94B55"/>
    <w:rsid w:val="14EE0BD7"/>
    <w:rsid w:val="14FF64A0"/>
    <w:rsid w:val="1511603E"/>
    <w:rsid w:val="151B12CA"/>
    <w:rsid w:val="152812B5"/>
    <w:rsid w:val="152D7A50"/>
    <w:rsid w:val="153161C4"/>
    <w:rsid w:val="15334A09"/>
    <w:rsid w:val="15534720"/>
    <w:rsid w:val="15A818B7"/>
    <w:rsid w:val="15E6718D"/>
    <w:rsid w:val="160229C7"/>
    <w:rsid w:val="16053DB3"/>
    <w:rsid w:val="161C0AB3"/>
    <w:rsid w:val="164F2753"/>
    <w:rsid w:val="1652108F"/>
    <w:rsid w:val="16655A13"/>
    <w:rsid w:val="16682A2A"/>
    <w:rsid w:val="16BF0518"/>
    <w:rsid w:val="16CE51B3"/>
    <w:rsid w:val="16D50D3F"/>
    <w:rsid w:val="16DC081C"/>
    <w:rsid w:val="16ED449C"/>
    <w:rsid w:val="16EF3191"/>
    <w:rsid w:val="16F4387B"/>
    <w:rsid w:val="171519C5"/>
    <w:rsid w:val="171D2AE4"/>
    <w:rsid w:val="17532BDD"/>
    <w:rsid w:val="177C45AD"/>
    <w:rsid w:val="177D3AC3"/>
    <w:rsid w:val="179C1733"/>
    <w:rsid w:val="17A05589"/>
    <w:rsid w:val="17D74053"/>
    <w:rsid w:val="17DB3A3E"/>
    <w:rsid w:val="17F93E0B"/>
    <w:rsid w:val="180F6647"/>
    <w:rsid w:val="181D6EF6"/>
    <w:rsid w:val="18316649"/>
    <w:rsid w:val="1836445A"/>
    <w:rsid w:val="184B7C10"/>
    <w:rsid w:val="186F2CFF"/>
    <w:rsid w:val="188D49AD"/>
    <w:rsid w:val="18950F62"/>
    <w:rsid w:val="18A1133F"/>
    <w:rsid w:val="18A81871"/>
    <w:rsid w:val="18C9511C"/>
    <w:rsid w:val="18DB3B8F"/>
    <w:rsid w:val="18DD31F3"/>
    <w:rsid w:val="18FB1EFE"/>
    <w:rsid w:val="19043F59"/>
    <w:rsid w:val="190E743C"/>
    <w:rsid w:val="193701E1"/>
    <w:rsid w:val="195F6202"/>
    <w:rsid w:val="196246EE"/>
    <w:rsid w:val="19714D6A"/>
    <w:rsid w:val="19720619"/>
    <w:rsid w:val="198314DC"/>
    <w:rsid w:val="19883AAC"/>
    <w:rsid w:val="198A17E7"/>
    <w:rsid w:val="199C76CF"/>
    <w:rsid w:val="19A84768"/>
    <w:rsid w:val="19C64DD2"/>
    <w:rsid w:val="19D06DEF"/>
    <w:rsid w:val="19E55A33"/>
    <w:rsid w:val="19E8295D"/>
    <w:rsid w:val="19F01C44"/>
    <w:rsid w:val="1A0528D8"/>
    <w:rsid w:val="1A082241"/>
    <w:rsid w:val="1A114FE2"/>
    <w:rsid w:val="1A151EE0"/>
    <w:rsid w:val="1A4C3E2C"/>
    <w:rsid w:val="1A7D15B0"/>
    <w:rsid w:val="1A885A35"/>
    <w:rsid w:val="1A9075A3"/>
    <w:rsid w:val="1A9564A1"/>
    <w:rsid w:val="1AB1245E"/>
    <w:rsid w:val="1ABE0543"/>
    <w:rsid w:val="1AD01CF4"/>
    <w:rsid w:val="1ADA749F"/>
    <w:rsid w:val="1AE7527D"/>
    <w:rsid w:val="1AFD7DE7"/>
    <w:rsid w:val="1B1E64D9"/>
    <w:rsid w:val="1B3D1BED"/>
    <w:rsid w:val="1B45409F"/>
    <w:rsid w:val="1B47366A"/>
    <w:rsid w:val="1B56247E"/>
    <w:rsid w:val="1B88172B"/>
    <w:rsid w:val="1B8F23F4"/>
    <w:rsid w:val="1B942642"/>
    <w:rsid w:val="1BB73841"/>
    <w:rsid w:val="1BC12AB7"/>
    <w:rsid w:val="1BDA29E3"/>
    <w:rsid w:val="1BF24C8C"/>
    <w:rsid w:val="1BFC0E50"/>
    <w:rsid w:val="1C074C0D"/>
    <w:rsid w:val="1C0D7156"/>
    <w:rsid w:val="1C1C00BE"/>
    <w:rsid w:val="1C2D08BF"/>
    <w:rsid w:val="1C2E4F89"/>
    <w:rsid w:val="1C455CA5"/>
    <w:rsid w:val="1C526023"/>
    <w:rsid w:val="1C636073"/>
    <w:rsid w:val="1C6E5A4A"/>
    <w:rsid w:val="1C7A4325"/>
    <w:rsid w:val="1C824727"/>
    <w:rsid w:val="1C8320DB"/>
    <w:rsid w:val="1C85446B"/>
    <w:rsid w:val="1CA65601"/>
    <w:rsid w:val="1CA665FA"/>
    <w:rsid w:val="1CAF3868"/>
    <w:rsid w:val="1CC840CE"/>
    <w:rsid w:val="1CCA3E06"/>
    <w:rsid w:val="1CCC4623"/>
    <w:rsid w:val="1CEB1AD9"/>
    <w:rsid w:val="1CF1781E"/>
    <w:rsid w:val="1D0336FA"/>
    <w:rsid w:val="1D056966"/>
    <w:rsid w:val="1D0E1B1F"/>
    <w:rsid w:val="1D1E0A50"/>
    <w:rsid w:val="1D2109B3"/>
    <w:rsid w:val="1D2300D4"/>
    <w:rsid w:val="1D2C69D2"/>
    <w:rsid w:val="1D451205"/>
    <w:rsid w:val="1D57770E"/>
    <w:rsid w:val="1D8623FD"/>
    <w:rsid w:val="1D8C721C"/>
    <w:rsid w:val="1D96384F"/>
    <w:rsid w:val="1D9E303B"/>
    <w:rsid w:val="1DA2343A"/>
    <w:rsid w:val="1DAD522A"/>
    <w:rsid w:val="1DDD2BFC"/>
    <w:rsid w:val="1DE04A98"/>
    <w:rsid w:val="1DEF78D2"/>
    <w:rsid w:val="1E022962"/>
    <w:rsid w:val="1E0A5D42"/>
    <w:rsid w:val="1E17772B"/>
    <w:rsid w:val="1E31590D"/>
    <w:rsid w:val="1E395EB8"/>
    <w:rsid w:val="1E4C7BD1"/>
    <w:rsid w:val="1E5E262B"/>
    <w:rsid w:val="1E622EE9"/>
    <w:rsid w:val="1E6B4E27"/>
    <w:rsid w:val="1E7A4D1D"/>
    <w:rsid w:val="1E854A78"/>
    <w:rsid w:val="1E8A15CA"/>
    <w:rsid w:val="1EAF2087"/>
    <w:rsid w:val="1EDD1986"/>
    <w:rsid w:val="1EFA2F0E"/>
    <w:rsid w:val="1EFD6054"/>
    <w:rsid w:val="1EFE6169"/>
    <w:rsid w:val="1F224D89"/>
    <w:rsid w:val="1F466D8F"/>
    <w:rsid w:val="1F4922F0"/>
    <w:rsid w:val="1F5D50DF"/>
    <w:rsid w:val="1F6D5680"/>
    <w:rsid w:val="1F7C2EC0"/>
    <w:rsid w:val="1F872B02"/>
    <w:rsid w:val="1F980DD7"/>
    <w:rsid w:val="1FA25157"/>
    <w:rsid w:val="1FB057D2"/>
    <w:rsid w:val="1FBB0A86"/>
    <w:rsid w:val="1FBF7DA5"/>
    <w:rsid w:val="1FC45BEE"/>
    <w:rsid w:val="1FE21FC1"/>
    <w:rsid w:val="1FF16B7D"/>
    <w:rsid w:val="200265E3"/>
    <w:rsid w:val="2041008A"/>
    <w:rsid w:val="20463C42"/>
    <w:rsid w:val="20620629"/>
    <w:rsid w:val="208257A3"/>
    <w:rsid w:val="20850B3F"/>
    <w:rsid w:val="208B18C7"/>
    <w:rsid w:val="20915573"/>
    <w:rsid w:val="20A21D6F"/>
    <w:rsid w:val="20A64C03"/>
    <w:rsid w:val="20A67D42"/>
    <w:rsid w:val="20A71F4F"/>
    <w:rsid w:val="20AE0BF4"/>
    <w:rsid w:val="20CF575E"/>
    <w:rsid w:val="20E71F9F"/>
    <w:rsid w:val="20F81F96"/>
    <w:rsid w:val="21174BF4"/>
    <w:rsid w:val="21443E0D"/>
    <w:rsid w:val="214771FE"/>
    <w:rsid w:val="2177672C"/>
    <w:rsid w:val="218E32F6"/>
    <w:rsid w:val="21B1338E"/>
    <w:rsid w:val="21B26AB4"/>
    <w:rsid w:val="21B468D6"/>
    <w:rsid w:val="21D46BE4"/>
    <w:rsid w:val="21D50F71"/>
    <w:rsid w:val="21F75BA5"/>
    <w:rsid w:val="220318BC"/>
    <w:rsid w:val="22107AF3"/>
    <w:rsid w:val="22451AB9"/>
    <w:rsid w:val="225873EA"/>
    <w:rsid w:val="225D39B8"/>
    <w:rsid w:val="22623DD5"/>
    <w:rsid w:val="226531D2"/>
    <w:rsid w:val="226866BE"/>
    <w:rsid w:val="22706C53"/>
    <w:rsid w:val="228A0EF1"/>
    <w:rsid w:val="229476D3"/>
    <w:rsid w:val="22A95ADE"/>
    <w:rsid w:val="22B17F9D"/>
    <w:rsid w:val="22BD5004"/>
    <w:rsid w:val="22BD7A0A"/>
    <w:rsid w:val="22C6188F"/>
    <w:rsid w:val="22E73498"/>
    <w:rsid w:val="23121A2F"/>
    <w:rsid w:val="231805F5"/>
    <w:rsid w:val="231B032A"/>
    <w:rsid w:val="232F2AB6"/>
    <w:rsid w:val="23320144"/>
    <w:rsid w:val="234A0787"/>
    <w:rsid w:val="234E27C6"/>
    <w:rsid w:val="23672B14"/>
    <w:rsid w:val="236A74D4"/>
    <w:rsid w:val="238D1C24"/>
    <w:rsid w:val="238E19F2"/>
    <w:rsid w:val="23981397"/>
    <w:rsid w:val="239E00B4"/>
    <w:rsid w:val="239E7C2A"/>
    <w:rsid w:val="23A128D5"/>
    <w:rsid w:val="23B279C7"/>
    <w:rsid w:val="23B93C03"/>
    <w:rsid w:val="23BD1996"/>
    <w:rsid w:val="23DD4572"/>
    <w:rsid w:val="2409467A"/>
    <w:rsid w:val="24111CD9"/>
    <w:rsid w:val="2423211D"/>
    <w:rsid w:val="24283A84"/>
    <w:rsid w:val="244257E7"/>
    <w:rsid w:val="244A5173"/>
    <w:rsid w:val="245450C9"/>
    <w:rsid w:val="246B4C53"/>
    <w:rsid w:val="246D05EF"/>
    <w:rsid w:val="24816434"/>
    <w:rsid w:val="248D10AB"/>
    <w:rsid w:val="249D1845"/>
    <w:rsid w:val="24B24CD6"/>
    <w:rsid w:val="24B6092B"/>
    <w:rsid w:val="24D467CB"/>
    <w:rsid w:val="24E84040"/>
    <w:rsid w:val="250B2958"/>
    <w:rsid w:val="25170D9F"/>
    <w:rsid w:val="251E74A4"/>
    <w:rsid w:val="2536485B"/>
    <w:rsid w:val="25493EA0"/>
    <w:rsid w:val="254B13D2"/>
    <w:rsid w:val="255043D6"/>
    <w:rsid w:val="25557FC5"/>
    <w:rsid w:val="25634A0A"/>
    <w:rsid w:val="2566542B"/>
    <w:rsid w:val="256F6760"/>
    <w:rsid w:val="25720A56"/>
    <w:rsid w:val="25815539"/>
    <w:rsid w:val="259D2BCF"/>
    <w:rsid w:val="25BB705C"/>
    <w:rsid w:val="25C85FF8"/>
    <w:rsid w:val="25CA477C"/>
    <w:rsid w:val="25E4004C"/>
    <w:rsid w:val="25EA3DEA"/>
    <w:rsid w:val="25F833E4"/>
    <w:rsid w:val="25FF765A"/>
    <w:rsid w:val="26020C74"/>
    <w:rsid w:val="2609143C"/>
    <w:rsid w:val="26125556"/>
    <w:rsid w:val="26354088"/>
    <w:rsid w:val="267470F2"/>
    <w:rsid w:val="26946331"/>
    <w:rsid w:val="26B102A4"/>
    <w:rsid w:val="26BA58D7"/>
    <w:rsid w:val="26C6494B"/>
    <w:rsid w:val="26CD477E"/>
    <w:rsid w:val="26D7153A"/>
    <w:rsid w:val="26D92823"/>
    <w:rsid w:val="26E637B8"/>
    <w:rsid w:val="26EF43BC"/>
    <w:rsid w:val="26F926C6"/>
    <w:rsid w:val="27043E74"/>
    <w:rsid w:val="272754B0"/>
    <w:rsid w:val="273E38C0"/>
    <w:rsid w:val="274D7FB9"/>
    <w:rsid w:val="27843CE5"/>
    <w:rsid w:val="278D4CCB"/>
    <w:rsid w:val="27A23263"/>
    <w:rsid w:val="27CD1960"/>
    <w:rsid w:val="27DD47D4"/>
    <w:rsid w:val="27ED4992"/>
    <w:rsid w:val="2811278F"/>
    <w:rsid w:val="2814723F"/>
    <w:rsid w:val="28151165"/>
    <w:rsid w:val="28290BC0"/>
    <w:rsid w:val="2839497A"/>
    <w:rsid w:val="283A6B48"/>
    <w:rsid w:val="28446059"/>
    <w:rsid w:val="286A1A46"/>
    <w:rsid w:val="28740000"/>
    <w:rsid w:val="28756B84"/>
    <w:rsid w:val="28793E20"/>
    <w:rsid w:val="287A361C"/>
    <w:rsid w:val="287C281D"/>
    <w:rsid w:val="287E6156"/>
    <w:rsid w:val="288030BB"/>
    <w:rsid w:val="28886BF5"/>
    <w:rsid w:val="288A6DDD"/>
    <w:rsid w:val="28914BF0"/>
    <w:rsid w:val="28CC20E1"/>
    <w:rsid w:val="28CC2370"/>
    <w:rsid w:val="28E26FFD"/>
    <w:rsid w:val="29231C7A"/>
    <w:rsid w:val="292D7EEB"/>
    <w:rsid w:val="293E1500"/>
    <w:rsid w:val="29724D07"/>
    <w:rsid w:val="29734C55"/>
    <w:rsid w:val="29A53857"/>
    <w:rsid w:val="29DE3EC9"/>
    <w:rsid w:val="29E2223C"/>
    <w:rsid w:val="29E63EA3"/>
    <w:rsid w:val="29EE3E28"/>
    <w:rsid w:val="2A0A2709"/>
    <w:rsid w:val="2A0B2B48"/>
    <w:rsid w:val="2A0F1E0F"/>
    <w:rsid w:val="2A260ECE"/>
    <w:rsid w:val="2A36737A"/>
    <w:rsid w:val="2A3E2F8B"/>
    <w:rsid w:val="2A3E666A"/>
    <w:rsid w:val="2A4028F6"/>
    <w:rsid w:val="2A4766A3"/>
    <w:rsid w:val="2A4C1CE5"/>
    <w:rsid w:val="2A7725A2"/>
    <w:rsid w:val="2A9A6372"/>
    <w:rsid w:val="2AA607D0"/>
    <w:rsid w:val="2AB313EC"/>
    <w:rsid w:val="2ABE0260"/>
    <w:rsid w:val="2B0A6D2B"/>
    <w:rsid w:val="2B0B5F5D"/>
    <w:rsid w:val="2B221661"/>
    <w:rsid w:val="2B2E289C"/>
    <w:rsid w:val="2B3128A3"/>
    <w:rsid w:val="2B381A49"/>
    <w:rsid w:val="2B4324C3"/>
    <w:rsid w:val="2B4350B7"/>
    <w:rsid w:val="2B447DC8"/>
    <w:rsid w:val="2B6B0C83"/>
    <w:rsid w:val="2B794137"/>
    <w:rsid w:val="2B936AAC"/>
    <w:rsid w:val="2BBA3899"/>
    <w:rsid w:val="2BCF4D78"/>
    <w:rsid w:val="2BD1105A"/>
    <w:rsid w:val="2BDF404C"/>
    <w:rsid w:val="2C0A3257"/>
    <w:rsid w:val="2C0B7D36"/>
    <w:rsid w:val="2C260A65"/>
    <w:rsid w:val="2C671C74"/>
    <w:rsid w:val="2C6F45F1"/>
    <w:rsid w:val="2C771684"/>
    <w:rsid w:val="2C946733"/>
    <w:rsid w:val="2C9C223C"/>
    <w:rsid w:val="2CAB7B7C"/>
    <w:rsid w:val="2CE61639"/>
    <w:rsid w:val="2CF75D91"/>
    <w:rsid w:val="2D0A107E"/>
    <w:rsid w:val="2D1417A8"/>
    <w:rsid w:val="2D26209C"/>
    <w:rsid w:val="2D267CB7"/>
    <w:rsid w:val="2D3D5F71"/>
    <w:rsid w:val="2D3F0882"/>
    <w:rsid w:val="2D4548A8"/>
    <w:rsid w:val="2D480C8B"/>
    <w:rsid w:val="2D615918"/>
    <w:rsid w:val="2D676EAB"/>
    <w:rsid w:val="2D701F55"/>
    <w:rsid w:val="2D7A7CB4"/>
    <w:rsid w:val="2DA50CE2"/>
    <w:rsid w:val="2DAC6040"/>
    <w:rsid w:val="2DB435EE"/>
    <w:rsid w:val="2DB81406"/>
    <w:rsid w:val="2DBE0339"/>
    <w:rsid w:val="2DC818F0"/>
    <w:rsid w:val="2DCF69A3"/>
    <w:rsid w:val="2DDC6680"/>
    <w:rsid w:val="2DF23207"/>
    <w:rsid w:val="2DFD4A12"/>
    <w:rsid w:val="2E0208A2"/>
    <w:rsid w:val="2E0322C5"/>
    <w:rsid w:val="2E0B29EF"/>
    <w:rsid w:val="2E0E0C0E"/>
    <w:rsid w:val="2E236C60"/>
    <w:rsid w:val="2E321FE3"/>
    <w:rsid w:val="2E4014FF"/>
    <w:rsid w:val="2E491C8F"/>
    <w:rsid w:val="2E5846B0"/>
    <w:rsid w:val="2E720E2D"/>
    <w:rsid w:val="2E813748"/>
    <w:rsid w:val="2E880521"/>
    <w:rsid w:val="2E9C24D8"/>
    <w:rsid w:val="2E9E393F"/>
    <w:rsid w:val="2EA25972"/>
    <w:rsid w:val="2EAC19F6"/>
    <w:rsid w:val="2EB416BA"/>
    <w:rsid w:val="2EDE7BE9"/>
    <w:rsid w:val="2EF35FAE"/>
    <w:rsid w:val="2EF91F5F"/>
    <w:rsid w:val="2F151AED"/>
    <w:rsid w:val="2F1E7F13"/>
    <w:rsid w:val="2F347AF2"/>
    <w:rsid w:val="2F3E78F7"/>
    <w:rsid w:val="2F4252D7"/>
    <w:rsid w:val="2F6B6A2C"/>
    <w:rsid w:val="2FB20BD2"/>
    <w:rsid w:val="2FCB4DE2"/>
    <w:rsid w:val="2FCF7901"/>
    <w:rsid w:val="2FDF48CA"/>
    <w:rsid w:val="2FE26E16"/>
    <w:rsid w:val="2FF726D3"/>
    <w:rsid w:val="300C0DE6"/>
    <w:rsid w:val="30137A60"/>
    <w:rsid w:val="30272DD7"/>
    <w:rsid w:val="302F0CE1"/>
    <w:rsid w:val="303508A7"/>
    <w:rsid w:val="303C74AD"/>
    <w:rsid w:val="304C5128"/>
    <w:rsid w:val="30501228"/>
    <w:rsid w:val="30540E5D"/>
    <w:rsid w:val="305C4091"/>
    <w:rsid w:val="30605436"/>
    <w:rsid w:val="306730ED"/>
    <w:rsid w:val="308C4771"/>
    <w:rsid w:val="308F57CE"/>
    <w:rsid w:val="309207F6"/>
    <w:rsid w:val="30B510B1"/>
    <w:rsid w:val="30B55731"/>
    <w:rsid w:val="30BA0521"/>
    <w:rsid w:val="30C362EE"/>
    <w:rsid w:val="30CE3C5E"/>
    <w:rsid w:val="30D8477B"/>
    <w:rsid w:val="30E24176"/>
    <w:rsid w:val="30E308E6"/>
    <w:rsid w:val="30EC6CFD"/>
    <w:rsid w:val="31297F81"/>
    <w:rsid w:val="31360245"/>
    <w:rsid w:val="31532902"/>
    <w:rsid w:val="315A1912"/>
    <w:rsid w:val="31AF493B"/>
    <w:rsid w:val="31C76822"/>
    <w:rsid w:val="31D35CBC"/>
    <w:rsid w:val="31FB1FC8"/>
    <w:rsid w:val="3216003C"/>
    <w:rsid w:val="323E7FB7"/>
    <w:rsid w:val="324C4A10"/>
    <w:rsid w:val="326230C3"/>
    <w:rsid w:val="327F2C76"/>
    <w:rsid w:val="328732E2"/>
    <w:rsid w:val="32AB26BE"/>
    <w:rsid w:val="32BA7A4E"/>
    <w:rsid w:val="32D06C7A"/>
    <w:rsid w:val="32EB20C6"/>
    <w:rsid w:val="32EB653A"/>
    <w:rsid w:val="32F67AE9"/>
    <w:rsid w:val="32FE1168"/>
    <w:rsid w:val="330020A5"/>
    <w:rsid w:val="33137B52"/>
    <w:rsid w:val="33142F04"/>
    <w:rsid w:val="331F336B"/>
    <w:rsid w:val="33206D52"/>
    <w:rsid w:val="33230A25"/>
    <w:rsid w:val="332A5582"/>
    <w:rsid w:val="332B7A03"/>
    <w:rsid w:val="332F7F90"/>
    <w:rsid w:val="33363A11"/>
    <w:rsid w:val="333A2992"/>
    <w:rsid w:val="3358075B"/>
    <w:rsid w:val="335C70A5"/>
    <w:rsid w:val="3380254E"/>
    <w:rsid w:val="33D5729F"/>
    <w:rsid w:val="33EA64E3"/>
    <w:rsid w:val="33FD2D8D"/>
    <w:rsid w:val="33FF6811"/>
    <w:rsid w:val="34036B67"/>
    <w:rsid w:val="34140900"/>
    <w:rsid w:val="342C426D"/>
    <w:rsid w:val="344A69F0"/>
    <w:rsid w:val="34550536"/>
    <w:rsid w:val="346C0023"/>
    <w:rsid w:val="34AC08CE"/>
    <w:rsid w:val="34C02EFD"/>
    <w:rsid w:val="34CA7578"/>
    <w:rsid w:val="34CE77C2"/>
    <w:rsid w:val="3502205A"/>
    <w:rsid w:val="351114CE"/>
    <w:rsid w:val="351154DB"/>
    <w:rsid w:val="35116EC1"/>
    <w:rsid w:val="35152803"/>
    <w:rsid w:val="35230DBE"/>
    <w:rsid w:val="353020EE"/>
    <w:rsid w:val="35344A5B"/>
    <w:rsid w:val="354A5F8C"/>
    <w:rsid w:val="35583716"/>
    <w:rsid w:val="355E296A"/>
    <w:rsid w:val="359623AB"/>
    <w:rsid w:val="35A873E3"/>
    <w:rsid w:val="35E371F3"/>
    <w:rsid w:val="35EA3D03"/>
    <w:rsid w:val="360D79B6"/>
    <w:rsid w:val="361331F5"/>
    <w:rsid w:val="36161226"/>
    <w:rsid w:val="36450C4A"/>
    <w:rsid w:val="364A0032"/>
    <w:rsid w:val="36565878"/>
    <w:rsid w:val="366660D2"/>
    <w:rsid w:val="36914AEF"/>
    <w:rsid w:val="369A7B88"/>
    <w:rsid w:val="36D111BC"/>
    <w:rsid w:val="36EB59F5"/>
    <w:rsid w:val="371875ED"/>
    <w:rsid w:val="372B1537"/>
    <w:rsid w:val="373332CF"/>
    <w:rsid w:val="373B0A1B"/>
    <w:rsid w:val="37556407"/>
    <w:rsid w:val="376D52E5"/>
    <w:rsid w:val="378225AC"/>
    <w:rsid w:val="378400EB"/>
    <w:rsid w:val="37B409D1"/>
    <w:rsid w:val="37B51A85"/>
    <w:rsid w:val="37B8105E"/>
    <w:rsid w:val="37C26427"/>
    <w:rsid w:val="37CE1367"/>
    <w:rsid w:val="37D40D65"/>
    <w:rsid w:val="37F770F8"/>
    <w:rsid w:val="38024DBB"/>
    <w:rsid w:val="381468B7"/>
    <w:rsid w:val="383F3B2A"/>
    <w:rsid w:val="384509E7"/>
    <w:rsid w:val="38497424"/>
    <w:rsid w:val="38930C99"/>
    <w:rsid w:val="38963B12"/>
    <w:rsid w:val="38A2244C"/>
    <w:rsid w:val="38AE142B"/>
    <w:rsid w:val="38BA367C"/>
    <w:rsid w:val="38EA7C61"/>
    <w:rsid w:val="390A23F6"/>
    <w:rsid w:val="390F4D06"/>
    <w:rsid w:val="39190780"/>
    <w:rsid w:val="391D41A7"/>
    <w:rsid w:val="39300B64"/>
    <w:rsid w:val="39321E8B"/>
    <w:rsid w:val="394F7F42"/>
    <w:rsid w:val="39522CEE"/>
    <w:rsid w:val="39736CE6"/>
    <w:rsid w:val="39891433"/>
    <w:rsid w:val="398C1D20"/>
    <w:rsid w:val="399D36E6"/>
    <w:rsid w:val="39B8405F"/>
    <w:rsid w:val="39D177DC"/>
    <w:rsid w:val="39FF0E82"/>
    <w:rsid w:val="3A0F00F2"/>
    <w:rsid w:val="3A230A2B"/>
    <w:rsid w:val="3A3A1E33"/>
    <w:rsid w:val="3A444FA5"/>
    <w:rsid w:val="3A630C40"/>
    <w:rsid w:val="3A7015A1"/>
    <w:rsid w:val="3A734F90"/>
    <w:rsid w:val="3A740A39"/>
    <w:rsid w:val="3A780677"/>
    <w:rsid w:val="3A81181E"/>
    <w:rsid w:val="3A83170F"/>
    <w:rsid w:val="3A8874F8"/>
    <w:rsid w:val="3A9966B6"/>
    <w:rsid w:val="3AA26B21"/>
    <w:rsid w:val="3AB42E15"/>
    <w:rsid w:val="3AB848B6"/>
    <w:rsid w:val="3ABD3B0B"/>
    <w:rsid w:val="3B032848"/>
    <w:rsid w:val="3B084243"/>
    <w:rsid w:val="3B173B7F"/>
    <w:rsid w:val="3B176227"/>
    <w:rsid w:val="3B552124"/>
    <w:rsid w:val="3B8A37F6"/>
    <w:rsid w:val="3BAC47F2"/>
    <w:rsid w:val="3BB5602D"/>
    <w:rsid w:val="3BCB6780"/>
    <w:rsid w:val="3BD1408B"/>
    <w:rsid w:val="3BD42882"/>
    <w:rsid w:val="3BDF2AA0"/>
    <w:rsid w:val="3BE000B5"/>
    <w:rsid w:val="3BF108C0"/>
    <w:rsid w:val="3BF50A0E"/>
    <w:rsid w:val="3BF577CE"/>
    <w:rsid w:val="3C1A2DCC"/>
    <w:rsid w:val="3C257EA6"/>
    <w:rsid w:val="3C2F1602"/>
    <w:rsid w:val="3C316275"/>
    <w:rsid w:val="3C4701FA"/>
    <w:rsid w:val="3C474553"/>
    <w:rsid w:val="3C636D2F"/>
    <w:rsid w:val="3C812E4B"/>
    <w:rsid w:val="3C8B27F5"/>
    <w:rsid w:val="3C9259A8"/>
    <w:rsid w:val="3C9B0915"/>
    <w:rsid w:val="3CAD468A"/>
    <w:rsid w:val="3CBA00A9"/>
    <w:rsid w:val="3CC45A9B"/>
    <w:rsid w:val="3CC64E47"/>
    <w:rsid w:val="3CED41DF"/>
    <w:rsid w:val="3CF1295C"/>
    <w:rsid w:val="3CF24261"/>
    <w:rsid w:val="3D036E69"/>
    <w:rsid w:val="3D0C5052"/>
    <w:rsid w:val="3D25588D"/>
    <w:rsid w:val="3D2C1884"/>
    <w:rsid w:val="3D344060"/>
    <w:rsid w:val="3D4726E3"/>
    <w:rsid w:val="3D4B047C"/>
    <w:rsid w:val="3D50669A"/>
    <w:rsid w:val="3D660C6F"/>
    <w:rsid w:val="3D700F04"/>
    <w:rsid w:val="3D70539A"/>
    <w:rsid w:val="3D8A2EA8"/>
    <w:rsid w:val="3D8C10CA"/>
    <w:rsid w:val="3DA742B0"/>
    <w:rsid w:val="3DB03A87"/>
    <w:rsid w:val="3DCA3E8D"/>
    <w:rsid w:val="3DD27E02"/>
    <w:rsid w:val="3DE625C4"/>
    <w:rsid w:val="3DF3242E"/>
    <w:rsid w:val="3DF3776A"/>
    <w:rsid w:val="3DFA04AC"/>
    <w:rsid w:val="3DFD5B5F"/>
    <w:rsid w:val="3E0458A5"/>
    <w:rsid w:val="3E08378E"/>
    <w:rsid w:val="3E4563F0"/>
    <w:rsid w:val="3E46500F"/>
    <w:rsid w:val="3E4E31BD"/>
    <w:rsid w:val="3E561028"/>
    <w:rsid w:val="3E63229A"/>
    <w:rsid w:val="3E9F72FD"/>
    <w:rsid w:val="3EA17808"/>
    <w:rsid w:val="3EAD1741"/>
    <w:rsid w:val="3EC55A5E"/>
    <w:rsid w:val="3EC65BCF"/>
    <w:rsid w:val="3ECE1735"/>
    <w:rsid w:val="3EE00869"/>
    <w:rsid w:val="3F0E6286"/>
    <w:rsid w:val="3F0F7503"/>
    <w:rsid w:val="3F153071"/>
    <w:rsid w:val="3F241FCA"/>
    <w:rsid w:val="3F247F0E"/>
    <w:rsid w:val="3F3863D7"/>
    <w:rsid w:val="3F4434C0"/>
    <w:rsid w:val="3F570DC3"/>
    <w:rsid w:val="3F573A7F"/>
    <w:rsid w:val="3F5C6305"/>
    <w:rsid w:val="3F5E6047"/>
    <w:rsid w:val="3F7612B0"/>
    <w:rsid w:val="3F861F6C"/>
    <w:rsid w:val="3FC11602"/>
    <w:rsid w:val="3FC86B4B"/>
    <w:rsid w:val="3FD22F19"/>
    <w:rsid w:val="3FE857B2"/>
    <w:rsid w:val="3FEA0E92"/>
    <w:rsid w:val="401B7DE2"/>
    <w:rsid w:val="405B4F03"/>
    <w:rsid w:val="406E36E7"/>
    <w:rsid w:val="40756541"/>
    <w:rsid w:val="40790E7C"/>
    <w:rsid w:val="408C6ACE"/>
    <w:rsid w:val="40905D53"/>
    <w:rsid w:val="40A74041"/>
    <w:rsid w:val="40B95A74"/>
    <w:rsid w:val="40C241E9"/>
    <w:rsid w:val="40C66925"/>
    <w:rsid w:val="40D8370D"/>
    <w:rsid w:val="40E469C3"/>
    <w:rsid w:val="40F204DF"/>
    <w:rsid w:val="41390199"/>
    <w:rsid w:val="414D3728"/>
    <w:rsid w:val="41562AF9"/>
    <w:rsid w:val="41651DB4"/>
    <w:rsid w:val="41660BC1"/>
    <w:rsid w:val="416D492B"/>
    <w:rsid w:val="41747113"/>
    <w:rsid w:val="41A96742"/>
    <w:rsid w:val="41AF55C5"/>
    <w:rsid w:val="41D519B5"/>
    <w:rsid w:val="41DD43E3"/>
    <w:rsid w:val="41E701E2"/>
    <w:rsid w:val="41F93808"/>
    <w:rsid w:val="4207589A"/>
    <w:rsid w:val="420F3501"/>
    <w:rsid w:val="421B6BC2"/>
    <w:rsid w:val="423D12EC"/>
    <w:rsid w:val="4240333F"/>
    <w:rsid w:val="424B6323"/>
    <w:rsid w:val="424F28C9"/>
    <w:rsid w:val="4257123B"/>
    <w:rsid w:val="425E1AEF"/>
    <w:rsid w:val="42613050"/>
    <w:rsid w:val="428E71B1"/>
    <w:rsid w:val="429D71A7"/>
    <w:rsid w:val="42AC4F07"/>
    <w:rsid w:val="42CC7168"/>
    <w:rsid w:val="42CD0A98"/>
    <w:rsid w:val="42D11C4A"/>
    <w:rsid w:val="42DB5F18"/>
    <w:rsid w:val="42DC2F9B"/>
    <w:rsid w:val="42EE2E8B"/>
    <w:rsid w:val="42EF6C5C"/>
    <w:rsid w:val="42F32C46"/>
    <w:rsid w:val="42F4617B"/>
    <w:rsid w:val="4301023D"/>
    <w:rsid w:val="43046F88"/>
    <w:rsid w:val="430A5A6F"/>
    <w:rsid w:val="430B5BEF"/>
    <w:rsid w:val="431A0C09"/>
    <w:rsid w:val="432C3CF8"/>
    <w:rsid w:val="433A79E6"/>
    <w:rsid w:val="433E33BB"/>
    <w:rsid w:val="436F5D1C"/>
    <w:rsid w:val="43785872"/>
    <w:rsid w:val="437A0555"/>
    <w:rsid w:val="437B5D12"/>
    <w:rsid w:val="4386655F"/>
    <w:rsid w:val="438B4BC1"/>
    <w:rsid w:val="4390574C"/>
    <w:rsid w:val="439E64EE"/>
    <w:rsid w:val="43B35EB3"/>
    <w:rsid w:val="43FC44AD"/>
    <w:rsid w:val="440F7E52"/>
    <w:rsid w:val="444563C3"/>
    <w:rsid w:val="44466D5C"/>
    <w:rsid w:val="444D745A"/>
    <w:rsid w:val="444F47F6"/>
    <w:rsid w:val="446570B8"/>
    <w:rsid w:val="44812D34"/>
    <w:rsid w:val="44A94E2F"/>
    <w:rsid w:val="44AA2639"/>
    <w:rsid w:val="44B33105"/>
    <w:rsid w:val="44B4014A"/>
    <w:rsid w:val="44D5527E"/>
    <w:rsid w:val="44DE7D8C"/>
    <w:rsid w:val="44E404E5"/>
    <w:rsid w:val="44F06DC0"/>
    <w:rsid w:val="44FB129D"/>
    <w:rsid w:val="450A1F1A"/>
    <w:rsid w:val="450B2788"/>
    <w:rsid w:val="451878CA"/>
    <w:rsid w:val="451E2BA6"/>
    <w:rsid w:val="45261F00"/>
    <w:rsid w:val="45336CAD"/>
    <w:rsid w:val="45774C97"/>
    <w:rsid w:val="457D26A5"/>
    <w:rsid w:val="45843107"/>
    <w:rsid w:val="4586466A"/>
    <w:rsid w:val="45A5130C"/>
    <w:rsid w:val="45AE7B8D"/>
    <w:rsid w:val="45BD55C6"/>
    <w:rsid w:val="45C9503B"/>
    <w:rsid w:val="45D67652"/>
    <w:rsid w:val="45DE3938"/>
    <w:rsid w:val="45EA2E9B"/>
    <w:rsid w:val="45FB03C2"/>
    <w:rsid w:val="46024764"/>
    <w:rsid w:val="460C076A"/>
    <w:rsid w:val="462D035B"/>
    <w:rsid w:val="465626DE"/>
    <w:rsid w:val="4658440B"/>
    <w:rsid w:val="46647A66"/>
    <w:rsid w:val="466C7EC5"/>
    <w:rsid w:val="46884782"/>
    <w:rsid w:val="468F0B24"/>
    <w:rsid w:val="46A01E6D"/>
    <w:rsid w:val="46AB6B23"/>
    <w:rsid w:val="46C66E26"/>
    <w:rsid w:val="46DB3AEE"/>
    <w:rsid w:val="46E22739"/>
    <w:rsid w:val="46E6508F"/>
    <w:rsid w:val="46E671C0"/>
    <w:rsid w:val="47074F82"/>
    <w:rsid w:val="47252B24"/>
    <w:rsid w:val="47310680"/>
    <w:rsid w:val="476F4B95"/>
    <w:rsid w:val="47715180"/>
    <w:rsid w:val="4772773F"/>
    <w:rsid w:val="477A72A8"/>
    <w:rsid w:val="478738B2"/>
    <w:rsid w:val="479915B8"/>
    <w:rsid w:val="47A04200"/>
    <w:rsid w:val="47A900A2"/>
    <w:rsid w:val="47B11C6D"/>
    <w:rsid w:val="47C11810"/>
    <w:rsid w:val="47C61BD7"/>
    <w:rsid w:val="47E930D8"/>
    <w:rsid w:val="47EB3470"/>
    <w:rsid w:val="47F07066"/>
    <w:rsid w:val="48016693"/>
    <w:rsid w:val="480E2158"/>
    <w:rsid w:val="480E5668"/>
    <w:rsid w:val="48181DD8"/>
    <w:rsid w:val="481B7C0F"/>
    <w:rsid w:val="4827623D"/>
    <w:rsid w:val="4840638E"/>
    <w:rsid w:val="484E39C9"/>
    <w:rsid w:val="484F3BBC"/>
    <w:rsid w:val="48534547"/>
    <w:rsid w:val="48552DCE"/>
    <w:rsid w:val="486115D3"/>
    <w:rsid w:val="48674B4B"/>
    <w:rsid w:val="4870135B"/>
    <w:rsid w:val="48772B61"/>
    <w:rsid w:val="488D0FD4"/>
    <w:rsid w:val="488E344E"/>
    <w:rsid w:val="488E5303"/>
    <w:rsid w:val="48AC7BB5"/>
    <w:rsid w:val="48B313C3"/>
    <w:rsid w:val="48C55C4F"/>
    <w:rsid w:val="48D429F0"/>
    <w:rsid w:val="48D62D9C"/>
    <w:rsid w:val="48D7126F"/>
    <w:rsid w:val="48E94EFD"/>
    <w:rsid w:val="48F101F4"/>
    <w:rsid w:val="48F23A34"/>
    <w:rsid w:val="48FE3134"/>
    <w:rsid w:val="4906100E"/>
    <w:rsid w:val="49186758"/>
    <w:rsid w:val="49261829"/>
    <w:rsid w:val="493F7CE8"/>
    <w:rsid w:val="49690624"/>
    <w:rsid w:val="49900F0C"/>
    <w:rsid w:val="499D7D74"/>
    <w:rsid w:val="49AB496A"/>
    <w:rsid w:val="49B12C22"/>
    <w:rsid w:val="49BC54BC"/>
    <w:rsid w:val="49BD5047"/>
    <w:rsid w:val="49E67CA4"/>
    <w:rsid w:val="49F6025D"/>
    <w:rsid w:val="4A1A0E96"/>
    <w:rsid w:val="4A1D53CE"/>
    <w:rsid w:val="4A286FFC"/>
    <w:rsid w:val="4A37037F"/>
    <w:rsid w:val="4A441EE2"/>
    <w:rsid w:val="4A533781"/>
    <w:rsid w:val="4A8C49B7"/>
    <w:rsid w:val="4A9374AA"/>
    <w:rsid w:val="4ABE02BB"/>
    <w:rsid w:val="4AC62A9D"/>
    <w:rsid w:val="4AD30BA7"/>
    <w:rsid w:val="4AD45401"/>
    <w:rsid w:val="4AD80CE7"/>
    <w:rsid w:val="4ADA20A4"/>
    <w:rsid w:val="4AEE57A7"/>
    <w:rsid w:val="4B094738"/>
    <w:rsid w:val="4B0B39EB"/>
    <w:rsid w:val="4B16532A"/>
    <w:rsid w:val="4B254EA8"/>
    <w:rsid w:val="4B277199"/>
    <w:rsid w:val="4B422E1B"/>
    <w:rsid w:val="4B65373A"/>
    <w:rsid w:val="4B6C7E80"/>
    <w:rsid w:val="4B9B2619"/>
    <w:rsid w:val="4BB75E38"/>
    <w:rsid w:val="4BBB5236"/>
    <w:rsid w:val="4C1C1F33"/>
    <w:rsid w:val="4C1E25CD"/>
    <w:rsid w:val="4C3F6C40"/>
    <w:rsid w:val="4C40543B"/>
    <w:rsid w:val="4C47478B"/>
    <w:rsid w:val="4C4B4B57"/>
    <w:rsid w:val="4C5C5DF1"/>
    <w:rsid w:val="4C6E2D5E"/>
    <w:rsid w:val="4C6E3469"/>
    <w:rsid w:val="4C887904"/>
    <w:rsid w:val="4C8A2AC2"/>
    <w:rsid w:val="4C99554F"/>
    <w:rsid w:val="4CCD36B0"/>
    <w:rsid w:val="4CE81486"/>
    <w:rsid w:val="4CF337AC"/>
    <w:rsid w:val="4CF800DB"/>
    <w:rsid w:val="4D00163A"/>
    <w:rsid w:val="4D064B73"/>
    <w:rsid w:val="4D161D2F"/>
    <w:rsid w:val="4D1C6CB7"/>
    <w:rsid w:val="4D2836FD"/>
    <w:rsid w:val="4D3531C7"/>
    <w:rsid w:val="4D4E5923"/>
    <w:rsid w:val="4D5231AE"/>
    <w:rsid w:val="4D574533"/>
    <w:rsid w:val="4D6A677D"/>
    <w:rsid w:val="4D734D3D"/>
    <w:rsid w:val="4D7A386C"/>
    <w:rsid w:val="4D806EEB"/>
    <w:rsid w:val="4D915A4A"/>
    <w:rsid w:val="4DA06861"/>
    <w:rsid w:val="4DA81DB8"/>
    <w:rsid w:val="4DAC147B"/>
    <w:rsid w:val="4DAC4C20"/>
    <w:rsid w:val="4DB46A91"/>
    <w:rsid w:val="4DCA162F"/>
    <w:rsid w:val="4DE73505"/>
    <w:rsid w:val="4E1A2026"/>
    <w:rsid w:val="4E271B4B"/>
    <w:rsid w:val="4E2E65A0"/>
    <w:rsid w:val="4E630965"/>
    <w:rsid w:val="4E727B78"/>
    <w:rsid w:val="4E9145CF"/>
    <w:rsid w:val="4EAF6170"/>
    <w:rsid w:val="4EB96475"/>
    <w:rsid w:val="4EBA0CB5"/>
    <w:rsid w:val="4EBB23D9"/>
    <w:rsid w:val="4EDA3169"/>
    <w:rsid w:val="4EF14FAE"/>
    <w:rsid w:val="4F0F5BE3"/>
    <w:rsid w:val="4F1D1A4F"/>
    <w:rsid w:val="4F1D492D"/>
    <w:rsid w:val="4F234454"/>
    <w:rsid w:val="4F2E05D9"/>
    <w:rsid w:val="4F333DFF"/>
    <w:rsid w:val="4F3803F4"/>
    <w:rsid w:val="4F533BB1"/>
    <w:rsid w:val="4F7471E7"/>
    <w:rsid w:val="4F7816D6"/>
    <w:rsid w:val="4FB2321B"/>
    <w:rsid w:val="4FBD294E"/>
    <w:rsid w:val="4FFD05E3"/>
    <w:rsid w:val="50002EC0"/>
    <w:rsid w:val="500E025E"/>
    <w:rsid w:val="501D1678"/>
    <w:rsid w:val="5027692A"/>
    <w:rsid w:val="50353425"/>
    <w:rsid w:val="50386D4D"/>
    <w:rsid w:val="50411A70"/>
    <w:rsid w:val="504D2423"/>
    <w:rsid w:val="505902BE"/>
    <w:rsid w:val="50703AB0"/>
    <w:rsid w:val="50715259"/>
    <w:rsid w:val="507D4EB2"/>
    <w:rsid w:val="507E6391"/>
    <w:rsid w:val="50BC221C"/>
    <w:rsid w:val="50DB594C"/>
    <w:rsid w:val="50E340EA"/>
    <w:rsid w:val="50F73C4E"/>
    <w:rsid w:val="5110256F"/>
    <w:rsid w:val="51251692"/>
    <w:rsid w:val="512D0896"/>
    <w:rsid w:val="514A5BAA"/>
    <w:rsid w:val="514E6989"/>
    <w:rsid w:val="514F2419"/>
    <w:rsid w:val="51534B57"/>
    <w:rsid w:val="518102B3"/>
    <w:rsid w:val="518343A4"/>
    <w:rsid w:val="519C08F1"/>
    <w:rsid w:val="51A22799"/>
    <w:rsid w:val="51B04A31"/>
    <w:rsid w:val="51B835C1"/>
    <w:rsid w:val="51B92D01"/>
    <w:rsid w:val="51F507C7"/>
    <w:rsid w:val="520D1825"/>
    <w:rsid w:val="520D28CB"/>
    <w:rsid w:val="52157947"/>
    <w:rsid w:val="52356529"/>
    <w:rsid w:val="52387556"/>
    <w:rsid w:val="52422029"/>
    <w:rsid w:val="525571E5"/>
    <w:rsid w:val="52692B44"/>
    <w:rsid w:val="52850E89"/>
    <w:rsid w:val="5287674D"/>
    <w:rsid w:val="528F0448"/>
    <w:rsid w:val="52954BE0"/>
    <w:rsid w:val="52A90ABB"/>
    <w:rsid w:val="52AE4556"/>
    <w:rsid w:val="52EF06B7"/>
    <w:rsid w:val="53050700"/>
    <w:rsid w:val="53072EFC"/>
    <w:rsid w:val="53085DA3"/>
    <w:rsid w:val="530946C2"/>
    <w:rsid w:val="533019A3"/>
    <w:rsid w:val="53427DC1"/>
    <w:rsid w:val="534732C4"/>
    <w:rsid w:val="535A1C7D"/>
    <w:rsid w:val="535B5C0C"/>
    <w:rsid w:val="53620A10"/>
    <w:rsid w:val="5362345D"/>
    <w:rsid w:val="537D629E"/>
    <w:rsid w:val="539523B5"/>
    <w:rsid w:val="53AA5983"/>
    <w:rsid w:val="53AF32A8"/>
    <w:rsid w:val="53B46144"/>
    <w:rsid w:val="53B6216A"/>
    <w:rsid w:val="53BA15EE"/>
    <w:rsid w:val="53BA51A3"/>
    <w:rsid w:val="53D204ED"/>
    <w:rsid w:val="53D67491"/>
    <w:rsid w:val="54176117"/>
    <w:rsid w:val="54295B11"/>
    <w:rsid w:val="54342B03"/>
    <w:rsid w:val="54522DB1"/>
    <w:rsid w:val="54634965"/>
    <w:rsid w:val="546C52E8"/>
    <w:rsid w:val="548863AD"/>
    <w:rsid w:val="54956618"/>
    <w:rsid w:val="54AA6DCA"/>
    <w:rsid w:val="54D21E26"/>
    <w:rsid w:val="54E63AA5"/>
    <w:rsid w:val="54EF3A6E"/>
    <w:rsid w:val="55040901"/>
    <w:rsid w:val="55107147"/>
    <w:rsid w:val="552C5E92"/>
    <w:rsid w:val="55387D24"/>
    <w:rsid w:val="55444178"/>
    <w:rsid w:val="5546540F"/>
    <w:rsid w:val="5560764A"/>
    <w:rsid w:val="557109AC"/>
    <w:rsid w:val="5589273D"/>
    <w:rsid w:val="559B6067"/>
    <w:rsid w:val="55B76660"/>
    <w:rsid w:val="55BE7BE6"/>
    <w:rsid w:val="55C5615F"/>
    <w:rsid w:val="55C81DEE"/>
    <w:rsid w:val="561419C7"/>
    <w:rsid w:val="56173CE8"/>
    <w:rsid w:val="56226F9B"/>
    <w:rsid w:val="56237D37"/>
    <w:rsid w:val="56354A54"/>
    <w:rsid w:val="56690D60"/>
    <w:rsid w:val="566C39ED"/>
    <w:rsid w:val="568972D2"/>
    <w:rsid w:val="568C071F"/>
    <w:rsid w:val="568E4489"/>
    <w:rsid w:val="56983487"/>
    <w:rsid w:val="569A5027"/>
    <w:rsid w:val="56B24011"/>
    <w:rsid w:val="56B94726"/>
    <w:rsid w:val="56C42E2B"/>
    <w:rsid w:val="56CA56C3"/>
    <w:rsid w:val="56D2733B"/>
    <w:rsid w:val="56DF05DE"/>
    <w:rsid w:val="56E45D6E"/>
    <w:rsid w:val="56E74816"/>
    <w:rsid w:val="56E803BD"/>
    <w:rsid w:val="56ED381D"/>
    <w:rsid w:val="56F70118"/>
    <w:rsid w:val="57035045"/>
    <w:rsid w:val="57092D15"/>
    <w:rsid w:val="571D2C70"/>
    <w:rsid w:val="57617EA3"/>
    <w:rsid w:val="578259B6"/>
    <w:rsid w:val="57834E52"/>
    <w:rsid w:val="578D09DF"/>
    <w:rsid w:val="579A4819"/>
    <w:rsid w:val="57A2352F"/>
    <w:rsid w:val="57C16A90"/>
    <w:rsid w:val="57DA550A"/>
    <w:rsid w:val="57EC44C1"/>
    <w:rsid w:val="57F5288B"/>
    <w:rsid w:val="57FC6189"/>
    <w:rsid w:val="580008F5"/>
    <w:rsid w:val="581A23FF"/>
    <w:rsid w:val="583F7F5B"/>
    <w:rsid w:val="58545BCC"/>
    <w:rsid w:val="586864FD"/>
    <w:rsid w:val="587E0DFF"/>
    <w:rsid w:val="58894B06"/>
    <w:rsid w:val="58A5189E"/>
    <w:rsid w:val="58AA6F48"/>
    <w:rsid w:val="58B607FC"/>
    <w:rsid w:val="58BB0E8C"/>
    <w:rsid w:val="58BE23E5"/>
    <w:rsid w:val="58C41743"/>
    <w:rsid w:val="58CB41F0"/>
    <w:rsid w:val="58CC5858"/>
    <w:rsid w:val="58D43D55"/>
    <w:rsid w:val="591A07BD"/>
    <w:rsid w:val="591C4EF0"/>
    <w:rsid w:val="59270642"/>
    <w:rsid w:val="593E2DE6"/>
    <w:rsid w:val="594838CC"/>
    <w:rsid w:val="595256A3"/>
    <w:rsid w:val="59747B68"/>
    <w:rsid w:val="59A66103"/>
    <w:rsid w:val="59B41138"/>
    <w:rsid w:val="59B817D3"/>
    <w:rsid w:val="59B87020"/>
    <w:rsid w:val="59B917BB"/>
    <w:rsid w:val="59C80BA8"/>
    <w:rsid w:val="59CA253F"/>
    <w:rsid w:val="59D854EE"/>
    <w:rsid w:val="5A0218F0"/>
    <w:rsid w:val="5A224D05"/>
    <w:rsid w:val="5A3A4CA7"/>
    <w:rsid w:val="5A67615D"/>
    <w:rsid w:val="5A6C7DD0"/>
    <w:rsid w:val="5A742658"/>
    <w:rsid w:val="5AD261E1"/>
    <w:rsid w:val="5ADA7E9F"/>
    <w:rsid w:val="5AF273CF"/>
    <w:rsid w:val="5AF404D0"/>
    <w:rsid w:val="5AFA3D1E"/>
    <w:rsid w:val="5AFC295E"/>
    <w:rsid w:val="5B072087"/>
    <w:rsid w:val="5B0C3FED"/>
    <w:rsid w:val="5B5342E0"/>
    <w:rsid w:val="5B753B3D"/>
    <w:rsid w:val="5B7E437C"/>
    <w:rsid w:val="5B8A38F0"/>
    <w:rsid w:val="5B942C27"/>
    <w:rsid w:val="5B9B553B"/>
    <w:rsid w:val="5B9E58D0"/>
    <w:rsid w:val="5BA56363"/>
    <w:rsid w:val="5BBD0E56"/>
    <w:rsid w:val="5BC225E4"/>
    <w:rsid w:val="5BC85095"/>
    <w:rsid w:val="5BCF565C"/>
    <w:rsid w:val="5C3666D1"/>
    <w:rsid w:val="5C3A6E47"/>
    <w:rsid w:val="5C3D14CB"/>
    <w:rsid w:val="5C74029D"/>
    <w:rsid w:val="5C8A40EC"/>
    <w:rsid w:val="5C8C1913"/>
    <w:rsid w:val="5CA53EA1"/>
    <w:rsid w:val="5CAF29C6"/>
    <w:rsid w:val="5CC446C3"/>
    <w:rsid w:val="5CDC0A4A"/>
    <w:rsid w:val="5CDC24FB"/>
    <w:rsid w:val="5CE44889"/>
    <w:rsid w:val="5D132224"/>
    <w:rsid w:val="5D203439"/>
    <w:rsid w:val="5D533CCC"/>
    <w:rsid w:val="5D5B0C65"/>
    <w:rsid w:val="5D880254"/>
    <w:rsid w:val="5D8B36D2"/>
    <w:rsid w:val="5DF609EB"/>
    <w:rsid w:val="5E054297"/>
    <w:rsid w:val="5E094843"/>
    <w:rsid w:val="5E381823"/>
    <w:rsid w:val="5E587A58"/>
    <w:rsid w:val="5E725860"/>
    <w:rsid w:val="5E7B43CF"/>
    <w:rsid w:val="5E863492"/>
    <w:rsid w:val="5E894C4B"/>
    <w:rsid w:val="5E9A1F8D"/>
    <w:rsid w:val="5EA30896"/>
    <w:rsid w:val="5EA80E99"/>
    <w:rsid w:val="5EBE5A5D"/>
    <w:rsid w:val="5EC7426E"/>
    <w:rsid w:val="5ECD64A9"/>
    <w:rsid w:val="5ED101B0"/>
    <w:rsid w:val="5ED136A1"/>
    <w:rsid w:val="5ED22385"/>
    <w:rsid w:val="5F073306"/>
    <w:rsid w:val="5F2A2818"/>
    <w:rsid w:val="5F2E07B9"/>
    <w:rsid w:val="5F354C3C"/>
    <w:rsid w:val="5F50611F"/>
    <w:rsid w:val="5F577ABE"/>
    <w:rsid w:val="5F5D70E5"/>
    <w:rsid w:val="5F5F73B9"/>
    <w:rsid w:val="5F6316D5"/>
    <w:rsid w:val="5F675A73"/>
    <w:rsid w:val="5F782205"/>
    <w:rsid w:val="5F813F77"/>
    <w:rsid w:val="5F8C65C3"/>
    <w:rsid w:val="5F942813"/>
    <w:rsid w:val="5F9F6FF8"/>
    <w:rsid w:val="5FB62416"/>
    <w:rsid w:val="5FC655D5"/>
    <w:rsid w:val="5FDD0578"/>
    <w:rsid w:val="5FE3429E"/>
    <w:rsid w:val="5FE6560C"/>
    <w:rsid w:val="5FEB07FE"/>
    <w:rsid w:val="5FF11F12"/>
    <w:rsid w:val="5FF34394"/>
    <w:rsid w:val="5FFD6CAD"/>
    <w:rsid w:val="60030D2D"/>
    <w:rsid w:val="60165FE3"/>
    <w:rsid w:val="60234994"/>
    <w:rsid w:val="603A0438"/>
    <w:rsid w:val="606555E2"/>
    <w:rsid w:val="606A330B"/>
    <w:rsid w:val="607B17DC"/>
    <w:rsid w:val="60951BFA"/>
    <w:rsid w:val="60D97379"/>
    <w:rsid w:val="60F052EE"/>
    <w:rsid w:val="60F8349D"/>
    <w:rsid w:val="60FB49E7"/>
    <w:rsid w:val="61184A4F"/>
    <w:rsid w:val="611B65AE"/>
    <w:rsid w:val="611F5CD1"/>
    <w:rsid w:val="612956DC"/>
    <w:rsid w:val="614534FB"/>
    <w:rsid w:val="615A0673"/>
    <w:rsid w:val="615A56E9"/>
    <w:rsid w:val="617016D7"/>
    <w:rsid w:val="61726B83"/>
    <w:rsid w:val="617660AD"/>
    <w:rsid w:val="617C3924"/>
    <w:rsid w:val="618D2EB5"/>
    <w:rsid w:val="619329A7"/>
    <w:rsid w:val="619A28C0"/>
    <w:rsid w:val="619E4A18"/>
    <w:rsid w:val="61A120EC"/>
    <w:rsid w:val="61B42042"/>
    <w:rsid w:val="61F06561"/>
    <w:rsid w:val="61F60A27"/>
    <w:rsid w:val="61F61212"/>
    <w:rsid w:val="621413E8"/>
    <w:rsid w:val="621F6359"/>
    <w:rsid w:val="62345CD9"/>
    <w:rsid w:val="623A7D06"/>
    <w:rsid w:val="623F0A67"/>
    <w:rsid w:val="6260642C"/>
    <w:rsid w:val="626F3745"/>
    <w:rsid w:val="62815C3B"/>
    <w:rsid w:val="62C03B2B"/>
    <w:rsid w:val="62D409A8"/>
    <w:rsid w:val="62DF233A"/>
    <w:rsid w:val="63491849"/>
    <w:rsid w:val="63501BA2"/>
    <w:rsid w:val="637E01A9"/>
    <w:rsid w:val="63823BE5"/>
    <w:rsid w:val="63883A3C"/>
    <w:rsid w:val="638B44EA"/>
    <w:rsid w:val="638F1D3E"/>
    <w:rsid w:val="63953314"/>
    <w:rsid w:val="63991DFF"/>
    <w:rsid w:val="63AA3F4D"/>
    <w:rsid w:val="63AE0066"/>
    <w:rsid w:val="63C024EC"/>
    <w:rsid w:val="63C420AA"/>
    <w:rsid w:val="63DC07E4"/>
    <w:rsid w:val="63DE721A"/>
    <w:rsid w:val="63FC0E86"/>
    <w:rsid w:val="6405454E"/>
    <w:rsid w:val="640D4C31"/>
    <w:rsid w:val="642E6305"/>
    <w:rsid w:val="645D57FE"/>
    <w:rsid w:val="646E1594"/>
    <w:rsid w:val="648641E4"/>
    <w:rsid w:val="648A275A"/>
    <w:rsid w:val="648C03B9"/>
    <w:rsid w:val="64925E2C"/>
    <w:rsid w:val="649974E2"/>
    <w:rsid w:val="649F0FF9"/>
    <w:rsid w:val="64BC46F2"/>
    <w:rsid w:val="64EF37CB"/>
    <w:rsid w:val="64FC4534"/>
    <w:rsid w:val="65015CA4"/>
    <w:rsid w:val="65151085"/>
    <w:rsid w:val="651A1128"/>
    <w:rsid w:val="653A5B3C"/>
    <w:rsid w:val="653E01A8"/>
    <w:rsid w:val="653F5E06"/>
    <w:rsid w:val="65501753"/>
    <w:rsid w:val="65641D1E"/>
    <w:rsid w:val="65690F6F"/>
    <w:rsid w:val="656D6D5F"/>
    <w:rsid w:val="65792973"/>
    <w:rsid w:val="658B5F43"/>
    <w:rsid w:val="658E4649"/>
    <w:rsid w:val="659D574C"/>
    <w:rsid w:val="65B05ACB"/>
    <w:rsid w:val="65B3280B"/>
    <w:rsid w:val="65C12491"/>
    <w:rsid w:val="65C855BC"/>
    <w:rsid w:val="65DB692F"/>
    <w:rsid w:val="66097669"/>
    <w:rsid w:val="660A0CF4"/>
    <w:rsid w:val="66114F6E"/>
    <w:rsid w:val="66343610"/>
    <w:rsid w:val="663E316D"/>
    <w:rsid w:val="66571090"/>
    <w:rsid w:val="666B488B"/>
    <w:rsid w:val="66722285"/>
    <w:rsid w:val="66807D1C"/>
    <w:rsid w:val="6687769B"/>
    <w:rsid w:val="66E709DC"/>
    <w:rsid w:val="66FC2F4B"/>
    <w:rsid w:val="66FE04A3"/>
    <w:rsid w:val="670332D4"/>
    <w:rsid w:val="671169F6"/>
    <w:rsid w:val="67143F54"/>
    <w:rsid w:val="67277262"/>
    <w:rsid w:val="673444EB"/>
    <w:rsid w:val="6760718F"/>
    <w:rsid w:val="67765D17"/>
    <w:rsid w:val="67801FB0"/>
    <w:rsid w:val="678F707E"/>
    <w:rsid w:val="67931AC7"/>
    <w:rsid w:val="67990ACC"/>
    <w:rsid w:val="679D655A"/>
    <w:rsid w:val="67A33185"/>
    <w:rsid w:val="67A465F4"/>
    <w:rsid w:val="67BD40C3"/>
    <w:rsid w:val="67E43C87"/>
    <w:rsid w:val="67EE05BD"/>
    <w:rsid w:val="67F044D6"/>
    <w:rsid w:val="67F95103"/>
    <w:rsid w:val="68092110"/>
    <w:rsid w:val="68230E2F"/>
    <w:rsid w:val="68316825"/>
    <w:rsid w:val="6838144E"/>
    <w:rsid w:val="68430AED"/>
    <w:rsid w:val="684F397C"/>
    <w:rsid w:val="68550EB9"/>
    <w:rsid w:val="685B0188"/>
    <w:rsid w:val="685B60A7"/>
    <w:rsid w:val="687952FC"/>
    <w:rsid w:val="688A0C5B"/>
    <w:rsid w:val="688D0CBA"/>
    <w:rsid w:val="689C49E5"/>
    <w:rsid w:val="689E7C0F"/>
    <w:rsid w:val="68A0524E"/>
    <w:rsid w:val="68AA7398"/>
    <w:rsid w:val="68B14DAE"/>
    <w:rsid w:val="68B679EC"/>
    <w:rsid w:val="68BF4C3D"/>
    <w:rsid w:val="68C03437"/>
    <w:rsid w:val="68D6247F"/>
    <w:rsid w:val="68EF0FB9"/>
    <w:rsid w:val="68EF7C43"/>
    <w:rsid w:val="691F42FF"/>
    <w:rsid w:val="69200028"/>
    <w:rsid w:val="69304766"/>
    <w:rsid w:val="693055B6"/>
    <w:rsid w:val="694B2B30"/>
    <w:rsid w:val="695A77E4"/>
    <w:rsid w:val="69601EB7"/>
    <w:rsid w:val="69616963"/>
    <w:rsid w:val="697F0AB7"/>
    <w:rsid w:val="699C626C"/>
    <w:rsid w:val="69A212B1"/>
    <w:rsid w:val="69B049B6"/>
    <w:rsid w:val="69B61135"/>
    <w:rsid w:val="69E6482F"/>
    <w:rsid w:val="69EF4305"/>
    <w:rsid w:val="69F119F2"/>
    <w:rsid w:val="69FD34CF"/>
    <w:rsid w:val="6A0C030B"/>
    <w:rsid w:val="6A333D63"/>
    <w:rsid w:val="6A34275D"/>
    <w:rsid w:val="6A3C10D0"/>
    <w:rsid w:val="6A3C4A38"/>
    <w:rsid w:val="6A572F81"/>
    <w:rsid w:val="6A7671E2"/>
    <w:rsid w:val="6A9F1840"/>
    <w:rsid w:val="6AA043E7"/>
    <w:rsid w:val="6AAD0595"/>
    <w:rsid w:val="6ACF4D1C"/>
    <w:rsid w:val="6AF663A1"/>
    <w:rsid w:val="6AF944A3"/>
    <w:rsid w:val="6B023EDC"/>
    <w:rsid w:val="6B091296"/>
    <w:rsid w:val="6B0A032C"/>
    <w:rsid w:val="6B123084"/>
    <w:rsid w:val="6B23014B"/>
    <w:rsid w:val="6B380680"/>
    <w:rsid w:val="6B3A121F"/>
    <w:rsid w:val="6B4A6D5D"/>
    <w:rsid w:val="6B7F0B25"/>
    <w:rsid w:val="6BA514FF"/>
    <w:rsid w:val="6BA72CED"/>
    <w:rsid w:val="6BF673AD"/>
    <w:rsid w:val="6BFE5589"/>
    <w:rsid w:val="6C2639F4"/>
    <w:rsid w:val="6C475A1B"/>
    <w:rsid w:val="6C663101"/>
    <w:rsid w:val="6C7F3E43"/>
    <w:rsid w:val="6C8F6D0D"/>
    <w:rsid w:val="6CAA28BE"/>
    <w:rsid w:val="6CB71844"/>
    <w:rsid w:val="6CD2794A"/>
    <w:rsid w:val="6CF60C34"/>
    <w:rsid w:val="6D0468D5"/>
    <w:rsid w:val="6D0A501A"/>
    <w:rsid w:val="6D1E3E9F"/>
    <w:rsid w:val="6D521B17"/>
    <w:rsid w:val="6D550853"/>
    <w:rsid w:val="6D6B7C0B"/>
    <w:rsid w:val="6D9435E0"/>
    <w:rsid w:val="6D9831E3"/>
    <w:rsid w:val="6D9D7112"/>
    <w:rsid w:val="6DC17101"/>
    <w:rsid w:val="6DC4041C"/>
    <w:rsid w:val="6DD21AAB"/>
    <w:rsid w:val="6DDD3AD6"/>
    <w:rsid w:val="6DE54AA3"/>
    <w:rsid w:val="6DE8006A"/>
    <w:rsid w:val="6DF12950"/>
    <w:rsid w:val="6E2B5AD3"/>
    <w:rsid w:val="6E3E5609"/>
    <w:rsid w:val="6E4158DB"/>
    <w:rsid w:val="6E640250"/>
    <w:rsid w:val="6E710A6C"/>
    <w:rsid w:val="6E805353"/>
    <w:rsid w:val="6E8421A4"/>
    <w:rsid w:val="6ECB6EC4"/>
    <w:rsid w:val="6EDB7958"/>
    <w:rsid w:val="6EE31DFD"/>
    <w:rsid w:val="6EEA72C9"/>
    <w:rsid w:val="6EEF4F04"/>
    <w:rsid w:val="6F1D0DAB"/>
    <w:rsid w:val="6F35184E"/>
    <w:rsid w:val="6F3A4441"/>
    <w:rsid w:val="6F4559A5"/>
    <w:rsid w:val="6F47555F"/>
    <w:rsid w:val="6F4A6812"/>
    <w:rsid w:val="6F521B86"/>
    <w:rsid w:val="6F56292D"/>
    <w:rsid w:val="6F5A2F04"/>
    <w:rsid w:val="6F5F767C"/>
    <w:rsid w:val="6F605622"/>
    <w:rsid w:val="6F73660B"/>
    <w:rsid w:val="6F797F04"/>
    <w:rsid w:val="6F7B3F99"/>
    <w:rsid w:val="6F8F7B05"/>
    <w:rsid w:val="6F97D24A"/>
    <w:rsid w:val="6FBE345F"/>
    <w:rsid w:val="6FBF07F3"/>
    <w:rsid w:val="6FCC3921"/>
    <w:rsid w:val="6FD16862"/>
    <w:rsid w:val="6FD4759A"/>
    <w:rsid w:val="6FD756CE"/>
    <w:rsid w:val="6FD96F76"/>
    <w:rsid w:val="6FE3789F"/>
    <w:rsid w:val="6FEA2039"/>
    <w:rsid w:val="701A71E8"/>
    <w:rsid w:val="70310FE5"/>
    <w:rsid w:val="704B67CC"/>
    <w:rsid w:val="705308F2"/>
    <w:rsid w:val="70590C8C"/>
    <w:rsid w:val="706F39E7"/>
    <w:rsid w:val="7074225F"/>
    <w:rsid w:val="707875EC"/>
    <w:rsid w:val="70887F9B"/>
    <w:rsid w:val="70B202EE"/>
    <w:rsid w:val="71274529"/>
    <w:rsid w:val="715168DC"/>
    <w:rsid w:val="71690349"/>
    <w:rsid w:val="71771DFB"/>
    <w:rsid w:val="71B03756"/>
    <w:rsid w:val="71CE695E"/>
    <w:rsid w:val="71D11EB7"/>
    <w:rsid w:val="71E909FE"/>
    <w:rsid w:val="71FA0836"/>
    <w:rsid w:val="720B720B"/>
    <w:rsid w:val="726B073D"/>
    <w:rsid w:val="7275311D"/>
    <w:rsid w:val="729E174E"/>
    <w:rsid w:val="72A2709C"/>
    <w:rsid w:val="72B703A7"/>
    <w:rsid w:val="72BB0BC2"/>
    <w:rsid w:val="72C96AE8"/>
    <w:rsid w:val="72DB77B8"/>
    <w:rsid w:val="72E121B2"/>
    <w:rsid w:val="72E27908"/>
    <w:rsid w:val="72F02BB8"/>
    <w:rsid w:val="72F02FC4"/>
    <w:rsid w:val="72F5143D"/>
    <w:rsid w:val="72FA65EF"/>
    <w:rsid w:val="730D6E68"/>
    <w:rsid w:val="73217D81"/>
    <w:rsid w:val="73264530"/>
    <w:rsid w:val="73303B48"/>
    <w:rsid w:val="73385BDA"/>
    <w:rsid w:val="7339031E"/>
    <w:rsid w:val="734C3E90"/>
    <w:rsid w:val="735B09C2"/>
    <w:rsid w:val="73726AB9"/>
    <w:rsid w:val="73842947"/>
    <w:rsid w:val="739758A3"/>
    <w:rsid w:val="73981ECA"/>
    <w:rsid w:val="739A5630"/>
    <w:rsid w:val="73A65D38"/>
    <w:rsid w:val="73B226AF"/>
    <w:rsid w:val="73D14512"/>
    <w:rsid w:val="73D51A27"/>
    <w:rsid w:val="73EB7E59"/>
    <w:rsid w:val="73F371FF"/>
    <w:rsid w:val="73F63F47"/>
    <w:rsid w:val="73FA724B"/>
    <w:rsid w:val="7403611C"/>
    <w:rsid w:val="740C0C8D"/>
    <w:rsid w:val="741A61C4"/>
    <w:rsid w:val="742709F4"/>
    <w:rsid w:val="742C597A"/>
    <w:rsid w:val="74410B3C"/>
    <w:rsid w:val="74597643"/>
    <w:rsid w:val="745B140C"/>
    <w:rsid w:val="745C36E8"/>
    <w:rsid w:val="747C09AD"/>
    <w:rsid w:val="749E5C4B"/>
    <w:rsid w:val="74AC18B4"/>
    <w:rsid w:val="74AD0432"/>
    <w:rsid w:val="74BE59C9"/>
    <w:rsid w:val="74DC0106"/>
    <w:rsid w:val="74DE4323"/>
    <w:rsid w:val="74E767C0"/>
    <w:rsid w:val="74EB6B99"/>
    <w:rsid w:val="74FD7FFF"/>
    <w:rsid w:val="75102F42"/>
    <w:rsid w:val="75506E97"/>
    <w:rsid w:val="758124B1"/>
    <w:rsid w:val="758310C0"/>
    <w:rsid w:val="75B45947"/>
    <w:rsid w:val="75B64BAB"/>
    <w:rsid w:val="75CA1DD5"/>
    <w:rsid w:val="75DA5C50"/>
    <w:rsid w:val="75E625AA"/>
    <w:rsid w:val="75ED4684"/>
    <w:rsid w:val="75EE09FE"/>
    <w:rsid w:val="76197E58"/>
    <w:rsid w:val="762C76E8"/>
    <w:rsid w:val="7635023D"/>
    <w:rsid w:val="76380C15"/>
    <w:rsid w:val="76434895"/>
    <w:rsid w:val="7652586B"/>
    <w:rsid w:val="766C28E9"/>
    <w:rsid w:val="767708FB"/>
    <w:rsid w:val="7687131D"/>
    <w:rsid w:val="76915A13"/>
    <w:rsid w:val="769C3D5A"/>
    <w:rsid w:val="76B40D16"/>
    <w:rsid w:val="76E242A6"/>
    <w:rsid w:val="76EE78EC"/>
    <w:rsid w:val="771D78D8"/>
    <w:rsid w:val="771E7A62"/>
    <w:rsid w:val="772269FE"/>
    <w:rsid w:val="773B7823"/>
    <w:rsid w:val="775B6E06"/>
    <w:rsid w:val="778070AB"/>
    <w:rsid w:val="77830BE9"/>
    <w:rsid w:val="77874449"/>
    <w:rsid w:val="77895F9F"/>
    <w:rsid w:val="778D7494"/>
    <w:rsid w:val="779430EC"/>
    <w:rsid w:val="779F7866"/>
    <w:rsid w:val="77A31D7E"/>
    <w:rsid w:val="77B71F0C"/>
    <w:rsid w:val="77DA0F1D"/>
    <w:rsid w:val="77E641DA"/>
    <w:rsid w:val="780168E0"/>
    <w:rsid w:val="78132C2A"/>
    <w:rsid w:val="781B4574"/>
    <w:rsid w:val="781F71B9"/>
    <w:rsid w:val="78236589"/>
    <w:rsid w:val="78335EDE"/>
    <w:rsid w:val="785452FC"/>
    <w:rsid w:val="785765ED"/>
    <w:rsid w:val="785F0D0D"/>
    <w:rsid w:val="78730A90"/>
    <w:rsid w:val="78736288"/>
    <w:rsid w:val="787E25EF"/>
    <w:rsid w:val="78B53C32"/>
    <w:rsid w:val="78B74556"/>
    <w:rsid w:val="78B94D42"/>
    <w:rsid w:val="78C92406"/>
    <w:rsid w:val="78D42D87"/>
    <w:rsid w:val="78D8113B"/>
    <w:rsid w:val="78E63E40"/>
    <w:rsid w:val="7907465D"/>
    <w:rsid w:val="791F0C80"/>
    <w:rsid w:val="79233995"/>
    <w:rsid w:val="7963225D"/>
    <w:rsid w:val="79661644"/>
    <w:rsid w:val="79717315"/>
    <w:rsid w:val="797D6CD2"/>
    <w:rsid w:val="7989619F"/>
    <w:rsid w:val="799D21E7"/>
    <w:rsid w:val="79AB2A00"/>
    <w:rsid w:val="79C95F51"/>
    <w:rsid w:val="7A055B7E"/>
    <w:rsid w:val="7A0A362B"/>
    <w:rsid w:val="7A355232"/>
    <w:rsid w:val="7A412543"/>
    <w:rsid w:val="7A5306B9"/>
    <w:rsid w:val="7A6A0C2D"/>
    <w:rsid w:val="7A7722CB"/>
    <w:rsid w:val="7A852C00"/>
    <w:rsid w:val="7ABA18A5"/>
    <w:rsid w:val="7AC22D80"/>
    <w:rsid w:val="7AC8491B"/>
    <w:rsid w:val="7ACC26F1"/>
    <w:rsid w:val="7AF44D2F"/>
    <w:rsid w:val="7AF63015"/>
    <w:rsid w:val="7B0F6FDF"/>
    <w:rsid w:val="7B126FCB"/>
    <w:rsid w:val="7B39698D"/>
    <w:rsid w:val="7B4A7B43"/>
    <w:rsid w:val="7B675698"/>
    <w:rsid w:val="7B725665"/>
    <w:rsid w:val="7B7C514A"/>
    <w:rsid w:val="7B840A4C"/>
    <w:rsid w:val="7B856015"/>
    <w:rsid w:val="7B8C79F7"/>
    <w:rsid w:val="7B9247AF"/>
    <w:rsid w:val="7BA75446"/>
    <w:rsid w:val="7BB3231A"/>
    <w:rsid w:val="7BB61E95"/>
    <w:rsid w:val="7BC506FF"/>
    <w:rsid w:val="7BC644B1"/>
    <w:rsid w:val="7BC84E88"/>
    <w:rsid w:val="7BDB714D"/>
    <w:rsid w:val="7BDE19B5"/>
    <w:rsid w:val="7BE24425"/>
    <w:rsid w:val="7BE60C44"/>
    <w:rsid w:val="7BF276F4"/>
    <w:rsid w:val="7C2D33CE"/>
    <w:rsid w:val="7C3007CA"/>
    <w:rsid w:val="7C3F5A8C"/>
    <w:rsid w:val="7C564353"/>
    <w:rsid w:val="7C792A47"/>
    <w:rsid w:val="7C7F1DA6"/>
    <w:rsid w:val="7C946561"/>
    <w:rsid w:val="7CB40DEB"/>
    <w:rsid w:val="7CC72856"/>
    <w:rsid w:val="7CD8008B"/>
    <w:rsid w:val="7CDD2233"/>
    <w:rsid w:val="7CDF7127"/>
    <w:rsid w:val="7CE403FC"/>
    <w:rsid w:val="7D285E5F"/>
    <w:rsid w:val="7D2B39F9"/>
    <w:rsid w:val="7D524212"/>
    <w:rsid w:val="7D6922A8"/>
    <w:rsid w:val="7D88737B"/>
    <w:rsid w:val="7D8F098B"/>
    <w:rsid w:val="7D945EC6"/>
    <w:rsid w:val="7D9E1299"/>
    <w:rsid w:val="7DAD3484"/>
    <w:rsid w:val="7DCB0A1C"/>
    <w:rsid w:val="7E043E66"/>
    <w:rsid w:val="7E12043C"/>
    <w:rsid w:val="7E1370A0"/>
    <w:rsid w:val="7E2718A8"/>
    <w:rsid w:val="7E3D2839"/>
    <w:rsid w:val="7E587B9F"/>
    <w:rsid w:val="7E7A0990"/>
    <w:rsid w:val="7E9035E0"/>
    <w:rsid w:val="7E9815B9"/>
    <w:rsid w:val="7E9B4B4F"/>
    <w:rsid w:val="7EC9531A"/>
    <w:rsid w:val="7EDF0AD8"/>
    <w:rsid w:val="7F1E1221"/>
    <w:rsid w:val="7F2A41ED"/>
    <w:rsid w:val="7F2D49CD"/>
    <w:rsid w:val="7F483017"/>
    <w:rsid w:val="7F516C12"/>
    <w:rsid w:val="7F735D14"/>
    <w:rsid w:val="7F8E5C26"/>
    <w:rsid w:val="7F97D7F2"/>
    <w:rsid w:val="7FAE52D2"/>
    <w:rsid w:val="7FB75867"/>
    <w:rsid w:val="7FBB2766"/>
    <w:rsid w:val="7FC529E5"/>
    <w:rsid w:val="7FC676CE"/>
    <w:rsid w:val="7FEE60BC"/>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7"/>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9"/>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7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59">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79"/>
    <w:qFormat/>
    <w:uiPriority w:val="0"/>
    <w:pPr>
      <w:ind w:firstLine="480" w:firstLineChars="200"/>
    </w:pPr>
    <w:rPr>
      <w:rFonts w:ascii="仿宋_GB2312" w:eastAsia="仿宋_GB2312"/>
      <w:sz w:val="24"/>
    </w:rPr>
  </w:style>
  <w:style w:type="paragraph" w:styleId="6">
    <w:name w:val="Normal Indent"/>
    <w:basedOn w:val="1"/>
    <w:next w:val="1"/>
    <w:link w:val="62"/>
    <w:qFormat/>
    <w:uiPriority w:val="0"/>
    <w:pPr>
      <w:autoSpaceDE w:val="0"/>
      <w:autoSpaceDN w:val="0"/>
      <w:adjustRightInd w:val="0"/>
      <w:ind w:firstLine="420"/>
      <w:jc w:val="left"/>
    </w:pPr>
    <w:rPr>
      <w:rFonts w:ascii="宋体"/>
      <w:sz w:val="24"/>
    </w:rPr>
  </w:style>
  <w:style w:type="paragraph" w:styleId="13">
    <w:name w:val="annotation subject"/>
    <w:basedOn w:val="14"/>
    <w:next w:val="14"/>
    <w:link w:val="86"/>
    <w:qFormat/>
    <w:uiPriority w:val="0"/>
    <w:rPr>
      <w:b/>
      <w:bCs/>
    </w:rPr>
  </w:style>
  <w:style w:type="paragraph" w:styleId="14">
    <w:name w:val="annotation text"/>
    <w:basedOn w:val="1"/>
    <w:link w:val="73"/>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next w:val="1"/>
    <w:qFormat/>
    <w:uiPriority w:val="0"/>
    <w:pPr>
      <w:tabs>
        <w:tab w:val="left" w:pos="567"/>
      </w:tabs>
      <w:spacing w:line="360" w:lineRule="auto"/>
      <w:ind w:firstLine="420" w:firstLineChars="100"/>
    </w:pPr>
    <w:rPr>
      <w:rFonts w:ascii="微软雅黑" w:hAnsi="微软雅黑" w:eastAsia="微软雅黑" w:cs="微软雅黑"/>
    </w:rPr>
  </w:style>
  <w:style w:type="paragraph" w:styleId="17">
    <w:name w:val="Body Text"/>
    <w:basedOn w:val="1"/>
    <w:link w:val="75"/>
    <w:qFormat/>
    <w:uiPriority w:val="0"/>
    <w:pPr>
      <w:tabs>
        <w:tab w:val="left" w:pos="567"/>
      </w:tabs>
      <w:spacing w:before="120" w:line="22" w:lineRule="atLeast"/>
    </w:pPr>
    <w:rPr>
      <w:rFonts w:ascii="宋体" w:hAnsi="宋体"/>
      <w:sz w:val="24"/>
    </w:rPr>
  </w:style>
  <w:style w:type="paragraph" w:styleId="18">
    <w:name w:val="caption"/>
    <w:basedOn w:val="1"/>
    <w:next w:val="1"/>
    <w:qFormat/>
    <w:uiPriority w:val="0"/>
    <w:pPr>
      <w:spacing w:line="480" w:lineRule="auto"/>
    </w:pPr>
    <w:rPr>
      <w:rFonts w:ascii="华文中宋" w:hAnsi="华文中宋" w:eastAsia="华文中宋"/>
      <w:sz w:val="36"/>
      <w:szCs w:val="20"/>
    </w:rPr>
  </w:style>
  <w:style w:type="paragraph" w:styleId="19">
    <w:name w:val="Document Map"/>
    <w:basedOn w:val="1"/>
    <w:link w:val="72"/>
    <w:qFormat/>
    <w:uiPriority w:val="0"/>
    <w:pPr>
      <w:shd w:val="clear" w:color="auto" w:fill="000080"/>
    </w:pPr>
  </w:style>
  <w:style w:type="paragraph" w:styleId="20">
    <w:name w:val="Salutation"/>
    <w:basedOn w:val="1"/>
    <w:next w:val="1"/>
    <w:uiPriority w:val="0"/>
  </w:style>
  <w:style w:type="paragraph" w:styleId="21">
    <w:name w:val="Body Text 3"/>
    <w:basedOn w:val="1"/>
    <w:link w:val="74"/>
    <w:qFormat/>
    <w:uiPriority w:val="0"/>
    <w:pPr>
      <w:spacing w:after="120"/>
    </w:pPr>
    <w:rPr>
      <w:sz w:val="16"/>
      <w:szCs w:val="16"/>
    </w:rPr>
  </w:style>
  <w:style w:type="paragraph" w:styleId="22">
    <w:name w:val="List Bullet 3"/>
    <w:basedOn w:val="1"/>
    <w:qFormat/>
    <w:uiPriority w:val="0"/>
    <w:pPr>
      <w:numPr>
        <w:ilvl w:val="0"/>
        <w:numId w:val="1"/>
      </w:numPr>
    </w:pPr>
  </w:style>
  <w:style w:type="paragraph" w:styleId="23">
    <w:name w:val="Body Text Indent"/>
    <w:basedOn w:val="1"/>
    <w:link w:val="76"/>
    <w:qFormat/>
    <w:uiPriority w:val="0"/>
    <w:pPr>
      <w:spacing w:line="360" w:lineRule="auto"/>
      <w:ind w:firstLine="570"/>
    </w:pPr>
    <w:rPr>
      <w:sz w:val="24"/>
    </w:rPr>
  </w:style>
  <w:style w:type="paragraph" w:styleId="24">
    <w:name w:val="List 2"/>
    <w:basedOn w:val="1"/>
    <w:qFormat/>
    <w:uiPriority w:val="0"/>
    <w:pPr>
      <w:ind w:left="100" w:leftChars="200" w:hanging="200" w:hangingChars="200"/>
    </w:pPr>
  </w:style>
  <w:style w:type="paragraph" w:styleId="25">
    <w:name w:val="Block Text"/>
    <w:basedOn w:val="1"/>
    <w:qFormat/>
    <w:uiPriority w:val="0"/>
    <w:pPr>
      <w:widowControl/>
      <w:ind w:left="480" w:right="-341" w:firstLine="513"/>
    </w:pPr>
    <w:rPr>
      <w:kern w:val="0"/>
      <w:sz w:val="24"/>
      <w:szCs w:val="20"/>
    </w:rPr>
  </w:style>
  <w:style w:type="paragraph" w:styleId="26">
    <w:name w:val="index 4"/>
    <w:basedOn w:val="1"/>
    <w:next w:val="1"/>
    <w:unhideWhenUsed/>
    <w:qFormat/>
    <w:uiPriority w:val="99"/>
    <w:pPr>
      <w:spacing w:before="100" w:beforeAutospacing="1" w:after="100" w:afterAutospacing="1"/>
      <w:ind w:left="600" w:leftChars="600"/>
    </w:pPr>
  </w:style>
  <w:style w:type="paragraph" w:styleId="27">
    <w:name w:val="toc 5"/>
    <w:basedOn w:val="1"/>
    <w:next w:val="1"/>
    <w:qFormat/>
    <w:uiPriority w:val="0"/>
    <w:pPr>
      <w:ind w:left="1680" w:leftChars="800"/>
    </w:pPr>
  </w:style>
  <w:style w:type="paragraph" w:styleId="28">
    <w:name w:val="toc 3"/>
    <w:basedOn w:val="1"/>
    <w:next w:val="1"/>
    <w:qFormat/>
    <w:uiPriority w:val="0"/>
    <w:pPr>
      <w:ind w:left="840" w:leftChars="400"/>
    </w:pPr>
  </w:style>
  <w:style w:type="paragraph" w:styleId="29">
    <w:name w:val="Plain Text"/>
    <w:basedOn w:val="1"/>
    <w:link w:val="77"/>
    <w:qFormat/>
    <w:uiPriority w:val="0"/>
    <w:rPr>
      <w:rFonts w:hint="eastAsia"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78"/>
    <w:qFormat/>
    <w:uiPriority w:val="0"/>
    <w:pPr>
      <w:ind w:left="100" w:leftChars="2500"/>
    </w:pPr>
    <w:rPr>
      <w:rFonts w:ascii="仿宋_GB2312" w:hAnsi="宋体" w:eastAsia="仿宋_GB2312"/>
      <w:color w:val="000000"/>
      <w:sz w:val="24"/>
    </w:rPr>
  </w:style>
  <w:style w:type="paragraph" w:styleId="32">
    <w:name w:val="Balloon Text"/>
    <w:basedOn w:val="1"/>
    <w:link w:val="80"/>
    <w:qFormat/>
    <w:uiPriority w:val="0"/>
    <w:rPr>
      <w:sz w:val="18"/>
      <w:szCs w:val="18"/>
    </w:rPr>
  </w:style>
  <w:style w:type="paragraph" w:styleId="33">
    <w:name w:val="footer"/>
    <w:basedOn w:val="1"/>
    <w:link w:val="8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Body Text First Indent 2"/>
    <w:basedOn w:val="23"/>
    <w:link w:val="87"/>
    <w:qFormat/>
    <w:uiPriority w:val="0"/>
    <w:pPr>
      <w:spacing w:after="120" w:line="480" w:lineRule="exact"/>
      <w:ind w:left="420" w:leftChars="200" w:firstLine="420" w:firstLineChars="200"/>
    </w:pPr>
  </w:style>
  <w:style w:type="paragraph" w:styleId="35">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toc 6"/>
    <w:basedOn w:val="1"/>
    <w:next w:val="1"/>
    <w:qFormat/>
    <w:uiPriority w:val="0"/>
    <w:pPr>
      <w:ind w:left="2100" w:leftChars="1000"/>
    </w:pPr>
  </w:style>
  <w:style w:type="paragraph" w:styleId="39">
    <w:name w:val="Body Text Indent 3"/>
    <w:basedOn w:val="1"/>
    <w:link w:val="8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0">
    <w:name w:val="toc 2"/>
    <w:basedOn w:val="1"/>
    <w:next w:val="1"/>
    <w:qFormat/>
    <w:uiPriority w:val="0"/>
    <w:pPr>
      <w:tabs>
        <w:tab w:val="right" w:leader="dot" w:pos="8937"/>
      </w:tabs>
      <w:spacing w:line="312" w:lineRule="auto"/>
      <w:ind w:left="420" w:leftChars="200"/>
    </w:pPr>
  </w:style>
  <w:style w:type="paragraph" w:styleId="41">
    <w:name w:val="toc 9"/>
    <w:basedOn w:val="1"/>
    <w:next w:val="1"/>
    <w:qFormat/>
    <w:uiPriority w:val="0"/>
    <w:pPr>
      <w:ind w:left="3360" w:leftChars="1600"/>
    </w:pPr>
  </w:style>
  <w:style w:type="paragraph" w:styleId="42">
    <w:name w:val="Body Text 2"/>
    <w:basedOn w:val="1"/>
    <w:unhideWhenUsed/>
    <w:qFormat/>
    <w:uiPriority w:val="99"/>
    <w:pPr>
      <w:spacing w:after="120" w:line="480" w:lineRule="auto"/>
    </w:pPr>
    <w:rPr>
      <w:rFonts w:ascii="Calibri" w:hAnsi="Calibri"/>
      <w:sz w:val="24"/>
    </w:rPr>
  </w:style>
  <w:style w:type="paragraph" w:styleId="43">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85"/>
    <w:qFormat/>
    <w:uiPriority w:val="0"/>
    <w:pPr>
      <w:jc w:val="center"/>
      <w:outlineLvl w:val="0"/>
    </w:pPr>
    <w:rPr>
      <w:b/>
      <w:sz w:val="32"/>
      <w:szCs w:val="20"/>
    </w:rPr>
  </w:style>
  <w:style w:type="character" w:styleId="48">
    <w:name w:val="Strong"/>
    <w:qFormat/>
    <w:uiPriority w:val="0"/>
    <w:rPr>
      <w:rFonts w:ascii="Times New Roman" w:hAnsi="Times New Roman" w:eastAsia="宋体" w:cs="Times New Roman"/>
      <w:b/>
      <w:bCs/>
    </w:rPr>
  </w:style>
  <w:style w:type="character" w:styleId="49">
    <w:name w:val="page number"/>
    <w:basedOn w:val="47"/>
    <w:qFormat/>
    <w:uiPriority w:val="0"/>
    <w:rPr>
      <w:rFonts w:ascii="Times New Roman" w:hAnsi="Times New Roman" w:eastAsia="宋体" w:cs="Times New Roman"/>
    </w:rPr>
  </w:style>
  <w:style w:type="character" w:styleId="50">
    <w:name w:val="FollowedHyperlink"/>
    <w:qFormat/>
    <w:uiPriority w:val="0"/>
    <w:rPr>
      <w:rFonts w:ascii="Times New Roman" w:hAnsi="Times New Roman" w:eastAsia="宋体" w:cs="Times New Roman"/>
      <w:color w:val="800080"/>
      <w:u w:val="single"/>
    </w:rPr>
  </w:style>
  <w:style w:type="character" w:styleId="51">
    <w:name w:val="Emphasis"/>
    <w:qFormat/>
    <w:uiPriority w:val="0"/>
    <w:rPr>
      <w:rFonts w:ascii="Times New Roman" w:hAnsi="Times New Roman" w:eastAsia="宋体" w:cs="Times New Roman"/>
      <w:color w:val="CC0033"/>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qFormat/>
    <w:uiPriority w:val="0"/>
    <w:rPr>
      <w:rFonts w:ascii="Times New Roman" w:hAnsi="Times New Roman" w:eastAsia="宋体" w:cs="Times New Roman"/>
      <w:color w:val="0000FF"/>
      <w:u w:val="single"/>
    </w:rPr>
  </w:style>
  <w:style w:type="character" w:styleId="56">
    <w:name w:val="HTML Code"/>
    <w:basedOn w:val="47"/>
    <w:qFormat/>
    <w:uiPriority w:val="0"/>
    <w:rPr>
      <w:rFonts w:ascii="Courier New" w:hAnsi="Courier New"/>
      <w:sz w:val="20"/>
    </w:rPr>
  </w:style>
  <w:style w:type="character" w:styleId="57">
    <w:name w:val="annotation reference"/>
    <w:qFormat/>
    <w:uiPriority w:val="0"/>
    <w:rPr>
      <w:rFonts w:ascii="Times New Roman" w:hAnsi="Times New Roman" w:eastAsia="宋体" w:cs="Times New Roman"/>
      <w:sz w:val="21"/>
      <w:szCs w:val="21"/>
    </w:rPr>
  </w:style>
  <w:style w:type="character" w:styleId="58">
    <w:name w:val="HTML Cite"/>
    <w:qFormat/>
    <w:uiPriority w:val="0"/>
    <w:rPr>
      <w:rFonts w:ascii="Times New Roman" w:hAnsi="Times New Roman" w:eastAsia="宋体" w:cs="Times New Roman"/>
      <w:i/>
      <w:iCs/>
    </w:r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1">
    <w:name w:val="Medium Grid 1 Accent 2"/>
    <w:basedOn w:val="59"/>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62">
    <w:name w:val="正文缩进 字符"/>
    <w:link w:val="6"/>
    <w:qFormat/>
    <w:uiPriority w:val="0"/>
    <w:rPr>
      <w:rFonts w:ascii="宋体" w:hAnsi="Times New Roman" w:eastAsia="宋体" w:cs="Times New Roman"/>
      <w:kern w:val="2"/>
      <w:sz w:val="24"/>
      <w:szCs w:val="24"/>
      <w:lang w:val="en-US" w:eastAsia="zh-CN" w:bidi="ar-SA"/>
    </w:rPr>
  </w:style>
  <w:style w:type="character" w:customStyle="1" w:styleId="63">
    <w:name w:val="标题 1 字符"/>
    <w:link w:val="3"/>
    <w:qFormat/>
    <w:uiPriority w:val="0"/>
    <w:rPr>
      <w:rFonts w:ascii="宋体" w:hAnsi="Times New Roman" w:eastAsia="宋体" w:cs="Times New Roman"/>
      <w:b/>
      <w:kern w:val="44"/>
      <w:sz w:val="32"/>
    </w:rPr>
  </w:style>
  <w:style w:type="character" w:customStyle="1" w:styleId="64">
    <w:name w:val="标题 2 字符"/>
    <w:link w:val="4"/>
    <w:qFormat/>
    <w:uiPriority w:val="0"/>
    <w:rPr>
      <w:rFonts w:ascii="Arial" w:hAnsi="Arial" w:eastAsia="黑体" w:cs="Times New Roman"/>
      <w:b/>
      <w:sz w:val="30"/>
      <w:lang w:val="en-US" w:eastAsia="zh-CN" w:bidi="ar-SA"/>
    </w:rPr>
  </w:style>
  <w:style w:type="character" w:customStyle="1" w:styleId="65">
    <w:name w:val="标题 3 字符"/>
    <w:link w:val="5"/>
    <w:qFormat/>
    <w:uiPriority w:val="0"/>
    <w:rPr>
      <w:rFonts w:ascii="宋体" w:hAnsi="Times New Roman" w:eastAsia="宋体" w:cs="Times New Roman"/>
      <w:b/>
      <w:sz w:val="24"/>
      <w:u w:val="single"/>
      <w:lang w:val="en-US" w:eastAsia="zh-CN" w:bidi="ar-SA"/>
    </w:rPr>
  </w:style>
  <w:style w:type="character" w:customStyle="1" w:styleId="66">
    <w:name w:val="标题 4 字符"/>
    <w:link w:val="7"/>
    <w:qFormat/>
    <w:uiPriority w:val="0"/>
    <w:rPr>
      <w:rFonts w:ascii="Arial" w:hAnsi="Arial" w:eastAsia="黑体" w:cs="Times New Roman"/>
      <w:b/>
      <w:sz w:val="28"/>
    </w:rPr>
  </w:style>
  <w:style w:type="character" w:customStyle="1" w:styleId="67">
    <w:name w:val="标题 5 字符"/>
    <w:link w:val="8"/>
    <w:qFormat/>
    <w:uiPriority w:val="0"/>
    <w:rPr>
      <w:rFonts w:ascii="Times New Roman" w:hAnsi="Times New Roman" w:eastAsia="宋体" w:cs="Times New Roman"/>
      <w:b/>
      <w:sz w:val="28"/>
    </w:rPr>
  </w:style>
  <w:style w:type="character" w:customStyle="1" w:styleId="68">
    <w:name w:val="标题 6 字符"/>
    <w:link w:val="9"/>
    <w:qFormat/>
    <w:uiPriority w:val="0"/>
    <w:rPr>
      <w:rFonts w:ascii="Arial" w:hAnsi="Arial" w:eastAsia="黑体" w:cs="Times New Roman"/>
      <w:b/>
      <w:sz w:val="24"/>
    </w:rPr>
  </w:style>
  <w:style w:type="character" w:customStyle="1" w:styleId="69">
    <w:name w:val="标题 7 字符"/>
    <w:link w:val="10"/>
    <w:qFormat/>
    <w:uiPriority w:val="0"/>
    <w:rPr>
      <w:rFonts w:ascii="Times New Roman" w:hAnsi="Times New Roman" w:eastAsia="宋体" w:cs="Times New Roman"/>
      <w:b/>
      <w:sz w:val="24"/>
    </w:rPr>
  </w:style>
  <w:style w:type="character" w:customStyle="1" w:styleId="70">
    <w:name w:val="标题 8 字符"/>
    <w:link w:val="11"/>
    <w:qFormat/>
    <w:uiPriority w:val="0"/>
    <w:rPr>
      <w:rFonts w:ascii="Arial" w:hAnsi="Arial" w:eastAsia="黑体" w:cs="Times New Roman"/>
      <w:sz w:val="24"/>
    </w:rPr>
  </w:style>
  <w:style w:type="character" w:customStyle="1" w:styleId="71">
    <w:name w:val="标题 9 字符"/>
    <w:link w:val="12"/>
    <w:qFormat/>
    <w:uiPriority w:val="0"/>
    <w:rPr>
      <w:rFonts w:ascii="Arial" w:hAnsi="Arial" w:eastAsia="黑体" w:cs="Times New Roman"/>
      <w:sz w:val="21"/>
    </w:rPr>
  </w:style>
  <w:style w:type="character" w:customStyle="1" w:styleId="72">
    <w:name w:val="文档结构图 字符"/>
    <w:link w:val="19"/>
    <w:qFormat/>
    <w:uiPriority w:val="0"/>
    <w:rPr>
      <w:rFonts w:ascii="Times New Roman" w:hAnsi="Times New Roman" w:eastAsia="宋体" w:cs="Times New Roman"/>
      <w:kern w:val="2"/>
      <w:sz w:val="21"/>
      <w:szCs w:val="24"/>
      <w:shd w:val="clear" w:color="auto" w:fill="000080"/>
    </w:rPr>
  </w:style>
  <w:style w:type="character" w:customStyle="1" w:styleId="73">
    <w:name w:val="批注文字 字符1"/>
    <w:link w:val="14"/>
    <w:qFormat/>
    <w:uiPriority w:val="0"/>
    <w:rPr>
      <w:rFonts w:ascii="Times New Roman" w:hAnsi="Times New Roman" w:eastAsia="宋体" w:cs="Times New Roman"/>
      <w:kern w:val="2"/>
      <w:sz w:val="21"/>
      <w:szCs w:val="24"/>
    </w:rPr>
  </w:style>
  <w:style w:type="character" w:customStyle="1" w:styleId="74">
    <w:name w:val="正文文本 3 字符"/>
    <w:link w:val="21"/>
    <w:qFormat/>
    <w:uiPriority w:val="0"/>
    <w:rPr>
      <w:rFonts w:ascii="Times New Roman" w:hAnsi="Times New Roman" w:eastAsia="宋体" w:cs="Times New Roman"/>
      <w:kern w:val="2"/>
      <w:sz w:val="16"/>
      <w:szCs w:val="16"/>
    </w:rPr>
  </w:style>
  <w:style w:type="character" w:customStyle="1" w:styleId="75">
    <w:name w:val="正文文本 字符"/>
    <w:link w:val="17"/>
    <w:qFormat/>
    <w:uiPriority w:val="0"/>
    <w:rPr>
      <w:rFonts w:ascii="宋体" w:hAnsi="宋体" w:eastAsia="宋体" w:cs="Times New Roman"/>
      <w:kern w:val="2"/>
      <w:sz w:val="24"/>
      <w:szCs w:val="24"/>
    </w:rPr>
  </w:style>
  <w:style w:type="character" w:customStyle="1" w:styleId="76">
    <w:name w:val="正文文本缩进 字符"/>
    <w:link w:val="23"/>
    <w:qFormat/>
    <w:uiPriority w:val="0"/>
    <w:rPr>
      <w:rFonts w:ascii="Times New Roman" w:hAnsi="Times New Roman" w:eastAsia="宋体" w:cs="Times New Roman"/>
      <w:kern w:val="2"/>
      <w:sz w:val="24"/>
      <w:szCs w:val="24"/>
      <w:lang w:val="en-US" w:eastAsia="zh-CN" w:bidi="ar-SA"/>
    </w:rPr>
  </w:style>
  <w:style w:type="character" w:customStyle="1" w:styleId="77">
    <w:name w:val="纯文本 字符2"/>
    <w:link w:val="29"/>
    <w:qFormat/>
    <w:uiPriority w:val="0"/>
    <w:rPr>
      <w:rFonts w:hint="eastAsia" w:ascii="宋体" w:hAnsi="Courier New" w:eastAsia="宋体" w:cs="宋体"/>
      <w:kern w:val="2"/>
      <w:sz w:val="21"/>
    </w:rPr>
  </w:style>
  <w:style w:type="character" w:customStyle="1" w:styleId="78">
    <w:name w:val="日期 字符"/>
    <w:link w:val="31"/>
    <w:qFormat/>
    <w:uiPriority w:val="0"/>
    <w:rPr>
      <w:rFonts w:ascii="仿宋_GB2312" w:hAnsi="宋体" w:eastAsia="仿宋_GB2312" w:cs="Times New Roman"/>
      <w:color w:val="000000"/>
      <w:kern w:val="2"/>
      <w:sz w:val="24"/>
      <w:szCs w:val="24"/>
    </w:rPr>
  </w:style>
  <w:style w:type="character" w:customStyle="1" w:styleId="79">
    <w:name w:val="正文文本缩进 2 字符"/>
    <w:link w:val="2"/>
    <w:qFormat/>
    <w:uiPriority w:val="0"/>
    <w:rPr>
      <w:rFonts w:ascii="仿宋_GB2312" w:hAnsi="Times New Roman" w:eastAsia="仿宋_GB2312" w:cs="Times New Roman"/>
      <w:kern w:val="2"/>
      <w:sz w:val="24"/>
      <w:szCs w:val="24"/>
    </w:rPr>
  </w:style>
  <w:style w:type="character" w:customStyle="1" w:styleId="80">
    <w:name w:val="批注框文本 字符"/>
    <w:link w:val="32"/>
    <w:qFormat/>
    <w:uiPriority w:val="0"/>
    <w:rPr>
      <w:rFonts w:ascii="Times New Roman" w:hAnsi="Times New Roman" w:eastAsia="宋体" w:cs="Times New Roman"/>
      <w:kern w:val="2"/>
      <w:sz w:val="18"/>
      <w:szCs w:val="18"/>
    </w:rPr>
  </w:style>
  <w:style w:type="character" w:customStyle="1" w:styleId="81">
    <w:name w:val="页脚 字符"/>
    <w:link w:val="33"/>
    <w:qFormat/>
    <w:uiPriority w:val="0"/>
    <w:rPr>
      <w:rFonts w:ascii="宋体" w:hAnsi="Times New Roman" w:eastAsia="宋体" w:cs="Times New Roman"/>
      <w:sz w:val="18"/>
      <w:lang w:val="en-US" w:eastAsia="zh-CN" w:bidi="ar-SA"/>
    </w:rPr>
  </w:style>
  <w:style w:type="character" w:customStyle="1" w:styleId="82">
    <w:name w:val="页眉 字符"/>
    <w:link w:val="35"/>
    <w:qFormat/>
    <w:uiPriority w:val="0"/>
    <w:rPr>
      <w:rFonts w:ascii="Times New Roman" w:hAnsi="Times New Roman" w:eastAsia="宋体" w:cs="Times New Roman"/>
      <w:kern w:val="2"/>
      <w:sz w:val="18"/>
      <w:szCs w:val="18"/>
      <w:lang w:val="en-US" w:eastAsia="zh-CN" w:bidi="ar-SA"/>
    </w:rPr>
  </w:style>
  <w:style w:type="character" w:customStyle="1" w:styleId="83">
    <w:name w:val="正文文本缩进 3 字符"/>
    <w:link w:val="39"/>
    <w:qFormat/>
    <w:uiPriority w:val="0"/>
    <w:rPr>
      <w:rFonts w:ascii="宋体" w:hAnsi="Times New Roman" w:eastAsia="宋体" w:cs="Times New Roman"/>
      <w:sz w:val="24"/>
    </w:rPr>
  </w:style>
  <w:style w:type="character" w:customStyle="1" w:styleId="84">
    <w:name w:val="HTML 预设格式 字符"/>
    <w:link w:val="43"/>
    <w:qFormat/>
    <w:uiPriority w:val="0"/>
    <w:rPr>
      <w:rFonts w:ascii="宋体" w:hAnsi="宋体" w:eastAsia="宋体" w:cs="宋体"/>
      <w:sz w:val="24"/>
      <w:szCs w:val="24"/>
    </w:rPr>
  </w:style>
  <w:style w:type="character" w:customStyle="1" w:styleId="85">
    <w:name w:val="标题 字符"/>
    <w:link w:val="46"/>
    <w:qFormat/>
    <w:uiPriority w:val="0"/>
    <w:rPr>
      <w:rFonts w:ascii="Times New Roman" w:hAnsi="Times New Roman" w:eastAsia="宋体" w:cs="Times New Roman"/>
      <w:b/>
      <w:kern w:val="2"/>
      <w:sz w:val="32"/>
    </w:rPr>
  </w:style>
  <w:style w:type="character" w:customStyle="1" w:styleId="86">
    <w:name w:val="批注主题 字符"/>
    <w:link w:val="13"/>
    <w:qFormat/>
    <w:uiPriority w:val="0"/>
    <w:rPr>
      <w:rFonts w:ascii="Times New Roman" w:hAnsi="Times New Roman" w:eastAsia="宋体" w:cs="Times New Roman"/>
      <w:b/>
      <w:bCs/>
      <w:kern w:val="2"/>
      <w:sz w:val="21"/>
      <w:szCs w:val="24"/>
      <w:lang w:val="en-US" w:eastAsia="zh-CN" w:bidi="ar-SA"/>
    </w:rPr>
  </w:style>
  <w:style w:type="character" w:customStyle="1" w:styleId="87">
    <w:name w:val="正文文本首行缩进 2 字符"/>
    <w:link w:val="34"/>
    <w:qFormat/>
    <w:uiPriority w:val="0"/>
    <w:rPr>
      <w:rFonts w:ascii="Times New Roman" w:hAnsi="Times New Roman" w:eastAsia="宋体" w:cs="Times New Roman"/>
      <w:kern w:val="2"/>
      <w:sz w:val="24"/>
      <w:szCs w:val="24"/>
      <w:lang w:val="en-US" w:eastAsia="zh-CN" w:bidi="ar-SA"/>
    </w:rPr>
  </w:style>
  <w:style w:type="character" w:customStyle="1" w:styleId="88">
    <w:name w:val="普通文字1 Char1"/>
    <w:qFormat/>
    <w:uiPriority w:val="0"/>
    <w:rPr>
      <w:rFonts w:ascii="宋体" w:hAnsi="Courier New" w:eastAsia="宋体" w:cs="Times New Roman"/>
      <w:kern w:val="2"/>
      <w:sz w:val="21"/>
      <w:lang w:val="en-US" w:eastAsia="zh-CN" w:bidi="ar-SA"/>
    </w:rPr>
  </w:style>
  <w:style w:type="character" w:customStyle="1" w:styleId="89">
    <w:name w:val="正文缩进 Char Char"/>
    <w:link w:val="90"/>
    <w:qFormat/>
    <w:uiPriority w:val="0"/>
    <w:rPr>
      <w:rFonts w:ascii="宋体" w:hAnsi="Times New Roman" w:eastAsia="宋体" w:cs="Times New Roman"/>
      <w:snapToGrid w:val="0"/>
      <w:color w:val="000000"/>
      <w:kern w:val="28"/>
      <w:sz w:val="28"/>
      <w:lang w:bidi="ar-SA"/>
    </w:rPr>
  </w:style>
  <w:style w:type="paragraph" w:customStyle="1" w:styleId="90">
    <w:name w:val="正文缩进1"/>
    <w:basedOn w:val="1"/>
    <w:link w:val="8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1">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2">
    <w:name w:val="title4"/>
    <w:qFormat/>
    <w:uiPriority w:val="0"/>
    <w:rPr>
      <w:rFonts w:ascii="Times New Roman" w:hAnsi="Times New Roman" w:eastAsia="宋体" w:cs="Times New Roman"/>
      <w:b/>
      <w:bCs/>
      <w:color w:val="1D87B3"/>
      <w:sz w:val="15"/>
      <w:szCs w:val="15"/>
    </w:rPr>
  </w:style>
  <w:style w:type="character" w:customStyle="1" w:styleId="93">
    <w:name w:val="标题 3 Char"/>
    <w:qFormat/>
    <w:uiPriority w:val="0"/>
    <w:rPr>
      <w:rFonts w:ascii="宋体" w:hAnsi="Times New Roman" w:eastAsia="宋体" w:cs="Times New Roman"/>
      <w:b/>
      <w:sz w:val="24"/>
      <w:u w:val="single"/>
      <w:lang w:val="en-US" w:eastAsia="zh-CN" w:bidi="ar-SA"/>
    </w:rPr>
  </w:style>
  <w:style w:type="character" w:customStyle="1" w:styleId="94">
    <w:name w:val="标题 Char"/>
    <w:qFormat/>
    <w:uiPriority w:val="0"/>
    <w:rPr>
      <w:rFonts w:ascii="Times New Roman" w:hAnsi="Times New Roman" w:eastAsia="宋体" w:cs="Times New Roman"/>
      <w:b/>
      <w:kern w:val="2"/>
      <w:sz w:val="32"/>
    </w:rPr>
  </w:style>
  <w:style w:type="character" w:customStyle="1" w:styleId="95">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6">
    <w:name w:val="段1 Char"/>
    <w:qFormat/>
    <w:uiPriority w:val="0"/>
    <w:rPr>
      <w:rFonts w:ascii="宋体" w:hAnsi="Times New Roman" w:eastAsia="宋体" w:cs="Times New Roman"/>
      <w:sz w:val="24"/>
      <w:lang w:val="en-US" w:eastAsia="zh-CN" w:bidi="ar-SA"/>
    </w:rPr>
  </w:style>
  <w:style w:type="character" w:customStyle="1" w:styleId="97">
    <w:name w:val="正文大标题 Char"/>
    <w:link w:val="98"/>
    <w:qFormat/>
    <w:uiPriority w:val="0"/>
    <w:rPr>
      <w:rFonts w:ascii="宋体" w:hAnsi="宋体" w:eastAsia="宋体" w:cs="Times New Roman"/>
      <w:b/>
      <w:color w:val="000000"/>
      <w:kern w:val="2"/>
      <w:sz w:val="28"/>
      <w:szCs w:val="21"/>
    </w:rPr>
  </w:style>
  <w:style w:type="paragraph" w:customStyle="1" w:styleId="98">
    <w:name w:val="正文大标题"/>
    <w:basedOn w:val="99"/>
    <w:next w:val="6"/>
    <w:link w:val="97"/>
    <w:qFormat/>
    <w:uiPriority w:val="0"/>
    <w:pPr>
      <w:jc w:val="center"/>
    </w:pPr>
    <w:rPr>
      <w:i w:val="0"/>
      <w:color w:val="000000"/>
      <w:sz w:val="28"/>
      <w:szCs w:val="21"/>
    </w:rPr>
  </w:style>
  <w:style w:type="paragraph" w:customStyle="1" w:styleId="99">
    <w:name w:val="正文小标题"/>
    <w:basedOn w:val="1"/>
    <w:next w:val="6"/>
    <w:link w:val="10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0">
    <w:name w:val="正文小标题 Char"/>
    <w:link w:val="99"/>
    <w:qFormat/>
    <w:uiPriority w:val="0"/>
    <w:rPr>
      <w:rFonts w:ascii="宋体" w:hAnsi="宋体" w:eastAsia="宋体" w:cs="Times New Roman"/>
      <w:b/>
      <w:i/>
      <w:color w:val="FF0000"/>
      <w:kern w:val="2"/>
      <w:sz w:val="24"/>
    </w:rPr>
  </w:style>
  <w:style w:type="character" w:customStyle="1" w:styleId="101">
    <w:name w:val="c21"/>
    <w:qFormat/>
    <w:uiPriority w:val="0"/>
    <w:rPr>
      <w:rFonts w:hint="default" w:ascii="ˎ̥" w:hAnsi="ˎ̥" w:eastAsia="宋体" w:cs="Times New Roman"/>
      <w:color w:val="000000"/>
      <w:sz w:val="20"/>
      <w:szCs w:val="20"/>
      <w:u w:val="none"/>
    </w:rPr>
  </w:style>
  <w:style w:type="character" w:customStyle="1" w:styleId="102">
    <w:name w:val="标题 2 Char Char"/>
    <w:qFormat/>
    <w:uiPriority w:val="0"/>
    <w:rPr>
      <w:rFonts w:ascii="Arial" w:hAnsi="Arial" w:eastAsia="黑体" w:cs="Times New Roman"/>
      <w:b/>
      <w:bCs/>
      <w:kern w:val="2"/>
      <w:sz w:val="32"/>
      <w:szCs w:val="32"/>
      <w:lang w:val="en-US" w:eastAsia="zh-CN" w:bidi="ar-SA"/>
    </w:rPr>
  </w:style>
  <w:style w:type="character" w:customStyle="1" w:styleId="103">
    <w:name w:val="black1"/>
    <w:qFormat/>
    <w:uiPriority w:val="0"/>
    <w:rPr>
      <w:rFonts w:ascii="Times New Roman" w:hAnsi="Times New Roman" w:eastAsia="宋体" w:cs="Times New Roman"/>
      <w:color w:val="000000"/>
    </w:rPr>
  </w:style>
  <w:style w:type="character" w:customStyle="1" w:styleId="104">
    <w:name w:val="列表段落 字符"/>
    <w:link w:val="105"/>
    <w:qFormat/>
    <w:uiPriority w:val="0"/>
    <w:rPr>
      <w:rFonts w:ascii="Calibri" w:hAnsi="Calibri" w:eastAsia="宋体" w:cs="Times New Roman"/>
      <w:kern w:val="2"/>
      <w:sz w:val="21"/>
      <w:szCs w:val="22"/>
      <w:lang w:val="en-US" w:eastAsia="zh-CN" w:bidi="ar-SA"/>
    </w:rPr>
  </w:style>
  <w:style w:type="paragraph" w:customStyle="1" w:styleId="105">
    <w:name w:val="List Paragraph"/>
    <w:basedOn w:val="1"/>
    <w:link w:val="104"/>
    <w:qFormat/>
    <w:uiPriority w:val="0"/>
    <w:pPr>
      <w:ind w:firstLine="420" w:firstLineChars="200"/>
    </w:pPr>
    <w:rPr>
      <w:rFonts w:ascii="Calibri" w:hAnsi="Calibri"/>
      <w:szCs w:val="22"/>
    </w:rPr>
  </w:style>
  <w:style w:type="character" w:customStyle="1" w:styleId="106">
    <w:name w:val="bjh-p"/>
    <w:qFormat/>
    <w:uiPriority w:val="0"/>
    <w:rPr>
      <w:rFonts w:ascii="Times New Roman" w:hAnsi="Times New Roman" w:eastAsia="宋体" w:cs="Times New Roman"/>
    </w:rPr>
  </w:style>
  <w:style w:type="character" w:customStyle="1" w:styleId="107">
    <w:name w:val="正文重点 Char"/>
    <w:link w:val="108"/>
    <w:qFormat/>
    <w:uiPriority w:val="0"/>
    <w:rPr>
      <w:rFonts w:ascii="Times New Roman" w:hAnsi="Times New Roman" w:eastAsia="宋体" w:cs="Times New Roman"/>
      <w:b/>
      <w:sz w:val="24"/>
    </w:rPr>
  </w:style>
  <w:style w:type="paragraph" w:customStyle="1" w:styleId="108">
    <w:name w:val="正文重点"/>
    <w:basedOn w:val="1"/>
    <w:link w:val="107"/>
    <w:qFormat/>
    <w:uiPriority w:val="0"/>
    <w:pPr>
      <w:adjustRightInd w:val="0"/>
      <w:spacing w:line="360" w:lineRule="auto"/>
      <w:ind w:firstLine="482" w:firstLineChars="200"/>
      <w:jc w:val="left"/>
      <w:textAlignment w:val="baseline"/>
    </w:pPr>
    <w:rPr>
      <w:b/>
      <w:kern w:val="0"/>
      <w:sz w:val="24"/>
      <w:szCs w:val="20"/>
    </w:rPr>
  </w:style>
  <w:style w:type="character" w:customStyle="1" w:styleId="109">
    <w:name w:val="chanpin1"/>
    <w:qFormat/>
    <w:uiPriority w:val="0"/>
    <w:rPr>
      <w:rFonts w:hint="default" w:ascii="ˎ̥" w:hAnsi="ˎ̥" w:eastAsia="宋体" w:cs="Times New Roman"/>
      <w:color w:val="000000"/>
      <w:sz w:val="20"/>
      <w:szCs w:val="20"/>
      <w:u w:val="none"/>
    </w:rPr>
  </w:style>
  <w:style w:type="character" w:customStyle="1" w:styleId="110">
    <w:name w:val="纯文本 字符"/>
    <w:qFormat/>
    <w:uiPriority w:val="0"/>
    <w:rPr>
      <w:rFonts w:ascii="宋体" w:hAnsi="Courier New" w:eastAsia="宋体" w:cs="Times New Roman"/>
      <w:kern w:val="2"/>
      <w:sz w:val="21"/>
      <w:szCs w:val="21"/>
      <w:lang w:val="en-US" w:eastAsia="zh-CN" w:bidi="ar-SA"/>
    </w:rPr>
  </w:style>
  <w:style w:type="character" w:customStyle="1" w:styleId="111">
    <w:name w:val="列出段落 Char"/>
    <w:qFormat/>
    <w:uiPriority w:val="0"/>
    <w:rPr>
      <w:rFonts w:ascii="Calibri" w:hAnsi="Calibri" w:eastAsia="宋体" w:cs="Times New Roman"/>
      <w:kern w:val="2"/>
      <w:sz w:val="21"/>
      <w:szCs w:val="22"/>
      <w:lang w:val="en-US" w:eastAsia="zh-CN" w:bidi="ar-SA"/>
    </w:rPr>
  </w:style>
  <w:style w:type="character" w:customStyle="1" w:styleId="112">
    <w:name w:val="纯文本 字符1"/>
    <w:qFormat/>
    <w:uiPriority w:val="0"/>
    <w:rPr>
      <w:rFonts w:ascii="宋体" w:hAnsi="Courier New" w:eastAsia="宋体" w:cs="Times New Roman"/>
    </w:rPr>
  </w:style>
  <w:style w:type="character" w:customStyle="1" w:styleId="113">
    <w:name w:val="页眉 Char"/>
    <w:qFormat/>
    <w:uiPriority w:val="0"/>
    <w:rPr>
      <w:rFonts w:ascii="Times New Roman" w:hAnsi="Times New Roman" w:eastAsia="宋体" w:cs="Times New Roman"/>
      <w:kern w:val="2"/>
      <w:sz w:val="18"/>
      <w:szCs w:val="18"/>
      <w:lang w:val="en-US" w:eastAsia="zh-CN" w:bidi="ar-SA"/>
    </w:rPr>
  </w:style>
  <w:style w:type="character" w:customStyle="1" w:styleId="114">
    <w:name w:val="street-address"/>
    <w:qFormat/>
    <w:uiPriority w:val="0"/>
    <w:rPr>
      <w:rFonts w:ascii="Times New Roman" w:hAnsi="Times New Roman" w:eastAsia="宋体" w:cs="Times New Roman"/>
    </w:rPr>
  </w:style>
  <w:style w:type="character" w:customStyle="1" w:styleId="115">
    <w:name w:val="Char Char111"/>
    <w:qFormat/>
    <w:uiPriority w:val="0"/>
    <w:rPr>
      <w:rFonts w:ascii="宋体" w:hAnsi="Times New Roman" w:eastAsia="宋体" w:cs="Times New Roman"/>
      <w:b/>
      <w:sz w:val="24"/>
      <w:u w:val="single"/>
      <w:lang w:val="en-US" w:eastAsia="zh-CN" w:bidi="ar-SA"/>
    </w:rPr>
  </w:style>
  <w:style w:type="character" w:customStyle="1" w:styleId="116">
    <w:name w:val="chanpin拷贝"/>
    <w:qFormat/>
    <w:uiPriority w:val="0"/>
    <w:rPr>
      <w:rFonts w:ascii="Times New Roman" w:hAnsi="Times New Roman" w:eastAsia="宋体" w:cs="Times New Roman"/>
    </w:rPr>
  </w:style>
  <w:style w:type="character" w:customStyle="1" w:styleId="117">
    <w:name w:val="正文缩进 Char"/>
    <w:qFormat/>
    <w:uiPriority w:val="0"/>
    <w:rPr>
      <w:rFonts w:ascii="宋体" w:hAnsi="Times New Roman" w:eastAsia="宋体" w:cs="Times New Roman"/>
      <w:kern w:val="2"/>
      <w:sz w:val="24"/>
      <w:szCs w:val="24"/>
      <w:lang w:val="en-US" w:eastAsia="zh-CN" w:bidi="ar-SA"/>
    </w:rPr>
  </w:style>
  <w:style w:type="character" w:customStyle="1" w:styleId="118">
    <w:name w:val="纯文本 Char1"/>
    <w:qFormat/>
    <w:uiPriority w:val="0"/>
    <w:rPr>
      <w:rFonts w:ascii="宋体" w:hAnsi="Courier New" w:eastAsia="宋体" w:cs="Times New Roman"/>
      <w:kern w:val="2"/>
      <w:sz w:val="21"/>
      <w:lang w:val="en-US" w:eastAsia="zh-CN" w:bidi="ar-SA"/>
    </w:rPr>
  </w:style>
  <w:style w:type="character" w:customStyle="1" w:styleId="119">
    <w:name w:val="批注文字 字符"/>
    <w:qFormat/>
    <w:uiPriority w:val="0"/>
    <w:rPr>
      <w:rFonts w:ascii="Times New Roman" w:hAnsi="Times New Roman" w:eastAsia="宋体" w:cs="Times New Roman"/>
      <w:sz w:val="24"/>
      <w:lang w:val="en-US" w:eastAsia="zh-CN" w:bidi="ar-SA"/>
    </w:rPr>
  </w:style>
  <w:style w:type="character" w:customStyle="1" w:styleId="120">
    <w:name w:val="页脚 Char"/>
    <w:qFormat/>
    <w:uiPriority w:val="0"/>
    <w:rPr>
      <w:rFonts w:ascii="宋体" w:hAnsi="Times New Roman" w:eastAsia="宋体" w:cs="Times New Roman"/>
      <w:sz w:val="18"/>
      <w:lang w:val="en-US" w:eastAsia="zh-CN" w:bidi="ar-SA"/>
    </w:rPr>
  </w:style>
  <w:style w:type="character" w:customStyle="1" w:styleId="121">
    <w:name w:val="apple-style-span"/>
    <w:qFormat/>
    <w:uiPriority w:val="0"/>
    <w:rPr>
      <w:rFonts w:ascii="Times New Roman" w:hAnsi="Times New Roman" w:eastAsia="宋体" w:cs="Times New Roman"/>
    </w:rPr>
  </w:style>
  <w:style w:type="character" w:customStyle="1" w:styleId="122">
    <w:name w:val="标题 2 Char"/>
    <w:qFormat/>
    <w:uiPriority w:val="0"/>
    <w:rPr>
      <w:rFonts w:ascii="Arial" w:hAnsi="Arial" w:eastAsia="黑体" w:cs="Times New Roman"/>
      <w:b/>
      <w:sz w:val="30"/>
      <w:lang w:val="en-US" w:eastAsia="zh-CN" w:bidi="ar-SA"/>
    </w:rPr>
  </w:style>
  <w:style w:type="character" w:customStyle="1" w:styleId="123">
    <w:name w:val="正文表格 Char"/>
    <w:link w:val="124"/>
    <w:qFormat/>
    <w:uiPriority w:val="0"/>
    <w:rPr>
      <w:rFonts w:ascii="宋体" w:hAnsi="宋体" w:eastAsia="宋体" w:cs="Times New Roman"/>
      <w:color w:val="000000"/>
      <w:kern w:val="2"/>
      <w:sz w:val="21"/>
      <w:szCs w:val="21"/>
    </w:rPr>
  </w:style>
  <w:style w:type="paragraph" w:customStyle="1" w:styleId="124">
    <w:name w:val="正文表格"/>
    <w:basedOn w:val="1"/>
    <w:link w:val="123"/>
    <w:qFormat/>
    <w:uiPriority w:val="0"/>
    <w:pPr>
      <w:adjustRightInd w:val="0"/>
      <w:snapToGrid w:val="0"/>
      <w:jc w:val="left"/>
    </w:pPr>
    <w:rPr>
      <w:rFonts w:ascii="宋体" w:hAnsi="宋体"/>
      <w:color w:val="000000"/>
      <w:szCs w:val="21"/>
    </w:rPr>
  </w:style>
  <w:style w:type="character" w:customStyle="1" w:styleId="125">
    <w:name w:val="locality"/>
    <w:qFormat/>
    <w:uiPriority w:val="0"/>
    <w:rPr>
      <w:rFonts w:ascii="Times New Roman" w:hAnsi="Times New Roman" w:eastAsia="宋体" w:cs="Times New Roman"/>
    </w:rPr>
  </w:style>
  <w:style w:type="character" w:customStyle="1" w:styleId="126">
    <w:name w:val="注释 Char"/>
    <w:link w:val="127"/>
    <w:qFormat/>
    <w:uiPriority w:val="0"/>
    <w:rPr>
      <w:rFonts w:ascii="宋体" w:hAnsi="宋体" w:eastAsia="宋体" w:cs="Times New Roman"/>
      <w:kern w:val="2"/>
      <w:sz w:val="21"/>
      <w:szCs w:val="21"/>
    </w:rPr>
  </w:style>
  <w:style w:type="paragraph" w:customStyle="1" w:styleId="127">
    <w:name w:val="注释"/>
    <w:basedOn w:val="1"/>
    <w:link w:val="126"/>
    <w:qFormat/>
    <w:uiPriority w:val="0"/>
    <w:pPr>
      <w:adjustRightInd w:val="0"/>
      <w:snapToGrid w:val="0"/>
      <w:ind w:left="420" w:hanging="420" w:hangingChars="200"/>
      <w:jc w:val="left"/>
    </w:pPr>
    <w:rPr>
      <w:rFonts w:ascii="宋体" w:hAnsi="宋体"/>
      <w:szCs w:val="21"/>
    </w:rPr>
  </w:style>
  <w:style w:type="character" w:customStyle="1" w:styleId="128">
    <w:name w:val="批注文字 Char"/>
    <w:qFormat/>
    <w:uiPriority w:val="0"/>
    <w:rPr>
      <w:rFonts w:ascii="Times New Roman" w:hAnsi="Times New Roman" w:eastAsia="宋体" w:cs="Times New Roman"/>
      <w:kern w:val="2"/>
      <w:sz w:val="21"/>
      <w:szCs w:val="24"/>
    </w:rPr>
  </w:style>
  <w:style w:type="character" w:customStyle="1" w:styleId="129">
    <w:name w:val="txt"/>
    <w:qFormat/>
    <w:uiPriority w:val="0"/>
    <w:rPr>
      <w:rFonts w:ascii="Times New Roman" w:hAnsi="Times New Roman" w:eastAsia="宋体" w:cs="Times New Roman"/>
    </w:rPr>
  </w:style>
  <w:style w:type="character" w:customStyle="1" w:styleId="130">
    <w:name w:val="中等深浅网格 1 - 强调文字颜色 2 Char"/>
    <w:link w:val="131"/>
    <w:qFormat/>
    <w:uiPriority w:val="0"/>
    <w:rPr>
      <w:kern w:val="2"/>
      <w:sz w:val="21"/>
      <w:szCs w:val="24"/>
      <w:lang w:val="zh-CN" w:eastAsia="zh-CN" w:bidi="ar-SA"/>
    </w:rPr>
  </w:style>
  <w:style w:type="paragraph" w:customStyle="1" w:styleId="131">
    <w:name w:val="1"/>
    <w:link w:val="130"/>
    <w:qFormat/>
    <w:uiPriority w:val="0"/>
    <w:rPr>
      <w:rFonts w:ascii="Times New Roman" w:hAnsi="Times New Roman" w:eastAsia="宋体" w:cs="Times New Roman"/>
      <w:kern w:val="2"/>
      <w:sz w:val="21"/>
      <w:szCs w:val="24"/>
      <w:lang w:val="zh-CN" w:eastAsia="zh-CN" w:bidi="ar-SA"/>
    </w:rPr>
  </w:style>
  <w:style w:type="character" w:customStyle="1" w:styleId="132">
    <w:name w:val="正文文本缩进 Char1"/>
    <w:link w:val="133"/>
    <w:qFormat/>
    <w:uiPriority w:val="0"/>
    <w:rPr>
      <w:rFonts w:ascii="宋体" w:hAnsi="宋体" w:eastAsia="宋体" w:cs="Times New Roman"/>
      <w:sz w:val="24"/>
      <w:szCs w:val="24"/>
      <w:lang w:bidi="ar-SA"/>
    </w:rPr>
  </w:style>
  <w:style w:type="paragraph" w:customStyle="1" w:styleId="133">
    <w:name w:val="正文文本缩进1"/>
    <w:basedOn w:val="1"/>
    <w:link w:val="132"/>
    <w:qFormat/>
    <w:uiPriority w:val="0"/>
    <w:pPr>
      <w:spacing w:line="480" w:lineRule="exact"/>
      <w:ind w:firstLine="480" w:firstLineChars="200"/>
    </w:pPr>
    <w:rPr>
      <w:rFonts w:ascii="宋体" w:hAnsi="宋体"/>
      <w:kern w:val="0"/>
      <w:sz w:val="24"/>
    </w:rPr>
  </w:style>
  <w:style w:type="character" w:customStyle="1" w:styleId="134">
    <w:name w:val="Char Char11"/>
    <w:qFormat/>
    <w:uiPriority w:val="0"/>
    <w:rPr>
      <w:rFonts w:ascii="宋体" w:hAnsi="Times New Roman" w:eastAsia="宋体" w:cs="Times New Roman"/>
      <w:b/>
      <w:sz w:val="24"/>
      <w:u w:val="single"/>
      <w:lang w:val="en-US" w:eastAsia="zh-CN" w:bidi="ar-SA"/>
    </w:rPr>
  </w:style>
  <w:style w:type="character" w:customStyle="1" w:styleId="135">
    <w:name w:val="正文格式 Char"/>
    <w:link w:val="136"/>
    <w:qFormat/>
    <w:uiPriority w:val="0"/>
    <w:rPr>
      <w:rFonts w:ascii="宋体" w:hAnsi="宋体" w:eastAsia="宋体" w:cs="Times New Roman"/>
      <w:sz w:val="24"/>
      <w:szCs w:val="24"/>
      <w:lang w:val="en-GB"/>
    </w:rPr>
  </w:style>
  <w:style w:type="paragraph" w:customStyle="1" w:styleId="136">
    <w:name w:val="正文格式"/>
    <w:basedOn w:val="1"/>
    <w:link w:val="135"/>
    <w:qFormat/>
    <w:uiPriority w:val="0"/>
    <w:pPr>
      <w:spacing w:beforeLines="50" w:line="360" w:lineRule="auto"/>
      <w:ind w:firstLine="480" w:firstLineChars="200"/>
    </w:pPr>
    <w:rPr>
      <w:rFonts w:ascii="宋体" w:hAnsi="宋体"/>
      <w:kern w:val="0"/>
      <w:sz w:val="24"/>
      <w:lang w:val="en-GB"/>
    </w:rPr>
  </w:style>
  <w:style w:type="paragraph" w:customStyle="1" w:styleId="13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3">
    <w:name w:val="字元 字元"/>
    <w:basedOn w:val="1"/>
    <w:qFormat/>
    <w:uiPriority w:val="0"/>
    <w:rPr>
      <w:rFonts w:ascii="Tahoma" w:hAnsi="Tahoma"/>
      <w:sz w:val="24"/>
      <w:szCs w:val="20"/>
    </w:rPr>
  </w:style>
  <w:style w:type="paragraph" w:customStyle="1" w:styleId="1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6">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Char Char Char1 Char2"/>
    <w:basedOn w:val="1"/>
    <w:qFormat/>
    <w:uiPriority w:val="0"/>
    <w:rPr>
      <w:rFonts w:ascii="Tahoma" w:hAnsi="Tahoma"/>
      <w:sz w:val="24"/>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7">
    <w:name w:val="Char3 Char Char Char"/>
    <w:basedOn w:val="1"/>
    <w:qFormat/>
    <w:uiPriority w:val="0"/>
    <w:rPr>
      <w:rFonts w:ascii="Tahoma" w:hAnsi="Tahoma"/>
      <w:sz w:val="24"/>
      <w:szCs w:val="20"/>
    </w:rPr>
  </w:style>
  <w:style w:type="paragraph" w:customStyle="1" w:styleId="158">
    <w:name w:val="Char2"/>
    <w:basedOn w:val="1"/>
    <w:qFormat/>
    <w:uiPriority w:val="0"/>
    <w:rPr>
      <w:rFonts w:ascii="Tahoma" w:hAnsi="Tahoma"/>
      <w:sz w:val="24"/>
      <w:szCs w:val="20"/>
    </w:r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列出段落2"/>
    <w:basedOn w:val="1"/>
    <w:qFormat/>
    <w:uiPriority w:val="0"/>
    <w:pPr>
      <w:ind w:firstLine="420" w:firstLineChars="200"/>
    </w:pPr>
    <w:rPr>
      <w:rFonts w:ascii="Calibri" w:hAnsi="Calibri"/>
      <w:szCs w:val="22"/>
    </w:rPr>
  </w:style>
  <w:style w:type="paragraph" w:customStyle="1" w:styleId="161">
    <w:name w:val="List Paragraph1"/>
    <w:basedOn w:val="1"/>
    <w:qFormat/>
    <w:uiPriority w:val="0"/>
    <w:pPr>
      <w:ind w:firstLine="420" w:firstLineChars="200"/>
    </w:pPr>
    <w:rPr>
      <w:rFonts w:ascii="Calibri" w:hAnsi="Calibri"/>
      <w:szCs w:val="22"/>
    </w:rPr>
  </w:style>
  <w:style w:type="paragraph" w:customStyle="1" w:styleId="16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3">
    <w:name w:val="Char2 Char Char Char Char Char Char1"/>
    <w:basedOn w:val="1"/>
    <w:qFormat/>
    <w:uiPriority w:val="0"/>
    <w:pPr>
      <w:widowControl/>
      <w:spacing w:line="400" w:lineRule="exact"/>
      <w:jc w:val="center"/>
    </w:pPr>
  </w:style>
  <w:style w:type="paragraph" w:customStyle="1" w:styleId="164">
    <w:name w:val="Char"/>
    <w:basedOn w:val="1"/>
    <w:qFormat/>
    <w:uiPriority w:val="0"/>
    <w:pPr>
      <w:tabs>
        <w:tab w:val="left" w:pos="360"/>
      </w:tabs>
    </w:pPr>
    <w:rPr>
      <w:sz w:val="24"/>
    </w:rPr>
  </w:style>
  <w:style w:type="paragraph" w:customStyle="1" w:styleId="165">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标题1-附件"/>
    <w:basedOn w:val="3"/>
    <w:qFormat/>
    <w:uiPriority w:val="0"/>
    <w:pPr>
      <w:jc w:val="left"/>
    </w:pPr>
    <w:rPr>
      <w:rFonts w:ascii="Times New Roman"/>
      <w:sz w:val="24"/>
      <w:szCs w:val="24"/>
    </w:rPr>
  </w:style>
  <w:style w:type="paragraph" w:customStyle="1" w:styleId="169">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70">
    <w:name w:val="五级条标题"/>
    <w:basedOn w:val="171"/>
    <w:next w:val="1"/>
    <w:qFormat/>
    <w:uiPriority w:val="0"/>
    <w:pPr>
      <w:numPr>
        <w:ilvl w:val="5"/>
      </w:numPr>
      <w:tabs>
        <w:tab w:val="left" w:pos="360"/>
        <w:tab w:val="left" w:pos="840"/>
      </w:tabs>
      <w:ind w:left="0" w:hanging="840"/>
      <w:outlineLvl w:val="5"/>
    </w:pPr>
  </w:style>
  <w:style w:type="paragraph" w:customStyle="1" w:styleId="171">
    <w:name w:val="四级条标题"/>
    <w:basedOn w:val="172"/>
    <w:next w:val="1"/>
    <w:qFormat/>
    <w:uiPriority w:val="0"/>
    <w:pPr>
      <w:numPr>
        <w:ilvl w:val="4"/>
      </w:numPr>
      <w:tabs>
        <w:tab w:val="left" w:pos="360"/>
        <w:tab w:val="left" w:pos="840"/>
      </w:tabs>
      <w:ind w:left="0" w:hanging="840"/>
      <w:outlineLvl w:val="4"/>
    </w:pPr>
  </w:style>
  <w:style w:type="paragraph" w:customStyle="1" w:styleId="172">
    <w:name w:val="三级条标题"/>
    <w:basedOn w:val="173"/>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3">
    <w:name w:val="二级条标题"/>
    <w:basedOn w:val="174"/>
    <w:next w:val="1"/>
    <w:qFormat/>
    <w:uiPriority w:val="0"/>
    <w:pPr>
      <w:numPr>
        <w:ilvl w:val="0"/>
        <w:numId w:val="0"/>
      </w:numPr>
      <w:tabs>
        <w:tab w:val="left" w:pos="360"/>
        <w:tab w:val="left" w:pos="840"/>
      </w:tabs>
      <w:ind w:hanging="840"/>
      <w:outlineLvl w:val="2"/>
    </w:pPr>
    <w:rPr>
      <w:rFonts w:ascii="宋体"/>
      <w:b w:val="0"/>
    </w:rPr>
  </w:style>
  <w:style w:type="paragraph" w:customStyle="1" w:styleId="174">
    <w:name w:val="一级条标题"/>
    <w:basedOn w:val="145"/>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6">
    <w:name w:val="Char Char Char1 Char"/>
    <w:basedOn w:val="1"/>
    <w:qFormat/>
    <w:uiPriority w:val="0"/>
    <w:rPr>
      <w:rFonts w:ascii="Tahoma" w:hAnsi="Tahoma"/>
      <w:sz w:val="24"/>
      <w:szCs w:val="20"/>
    </w:rPr>
  </w:style>
  <w:style w:type="paragraph" w:customStyle="1" w:styleId="177">
    <w:name w:val="图中文字"/>
    <w:basedOn w:val="1"/>
    <w:qFormat/>
    <w:uiPriority w:val="0"/>
    <w:pPr>
      <w:adjustRightInd w:val="0"/>
      <w:snapToGrid w:val="0"/>
      <w:spacing w:line="0" w:lineRule="atLeast"/>
      <w:jc w:val="center"/>
    </w:pPr>
    <w:rPr>
      <w:sz w:val="24"/>
      <w:szCs w:val="20"/>
    </w:rPr>
  </w:style>
  <w:style w:type="paragraph" w:customStyle="1" w:styleId="178">
    <w:name w:val="Char1"/>
    <w:basedOn w:val="1"/>
    <w:qFormat/>
    <w:uiPriority w:val="0"/>
    <w:pPr>
      <w:tabs>
        <w:tab w:val="left" w:pos="360"/>
      </w:tabs>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1">
    <w:name w:val="Char22"/>
    <w:basedOn w:val="1"/>
    <w:qFormat/>
    <w:uiPriority w:val="0"/>
    <w:rPr>
      <w:rFonts w:ascii="Tahoma" w:hAnsi="Tahoma"/>
      <w:sz w:val="24"/>
      <w:szCs w:val="20"/>
    </w:rPr>
  </w:style>
  <w:style w:type="paragraph" w:customStyle="1" w:styleId="182">
    <w:name w:val="Char Char Char Char Char Char Char Char Char Char1"/>
    <w:basedOn w:val="1"/>
    <w:qFormat/>
    <w:uiPriority w:val="0"/>
    <w:rPr>
      <w:rFonts w:ascii="宋体" w:hAnsi="宋体" w:cs="Courier New"/>
      <w:sz w:val="32"/>
      <w:szCs w:val="32"/>
    </w:rPr>
  </w:style>
  <w:style w:type="paragraph" w:customStyle="1" w:styleId="18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5">
    <w:name w:val="样式2"/>
    <w:basedOn w:val="45"/>
    <w:qFormat/>
    <w:uiPriority w:val="0"/>
    <w:pPr>
      <w:spacing w:line="360" w:lineRule="auto"/>
      <w:jc w:val="center"/>
    </w:pPr>
    <w:rPr>
      <w:sz w:val="24"/>
    </w:rPr>
  </w:style>
  <w:style w:type="paragraph" w:customStyle="1" w:styleId="18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8">
    <w:name w:val="文档正文"/>
    <w:basedOn w:val="1"/>
    <w:qFormat/>
    <w:uiPriority w:val="0"/>
    <w:pPr>
      <w:snapToGrid w:val="0"/>
      <w:spacing w:before="120" w:after="120" w:line="180" w:lineRule="auto"/>
    </w:pPr>
    <w:rPr>
      <w:rFonts w:ascii="Arial" w:hAnsi="Arial"/>
      <w:szCs w:val="20"/>
    </w:rPr>
  </w:style>
  <w:style w:type="paragraph" w:customStyle="1" w:styleId="1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0">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1">
    <w:name w:val="Char3"/>
    <w:basedOn w:val="1"/>
    <w:qFormat/>
    <w:uiPriority w:val="0"/>
    <w:pPr>
      <w:tabs>
        <w:tab w:val="left" w:pos="360"/>
      </w:tabs>
    </w:pPr>
    <w:rPr>
      <w:sz w:val="24"/>
    </w:rPr>
  </w:style>
  <w:style w:type="paragraph" w:customStyle="1" w:styleId="19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3">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8">
    <w:name w:val="Char Char Char"/>
    <w:basedOn w:val="1"/>
    <w:qFormat/>
    <w:uiPriority w:val="0"/>
    <w:rPr>
      <w:rFonts w:ascii="Tahoma" w:hAnsi="Tahoma"/>
      <w:sz w:val="24"/>
      <w:szCs w:val="20"/>
    </w:rPr>
  </w:style>
  <w:style w:type="paragraph" w:customStyle="1" w:styleId="1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Char1 Char Char Char1"/>
    <w:basedOn w:val="1"/>
    <w:qFormat/>
    <w:uiPriority w:val="0"/>
    <w:rPr>
      <w:rFonts w:ascii="Tahoma" w:hAnsi="Tahoma" w:cs="仿宋_GB2312"/>
      <w:sz w:val="24"/>
      <w:szCs w:val="28"/>
    </w:rPr>
  </w:style>
  <w:style w:type="paragraph" w:customStyle="1" w:styleId="20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2">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3">
    <w:name w:val="Char3 Char Char Char1"/>
    <w:basedOn w:val="1"/>
    <w:qFormat/>
    <w:uiPriority w:val="0"/>
    <w:rPr>
      <w:rFonts w:ascii="Tahoma" w:hAnsi="Tahoma"/>
      <w:sz w:val="24"/>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8">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0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0">
    <w:name w:val="项目编号2"/>
    <w:basedOn w:val="159"/>
    <w:qFormat/>
    <w:uiPriority w:val="0"/>
    <w:pPr>
      <w:numPr>
        <w:numId w:val="6"/>
      </w:numPr>
    </w:pPr>
  </w:style>
  <w:style w:type="paragraph" w:customStyle="1" w:styleId="211">
    <w:name w:val="1名"/>
    <w:basedOn w:val="1"/>
    <w:qFormat/>
    <w:uiPriority w:val="0"/>
    <w:pPr>
      <w:numPr>
        <w:ilvl w:val="0"/>
        <w:numId w:val="7"/>
      </w:numPr>
      <w:spacing w:before="120"/>
    </w:pPr>
    <w:rPr>
      <w:rFonts w:ascii="宋体"/>
      <w:sz w:val="28"/>
      <w:szCs w:val="20"/>
    </w:rPr>
  </w:style>
  <w:style w:type="paragraph" w:customStyle="1" w:styleId="212">
    <w:name w:val="字元 字元1"/>
    <w:basedOn w:val="1"/>
    <w:qFormat/>
    <w:uiPriority w:val="0"/>
    <w:rPr>
      <w:rFonts w:ascii="Tahoma" w:hAnsi="Tahoma"/>
      <w:sz w:val="24"/>
      <w:szCs w:val="20"/>
    </w:rPr>
  </w:style>
  <w:style w:type="paragraph" w:customStyle="1" w:styleId="213">
    <w:name w:val="font8"/>
    <w:basedOn w:val="1"/>
    <w:qFormat/>
    <w:uiPriority w:val="0"/>
    <w:pPr>
      <w:widowControl/>
      <w:spacing w:before="100" w:beforeAutospacing="1" w:after="100" w:afterAutospacing="1"/>
      <w:jc w:val="left"/>
    </w:pPr>
    <w:rPr>
      <w:kern w:val="0"/>
      <w:sz w:val="36"/>
      <w:szCs w:val="36"/>
    </w:rPr>
  </w:style>
  <w:style w:type="paragraph" w:customStyle="1" w:styleId="214">
    <w:name w:val="1 Char Char Char Char"/>
    <w:basedOn w:val="1"/>
    <w:qFormat/>
    <w:uiPriority w:val="0"/>
    <w:rPr>
      <w:rFonts w:ascii="Tahoma" w:hAnsi="Tahoma"/>
      <w:sz w:val="24"/>
      <w:szCs w:val="20"/>
    </w:rPr>
  </w:style>
  <w:style w:type="paragraph" w:customStyle="1" w:styleId="215">
    <w:name w:val="Char Char Char1"/>
    <w:basedOn w:val="1"/>
    <w:qFormat/>
    <w:uiPriority w:val="0"/>
    <w:rPr>
      <w:rFonts w:ascii="Tahoma" w:hAnsi="Tahoma"/>
      <w:sz w:val="24"/>
      <w:szCs w:val="20"/>
    </w:rPr>
  </w:style>
  <w:style w:type="paragraph" w:customStyle="1" w:styleId="216">
    <w:name w:val="Char Char1"/>
    <w:basedOn w:val="19"/>
    <w:qFormat/>
    <w:uiPriority w:val="0"/>
    <w:rPr>
      <w:rFonts w:ascii="Tahoma" w:hAnsi="Tahoma"/>
      <w:sz w:val="24"/>
    </w:rPr>
  </w:style>
  <w:style w:type="paragraph" w:customStyle="1" w:styleId="217">
    <w:name w:val="Char3 Char Char Char2"/>
    <w:basedOn w:val="1"/>
    <w:qFormat/>
    <w:uiPriority w:val="0"/>
    <w:rPr>
      <w:rFonts w:ascii="Tahoma" w:hAnsi="Tahoma"/>
      <w:sz w:val="24"/>
      <w:szCs w:val="20"/>
    </w:rPr>
  </w:style>
  <w:style w:type="paragraph" w:customStyle="1" w:styleId="218">
    <w:name w:val="项目符号1"/>
    <w:basedOn w:val="219"/>
    <w:qFormat/>
    <w:uiPriority w:val="0"/>
    <w:pPr>
      <w:ind w:left="-25" w:firstLine="0"/>
    </w:pPr>
    <w:rPr>
      <w:rFonts w:cs="Times New Roman"/>
    </w:rPr>
  </w:style>
  <w:style w:type="paragraph" w:customStyle="1" w:styleId="219">
    <w:name w:val="正文文本样式"/>
    <w:basedOn w:val="1"/>
    <w:qFormat/>
    <w:uiPriority w:val="0"/>
    <w:pPr>
      <w:spacing w:line="360" w:lineRule="auto"/>
      <w:ind w:firstLine="482"/>
    </w:pPr>
    <w:rPr>
      <w:rFonts w:cs="宋体"/>
      <w:sz w:val="24"/>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1">
    <w:name w:val="默认段落字体 Para Char Char Char Char"/>
    <w:basedOn w:val="1"/>
    <w:qFormat/>
    <w:uiPriority w:val="0"/>
    <w:rPr>
      <w:rFonts w:ascii="Arial" w:hAnsi="Arial" w:cs="Arial"/>
      <w:szCs w:val="21"/>
    </w:rPr>
  </w:style>
  <w:style w:type="paragraph" w:customStyle="1" w:styleId="22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Char Char Char1 Char1"/>
    <w:basedOn w:val="1"/>
    <w:qFormat/>
    <w:uiPriority w:val="0"/>
    <w:rPr>
      <w:rFonts w:ascii="Tahoma" w:hAnsi="Tahoma"/>
      <w:sz w:val="24"/>
      <w:szCs w:val="20"/>
    </w:rPr>
  </w:style>
  <w:style w:type="paragraph" w:customStyle="1" w:styleId="22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7">
    <w:name w:val="Char Char41"/>
    <w:basedOn w:val="1"/>
    <w:qFormat/>
    <w:uiPriority w:val="0"/>
    <w:pPr>
      <w:widowControl/>
      <w:spacing w:line="400" w:lineRule="exact"/>
      <w:jc w:val="center"/>
    </w:pPr>
  </w:style>
  <w:style w:type="paragraph" w:customStyle="1" w:styleId="228">
    <w:name w:val="Char2 Char Char Char Char Char Char"/>
    <w:basedOn w:val="1"/>
    <w:qFormat/>
    <w:uiPriority w:val="0"/>
    <w:pPr>
      <w:widowControl/>
      <w:spacing w:line="400" w:lineRule="exact"/>
      <w:jc w:val="center"/>
    </w:pPr>
  </w:style>
  <w:style w:type="paragraph" w:customStyle="1" w:styleId="229">
    <w:name w:val="Char21"/>
    <w:basedOn w:val="1"/>
    <w:qFormat/>
    <w:uiPriority w:val="0"/>
    <w:rPr>
      <w:rFonts w:ascii="Tahoma" w:hAnsi="Tahoma"/>
      <w:sz w:val="24"/>
      <w:szCs w:val="20"/>
    </w:rPr>
  </w:style>
  <w:style w:type="paragraph" w:customStyle="1" w:styleId="230">
    <w:name w:val="正文文本样式 加粗"/>
    <w:basedOn w:val="219"/>
    <w:qFormat/>
    <w:uiPriority w:val="0"/>
    <w:rPr>
      <w:rFonts w:cs="Times New Roman"/>
      <w:b/>
    </w:rPr>
  </w:style>
  <w:style w:type="paragraph" w:customStyle="1" w:styleId="231">
    <w:name w:val="项目编号3"/>
    <w:basedOn w:val="219"/>
    <w:qFormat/>
    <w:uiPriority w:val="0"/>
    <w:pPr>
      <w:numPr>
        <w:ilvl w:val="0"/>
        <w:numId w:val="8"/>
      </w:numPr>
    </w:pPr>
    <w:rPr>
      <w:rFonts w:cs="Times New Roman"/>
    </w:rPr>
  </w:style>
  <w:style w:type="paragraph" w:customStyle="1" w:styleId="2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4">
    <w:name w:val="Char Char Char Char Char Char Char Char Char Char2"/>
    <w:basedOn w:val="1"/>
    <w:qFormat/>
    <w:uiPriority w:val="0"/>
    <w:rPr>
      <w:rFonts w:ascii="宋体" w:hAnsi="宋体" w:cs="Courier New"/>
      <w:sz w:val="32"/>
      <w:szCs w:val="32"/>
    </w:rPr>
  </w:style>
  <w:style w:type="paragraph" w:customStyle="1" w:styleId="235">
    <w:name w:val="修订1"/>
    <w:qFormat/>
    <w:uiPriority w:val="0"/>
    <w:rPr>
      <w:rFonts w:ascii="Times New Roman" w:hAnsi="Times New Roman" w:eastAsia="宋体" w:cs="Times New Roman"/>
      <w:kern w:val="2"/>
      <w:sz w:val="21"/>
      <w:szCs w:val="24"/>
      <w:lang w:val="en-US" w:eastAsia="zh-CN" w:bidi="ar-SA"/>
    </w:rPr>
  </w:style>
  <w:style w:type="paragraph" w:customStyle="1" w:styleId="23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7">
    <w:name w:val="字元 字元2"/>
    <w:basedOn w:val="1"/>
    <w:qFormat/>
    <w:uiPriority w:val="0"/>
    <w:rPr>
      <w:rFonts w:ascii="Tahoma" w:hAnsi="Tahoma"/>
      <w:sz w:val="24"/>
      <w:szCs w:val="20"/>
    </w:rPr>
  </w:style>
  <w:style w:type="paragraph" w:customStyle="1" w:styleId="238">
    <w:name w:val="图例"/>
    <w:basedOn w:val="1"/>
    <w:qFormat/>
    <w:uiPriority w:val="0"/>
    <w:pPr>
      <w:spacing w:before="120" w:after="120" w:line="360" w:lineRule="auto"/>
      <w:jc w:val="center"/>
    </w:pPr>
    <w:rPr>
      <w:rFonts w:eastAsia="仿宋_GB2312"/>
      <w:b/>
      <w:sz w:val="24"/>
      <w:szCs w:val="20"/>
    </w:rPr>
  </w:style>
  <w:style w:type="paragraph" w:customStyle="1" w:styleId="239">
    <w:name w:val="正文 + 楷体_GB2312"/>
    <w:basedOn w:val="1"/>
    <w:qFormat/>
    <w:uiPriority w:val="0"/>
    <w:pPr>
      <w:widowControl/>
      <w:jc w:val="left"/>
    </w:pPr>
    <w:rPr>
      <w:rFonts w:ascii="楷体_GB2312" w:eastAsia="楷体_GB2312" w:cs="Arial"/>
      <w:kern w:val="0"/>
      <w:sz w:val="24"/>
    </w:rPr>
  </w:style>
  <w:style w:type="paragraph" w:customStyle="1" w:styleId="24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3">
    <w:name w:val="Char Char Char2"/>
    <w:basedOn w:val="1"/>
    <w:qFormat/>
    <w:uiPriority w:val="0"/>
    <w:rPr>
      <w:rFonts w:ascii="Tahoma" w:hAnsi="Tahoma"/>
      <w:sz w:val="24"/>
      <w:szCs w:val="20"/>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6">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8">
    <w:name w:val="Char Char4"/>
    <w:basedOn w:val="1"/>
    <w:qFormat/>
    <w:uiPriority w:val="0"/>
    <w:pPr>
      <w:widowControl/>
      <w:spacing w:line="400" w:lineRule="exact"/>
      <w:jc w:val="center"/>
    </w:p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1">
    <w:name w:val="列出段落1"/>
    <w:basedOn w:val="1"/>
    <w:qFormat/>
    <w:uiPriority w:val="0"/>
    <w:pPr>
      <w:ind w:firstLine="420" w:firstLineChars="200"/>
    </w:pPr>
    <w:rPr>
      <w:rFonts w:ascii="Calibri" w:hAnsi="Calibri"/>
      <w:szCs w:val="22"/>
    </w:rPr>
  </w:style>
  <w:style w:type="paragraph" w:customStyle="1" w:styleId="25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4">
    <w:name w:val="表格1"/>
    <w:basedOn w:val="1"/>
    <w:qFormat/>
    <w:uiPriority w:val="0"/>
    <w:pPr>
      <w:ind w:firstLine="480" w:firstLineChars="200"/>
      <w:jc w:val="center"/>
    </w:pPr>
    <w:rPr>
      <w:sz w:val="24"/>
      <w:szCs w:val="20"/>
    </w:rPr>
  </w:style>
  <w:style w:type="paragraph" w:customStyle="1" w:styleId="255">
    <w:name w:val="Char Char Char Char Char Char Char Char Char Char"/>
    <w:basedOn w:val="1"/>
    <w:qFormat/>
    <w:uiPriority w:val="0"/>
  </w:style>
  <w:style w:type="table" w:customStyle="1" w:styleId="256">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7">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8">
    <w:name w:val="NormalCharacter"/>
    <w:link w:val="259"/>
    <w:semiHidden/>
    <w:qFormat/>
    <w:uiPriority w:val="0"/>
    <w:rPr>
      <w:rFonts w:ascii="Tahoma" w:hAnsi="Tahoma" w:cs="Tahoma"/>
      <w:sz w:val="24"/>
      <w:szCs w:val="24"/>
    </w:rPr>
  </w:style>
  <w:style w:type="paragraph" w:customStyle="1" w:styleId="259">
    <w:name w:val="UserStyle_0"/>
    <w:basedOn w:val="1"/>
    <w:link w:val="258"/>
    <w:qFormat/>
    <w:uiPriority w:val="0"/>
    <w:rPr>
      <w:rFonts w:ascii="Tahoma" w:hAnsi="Tahoma" w:cs="Tahoma"/>
      <w:sz w:val="24"/>
    </w:rPr>
  </w:style>
  <w:style w:type="paragraph" w:customStyle="1" w:styleId="260">
    <w:name w:val="列出段落3"/>
    <w:basedOn w:val="1"/>
    <w:qFormat/>
    <w:uiPriority w:val="34"/>
    <w:pPr>
      <w:ind w:firstLine="420" w:firstLineChars="200"/>
    </w:pPr>
  </w:style>
  <w:style w:type="paragraph" w:customStyle="1" w:styleId="261">
    <w:name w:val="标题1"/>
    <w:basedOn w:val="3"/>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2">
    <w:name w:val="Other|1"/>
    <w:basedOn w:val="1"/>
    <w:qFormat/>
    <w:uiPriority w:val="0"/>
    <w:rPr>
      <w:rFonts w:ascii="宋体" w:hAnsi="宋体" w:cs="宋体"/>
      <w:sz w:val="22"/>
      <w:szCs w:val="22"/>
      <w:lang w:val="zh-TW" w:eastAsia="zh-TW" w:bidi="zh-TW"/>
    </w:rPr>
  </w:style>
  <w:style w:type="paragraph" w:customStyle="1" w:styleId="26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4">
    <w:name w:val="p0"/>
    <w:basedOn w:val="1"/>
    <w:qFormat/>
    <w:uiPriority w:val="0"/>
    <w:pPr>
      <w:widowControl/>
    </w:pPr>
    <w:rPr>
      <w:kern w:val="0"/>
      <w:szCs w:val="21"/>
    </w:rPr>
  </w:style>
  <w:style w:type="character" w:customStyle="1" w:styleId="265">
    <w:name w:val="font21"/>
    <w:basedOn w:val="47"/>
    <w:qFormat/>
    <w:uiPriority w:val="0"/>
    <w:rPr>
      <w:rFonts w:hint="eastAsia" w:ascii="仿宋_GB2312" w:eastAsia="仿宋_GB2312" w:cs="仿宋_GB2312"/>
      <w:color w:val="000000"/>
      <w:sz w:val="22"/>
      <w:szCs w:val="22"/>
      <w:u w:val="none"/>
    </w:rPr>
  </w:style>
  <w:style w:type="paragraph" w:customStyle="1" w:styleId="26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Table Text"/>
    <w:basedOn w:val="1"/>
    <w:semiHidden/>
    <w:qFormat/>
    <w:uiPriority w:val="0"/>
    <w:rPr>
      <w:rFonts w:ascii="Arial" w:hAnsi="Arial" w:eastAsia="Arial" w:cs="Arial"/>
      <w:szCs w:val="21"/>
      <w:lang w:eastAsia="en-US"/>
    </w:rPr>
  </w:style>
  <w:style w:type="paragraph" w:customStyle="1" w:styleId="268">
    <w:name w:val="列出段落22"/>
    <w:basedOn w:val="1"/>
    <w:qFormat/>
    <w:uiPriority w:val="99"/>
    <w:pPr>
      <w:ind w:firstLine="420" w:firstLineChars="200"/>
    </w:pPr>
    <w:rPr>
      <w:rFonts w:ascii="Calibri" w:hAnsi="Calibri"/>
      <w:szCs w:val="22"/>
    </w:rPr>
  </w:style>
  <w:style w:type="paragraph" w:customStyle="1" w:styleId="269">
    <w:name w:val="4 级标题"/>
    <w:basedOn w:val="7"/>
    <w:qFormat/>
    <w:uiPriority w:val="0"/>
    <w:pPr>
      <w:tabs>
        <w:tab w:val="left" w:pos="864"/>
      </w:tabs>
      <w:ind w:left="567" w:right="27" w:rightChars="13" w:hanging="567"/>
    </w:pPr>
    <w:rPr>
      <w:sz w:val="24"/>
      <w:lang w:val="zh-CN"/>
    </w:rPr>
  </w:style>
  <w:style w:type="character" w:customStyle="1" w:styleId="270">
    <w:name w:val="正文首行缩进 2字符 Char"/>
    <w:link w:val="271"/>
    <w:qFormat/>
    <w:uiPriority w:val="0"/>
    <w:rPr>
      <w:kern w:val="0"/>
      <w:sz w:val="24"/>
      <w:szCs w:val="24"/>
    </w:rPr>
  </w:style>
  <w:style w:type="paragraph" w:customStyle="1" w:styleId="271">
    <w:name w:val="正文首行缩进 2字符"/>
    <w:basedOn w:val="1"/>
    <w:link w:val="270"/>
    <w:qFormat/>
    <w:uiPriority w:val="0"/>
    <w:pPr>
      <w:ind w:firstLine="200" w:firstLineChars="200"/>
    </w:pPr>
    <w:rPr>
      <w:kern w:val="0"/>
      <w:sz w:val="24"/>
      <w:szCs w:val="24"/>
    </w:rPr>
  </w:style>
  <w:style w:type="paragraph" w:customStyle="1" w:styleId="272">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character" w:customStyle="1" w:styleId="273">
    <w:name w:val="font91"/>
    <w:basedOn w:val="47"/>
    <w:qFormat/>
    <w:uiPriority w:val="0"/>
    <w:rPr>
      <w:rFonts w:hint="eastAsia" w:ascii="宋体" w:hAnsi="宋体" w:eastAsia="宋体" w:cs="宋体"/>
      <w:color w:val="000000"/>
      <w:sz w:val="18"/>
      <w:szCs w:val="18"/>
      <w:u w:val="none"/>
    </w:rPr>
  </w:style>
  <w:style w:type="paragraph" w:customStyle="1" w:styleId="274">
    <w:name w:val="样式1"/>
    <w:basedOn w:val="1"/>
    <w:qFormat/>
    <w:uiPriority w:val="0"/>
    <w:pPr>
      <w:numPr>
        <w:ilvl w:val="0"/>
        <w:numId w:val="9"/>
      </w:numPr>
      <w:spacing w:line="240" w:lineRule="auto"/>
      <w:jc w:val="both"/>
    </w:pPr>
    <w:rPr>
      <w:rFonts w:ascii="宋体" w:hAnsi="宋体"/>
      <w:sz w:val="21"/>
      <w:szCs w:val="21"/>
    </w:rPr>
  </w:style>
  <w:style w:type="character" w:customStyle="1" w:styleId="275">
    <w:name w:val="font51"/>
    <w:basedOn w:val="4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15199</Words>
  <Characters>16232</Characters>
  <Lines>52</Lines>
  <Paragraphs>76</Paragraphs>
  <ScaleCrop>false</ScaleCrop>
  <LinksUpToDate>false</LinksUpToDate>
  <CharactersWithSpaces>16986</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SJS-ZST-1</cp:lastModifiedBy>
  <cp:lastPrinted>2020-04-02T03:13:00Z</cp:lastPrinted>
  <dcterms:modified xsi:type="dcterms:W3CDTF">2025-11-27T01:13:14Z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4226C0B4C13441A9A6764FBE0D22E1E4_13</vt:lpwstr>
  </property>
  <property fmtid="{D5CDD505-2E9C-101B-9397-08002B2CF9AE}" pid="4" name="KSOTemplateDocerSaveRecord">
    <vt:lpwstr>eyJoZGlkIjoiMGZlMTcyZmQ0NDZlM2ExNTkzYjE5MGM0MjE0NWQ3NWQiLCJ1c2VySWQiOiIxMDEyMDc4MjAyIn0=</vt:lpwstr>
  </property>
</Properties>
</file>