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D92073">
      <w:pPr>
        <w:pageBreakBefore w:val="0"/>
        <w:wordWrap w:val="0"/>
        <w:topLinePunct w:val="0"/>
        <w:bidi w:val="0"/>
        <w:spacing w:after="0" w:line="360" w:lineRule="auto"/>
        <w:ind w:firstLine="300" w:firstLineChars="50"/>
        <w:textAlignment w:val="auto"/>
        <w:rPr>
          <w:rFonts w:hint="eastAsia" w:ascii="宋体" w:hAnsi="宋体" w:cs="宋体"/>
          <w:sz w:val="60"/>
          <w:szCs w:val="60"/>
          <w:highlight w:val="none"/>
        </w:rPr>
      </w:pPr>
      <w:bookmarkStart w:id="1343" w:name="_GoBack"/>
      <w:bookmarkEnd w:id="1343"/>
    </w:p>
    <w:p w14:paraId="6DBEB996">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北京市丰台区人民政府东高地街道办事处</w:t>
      </w:r>
    </w:p>
    <w:p w14:paraId="48E29937">
      <w:pPr>
        <w:pageBreakBefore w:val="0"/>
        <w:wordWrap w:val="0"/>
        <w:topLinePunct w:val="0"/>
        <w:bidi w:val="0"/>
        <w:spacing w:after="0" w:line="360" w:lineRule="auto"/>
        <w:ind w:left="-199" w:leftChars="-95" w:right="-735" w:rightChars="-350"/>
        <w:jc w:val="center"/>
        <w:textAlignment w:val="auto"/>
        <w:rPr>
          <w:rFonts w:hint="eastAsia" w:ascii="宋体" w:hAnsi="宋体" w:eastAsia="宋体" w:cs="宋体"/>
          <w:b/>
          <w:sz w:val="44"/>
          <w:szCs w:val="44"/>
          <w:highlight w:val="none"/>
          <w:lang w:eastAsia="zh-CN"/>
        </w:rPr>
      </w:pPr>
      <w:r>
        <w:rPr>
          <w:rFonts w:hint="eastAsia" w:ascii="宋体" w:hAnsi="宋体" w:cs="宋体"/>
          <w:b/>
          <w:sz w:val="44"/>
          <w:szCs w:val="44"/>
          <w:highlight w:val="none"/>
          <w:lang w:eastAsia="zh-CN"/>
        </w:rPr>
        <w:t>桃源里24、25栋外墙加固改造工程</w:t>
      </w:r>
    </w:p>
    <w:p w14:paraId="381CB836">
      <w:pPr>
        <w:pageBreakBefore w:val="0"/>
        <w:wordWrap w:val="0"/>
        <w:topLinePunct w:val="0"/>
        <w:bidi w:val="0"/>
        <w:spacing w:after="0" w:line="360" w:lineRule="auto"/>
        <w:ind w:left="-199" w:leftChars="-95" w:right="-735" w:rightChars="-350"/>
        <w:jc w:val="center"/>
        <w:textAlignment w:val="auto"/>
        <w:rPr>
          <w:rFonts w:hint="eastAsia" w:ascii="宋体" w:hAnsi="宋体" w:cs="宋体"/>
          <w:b/>
          <w:sz w:val="48"/>
          <w:szCs w:val="48"/>
          <w:highlight w:val="none"/>
        </w:rPr>
      </w:pPr>
    </w:p>
    <w:p w14:paraId="40D3B24E">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46C2724">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E00085E">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6E25565">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4264A86">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1C05C43C">
      <w:pPr>
        <w:pageBreakBefore w:val="0"/>
        <w:wordWrap w:val="0"/>
        <w:topLinePunct w:val="0"/>
        <w:bidi w:val="0"/>
        <w:spacing w:after="0" w:line="360" w:lineRule="auto"/>
        <w:jc w:val="center"/>
        <w:textAlignment w:val="auto"/>
        <w:rPr>
          <w:rFonts w:hint="eastAsia" w:ascii="宋体" w:hAnsi="宋体" w:cs="宋体"/>
          <w:b/>
          <w:sz w:val="32"/>
          <w:szCs w:val="28"/>
          <w:highlight w:val="none"/>
        </w:rPr>
      </w:pPr>
      <w:r>
        <w:rPr>
          <w:rFonts w:hint="eastAsia" w:ascii="宋体" w:hAnsi="宋体" w:cs="宋体"/>
          <w:b/>
          <w:sz w:val="72"/>
          <w:szCs w:val="44"/>
          <w:highlight w:val="none"/>
        </w:rPr>
        <w:t>竞争性磋商文件</w:t>
      </w:r>
    </w:p>
    <w:p w14:paraId="2445E533">
      <w:pPr>
        <w:pStyle w:val="20"/>
        <w:pageBreakBefore w:val="0"/>
        <w:wordWrap w:val="0"/>
        <w:topLinePunct w:val="0"/>
        <w:bidi w:val="0"/>
        <w:spacing w:after="0" w:line="360" w:lineRule="auto"/>
        <w:ind w:left="1063" w:hanging="643"/>
        <w:jc w:val="center"/>
        <w:textAlignment w:val="auto"/>
        <w:rPr>
          <w:rFonts w:hint="eastAsia" w:ascii="宋体" w:hAnsi="宋体" w:cs="宋体"/>
          <w:b/>
          <w:sz w:val="32"/>
          <w:szCs w:val="30"/>
          <w:highlight w:val="none"/>
        </w:rPr>
      </w:pPr>
    </w:p>
    <w:p w14:paraId="2876A03C">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9EDD4F1">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640F15C3">
      <w:pPr>
        <w:pStyle w:val="20"/>
        <w:pageBreakBefore w:val="0"/>
        <w:wordWrap w:val="0"/>
        <w:topLinePunct w:val="0"/>
        <w:bidi w:val="0"/>
        <w:spacing w:after="0" w:line="360" w:lineRule="auto"/>
        <w:ind w:left="840" w:hanging="420"/>
        <w:jc w:val="center"/>
        <w:textAlignment w:val="auto"/>
        <w:rPr>
          <w:rFonts w:hint="eastAsia" w:ascii="宋体" w:hAnsi="宋体" w:cs="宋体"/>
          <w:highlight w:val="none"/>
        </w:rPr>
      </w:pPr>
    </w:p>
    <w:p w14:paraId="31C2CF7A">
      <w:pPr>
        <w:pageBreakBefore w:val="0"/>
        <w:wordWrap w:val="0"/>
        <w:topLinePunct w:val="0"/>
        <w:bidi w:val="0"/>
        <w:adjustRightInd w:val="0"/>
        <w:snapToGrid w:val="0"/>
        <w:spacing w:after="0" w:line="360" w:lineRule="auto"/>
        <w:ind w:firstLine="643" w:firstLineChars="200"/>
        <w:textAlignment w:val="auto"/>
        <w:rPr>
          <w:rFonts w:hint="eastAsia" w:ascii="宋体" w:hAnsi="宋体" w:cs="宋体"/>
          <w:b/>
          <w:sz w:val="32"/>
          <w:szCs w:val="30"/>
          <w:highlight w:val="none"/>
        </w:rPr>
      </w:pPr>
    </w:p>
    <w:p w14:paraId="199E5BE8">
      <w:pPr>
        <w:pageBreakBefore w:val="0"/>
        <w:wordWrap w:val="0"/>
        <w:topLinePunct w:val="0"/>
        <w:bidi w:val="0"/>
        <w:adjustRightInd w:val="0"/>
        <w:snapToGrid w:val="0"/>
        <w:spacing w:after="0" w:line="360" w:lineRule="auto"/>
        <w:textAlignment w:val="auto"/>
        <w:rPr>
          <w:rFonts w:hint="eastAsia" w:ascii="宋体" w:hAnsi="宋体" w:eastAsia="宋体" w:cs="宋体"/>
          <w:b/>
          <w:sz w:val="32"/>
          <w:szCs w:val="30"/>
          <w:highlight w:val="none"/>
          <w:lang w:eastAsia="zh-CN"/>
        </w:rPr>
      </w:pPr>
      <w:r>
        <w:rPr>
          <w:rFonts w:hint="eastAsia" w:ascii="宋体" w:hAnsi="宋体" w:cs="宋体"/>
          <w:b/>
          <w:sz w:val="32"/>
          <w:szCs w:val="30"/>
          <w:highlight w:val="none"/>
        </w:rPr>
        <w:t>项目名称：</w:t>
      </w:r>
      <w:r>
        <w:rPr>
          <w:rFonts w:hint="eastAsia" w:ascii="宋体" w:hAnsi="宋体" w:cs="宋体"/>
          <w:b/>
          <w:sz w:val="32"/>
          <w:szCs w:val="30"/>
          <w:highlight w:val="none"/>
          <w:lang w:eastAsia="zh-CN"/>
        </w:rPr>
        <w:t>桃源里24、25栋外墙加固改造工程</w:t>
      </w:r>
    </w:p>
    <w:p w14:paraId="6B388BED">
      <w:pPr>
        <w:pageBreakBefore w:val="0"/>
        <w:wordWrap w:val="0"/>
        <w:topLinePunct w:val="0"/>
        <w:bidi w:val="0"/>
        <w:adjustRightInd w:val="0"/>
        <w:snapToGrid w:val="0"/>
        <w:spacing w:after="0" w:line="360" w:lineRule="auto"/>
        <w:textAlignment w:val="auto"/>
        <w:rPr>
          <w:rFonts w:hint="eastAsia" w:ascii="宋体" w:hAnsi="宋体" w:cs="宋体"/>
          <w:b/>
          <w:sz w:val="32"/>
          <w:szCs w:val="30"/>
          <w:highlight w:val="none"/>
        </w:rPr>
      </w:pPr>
      <w:r>
        <w:rPr>
          <w:rFonts w:hint="eastAsia" w:ascii="宋体" w:hAnsi="宋体" w:cs="宋体"/>
          <w:b/>
          <w:sz w:val="32"/>
          <w:szCs w:val="30"/>
          <w:highlight w:val="none"/>
        </w:rPr>
        <w:t>项目编号：</w:t>
      </w:r>
      <w:r>
        <w:rPr>
          <w:rFonts w:hint="eastAsia" w:ascii="宋体" w:hAnsi="宋体" w:cs="宋体"/>
          <w:b/>
          <w:sz w:val="32"/>
          <w:szCs w:val="30"/>
          <w:highlight w:val="none"/>
          <w:lang w:eastAsia="zh-CN"/>
        </w:rPr>
        <w:t>11010625210200026383-XM001</w:t>
      </w:r>
    </w:p>
    <w:p w14:paraId="735CE939">
      <w:pPr>
        <w:pStyle w:val="20"/>
        <w:pageBreakBefore w:val="0"/>
        <w:wordWrap w:val="0"/>
        <w:topLinePunct w:val="0"/>
        <w:bidi w:val="0"/>
        <w:spacing w:after="0" w:line="360" w:lineRule="auto"/>
        <w:ind w:left="0" w:leftChars="0" w:firstLine="0" w:firstLineChars="0"/>
        <w:textAlignment w:val="auto"/>
        <w:rPr>
          <w:rFonts w:hint="eastAsia" w:ascii="宋体" w:hAnsi="宋体" w:eastAsia="宋体" w:cs="宋体"/>
          <w:b/>
          <w:sz w:val="32"/>
          <w:szCs w:val="30"/>
          <w:highlight w:val="none"/>
          <w:lang w:eastAsia="zh-CN"/>
        </w:rPr>
      </w:pPr>
      <w:r>
        <w:rPr>
          <w:rFonts w:hint="eastAsia" w:ascii="宋体" w:hAnsi="宋体" w:cs="宋体"/>
          <w:b/>
          <w:sz w:val="32"/>
          <w:szCs w:val="30"/>
          <w:highlight w:val="none"/>
        </w:rPr>
        <w:t>采 购 人：</w:t>
      </w:r>
      <w:bookmarkStart w:id="0" w:name="_Hlt101233737"/>
      <w:bookmarkEnd w:id="0"/>
      <w:bookmarkStart w:id="1" w:name="_Hlt101843627"/>
      <w:bookmarkEnd w:id="1"/>
      <w:r>
        <w:rPr>
          <w:rFonts w:hint="eastAsia" w:ascii="宋体" w:hAnsi="宋体" w:cs="宋体"/>
          <w:b/>
          <w:sz w:val="32"/>
          <w:szCs w:val="30"/>
          <w:highlight w:val="none"/>
          <w:lang w:eastAsia="zh-CN"/>
        </w:rPr>
        <w:t>北京市丰台区人民政府东高地街道办事处</w:t>
      </w:r>
    </w:p>
    <w:p w14:paraId="4E6C1FB9">
      <w:pPr>
        <w:pageBreakBefore w:val="0"/>
        <w:wordWrap w:val="0"/>
        <w:topLinePunct w:val="0"/>
        <w:bidi w:val="0"/>
        <w:adjustRightInd w:val="0"/>
        <w:snapToGrid w:val="0"/>
        <w:spacing w:after="0" w:line="360" w:lineRule="auto"/>
        <w:textAlignment w:val="auto"/>
        <w:rPr>
          <w:rFonts w:hint="eastAsia" w:ascii="宋体" w:hAnsi="宋体" w:cs="宋体"/>
          <w:b/>
          <w:sz w:val="32"/>
          <w:szCs w:val="30"/>
          <w:highlight w:val="none"/>
        </w:rPr>
      </w:pPr>
      <w:r>
        <w:rPr>
          <w:rFonts w:hint="eastAsia" w:ascii="宋体" w:hAnsi="宋体" w:cs="宋体"/>
          <w:b/>
          <w:sz w:val="32"/>
          <w:szCs w:val="30"/>
          <w:highlight w:val="none"/>
        </w:rPr>
        <w:t>采购代理机构：北京德音工程咨询有限公司</w:t>
      </w:r>
    </w:p>
    <w:p w14:paraId="2509EB54">
      <w:pPr>
        <w:pageBreakBefore w:val="0"/>
        <w:wordWrap w:val="0"/>
        <w:topLinePunct w:val="0"/>
        <w:bidi w:val="0"/>
        <w:snapToGrid w:val="0"/>
        <w:spacing w:after="0" w:line="360" w:lineRule="auto"/>
        <w:ind w:firstLine="420"/>
        <w:textAlignment w:val="auto"/>
        <w:rPr>
          <w:rFonts w:hint="eastAsia" w:ascii="宋体" w:hAnsi="宋体" w:cs="宋体"/>
          <w:bCs/>
          <w:sz w:val="36"/>
          <w:szCs w:val="36"/>
          <w:highlight w:val="none"/>
        </w:rPr>
      </w:pPr>
    </w:p>
    <w:p w14:paraId="0895B74E">
      <w:pPr>
        <w:pageBreakBefore w:val="0"/>
        <w:widowControl/>
        <w:wordWrap w:val="0"/>
        <w:topLinePunct w:val="0"/>
        <w:bidi w:val="0"/>
        <w:spacing w:after="0" w:line="360" w:lineRule="auto"/>
        <w:jc w:val="center"/>
        <w:textAlignment w:val="auto"/>
        <w:rPr>
          <w:rFonts w:hint="eastAsia" w:ascii="宋体" w:hAnsi="宋体" w:cs="宋体"/>
          <w:b/>
          <w:bCs/>
          <w:sz w:val="44"/>
          <w:highlight w:val="none"/>
        </w:rPr>
      </w:pPr>
      <w:r>
        <w:rPr>
          <w:rFonts w:hint="eastAsia" w:ascii="宋体" w:hAnsi="宋体" w:cs="宋体"/>
          <w:b/>
          <w:bCs/>
          <w:sz w:val="44"/>
          <w:highlight w:val="none"/>
        </w:rPr>
        <w:br w:type="page"/>
      </w:r>
    </w:p>
    <w:p w14:paraId="525A69F6">
      <w:pPr>
        <w:pageBreakBefore w:val="0"/>
        <w:widowControl/>
        <w:wordWrap w:val="0"/>
        <w:topLinePunct w:val="0"/>
        <w:bidi w:val="0"/>
        <w:spacing w:after="0" w:line="360" w:lineRule="auto"/>
        <w:jc w:val="center"/>
        <w:textAlignment w:val="auto"/>
        <w:rPr>
          <w:rFonts w:hint="eastAsia" w:ascii="宋体" w:hAnsi="宋体" w:cs="宋体"/>
          <w:b/>
          <w:bCs/>
          <w:sz w:val="36"/>
          <w:szCs w:val="44"/>
          <w:highlight w:val="none"/>
        </w:rPr>
      </w:pPr>
    </w:p>
    <w:p w14:paraId="1469CF4B">
      <w:pPr>
        <w:pageBreakBefore w:val="0"/>
        <w:widowControl/>
        <w:wordWrap w:val="0"/>
        <w:topLinePunct w:val="0"/>
        <w:bidi w:val="0"/>
        <w:spacing w:after="0" w:line="360" w:lineRule="auto"/>
        <w:jc w:val="center"/>
        <w:textAlignment w:val="auto"/>
        <w:rPr>
          <w:rFonts w:hint="eastAsia" w:ascii="宋体" w:hAnsi="宋体" w:cs="宋体"/>
          <w:b/>
          <w:bCs/>
          <w:sz w:val="36"/>
          <w:szCs w:val="44"/>
          <w:highlight w:val="none"/>
        </w:rPr>
      </w:pPr>
      <w:r>
        <w:rPr>
          <w:rFonts w:hint="eastAsia" w:ascii="宋体" w:hAnsi="宋体" w:cs="宋体"/>
          <w:b/>
          <w:bCs/>
          <w:sz w:val="36"/>
          <w:szCs w:val="44"/>
          <w:highlight w:val="none"/>
        </w:rPr>
        <w:t>目      录</w:t>
      </w:r>
    </w:p>
    <w:p w14:paraId="4BAD51CF">
      <w:pPr>
        <w:pStyle w:val="20"/>
        <w:spacing w:after="0"/>
        <w:ind w:left="0" w:leftChars="0" w:firstLine="0" w:firstLineChars="0"/>
        <w:rPr>
          <w:rFonts w:hint="eastAsia" w:ascii="宋体" w:hAnsi="宋体" w:cs="宋体"/>
          <w:b/>
          <w:bCs/>
          <w:sz w:val="36"/>
          <w:szCs w:val="44"/>
          <w:highlight w:val="none"/>
        </w:rPr>
      </w:pPr>
    </w:p>
    <w:p w14:paraId="17FD1A54">
      <w:pPr>
        <w:pStyle w:val="20"/>
        <w:spacing w:after="0"/>
        <w:ind w:left="0" w:leftChars="0" w:firstLine="0" w:firstLineChars="0"/>
        <w:rPr>
          <w:rFonts w:hint="eastAsia" w:ascii="宋体" w:hAnsi="宋体" w:cs="宋体"/>
          <w:b/>
          <w:bCs/>
          <w:sz w:val="36"/>
          <w:szCs w:val="44"/>
          <w:highlight w:val="none"/>
        </w:rPr>
      </w:pPr>
    </w:p>
    <w:p w14:paraId="5595DE06">
      <w:pPr>
        <w:pStyle w:val="31"/>
        <w:tabs>
          <w:tab w:val="right" w:leader="dot" w:pos="8957"/>
          <w:tab w:val="clear" w:pos="1050"/>
          <w:tab w:val="clear" w:pos="8937"/>
        </w:tabs>
        <w:spacing w:after="0" w:line="480" w:lineRule="auto"/>
        <w:rPr>
          <w:sz w:val="28"/>
          <w:szCs w:val="28"/>
          <w:highlight w:val="none"/>
        </w:rPr>
      </w:pPr>
      <w:r>
        <w:rPr>
          <w:rFonts w:hint="eastAsia" w:cs="宋体"/>
          <w:b w:val="0"/>
          <w:sz w:val="28"/>
          <w:szCs w:val="28"/>
          <w:highlight w:val="none"/>
        </w:rPr>
        <w:fldChar w:fldCharType="begin"/>
      </w:r>
      <w:r>
        <w:rPr>
          <w:rFonts w:hint="eastAsia" w:cs="宋体"/>
          <w:b w:val="0"/>
          <w:sz w:val="28"/>
          <w:szCs w:val="28"/>
          <w:highlight w:val="none"/>
        </w:rPr>
        <w:instrText xml:space="preserve">TOC \o "1-1" \h \u </w:instrText>
      </w:r>
      <w:r>
        <w:rPr>
          <w:rFonts w:hint="eastAsia" w:cs="宋体"/>
          <w:b w:val="0"/>
          <w:sz w:val="28"/>
          <w:szCs w:val="28"/>
          <w:highlight w:val="none"/>
        </w:rPr>
        <w:fldChar w:fldCharType="separate"/>
      </w:r>
      <w:r>
        <w:fldChar w:fldCharType="begin"/>
      </w:r>
      <w:r>
        <w:instrText xml:space="preserve"> HYPERLINK \l "_Toc14460" </w:instrText>
      </w:r>
      <w:r>
        <w:fldChar w:fldCharType="separate"/>
      </w:r>
      <w:r>
        <w:rPr>
          <w:rFonts w:hint="eastAsia" w:ascii="宋体" w:hAnsi="宋体" w:cs="宋体"/>
          <w:sz w:val="28"/>
          <w:szCs w:val="40"/>
          <w:highlight w:val="none"/>
        </w:rPr>
        <w:t>第一章   采购邀请</w:t>
      </w:r>
      <w:r>
        <w:rPr>
          <w:sz w:val="28"/>
          <w:szCs w:val="28"/>
          <w:highlight w:val="none"/>
        </w:rPr>
        <w:tab/>
      </w:r>
      <w:r>
        <w:rPr>
          <w:sz w:val="28"/>
          <w:szCs w:val="28"/>
          <w:highlight w:val="none"/>
        </w:rPr>
        <w:fldChar w:fldCharType="begin"/>
      </w:r>
      <w:r>
        <w:rPr>
          <w:sz w:val="28"/>
          <w:szCs w:val="28"/>
          <w:highlight w:val="none"/>
        </w:rPr>
        <w:instrText xml:space="preserve"> PAGEREF _Toc14460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31019431">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"_Toc9467" </w:instrText>
      </w:r>
      <w:r>
        <w:fldChar w:fldCharType="separate"/>
      </w:r>
      <w:r>
        <w:rPr>
          <w:rFonts w:hint="eastAsia" w:ascii="宋体" w:hAnsi="宋体" w:cs="宋体"/>
          <w:sz w:val="28"/>
          <w:szCs w:val="40"/>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_Toc9467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034BEA63">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"_Toc8458" </w:instrText>
      </w:r>
      <w:r>
        <w:fldChar w:fldCharType="separate"/>
      </w:r>
      <w:r>
        <w:rPr>
          <w:rFonts w:hint="eastAsia" w:ascii="宋体" w:hAnsi="宋体" w:cs="宋体"/>
          <w:sz w:val="28"/>
          <w:szCs w:val="40"/>
          <w:highlight w:val="none"/>
        </w:rPr>
        <w:t>第三章   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_Toc8458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14:paraId="468B372C">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"_Toc24934" </w:instrText>
      </w:r>
      <w:r>
        <w:fldChar w:fldCharType="separate"/>
      </w:r>
      <w:r>
        <w:rPr>
          <w:rFonts w:hint="eastAsia" w:ascii="宋体" w:hAnsi="宋体" w:cs="宋体"/>
          <w:sz w:val="28"/>
          <w:szCs w:val="40"/>
          <w:highlight w:val="none"/>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_Toc24934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rPr>
        <w:fldChar w:fldCharType="end"/>
      </w:r>
    </w:p>
    <w:p w14:paraId="4F4D2049">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"_Toc22308" </w:instrText>
      </w:r>
      <w:r>
        <w:fldChar w:fldCharType="separate"/>
      </w:r>
      <w:r>
        <w:rPr>
          <w:rFonts w:hint="eastAsia" w:ascii="宋体" w:hAnsi="宋体" w:cs="宋体"/>
          <w:sz w:val="28"/>
          <w:szCs w:val="40"/>
          <w:highlight w:val="none"/>
        </w:rPr>
        <w:t>第五章   合同草案条款</w:t>
      </w:r>
      <w:r>
        <w:rPr>
          <w:sz w:val="28"/>
          <w:szCs w:val="28"/>
          <w:highlight w:val="none"/>
        </w:rPr>
        <w:tab/>
      </w:r>
      <w:r>
        <w:rPr>
          <w:sz w:val="28"/>
          <w:szCs w:val="28"/>
          <w:highlight w:val="none"/>
        </w:rPr>
        <w:fldChar w:fldCharType="begin"/>
      </w:r>
      <w:r>
        <w:rPr>
          <w:sz w:val="28"/>
          <w:szCs w:val="28"/>
          <w:highlight w:val="none"/>
        </w:rPr>
        <w:instrText xml:space="preserve"> PAGEREF _Toc22308 \h </w:instrText>
      </w:r>
      <w:r>
        <w:rPr>
          <w:sz w:val="28"/>
          <w:szCs w:val="28"/>
          <w:highlight w:val="none"/>
        </w:rPr>
        <w:fldChar w:fldCharType="separate"/>
      </w:r>
      <w:r>
        <w:rPr>
          <w:sz w:val="28"/>
          <w:szCs w:val="28"/>
          <w:highlight w:val="none"/>
        </w:rPr>
        <w:t>66</w:t>
      </w:r>
      <w:r>
        <w:rPr>
          <w:sz w:val="28"/>
          <w:szCs w:val="28"/>
          <w:highlight w:val="none"/>
        </w:rPr>
        <w:fldChar w:fldCharType="end"/>
      </w:r>
      <w:r>
        <w:rPr>
          <w:sz w:val="28"/>
          <w:szCs w:val="28"/>
          <w:highlight w:val="none"/>
        </w:rPr>
        <w:fldChar w:fldCharType="end"/>
      </w:r>
    </w:p>
    <w:p w14:paraId="13CE64A6">
      <w:pPr>
        <w:pStyle w:val="31"/>
        <w:tabs>
          <w:tab w:val="right" w:leader="dot" w:pos="8957"/>
          <w:tab w:val="clear" w:pos="1050"/>
          <w:tab w:val="clear" w:pos="8937"/>
        </w:tabs>
        <w:spacing w:after="0" w:line="480" w:lineRule="auto"/>
        <w:rPr>
          <w:sz w:val="28"/>
          <w:szCs w:val="28"/>
          <w:highlight w:val="none"/>
        </w:rPr>
      </w:pPr>
      <w:r>
        <w:fldChar w:fldCharType="begin"/>
      </w:r>
      <w:r>
        <w:instrText xml:space="preserve"> HYPERLINK \l "_Toc5160" </w:instrText>
      </w:r>
      <w:r>
        <w:fldChar w:fldCharType="separate"/>
      </w:r>
      <w:r>
        <w:rPr>
          <w:rFonts w:hint="eastAsia" w:ascii="宋体" w:hAnsi="宋体" w:cs="宋体"/>
          <w:sz w:val="28"/>
          <w:szCs w:val="40"/>
          <w:highlight w:val="none"/>
        </w:rPr>
        <w:t>第六章   响应文件格式</w:t>
      </w:r>
      <w:r>
        <w:rPr>
          <w:sz w:val="28"/>
          <w:szCs w:val="28"/>
          <w:highlight w:val="none"/>
        </w:rPr>
        <w:tab/>
      </w:r>
      <w:r>
        <w:rPr>
          <w:sz w:val="28"/>
          <w:szCs w:val="28"/>
          <w:highlight w:val="none"/>
        </w:rPr>
        <w:fldChar w:fldCharType="begin"/>
      </w:r>
      <w:r>
        <w:rPr>
          <w:sz w:val="28"/>
          <w:szCs w:val="28"/>
          <w:highlight w:val="none"/>
        </w:rPr>
        <w:instrText xml:space="preserve"> PAGEREF _Toc5160 \h </w:instrText>
      </w:r>
      <w:r>
        <w:rPr>
          <w:sz w:val="28"/>
          <w:szCs w:val="28"/>
          <w:highlight w:val="none"/>
        </w:rPr>
        <w:fldChar w:fldCharType="separate"/>
      </w:r>
      <w:r>
        <w:rPr>
          <w:sz w:val="28"/>
          <w:szCs w:val="28"/>
          <w:highlight w:val="none"/>
        </w:rPr>
        <w:t>80</w:t>
      </w:r>
      <w:r>
        <w:rPr>
          <w:sz w:val="28"/>
          <w:szCs w:val="28"/>
          <w:highlight w:val="none"/>
        </w:rPr>
        <w:fldChar w:fldCharType="end"/>
      </w:r>
      <w:r>
        <w:rPr>
          <w:sz w:val="28"/>
          <w:szCs w:val="28"/>
          <w:highlight w:val="none"/>
        </w:rPr>
        <w:fldChar w:fldCharType="end"/>
      </w:r>
    </w:p>
    <w:p w14:paraId="1993DCEF">
      <w:pPr>
        <w:pStyle w:val="31"/>
        <w:pageBreakBefore w:val="0"/>
        <w:wordWrap w:val="0"/>
        <w:topLinePunct w:val="0"/>
        <w:bidi w:val="0"/>
        <w:spacing w:after="0" w:line="480" w:lineRule="auto"/>
        <w:textAlignment w:val="auto"/>
        <w:rPr>
          <w:rFonts w:hint="eastAsia" w:cs="宋体"/>
          <w:b w:val="0"/>
          <w:highlight w:val="none"/>
        </w:rPr>
      </w:pPr>
      <w:r>
        <w:rPr>
          <w:rFonts w:hint="eastAsia" w:cs="宋体"/>
          <w:sz w:val="28"/>
          <w:szCs w:val="28"/>
          <w:highlight w:val="none"/>
        </w:rPr>
        <w:fldChar w:fldCharType="end"/>
      </w:r>
    </w:p>
    <w:p w14:paraId="588F7971">
      <w:pPr>
        <w:pStyle w:val="31"/>
        <w:pageBreakBefore w:val="0"/>
        <w:wordWrap w:val="0"/>
        <w:topLinePunct w:val="0"/>
        <w:bidi w:val="0"/>
        <w:spacing w:after="0" w:line="360" w:lineRule="auto"/>
        <w:textAlignment w:val="auto"/>
        <w:rPr>
          <w:rFonts w:hint="eastAsia" w:cs="宋体"/>
          <w:b w:val="0"/>
          <w:sz w:val="36"/>
          <w:szCs w:val="36"/>
          <w:highlight w:val="none"/>
        </w:rPr>
      </w:pPr>
    </w:p>
    <w:p w14:paraId="1332BBDF">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sectPr>
          <w:footerReference r:id="rId4" w:type="first"/>
          <w:headerReference r:id="rId3" w:type="default"/>
          <w:pgSz w:w="11905" w:h="16838"/>
          <w:pgMar w:top="1474" w:right="1474" w:bottom="1474" w:left="1474" w:header="850" w:footer="992" w:gutter="0"/>
          <w:pgNumType w:start="1"/>
          <w:cols w:space="0" w:num="1"/>
          <w:rtlGutter w:val="0"/>
          <w:docGrid w:linePitch="462" w:charSpace="0"/>
        </w:sectPr>
      </w:pPr>
    </w:p>
    <w:p w14:paraId="1C5E08FF">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2" w:name="_Toc19436"/>
      <w:bookmarkStart w:id="3" w:name="_Toc14460"/>
      <w:r>
        <w:rPr>
          <w:rFonts w:hint="eastAsia" w:ascii="宋体" w:hAnsi="宋体" w:cs="宋体"/>
          <w:b/>
          <w:sz w:val="36"/>
          <w:szCs w:val="36"/>
          <w:highlight w:val="none"/>
        </w:rPr>
        <w:t>第一章   采购邀请</w:t>
      </w:r>
      <w:bookmarkEnd w:id="2"/>
      <w:bookmarkEnd w:id="3"/>
      <w:bookmarkStart w:id="4" w:name="_Toc28359002"/>
      <w:bookmarkStart w:id="5" w:name="_Toc35393621"/>
      <w:bookmarkStart w:id="6" w:name="_Toc35393790"/>
      <w:bookmarkStart w:id="7" w:name="_Toc28359079"/>
      <w:bookmarkStart w:id="8" w:name="_Hlk24379207"/>
    </w:p>
    <w:p w14:paraId="5E8BCDD7">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4"/>
      <w:bookmarkEnd w:id="5"/>
      <w:bookmarkEnd w:id="6"/>
      <w:bookmarkEnd w:id="7"/>
    </w:p>
    <w:p w14:paraId="34649B94">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11010625210200026383-XM001</w:t>
      </w:r>
    </w:p>
    <w:p w14:paraId="12B15AE1">
      <w:pPr>
        <w:pageBreakBefore w:val="0"/>
        <w:wordWrap w:val="0"/>
        <w:topLinePunct w:val="0"/>
        <w:bidi w:val="0"/>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桃源里24、25栋外墙加固改造工程</w:t>
      </w:r>
    </w:p>
    <w:p w14:paraId="38F8229C">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3.采购方式：竞争性磋商</w:t>
      </w:r>
    </w:p>
    <w:bookmarkEnd w:id="8"/>
    <w:p w14:paraId="22548F58">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4.项目预算金额：</w:t>
      </w:r>
      <w:r>
        <w:rPr>
          <w:rFonts w:hint="eastAsia" w:ascii="宋体" w:hAnsi="宋体" w:cs="宋体"/>
          <w:sz w:val="24"/>
          <w:highlight w:val="none"/>
          <w:lang w:eastAsia="zh-CN"/>
        </w:rPr>
        <w:t>350.06897</w:t>
      </w:r>
      <w:r>
        <w:rPr>
          <w:rFonts w:hint="eastAsia" w:ascii="宋体" w:hAnsi="宋体" w:cs="宋体"/>
          <w:sz w:val="24"/>
          <w:highlight w:val="none"/>
        </w:rPr>
        <w:t>万元、项目最高限价：327</w:t>
      </w:r>
      <w:r>
        <w:rPr>
          <w:rFonts w:hint="eastAsia" w:ascii="宋体" w:hAnsi="宋体" w:cs="宋体"/>
          <w:sz w:val="24"/>
          <w:highlight w:val="none"/>
          <w:lang w:val="en-US" w:eastAsia="zh-CN"/>
        </w:rPr>
        <w:t>.</w:t>
      </w:r>
      <w:r>
        <w:rPr>
          <w:rFonts w:hint="eastAsia" w:ascii="宋体" w:hAnsi="宋体" w:cs="宋体"/>
          <w:sz w:val="24"/>
          <w:highlight w:val="none"/>
        </w:rPr>
        <w:t>535991万元</w:t>
      </w:r>
    </w:p>
    <w:p w14:paraId="210BE030">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2216"/>
        <w:gridCol w:w="1699"/>
        <w:gridCol w:w="697"/>
        <w:gridCol w:w="3820"/>
      </w:tblGrid>
      <w:tr w14:paraId="5FC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5FA4544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包号</w:t>
            </w:r>
          </w:p>
        </w:tc>
        <w:tc>
          <w:tcPr>
            <w:tcW w:w="1214" w:type="pct"/>
            <w:vAlign w:val="center"/>
          </w:tcPr>
          <w:p w14:paraId="3E41DC2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标的名称</w:t>
            </w:r>
          </w:p>
        </w:tc>
        <w:tc>
          <w:tcPr>
            <w:tcW w:w="931" w:type="pct"/>
            <w:vAlign w:val="center"/>
          </w:tcPr>
          <w:p w14:paraId="7FA8362F">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采购包</w:t>
            </w:r>
          </w:p>
          <w:p w14:paraId="73339DB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预算金额</w:t>
            </w:r>
          </w:p>
          <w:p w14:paraId="1E372E75">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（万元）</w:t>
            </w:r>
          </w:p>
        </w:tc>
        <w:tc>
          <w:tcPr>
            <w:tcW w:w="382" w:type="pct"/>
            <w:vAlign w:val="center"/>
          </w:tcPr>
          <w:p w14:paraId="45FE0D67">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2093" w:type="pct"/>
            <w:vAlign w:val="center"/>
          </w:tcPr>
          <w:p w14:paraId="3E550C8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简要技术需求或服务要求</w:t>
            </w:r>
          </w:p>
        </w:tc>
      </w:tr>
      <w:tr w14:paraId="10FF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8" w:type="pct"/>
            <w:vAlign w:val="center"/>
          </w:tcPr>
          <w:p w14:paraId="062AB7B8">
            <w:pPr>
              <w:pageBreakBefore w:val="0"/>
              <w:wordWrap w:val="0"/>
              <w:topLinePunct w:val="0"/>
              <w:bidi w:val="0"/>
              <w:spacing w:after="0" w:line="360" w:lineRule="auto"/>
              <w:jc w:val="center"/>
              <w:textAlignment w:val="auto"/>
              <w:rPr>
                <w:rFonts w:hint="eastAsia" w:ascii="宋体" w:hAnsi="宋体" w:cs="宋体"/>
                <w:bCs/>
                <w:szCs w:val="21"/>
                <w:highlight w:val="none"/>
              </w:rPr>
            </w:pPr>
            <w:r>
              <w:rPr>
                <w:rFonts w:hint="eastAsia" w:ascii="宋体" w:hAnsi="宋体" w:cs="宋体"/>
                <w:sz w:val="24"/>
                <w:highlight w:val="none"/>
              </w:rPr>
              <w:t>01</w:t>
            </w:r>
          </w:p>
        </w:tc>
        <w:tc>
          <w:tcPr>
            <w:tcW w:w="1214" w:type="pct"/>
            <w:vAlign w:val="center"/>
          </w:tcPr>
          <w:p w14:paraId="2FD6C2AB">
            <w:pPr>
              <w:pageBreakBefore w:val="0"/>
              <w:wordWrap w:val="0"/>
              <w:topLinePunct w:val="0"/>
              <w:bidi w:val="0"/>
              <w:spacing w:after="0" w:line="360" w:lineRule="auto"/>
              <w:jc w:val="center"/>
              <w:textAlignment w:val="auto"/>
              <w:rPr>
                <w:rFonts w:hint="eastAsia" w:ascii="宋体" w:hAnsi="宋体" w:eastAsia="宋体" w:cs="宋体"/>
                <w:bCs/>
                <w:szCs w:val="21"/>
                <w:highlight w:val="none"/>
                <w:lang w:eastAsia="zh-CN"/>
              </w:rPr>
            </w:pPr>
            <w:r>
              <w:rPr>
                <w:rFonts w:hint="eastAsia" w:ascii="宋体" w:hAnsi="宋体" w:cs="宋体"/>
                <w:sz w:val="24"/>
                <w:highlight w:val="none"/>
                <w:lang w:eastAsia="zh-CN"/>
              </w:rPr>
              <w:t>桃源里24、25栋外墙加固改造工程</w:t>
            </w:r>
          </w:p>
        </w:tc>
        <w:tc>
          <w:tcPr>
            <w:tcW w:w="931" w:type="pct"/>
            <w:vAlign w:val="center"/>
          </w:tcPr>
          <w:p w14:paraId="5CF6F622">
            <w:pPr>
              <w:pageBreakBefore w:val="0"/>
              <w:wordWrap w:val="0"/>
              <w:topLinePunct w:val="0"/>
              <w:bidi w:val="0"/>
              <w:spacing w:after="0" w:line="360" w:lineRule="auto"/>
              <w:jc w:val="center"/>
              <w:textAlignment w:val="auto"/>
              <w:rPr>
                <w:rFonts w:hint="eastAsia" w:ascii="宋体" w:hAnsi="宋体" w:eastAsia="宋体" w:cs="宋体"/>
                <w:bCs/>
                <w:szCs w:val="21"/>
                <w:highlight w:val="none"/>
                <w:lang w:eastAsia="zh-CN"/>
              </w:rPr>
            </w:pPr>
            <w:r>
              <w:rPr>
                <w:rFonts w:hint="eastAsia" w:ascii="宋体" w:hAnsi="宋体" w:cs="宋体"/>
                <w:sz w:val="24"/>
                <w:highlight w:val="none"/>
                <w:lang w:eastAsia="zh-CN"/>
              </w:rPr>
              <w:t>350.06897</w:t>
            </w:r>
          </w:p>
        </w:tc>
        <w:tc>
          <w:tcPr>
            <w:tcW w:w="382" w:type="pct"/>
            <w:vAlign w:val="center"/>
          </w:tcPr>
          <w:p w14:paraId="094D524B">
            <w:pPr>
              <w:pageBreakBefore w:val="0"/>
              <w:wordWrap w:val="0"/>
              <w:topLinePunct w:val="0"/>
              <w:bidi w:val="0"/>
              <w:spacing w:after="0" w:line="360" w:lineRule="auto"/>
              <w:jc w:val="center"/>
              <w:textAlignment w:val="auto"/>
              <w:rPr>
                <w:rFonts w:hint="eastAsia" w:ascii="宋体" w:hAnsi="宋体" w:cs="宋体"/>
                <w:bCs/>
                <w:szCs w:val="21"/>
                <w:highlight w:val="none"/>
              </w:rPr>
            </w:pPr>
            <w:r>
              <w:rPr>
                <w:rFonts w:hint="eastAsia" w:ascii="宋体" w:hAnsi="宋体" w:cs="宋体"/>
                <w:sz w:val="24"/>
                <w:highlight w:val="none"/>
              </w:rPr>
              <w:t>1批</w:t>
            </w:r>
          </w:p>
        </w:tc>
        <w:tc>
          <w:tcPr>
            <w:tcW w:w="2093" w:type="pct"/>
            <w:vAlign w:val="center"/>
          </w:tcPr>
          <w:p w14:paraId="765AB5D9">
            <w:pPr>
              <w:pageBreakBefore w:val="0"/>
              <w:wordWrap w:val="0"/>
              <w:topLinePunct w:val="0"/>
              <w:bidi w:val="0"/>
              <w:spacing w:after="0" w:line="360" w:lineRule="auto"/>
              <w:jc w:val="center"/>
              <w:textAlignment w:val="auto"/>
              <w:rPr>
                <w:rFonts w:hint="eastAsia" w:ascii="宋体" w:hAnsi="宋体" w:cs="宋体"/>
                <w:kern w:val="0"/>
                <w:szCs w:val="21"/>
                <w:highlight w:val="none"/>
              </w:rPr>
            </w:pPr>
            <w:r>
              <w:rPr>
                <w:rFonts w:hint="eastAsia" w:ascii="宋体" w:hAnsi="宋体" w:cs="宋体"/>
                <w:sz w:val="24"/>
                <w:highlight w:val="none"/>
                <w:lang w:eastAsia="zh-CN"/>
              </w:rPr>
              <w:t>桃源里24、25栋外墙加固改造工程</w:t>
            </w:r>
            <w:r>
              <w:rPr>
                <w:rFonts w:hint="eastAsia" w:ascii="宋体" w:hAnsi="宋体" w:cs="宋体"/>
                <w:sz w:val="24"/>
                <w:highlight w:val="none"/>
              </w:rPr>
              <w:t>工程量清单及图纸显示的全部工程内容。</w:t>
            </w:r>
          </w:p>
        </w:tc>
      </w:tr>
    </w:tbl>
    <w:p w14:paraId="2C11DA50">
      <w:pPr>
        <w:pageBreakBefore w:val="0"/>
        <w:wordWrap w:val="0"/>
        <w:topLinePunct w:val="0"/>
        <w:bidi w:val="0"/>
        <w:spacing w:after="0" w:line="360" w:lineRule="auto"/>
        <w:ind w:firstLine="480" w:firstLineChars="200"/>
        <w:textAlignment w:val="auto"/>
        <w:rPr>
          <w:rFonts w:hint="eastAsia" w:ascii="宋体" w:hAnsi="宋体" w:cs="宋体"/>
          <w:sz w:val="24"/>
          <w:highlight w:val="none"/>
          <w:u w:val="single"/>
        </w:rPr>
      </w:pPr>
      <w:r>
        <w:rPr>
          <w:rFonts w:hint="eastAsia" w:ascii="宋体" w:hAnsi="宋体" w:cs="宋体"/>
          <w:sz w:val="24"/>
          <w:highlight w:val="none"/>
        </w:rPr>
        <w:t>6.合同履行期限：</w:t>
      </w:r>
      <w:r>
        <w:rPr>
          <w:rFonts w:hint="eastAsia" w:ascii="宋体" w:hAnsi="宋体" w:cs="宋体"/>
          <w:sz w:val="24"/>
          <w:highlight w:val="none"/>
          <w:lang w:eastAsia="zh-CN"/>
        </w:rPr>
        <w:t>初步计划工期</w:t>
      </w:r>
      <w:r>
        <w:rPr>
          <w:rFonts w:hint="eastAsia" w:ascii="宋体" w:hAnsi="宋体" w:cs="宋体"/>
          <w:sz w:val="24"/>
          <w:highlight w:val="none"/>
          <w:lang w:val="en-US" w:eastAsia="zh-CN"/>
        </w:rPr>
        <w:t xml:space="preserve"> 280</w:t>
      </w:r>
      <w:r>
        <w:rPr>
          <w:rFonts w:hint="eastAsia" w:ascii="宋体" w:hAnsi="宋体" w:cs="宋体"/>
          <w:sz w:val="24"/>
          <w:highlight w:val="none"/>
          <w:lang w:eastAsia="zh-CN"/>
        </w:rPr>
        <w:t>日历天</w:t>
      </w:r>
      <w:r>
        <w:rPr>
          <w:rFonts w:hint="eastAsia" w:ascii="宋体" w:hAnsi="宋体" w:cs="宋体"/>
          <w:sz w:val="24"/>
          <w:highlight w:val="none"/>
        </w:rPr>
        <w:t>，具体开工日期及工期，以实际通知为准。</w:t>
      </w:r>
    </w:p>
    <w:p w14:paraId="43F0EBE8">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 xml:space="preserve">7.本项目是否接受联合体：□是  </w:t>
      </w:r>
      <w:r>
        <w:rPr>
          <w:rFonts w:hint="eastAsia" w:ascii="宋体" w:hAnsi="宋体" w:cs="宋体"/>
          <w:b/>
          <w:sz w:val="24"/>
          <w:highlight w:val="none"/>
        </w:rPr>
        <w:t>■</w:t>
      </w:r>
      <w:r>
        <w:rPr>
          <w:rFonts w:hint="eastAsia" w:ascii="宋体" w:hAnsi="宋体" w:cs="宋体"/>
          <w:sz w:val="24"/>
          <w:highlight w:val="none"/>
        </w:rPr>
        <w:t>否。</w:t>
      </w:r>
    </w:p>
    <w:p w14:paraId="0C96E9A4">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9" w:name="_Toc28359080"/>
      <w:bookmarkStart w:id="10" w:name="_Toc35393622"/>
      <w:bookmarkStart w:id="11" w:name="_Toc28359003"/>
      <w:bookmarkStart w:id="12" w:name="_Toc35393791"/>
      <w:r>
        <w:rPr>
          <w:rFonts w:hint="eastAsia" w:ascii="宋体" w:hAnsi="宋体" w:eastAsia="宋体" w:cs="宋体"/>
          <w:sz w:val="24"/>
          <w:szCs w:val="24"/>
          <w:highlight w:val="none"/>
        </w:rPr>
        <w:t>二、申请人的资格要求（须同时满足）</w:t>
      </w:r>
      <w:bookmarkEnd w:id="9"/>
      <w:bookmarkEnd w:id="10"/>
      <w:bookmarkEnd w:id="11"/>
      <w:bookmarkEnd w:id="12"/>
    </w:p>
    <w:p w14:paraId="148E0190">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26DEA1A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bookmarkStart w:id="13" w:name="_Toc28359004"/>
      <w:bookmarkStart w:id="14" w:name="_Toc28359081"/>
      <w:r>
        <w:rPr>
          <w:rFonts w:hint="eastAsia" w:ascii="宋体" w:hAnsi="宋体" w:cs="宋体"/>
          <w:sz w:val="24"/>
          <w:highlight w:val="none"/>
        </w:rPr>
        <w:t>2.落实政府采购政策需满足的资格要求：</w:t>
      </w:r>
    </w:p>
    <w:p w14:paraId="45EBF0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2.1 中小企业政策</w:t>
      </w:r>
    </w:p>
    <w:p w14:paraId="0775B212">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493D1B07">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□本项目专门面向</w:t>
      </w:r>
      <w:r>
        <w:rPr>
          <w:rFonts w:hint="eastAsia" w:ascii="宋体" w:hAnsi="宋体" w:cs="宋体"/>
          <w:sz w:val="24"/>
          <w:highlight w:val="none"/>
          <w:lang w:val="en-US" w:eastAsia="zh-CN"/>
        </w:rPr>
        <w:t>中小</w:t>
      </w:r>
      <w:r>
        <w:rPr>
          <w:rFonts w:hint="eastAsia" w:ascii="宋体" w:hAnsi="宋体" w:cs="宋体"/>
          <w:sz w:val="24"/>
          <w:highlight w:val="none"/>
        </w:rPr>
        <w:t>企业采购。即：提供的货物全部由符合政策要求的</w:t>
      </w:r>
      <w:r>
        <w:rPr>
          <w:rFonts w:hint="eastAsia" w:ascii="宋体" w:hAnsi="宋体" w:cs="宋体"/>
          <w:sz w:val="24"/>
          <w:highlight w:val="none"/>
          <w:lang w:val="en-US" w:eastAsia="zh-CN"/>
        </w:rPr>
        <w:t>中小</w:t>
      </w:r>
      <w:r>
        <w:rPr>
          <w:rFonts w:hint="eastAsia" w:ascii="宋体" w:hAnsi="宋体" w:cs="宋体"/>
          <w:sz w:val="24"/>
          <w:highlight w:val="none"/>
        </w:rPr>
        <w:t>企业制造、服务全部由符合政策要求的</w:t>
      </w:r>
      <w:r>
        <w:rPr>
          <w:rFonts w:hint="eastAsia" w:ascii="宋体" w:hAnsi="宋体" w:cs="宋体"/>
          <w:sz w:val="24"/>
          <w:highlight w:val="none"/>
          <w:lang w:val="en-US" w:eastAsia="zh-CN"/>
        </w:rPr>
        <w:t>中小</w:t>
      </w:r>
      <w:r>
        <w:rPr>
          <w:rFonts w:hint="eastAsia" w:ascii="宋体" w:hAnsi="宋体" w:cs="宋体"/>
          <w:sz w:val="24"/>
          <w:highlight w:val="none"/>
        </w:rPr>
        <w:t>企业承接。</w:t>
      </w:r>
    </w:p>
    <w:p w14:paraId="4842C81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503E1F1">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2.2 其它落实政府采购政策的资格要求（如有）：无。</w:t>
      </w:r>
    </w:p>
    <w:p w14:paraId="40FFB97C">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3.本项目的特定资格要求：</w:t>
      </w:r>
    </w:p>
    <w:p w14:paraId="2D7BA935">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3.1本项目是否属于政府购买服务：</w:t>
      </w:r>
    </w:p>
    <w:p w14:paraId="7C1723F4">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■否</w:t>
      </w:r>
    </w:p>
    <w:p w14:paraId="1ECB2F58">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73E4056D">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3.2其他特定资格要求：投标人须具备建筑工程施工总承包叁级及以上资质,具有有效的安全生产许可证，并在人员、设备、资金等方面具有相应的施工能力，其中：投标人拟派项目经理须具备建筑工程专业二级（含以上）注册建造师执业资格，具备有效的安全生产考核合格证书（B本），且不得担任其他在施建设工程项目的项目经理。</w:t>
      </w:r>
    </w:p>
    <w:bookmarkEnd w:id="13"/>
    <w:bookmarkEnd w:id="14"/>
    <w:p w14:paraId="0DB12B39">
      <w:pPr>
        <w:pStyle w:val="3"/>
        <w:pageBreakBefore w:val="0"/>
        <w:widowControl/>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15" w:name="_Toc35393792"/>
      <w:bookmarkStart w:id="16" w:name="_Toc35393623"/>
      <w:r>
        <w:rPr>
          <w:rFonts w:hint="eastAsia" w:ascii="宋体" w:hAnsi="宋体" w:eastAsia="宋体" w:cs="宋体"/>
          <w:sz w:val="24"/>
          <w:szCs w:val="24"/>
          <w:highlight w:val="none"/>
        </w:rPr>
        <w:t>三、获取采购文件</w:t>
      </w:r>
      <w:bookmarkEnd w:id="15"/>
      <w:bookmarkEnd w:id="16"/>
    </w:p>
    <w:p w14:paraId="60D3F0AA">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sz w:val="24"/>
          <w:highlight w:val="none"/>
        </w:rPr>
        <w:t>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日至2025年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r>
        <w:rPr>
          <w:rFonts w:hint="eastAsia" w:ascii="宋体" w:hAnsi="宋体" w:cs="宋体"/>
          <w:sz w:val="24"/>
          <w:highlight w:val="none"/>
          <w:lang w:bidi="ar"/>
        </w:rPr>
        <w:t>，每天上午09:30至12:00，下午12:00至16:00（北京时间，法定节假日除外）。</w:t>
      </w:r>
    </w:p>
    <w:p w14:paraId="3DC4841F">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2.地点：北京市政府采购电子交易平台（http://zbcg-bjzc.zhongcy.com/bjczj-portal -site/index.html）</w:t>
      </w:r>
    </w:p>
    <w:p w14:paraId="370D7559">
      <w:pPr>
        <w:pageBreakBefore w:val="0"/>
        <w:wordWrap w:val="0"/>
        <w:topLinePunct w:val="0"/>
        <w:bidi w:val="0"/>
        <w:adjustRightInd w:val="0"/>
        <w:snapToGrid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3.方式：</w:t>
      </w:r>
      <w:r>
        <w:rPr>
          <w:rFonts w:hint="eastAsia" w:ascii="宋体" w:hAnsi="宋体" w:cs="宋体"/>
          <w:sz w:val="24"/>
          <w:highlight w:val="none"/>
        </w:rPr>
        <w:t>供应商使用CA数字证书或电子营业执照登录北京市政府采购电子交易平台（http://zbcg-bjzc.zhongcy.com/bjczj-portal-site/index.html#/home）获取电子版竞争性磋商文件</w:t>
      </w:r>
      <w:r>
        <w:rPr>
          <w:rFonts w:hint="eastAsia" w:ascii="宋体" w:hAnsi="宋体" w:cs="宋体"/>
          <w:sz w:val="24"/>
          <w:highlight w:val="none"/>
          <w:lang w:bidi="ar"/>
        </w:rPr>
        <w:t>。</w:t>
      </w:r>
    </w:p>
    <w:p w14:paraId="1A5BBA3D">
      <w:pPr>
        <w:pageBreakBefore w:val="0"/>
        <w:widowControl/>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lang w:bidi="ar"/>
        </w:rPr>
        <w:t>4.售价：采购文件人民币0元。</w:t>
      </w:r>
    </w:p>
    <w:p w14:paraId="4C048702">
      <w:pPr>
        <w:pStyle w:val="3"/>
        <w:pageBreakBefore w:val="0"/>
        <w:widowControl/>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17" w:name="_Toc28359082"/>
      <w:bookmarkStart w:id="18" w:name="_Toc28359005"/>
      <w:bookmarkStart w:id="19" w:name="_Toc35393793"/>
      <w:bookmarkStart w:id="20" w:name="_Toc35393624"/>
      <w:r>
        <w:rPr>
          <w:rFonts w:hint="eastAsia" w:ascii="宋体" w:hAnsi="宋体" w:eastAsia="宋体" w:cs="宋体"/>
          <w:sz w:val="24"/>
          <w:szCs w:val="24"/>
          <w:highlight w:val="none"/>
        </w:rPr>
        <w:t>四、</w:t>
      </w:r>
      <w:bookmarkEnd w:id="17"/>
      <w:bookmarkEnd w:id="18"/>
      <w:bookmarkEnd w:id="19"/>
      <w:bookmarkEnd w:id="20"/>
      <w:r>
        <w:rPr>
          <w:rFonts w:hint="eastAsia" w:ascii="宋体" w:hAnsi="宋体" w:eastAsia="宋体" w:cs="宋体"/>
          <w:sz w:val="24"/>
          <w:szCs w:val="24"/>
          <w:highlight w:val="none"/>
        </w:rPr>
        <w:t>响应文件提交</w:t>
      </w:r>
    </w:p>
    <w:p w14:paraId="64BC313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截止时间：2025年</w:t>
      </w:r>
      <w:r>
        <w:rPr>
          <w:rFonts w:hint="eastAsia" w:ascii="宋体" w:hAnsi="宋体" w:cs="宋体"/>
          <w:sz w:val="24"/>
          <w:highlight w:val="none"/>
          <w:lang w:val="en-US" w:eastAsia="zh-CN" w:bidi="ar"/>
        </w:rPr>
        <w:t>12</w:t>
      </w:r>
      <w:r>
        <w:rPr>
          <w:rFonts w:hint="eastAsia" w:ascii="宋体" w:hAnsi="宋体" w:cs="宋体"/>
          <w:sz w:val="24"/>
          <w:highlight w:val="none"/>
          <w:lang w:bidi="ar"/>
        </w:rPr>
        <w:t>月</w:t>
      </w:r>
      <w:r>
        <w:rPr>
          <w:rFonts w:hint="eastAsia" w:ascii="宋体" w:hAnsi="宋体" w:cs="宋体"/>
          <w:sz w:val="24"/>
          <w:highlight w:val="none"/>
          <w:lang w:val="en-US" w:eastAsia="zh-CN" w:bidi="ar"/>
        </w:rPr>
        <w:t>19</w:t>
      </w:r>
      <w:r>
        <w:rPr>
          <w:rFonts w:hint="eastAsia" w:ascii="宋体" w:hAnsi="宋体" w:cs="宋体"/>
          <w:sz w:val="24"/>
          <w:highlight w:val="none"/>
          <w:lang w:bidi="ar"/>
        </w:rPr>
        <w:t>日</w:t>
      </w:r>
      <w:r>
        <w:rPr>
          <w:rFonts w:hint="eastAsia" w:ascii="宋体" w:hAnsi="宋体" w:cs="宋体"/>
          <w:sz w:val="24"/>
          <w:highlight w:val="none"/>
          <w:lang w:val="en-US" w:eastAsia="zh-CN" w:bidi="ar"/>
        </w:rPr>
        <w:t>14</w:t>
      </w:r>
      <w:r>
        <w:rPr>
          <w:rFonts w:hint="eastAsia" w:ascii="宋体" w:hAnsi="宋体" w:cs="宋体"/>
          <w:sz w:val="24"/>
          <w:highlight w:val="none"/>
          <w:lang w:bidi="ar"/>
        </w:rPr>
        <w:t>点</w:t>
      </w:r>
      <w:r>
        <w:rPr>
          <w:rFonts w:hint="eastAsia" w:ascii="宋体" w:hAnsi="宋体" w:cs="宋体"/>
          <w:sz w:val="24"/>
          <w:highlight w:val="none"/>
          <w:lang w:val="en-US" w:eastAsia="zh-CN" w:bidi="ar"/>
        </w:rPr>
        <w:t>00</w:t>
      </w:r>
      <w:r>
        <w:rPr>
          <w:rFonts w:hint="eastAsia" w:ascii="宋体" w:hAnsi="宋体" w:cs="宋体"/>
          <w:sz w:val="24"/>
          <w:highlight w:val="none"/>
          <w:lang w:bidi="ar"/>
        </w:rPr>
        <w:t>分（北京时间）。</w:t>
      </w:r>
    </w:p>
    <w:p w14:paraId="22B7F9FF">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06FE7346">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A98EA6B">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时间：2025年</w:t>
      </w:r>
      <w:r>
        <w:rPr>
          <w:rFonts w:hint="eastAsia" w:ascii="宋体" w:hAnsi="宋体" w:cs="宋体"/>
          <w:sz w:val="24"/>
          <w:highlight w:val="none"/>
          <w:lang w:val="en-US" w:eastAsia="zh-CN" w:bidi="ar"/>
        </w:rPr>
        <w:t>12</w:t>
      </w:r>
      <w:r>
        <w:rPr>
          <w:rFonts w:hint="eastAsia" w:ascii="宋体" w:hAnsi="宋体" w:cs="宋体"/>
          <w:sz w:val="24"/>
          <w:highlight w:val="none"/>
          <w:lang w:bidi="ar"/>
        </w:rPr>
        <w:t>月</w:t>
      </w:r>
      <w:r>
        <w:rPr>
          <w:rFonts w:hint="eastAsia" w:ascii="宋体" w:hAnsi="宋体" w:cs="宋体"/>
          <w:sz w:val="24"/>
          <w:highlight w:val="none"/>
          <w:lang w:val="en-US" w:eastAsia="zh-CN" w:bidi="ar"/>
        </w:rPr>
        <w:t>19</w:t>
      </w:r>
      <w:r>
        <w:rPr>
          <w:rFonts w:hint="eastAsia" w:ascii="宋体" w:hAnsi="宋体" w:cs="宋体"/>
          <w:sz w:val="24"/>
          <w:highlight w:val="none"/>
          <w:lang w:bidi="ar"/>
        </w:rPr>
        <w:t>日</w:t>
      </w:r>
      <w:r>
        <w:rPr>
          <w:rFonts w:hint="eastAsia" w:ascii="宋体" w:hAnsi="宋体" w:cs="宋体"/>
          <w:sz w:val="24"/>
          <w:highlight w:val="none"/>
          <w:lang w:val="en-US" w:eastAsia="zh-CN" w:bidi="ar"/>
        </w:rPr>
        <w:t>14</w:t>
      </w:r>
      <w:r>
        <w:rPr>
          <w:rFonts w:hint="eastAsia" w:ascii="宋体" w:hAnsi="宋体" w:cs="宋体"/>
          <w:sz w:val="24"/>
          <w:highlight w:val="none"/>
          <w:lang w:bidi="ar"/>
        </w:rPr>
        <w:t>点</w:t>
      </w:r>
      <w:r>
        <w:rPr>
          <w:rFonts w:hint="eastAsia" w:ascii="宋体" w:hAnsi="宋体" w:cs="宋体"/>
          <w:sz w:val="24"/>
          <w:highlight w:val="none"/>
          <w:lang w:val="en-US" w:eastAsia="zh-CN" w:bidi="ar"/>
        </w:rPr>
        <w:t>00</w:t>
      </w:r>
      <w:r>
        <w:rPr>
          <w:rFonts w:hint="eastAsia" w:ascii="宋体" w:hAnsi="宋体" w:cs="宋体"/>
          <w:sz w:val="24"/>
          <w:highlight w:val="none"/>
          <w:lang w:bidi="ar"/>
        </w:rPr>
        <w:t>分（北京时间）。</w:t>
      </w:r>
    </w:p>
    <w:p w14:paraId="0765E83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val="zh-TW" w:bidi="ar"/>
        </w:rPr>
      </w:pPr>
      <w:r>
        <w:rPr>
          <w:rFonts w:hint="eastAsia" w:ascii="宋体" w:hAnsi="宋体" w:cs="宋体"/>
          <w:sz w:val="24"/>
          <w:highlight w:val="none"/>
          <w:lang w:bidi="ar"/>
        </w:rPr>
        <w:t>地点：本项目采用远程电子开标方式，由投标人自行对电子投标文件进行解密</w:t>
      </w:r>
      <w:r>
        <w:rPr>
          <w:rFonts w:hint="eastAsia" w:ascii="宋体" w:hAnsi="宋体" w:cs="宋体"/>
          <w:sz w:val="24"/>
          <w:highlight w:val="none"/>
          <w:lang w:val="zh-TW" w:bidi="ar"/>
        </w:rPr>
        <w:t>。</w:t>
      </w:r>
    </w:p>
    <w:p w14:paraId="6B8B05B5">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1" w:name="_Toc28359007"/>
      <w:bookmarkStart w:id="22" w:name="_Toc28359084"/>
      <w:bookmarkStart w:id="23" w:name="_Toc35393794"/>
      <w:bookmarkStart w:id="24" w:name="_Toc35393625"/>
      <w:r>
        <w:rPr>
          <w:rFonts w:hint="eastAsia" w:ascii="宋体" w:hAnsi="宋体" w:eastAsia="宋体" w:cs="宋体"/>
          <w:sz w:val="24"/>
          <w:szCs w:val="24"/>
          <w:highlight w:val="none"/>
        </w:rPr>
        <w:t>六、公告期限</w:t>
      </w:r>
      <w:bookmarkEnd w:id="21"/>
      <w:bookmarkEnd w:id="22"/>
      <w:bookmarkEnd w:id="23"/>
      <w:bookmarkEnd w:id="24"/>
    </w:p>
    <w:p w14:paraId="4F66EEA2">
      <w:pPr>
        <w:pageBreakBefore w:val="0"/>
        <w:wordWrap w:val="0"/>
        <w:topLinePunct w:val="0"/>
        <w:bidi w:val="0"/>
        <w:spacing w:after="0" w:line="360" w:lineRule="auto"/>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自本公告发布之日起3个工作日。</w:t>
      </w:r>
    </w:p>
    <w:p w14:paraId="3ADD9CAF">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5" w:name="_Toc35393626"/>
      <w:bookmarkStart w:id="26" w:name="_Toc35393795"/>
      <w:r>
        <w:rPr>
          <w:rFonts w:hint="eastAsia" w:ascii="宋体" w:hAnsi="宋体" w:eastAsia="宋体" w:cs="宋体"/>
          <w:sz w:val="24"/>
          <w:szCs w:val="24"/>
          <w:highlight w:val="none"/>
        </w:rPr>
        <w:t>七、其他补充事宜</w:t>
      </w:r>
      <w:bookmarkEnd w:id="25"/>
      <w:bookmarkEnd w:id="26"/>
    </w:p>
    <w:p w14:paraId="62D0CBA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eastAsia="zh-TW"/>
        </w:rPr>
      </w:pPr>
      <w:r>
        <w:rPr>
          <w:rFonts w:hint="eastAsia" w:ascii="宋体" w:hAnsi="宋体" w:cs="宋体"/>
          <w:sz w:val="24"/>
          <w:highlight w:val="none"/>
          <w:lang w:eastAsia="zh-TW"/>
        </w:rPr>
        <w:t>1.本项目需要落实的政府采购政策：</w:t>
      </w:r>
      <w:r>
        <w:rPr>
          <w:rFonts w:hint="eastAsia" w:ascii="宋体" w:hAnsi="宋体" w:cs="宋体"/>
          <w:sz w:val="24"/>
          <w:highlight w:val="none"/>
        </w:rPr>
        <w:t>《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关于推进政府采购合同线上融资有关工作的通知》（京财采购〔2023〕637号）及其他相关法律法规</w:t>
      </w:r>
      <w:r>
        <w:rPr>
          <w:rFonts w:hint="eastAsia" w:ascii="宋体" w:hAnsi="宋体" w:cs="宋体"/>
          <w:sz w:val="24"/>
          <w:highlight w:val="none"/>
          <w:lang w:eastAsia="zh-TW"/>
        </w:rPr>
        <w:t>。</w:t>
      </w:r>
    </w:p>
    <w:p w14:paraId="7F20A219">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TW"/>
        </w:rPr>
        <w:t>.本项目公告在</w:t>
      </w:r>
      <w:r>
        <w:rPr>
          <w:rFonts w:hint="eastAsia" w:ascii="宋体" w:hAnsi="宋体" w:cs="宋体"/>
          <w:sz w:val="24"/>
          <w:highlight w:val="none"/>
          <w:lang w:bidi="ar"/>
        </w:rPr>
        <w:t>《中国政府采购网》《北京市政府采购网》</w:t>
      </w:r>
      <w:r>
        <w:rPr>
          <w:rFonts w:hint="eastAsia" w:ascii="宋体" w:hAnsi="宋体" w:cs="宋体"/>
          <w:sz w:val="24"/>
          <w:highlight w:val="none"/>
          <w:lang w:eastAsia="zh-TW"/>
        </w:rPr>
        <w:t>发布。</w:t>
      </w:r>
    </w:p>
    <w:p w14:paraId="21F78548">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FC0D9B9">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CA数字证书服务热线010-58511086电子营业执照服务热线400-699-7000技术支持服务热线010-864838013.1办理CA数字证书或电子营业执照</w:t>
      </w:r>
    </w:p>
    <w:p w14:paraId="146D5B6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供应商登录北京市政府采购电子交易平台查阅“用户指南”—“操作指南”—“市场主体CA办理操作流程指引”/“电子营业执照使用指南”，按照程序要求办理。</w:t>
      </w:r>
    </w:p>
    <w:p w14:paraId="42579BE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3.2注册</w:t>
      </w:r>
    </w:p>
    <w:p w14:paraId="360432C6">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供应商登录北京市政府采购电子交易平台“用户指南”—“操作指南”—“市场主体注册入库操作流程指引”进行自助注册绑定。</w:t>
      </w:r>
    </w:p>
    <w:p w14:paraId="5A1CB191">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3.3驱动、客户端下载</w:t>
      </w:r>
    </w:p>
    <w:p w14:paraId="19D4E72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供应商登录北京市政府采购电子交易平台“用户指南”—“工具下载”—“招标采购系统文件驱动安装包”下载相关驱动。</w:t>
      </w:r>
    </w:p>
    <w:p w14:paraId="17B3ECEE">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供应商登录北京市政府采购电子交易平台“用户指南”—“工具下载”—“投标文件编制工具”下载相关客户端。</w:t>
      </w:r>
    </w:p>
    <w:p w14:paraId="6C95175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3.4获取电子竞争性磋商文件</w:t>
      </w:r>
    </w:p>
    <w:p w14:paraId="2EAC4263">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供应商使用CA数字证书或电子营业执照登录北京市政府采购电子交易平台获取电子竞争性磋商文件。</w:t>
      </w:r>
    </w:p>
    <w:p w14:paraId="217BA037">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EBE2610">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3.5编制电子响应文件</w:t>
      </w:r>
    </w:p>
    <w:p w14:paraId="7FC7039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0E262AC">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3.6提交电子响应文件</w:t>
      </w:r>
    </w:p>
    <w:p w14:paraId="57F022A5">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供应商应于响应文件提交截止时间前在北京市政府采购电子交易平台提交电子响应文件，上传电子响应文件过程中请保持与互联网的连接畅通。</w:t>
      </w:r>
    </w:p>
    <w:p w14:paraId="326DFCB1">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3.7开启响应文件</w:t>
      </w:r>
    </w:p>
    <w:p w14:paraId="4083E998">
      <w:pPr>
        <w:pageBreakBefore w:val="0"/>
        <w:wordWrap w:val="0"/>
        <w:topLinePunct w:val="0"/>
        <w:bidi w:val="0"/>
        <w:spacing w:after="0" w:line="360" w:lineRule="auto"/>
        <w:ind w:firstLine="480" w:firstLineChars="200"/>
        <w:textAlignment w:val="auto"/>
        <w:rPr>
          <w:rFonts w:hint="eastAsia" w:ascii="宋体" w:hAnsi="宋体" w:cs="宋体"/>
          <w:sz w:val="24"/>
          <w:highlight w:val="none"/>
          <w:lang w:bidi="ar"/>
        </w:rPr>
      </w:pPr>
      <w:r>
        <w:rPr>
          <w:rFonts w:hint="eastAsia" w:ascii="宋体" w:hAnsi="宋体" w:cs="宋体"/>
          <w:sz w:val="24"/>
          <w:highlight w:val="none"/>
          <w:lang w:bidi="ar"/>
        </w:rPr>
        <w:t>供应商于磋商文件规定的开启时间、在开启地点使用CA数字证书或电子营业执照登录北京市政府采购电子交易平台解密并开启响应文件。如因供应商问题，解密不成功，则响应无效。</w:t>
      </w:r>
    </w:p>
    <w:p w14:paraId="1FA53726">
      <w:pPr>
        <w:pStyle w:val="3"/>
        <w:pageBreakBefore w:val="0"/>
        <w:wordWrap w:val="0"/>
        <w:topLinePunct w:val="0"/>
        <w:bidi w:val="0"/>
        <w:spacing w:before="0" w:after="0" w:line="360" w:lineRule="auto"/>
        <w:jc w:val="left"/>
        <w:textAlignment w:val="auto"/>
        <w:rPr>
          <w:rFonts w:hint="eastAsia" w:ascii="宋体" w:hAnsi="宋体" w:eastAsia="宋体" w:cs="宋体"/>
          <w:sz w:val="24"/>
          <w:szCs w:val="24"/>
          <w:highlight w:val="none"/>
        </w:rPr>
      </w:pPr>
      <w:bookmarkStart w:id="27" w:name="_Toc35393627"/>
      <w:bookmarkStart w:id="28" w:name="_Toc28359008"/>
      <w:bookmarkStart w:id="29" w:name="_Toc28359085"/>
      <w:bookmarkStart w:id="30" w:name="_Toc35393796"/>
      <w:r>
        <w:rPr>
          <w:rFonts w:hint="eastAsia" w:ascii="宋体" w:hAnsi="宋体" w:eastAsia="宋体" w:cs="宋体"/>
          <w:sz w:val="24"/>
          <w:szCs w:val="24"/>
          <w:highlight w:val="none"/>
        </w:rPr>
        <w:t>八、对本项目提出询问，请按以下方式联系。</w:t>
      </w:r>
      <w:bookmarkEnd w:id="27"/>
      <w:bookmarkEnd w:id="28"/>
      <w:bookmarkEnd w:id="29"/>
      <w:bookmarkEnd w:id="30"/>
    </w:p>
    <w:p w14:paraId="204178DC">
      <w:pPr>
        <w:pageBreakBefore w:val="0"/>
        <w:widowControl/>
        <w:wordWrap w:val="0"/>
        <w:topLinePunct w:val="0"/>
        <w:bidi w:val="0"/>
        <w:spacing w:after="0" w:line="360" w:lineRule="auto"/>
        <w:jc w:val="left"/>
        <w:textAlignment w:val="auto"/>
        <w:rPr>
          <w:rFonts w:hint="eastAsia"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0AC6516A">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sz w:val="24"/>
          <w:highlight w:val="none"/>
          <w:lang w:eastAsia="zh-CN"/>
        </w:rPr>
      </w:pPr>
      <w:bookmarkStart w:id="31" w:name="_Toc28359086"/>
      <w:bookmarkStart w:id="32" w:name="_Toc28359009"/>
      <w:r>
        <w:rPr>
          <w:rFonts w:hint="eastAsia" w:ascii="宋体" w:hAnsi="宋体" w:cs="宋体"/>
          <w:sz w:val="24"/>
          <w:highlight w:val="none"/>
        </w:rPr>
        <w:t>名    称：</w:t>
      </w:r>
      <w:r>
        <w:rPr>
          <w:rFonts w:hint="eastAsia" w:ascii="宋体" w:hAnsi="宋体" w:cs="宋体"/>
          <w:sz w:val="24"/>
          <w:highlight w:val="none"/>
          <w:lang w:eastAsia="zh-CN"/>
        </w:rPr>
        <w:t>北京市丰台区人民政府东高地街道办事处</w:t>
      </w:r>
    </w:p>
    <w:p w14:paraId="752DF98A">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北京市丰台区东高地斜街2号</w:t>
      </w:r>
    </w:p>
    <w:p w14:paraId="7FCB1F83">
      <w:pPr>
        <w:pageBreakBefore w:val="0"/>
        <w:wordWrap w:val="0"/>
        <w:topLinePunct w:val="0"/>
        <w:bidi w:val="0"/>
        <w:spacing w:after="0" w:line="360" w:lineRule="auto"/>
        <w:ind w:left="1079" w:leftChars="371" w:hanging="300" w:hangingChars="125"/>
        <w:jc w:val="left"/>
        <w:textAlignment w:val="auto"/>
        <w:rPr>
          <w:rFonts w:hint="eastAsia" w:ascii="宋体" w:hAnsi="宋体" w:eastAsia="宋体" w:cs="宋体"/>
          <w:sz w:val="24"/>
          <w:highlight w:val="none"/>
          <w:u w:val="single"/>
          <w:lang w:eastAsia="zh-CN"/>
        </w:rPr>
      </w:pPr>
      <w:r>
        <w:rPr>
          <w:rFonts w:hint="eastAsia" w:ascii="宋体" w:hAnsi="宋体" w:cs="宋体"/>
          <w:sz w:val="24"/>
          <w:highlight w:val="none"/>
        </w:rPr>
        <w:t>联系方式：刘禹希</w:t>
      </w:r>
      <w:r>
        <w:rPr>
          <w:rFonts w:hint="eastAsia" w:ascii="宋体" w:hAnsi="宋体" w:cs="宋体"/>
          <w:sz w:val="24"/>
          <w:highlight w:val="none"/>
          <w:lang w:eastAsia="zh-CN"/>
        </w:rPr>
        <w:t xml:space="preserve"> 010-68753499</w:t>
      </w:r>
    </w:p>
    <w:bookmarkEnd w:id="31"/>
    <w:bookmarkEnd w:id="32"/>
    <w:p w14:paraId="2E84D283">
      <w:pPr>
        <w:pageBreakBefore w:val="0"/>
        <w:wordWrap w:val="0"/>
        <w:topLinePunct w:val="0"/>
        <w:bidi w:val="0"/>
        <w:spacing w:after="0" w:line="360" w:lineRule="auto"/>
        <w:ind w:left="1080" w:leftChars="371" w:hanging="301" w:hangingChars="125"/>
        <w:jc w:val="left"/>
        <w:textAlignment w:val="auto"/>
        <w:rPr>
          <w:rFonts w:hint="eastAsia" w:ascii="宋体" w:hAnsi="宋体" w:cs="宋体"/>
          <w:b/>
          <w:sz w:val="24"/>
          <w:highlight w:val="none"/>
        </w:rPr>
      </w:pPr>
      <w:r>
        <w:rPr>
          <w:rFonts w:hint="eastAsia" w:ascii="宋体" w:hAnsi="宋体" w:cs="宋体"/>
          <w:b/>
          <w:sz w:val="24"/>
          <w:highlight w:val="none"/>
        </w:rPr>
        <w:t>2.采购代理机构信息</w:t>
      </w:r>
    </w:p>
    <w:p w14:paraId="388CB10D">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bookmarkStart w:id="33" w:name="_Toc28359087"/>
      <w:bookmarkStart w:id="34" w:name="_Toc28359010"/>
      <w:r>
        <w:rPr>
          <w:rFonts w:hint="eastAsia" w:ascii="宋体" w:hAnsi="宋体" w:cs="宋体"/>
          <w:sz w:val="24"/>
          <w:highlight w:val="none"/>
        </w:rPr>
        <w:t>名    称：北京德音工程咨询有限公司</w:t>
      </w:r>
    </w:p>
    <w:p w14:paraId="087101D0">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kern w:val="0"/>
          <w:sz w:val="24"/>
          <w:highlight w:val="none"/>
        </w:rPr>
        <w:t>北京市丰台区科技园工商联大厦B座1401室</w:t>
      </w:r>
    </w:p>
    <w:p w14:paraId="725F43FA">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kern w:val="0"/>
          <w:sz w:val="24"/>
          <w:highlight w:val="none"/>
        </w:rPr>
        <w:t>010-53600601</w:t>
      </w:r>
    </w:p>
    <w:p w14:paraId="4BBFCF99">
      <w:pPr>
        <w:pageBreakBefore w:val="0"/>
        <w:wordWrap w:val="0"/>
        <w:topLinePunct w:val="0"/>
        <w:bidi w:val="0"/>
        <w:spacing w:after="0" w:line="360" w:lineRule="auto"/>
        <w:ind w:firstLine="723" w:firstLineChars="300"/>
        <w:textAlignment w:val="auto"/>
        <w:rPr>
          <w:rFonts w:hint="eastAsia" w:ascii="宋体" w:hAnsi="宋体" w:cs="宋体"/>
          <w:b/>
          <w:sz w:val="24"/>
          <w:highlight w:val="none"/>
          <w:u w:val="single"/>
        </w:rPr>
      </w:pPr>
      <w:r>
        <w:rPr>
          <w:rFonts w:hint="eastAsia" w:ascii="宋体" w:hAnsi="宋体" w:cs="宋体"/>
          <w:b/>
          <w:sz w:val="24"/>
          <w:highlight w:val="none"/>
        </w:rPr>
        <w:t>3.项目联系方式</w:t>
      </w:r>
      <w:bookmarkEnd w:id="33"/>
      <w:bookmarkEnd w:id="34"/>
    </w:p>
    <w:p w14:paraId="188BEB23">
      <w:pPr>
        <w:pageBreakBefore w:val="0"/>
        <w:wordWrap w:val="0"/>
        <w:topLinePunct w:val="0"/>
        <w:bidi w:val="0"/>
        <w:spacing w:after="0" w:line="360" w:lineRule="auto"/>
        <w:ind w:left="1079" w:leftChars="371" w:hanging="300" w:hangingChars="125"/>
        <w:jc w:val="left"/>
        <w:textAlignment w:val="auto"/>
        <w:rPr>
          <w:rFonts w:hint="eastAsia" w:ascii="宋体" w:hAnsi="宋体" w:cs="宋体"/>
          <w:sz w:val="24"/>
          <w:highlight w:val="none"/>
        </w:rPr>
      </w:pPr>
      <w:r>
        <w:rPr>
          <w:rFonts w:hint="eastAsia" w:ascii="宋体" w:hAnsi="宋体" w:cs="宋体"/>
          <w:sz w:val="24"/>
          <w:highlight w:val="none"/>
        </w:rPr>
        <w:t>项目联系人：武冠雄、丁鑫龙</w:t>
      </w:r>
    </w:p>
    <w:p w14:paraId="7E2D5D70">
      <w:pPr>
        <w:pageBreakBefore w:val="0"/>
        <w:wordWrap w:val="0"/>
        <w:topLinePunct w:val="0"/>
        <w:bidi w:val="0"/>
        <w:spacing w:after="0" w:line="360" w:lineRule="auto"/>
        <w:ind w:left="1079" w:leftChars="371" w:hanging="300" w:hangingChars="125"/>
        <w:jc w:val="left"/>
        <w:textAlignment w:val="auto"/>
        <w:rPr>
          <w:rFonts w:hint="eastAsia" w:ascii="宋体" w:hAnsi="宋体" w:cs="宋体"/>
          <w:b/>
          <w:sz w:val="36"/>
          <w:szCs w:val="36"/>
          <w:highlight w:val="none"/>
        </w:rPr>
        <w:sectPr>
          <w:footerReference r:id="rId5" w:type="default"/>
          <w:pgSz w:w="11905" w:h="16838"/>
          <w:pgMar w:top="1474" w:right="1474" w:bottom="1474" w:left="1474" w:header="850" w:footer="992" w:gutter="0"/>
          <w:pgNumType w:fmt="decimal" w:start="1"/>
          <w:cols w:space="0" w:num="1"/>
          <w:rtlGutter w:val="0"/>
          <w:docGrid w:linePitch="462" w:charSpace="0"/>
        </w:sectPr>
      </w:pPr>
      <w:r>
        <w:rPr>
          <w:rFonts w:hint="eastAsia" w:ascii="宋体" w:hAnsi="宋体" w:cs="宋体"/>
          <w:sz w:val="24"/>
          <w:highlight w:val="none"/>
        </w:rPr>
        <w:t xml:space="preserve">电      话：010-53600601 </w:t>
      </w:r>
      <w:bookmarkStart w:id="35" w:name="_Toc265228423"/>
      <w:bookmarkStart w:id="36" w:name="_Toc226965856"/>
      <w:bookmarkStart w:id="37" w:name="_Toc305158854"/>
      <w:bookmarkStart w:id="38" w:name="_Toc512937850"/>
      <w:bookmarkStart w:id="39" w:name="_Toc127151777"/>
      <w:bookmarkStart w:id="40" w:name="_Toc150774783"/>
      <w:bookmarkStart w:id="41" w:name="_Toc9467"/>
      <w:bookmarkStart w:id="42" w:name="_Toc264969275"/>
      <w:bookmarkStart w:id="43" w:name="_Toc305158928"/>
      <w:bookmarkStart w:id="44" w:name="_Toc353825548"/>
      <w:bookmarkStart w:id="45" w:name="_Toc127161488"/>
      <w:bookmarkStart w:id="46" w:name="_Toc353873938"/>
      <w:bookmarkStart w:id="47" w:name="_Toc195842950"/>
      <w:bookmarkStart w:id="48" w:name="_Toc15006"/>
    </w:p>
    <w:p w14:paraId="57B19598">
      <w:pPr>
        <w:pageBreakBefore w:val="0"/>
        <w:wordWrap w:val="0"/>
        <w:topLinePunct w:val="0"/>
        <w:bidi w:val="0"/>
        <w:spacing w:after="0" w:line="360" w:lineRule="auto"/>
        <w:jc w:val="center"/>
        <w:textAlignment w:val="auto"/>
        <w:outlineLvl w:val="0"/>
        <w:rPr>
          <w:rFonts w:hint="eastAsia" w:ascii="宋体" w:hAnsi="宋体" w:cs="宋体"/>
          <w:b/>
          <w:sz w:val="32"/>
          <w:szCs w:val="32"/>
          <w:highlight w:val="none"/>
        </w:rPr>
      </w:pPr>
      <w:r>
        <w:rPr>
          <w:rFonts w:hint="eastAsia" w:ascii="宋体" w:hAnsi="宋体" w:cs="宋体"/>
          <w:b/>
          <w:sz w:val="36"/>
          <w:szCs w:val="36"/>
          <w:highlight w:val="none"/>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2C4CA14">
      <w:pPr>
        <w:pStyle w:val="3"/>
        <w:pageBreakBefore w:val="0"/>
        <w:tabs>
          <w:tab w:val="center" w:pos="4592"/>
          <w:tab w:val="left" w:pos="7860"/>
        </w:tabs>
        <w:wordWrap w:val="0"/>
        <w:topLinePunct w:val="0"/>
        <w:bidi w:val="0"/>
        <w:spacing w:before="0" w:after="0" w:line="360" w:lineRule="auto"/>
        <w:textAlignment w:val="auto"/>
        <w:rPr>
          <w:rFonts w:hint="eastAsia" w:ascii="宋体" w:hAnsi="宋体" w:eastAsia="宋体" w:cs="宋体"/>
          <w:b w:val="0"/>
          <w:sz w:val="28"/>
          <w:highlight w:val="none"/>
        </w:rPr>
      </w:pPr>
      <w:bookmarkStart w:id="49" w:name="_Toc127151519"/>
      <w:bookmarkStart w:id="50" w:name="_Toc150774724"/>
      <w:bookmarkStart w:id="51" w:name="_Toc150774619"/>
      <w:bookmarkStart w:id="52" w:name="_Toc164608633"/>
      <w:bookmarkStart w:id="53" w:name="_Toc226337215"/>
      <w:bookmarkStart w:id="54" w:name="_Toc151193833"/>
      <w:bookmarkStart w:id="55" w:name="_Toc150509270"/>
      <w:bookmarkStart w:id="56" w:name="_Toc151193617"/>
      <w:bookmarkStart w:id="57" w:name="_Toc520356144"/>
      <w:bookmarkStart w:id="58" w:name="_Toc226965709"/>
      <w:bookmarkStart w:id="59" w:name="_Toc151193761"/>
      <w:bookmarkStart w:id="60" w:name="_Toc164351613"/>
      <w:bookmarkStart w:id="61" w:name="_Toc195842884"/>
      <w:bookmarkStart w:id="62" w:name="_Toc149720812"/>
      <w:bookmarkStart w:id="63" w:name="_Toc127151720"/>
      <w:bookmarkStart w:id="64" w:name="_Toc150480757"/>
      <w:bookmarkStart w:id="65" w:name="_Toc127161433"/>
      <w:bookmarkStart w:id="66" w:name="_Toc226965792"/>
      <w:bookmarkStart w:id="67" w:name="_Toc226309763"/>
      <w:bookmarkStart w:id="68" w:name="_Toc151193689"/>
      <w:bookmarkStart w:id="69" w:name="_Toc142311021"/>
      <w:bookmarkStart w:id="70" w:name="_Toc164608788"/>
      <w:bookmarkStart w:id="71" w:name="_Toc164229360"/>
      <w:bookmarkStart w:id="72" w:name="_Toc151190146"/>
      <w:bookmarkStart w:id="73" w:name="_Toc164229214"/>
      <w:bookmarkStart w:id="74" w:name="_Toc151193907"/>
      <w:r>
        <w:rPr>
          <w:rFonts w:hint="eastAsia" w:ascii="宋体" w:hAnsi="宋体" w:eastAsia="宋体" w:cs="宋体"/>
          <w:sz w:val="28"/>
          <w:highlight w:val="none"/>
        </w:rPr>
        <w:t>供应商须知资料表</w:t>
      </w:r>
    </w:p>
    <w:p w14:paraId="62893449">
      <w:pPr>
        <w:pageBreakBefore w:val="0"/>
        <w:wordWrap w:val="0"/>
        <w:topLinePunct w:val="0"/>
        <w:bidi w:val="0"/>
        <w:spacing w:after="0" w:line="360" w:lineRule="auto"/>
        <w:ind w:firstLine="480"/>
        <w:textAlignment w:val="auto"/>
        <w:rPr>
          <w:rFonts w:hint="eastAsia" w:ascii="宋体" w:hAnsi="宋体" w:cs="宋体"/>
          <w:sz w:val="24"/>
          <w:highlight w:val="none"/>
        </w:rPr>
      </w:pPr>
      <w:r>
        <w:rPr>
          <w:rFonts w:hint="eastAsia" w:ascii="宋体" w:hAnsi="宋体" w:cs="宋体"/>
          <w:sz w:val="24"/>
          <w:highlight w:val="none"/>
        </w:rPr>
        <w:t>本表是对供应商须知的具体补充和修改，如有矛盾，均以本资料表为准。标记</w:t>
      </w:r>
      <w:r>
        <w:rPr>
          <w:rFonts w:hint="eastAsia" w:ascii="宋体" w:hAnsi="宋体" w:cs="宋体"/>
          <w:color w:val="000000"/>
          <w:sz w:val="24"/>
          <w:highlight w:val="none"/>
        </w:rPr>
        <w:t>“</w:t>
      </w:r>
      <w:r>
        <w:rPr>
          <w:rFonts w:hint="eastAsia" w:ascii="宋体" w:hAnsi="宋体" w:cs="宋体"/>
          <w:b/>
          <w:color w:val="000000"/>
          <w:sz w:val="24"/>
          <w:highlight w:val="none"/>
        </w:rPr>
        <w:t>■</w:t>
      </w:r>
      <w:r>
        <w:rPr>
          <w:rFonts w:hint="eastAsia" w:ascii="宋体" w:hAnsi="宋体" w:cs="宋体"/>
          <w:color w:val="000000"/>
          <w:sz w:val="24"/>
          <w:highlight w:val="none"/>
        </w:rPr>
        <w:t>”</w:t>
      </w:r>
      <w:r>
        <w:rPr>
          <w:rFonts w:hint="eastAsia" w:ascii="宋体" w:hAnsi="宋体" w:cs="宋体"/>
          <w:sz w:val="24"/>
          <w:highlight w:val="none"/>
        </w:rPr>
        <w:t>的选项意为适用于本项目，标记“</w:t>
      </w:r>
      <w:r>
        <w:rPr>
          <w:rFonts w:hint="eastAsia" w:ascii="宋体" w:hAnsi="宋体" w:cs="宋体"/>
          <w:highlight w:val="none"/>
        </w:rPr>
        <w:t>□</w:t>
      </w:r>
      <w:r>
        <w:rPr>
          <w:rFonts w:hint="eastAsia" w:ascii="宋体" w:hAnsi="宋体" w:cs="宋体"/>
          <w:sz w:val="24"/>
          <w:highlight w:val="none"/>
        </w:rPr>
        <w:t>”的选项意为不适用于本项目。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6D8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4A7B840">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14:paraId="71544005">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bCs/>
                <w:sz w:val="24"/>
                <w:highlight w:val="none"/>
              </w:rPr>
              <w:t>条目</w:t>
            </w:r>
          </w:p>
        </w:tc>
        <w:tc>
          <w:tcPr>
            <w:tcW w:w="7253" w:type="dxa"/>
            <w:vAlign w:val="center"/>
          </w:tcPr>
          <w:p w14:paraId="4828F8AD">
            <w:pPr>
              <w:pageBreakBefore w:val="0"/>
              <w:wordWrap w:val="0"/>
              <w:topLinePunct w:val="0"/>
              <w:bidi w:val="0"/>
              <w:spacing w:after="0" w:line="360" w:lineRule="auto"/>
              <w:jc w:val="center"/>
              <w:textAlignment w:val="auto"/>
              <w:rPr>
                <w:rFonts w:hint="eastAsia" w:ascii="宋体" w:hAnsi="宋体" w:cs="宋体"/>
                <w:b/>
                <w:bCs/>
                <w:sz w:val="24"/>
                <w:highlight w:val="none"/>
              </w:rPr>
            </w:pPr>
            <w:r>
              <w:rPr>
                <w:rFonts w:hint="eastAsia" w:ascii="宋体" w:hAnsi="宋体" w:cs="宋体"/>
                <w:b/>
                <w:bCs/>
                <w:sz w:val="24"/>
                <w:highlight w:val="none"/>
              </w:rPr>
              <w:t>内容</w:t>
            </w:r>
          </w:p>
        </w:tc>
      </w:tr>
      <w:tr w14:paraId="6A5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D29863">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2.2</w:t>
            </w:r>
          </w:p>
        </w:tc>
        <w:tc>
          <w:tcPr>
            <w:tcW w:w="1701" w:type="dxa"/>
            <w:vAlign w:val="center"/>
          </w:tcPr>
          <w:p w14:paraId="322CD9B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项目属性</w:t>
            </w:r>
          </w:p>
        </w:tc>
        <w:tc>
          <w:tcPr>
            <w:tcW w:w="7253" w:type="dxa"/>
            <w:vAlign w:val="center"/>
          </w:tcPr>
          <w:p w14:paraId="7DA933D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项目属性：</w:t>
            </w:r>
          </w:p>
          <w:p w14:paraId="5F35E02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服务</w:t>
            </w:r>
          </w:p>
          <w:p w14:paraId="30E5CC94">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货物</w:t>
            </w:r>
          </w:p>
          <w:p w14:paraId="7AE62660">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b/>
                <w:sz w:val="24"/>
                <w:highlight w:val="none"/>
              </w:rPr>
              <w:t>■</w:t>
            </w:r>
            <w:r>
              <w:rPr>
                <w:rFonts w:hint="eastAsia" w:ascii="宋体" w:hAnsi="宋体" w:cs="宋体"/>
                <w:sz w:val="24"/>
                <w:highlight w:val="none"/>
              </w:rPr>
              <w:t>工程</w:t>
            </w:r>
          </w:p>
        </w:tc>
      </w:tr>
      <w:tr w14:paraId="35F8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A23E9A">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w:t>
            </w:r>
          </w:p>
        </w:tc>
        <w:tc>
          <w:tcPr>
            <w:tcW w:w="1701" w:type="dxa"/>
            <w:vAlign w:val="center"/>
          </w:tcPr>
          <w:p w14:paraId="1F487D01">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科研仪器设备</w:t>
            </w:r>
          </w:p>
        </w:tc>
        <w:tc>
          <w:tcPr>
            <w:tcW w:w="7253" w:type="dxa"/>
            <w:vAlign w:val="center"/>
          </w:tcPr>
          <w:p w14:paraId="3AF047C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是否属于科研仪器设备采购项目：</w:t>
            </w:r>
          </w:p>
          <w:p w14:paraId="2EFEBB3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highlight w:val="none"/>
              </w:rPr>
              <w:t>□</w:t>
            </w:r>
            <w:r>
              <w:rPr>
                <w:rFonts w:hint="eastAsia" w:ascii="宋体" w:hAnsi="宋体" w:cs="宋体"/>
                <w:sz w:val="24"/>
                <w:highlight w:val="none"/>
              </w:rPr>
              <w:t>是</w:t>
            </w:r>
          </w:p>
          <w:p w14:paraId="7D620F7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4C1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D36E7BB">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3.1</w:t>
            </w:r>
          </w:p>
        </w:tc>
        <w:tc>
          <w:tcPr>
            <w:tcW w:w="1701" w:type="dxa"/>
            <w:vAlign w:val="center"/>
          </w:tcPr>
          <w:p w14:paraId="0E64B99E">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现场考察</w:t>
            </w:r>
          </w:p>
        </w:tc>
        <w:tc>
          <w:tcPr>
            <w:tcW w:w="7253" w:type="dxa"/>
            <w:vAlign w:val="center"/>
          </w:tcPr>
          <w:p w14:paraId="49319D3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0F693760">
            <w:pPr>
              <w:pageBreakBefore w:val="0"/>
              <w:wordWrap w:val="0"/>
              <w:topLinePunct w:val="0"/>
              <w:bidi w:val="0"/>
              <w:spacing w:after="0" w:line="360" w:lineRule="auto"/>
              <w:jc w:val="left"/>
              <w:textAlignment w:val="auto"/>
              <w:rPr>
                <w:rFonts w:hint="eastAsia" w:ascii="宋体" w:hAnsi="宋体" w:cs="宋体"/>
                <w:bCs/>
                <w:sz w:val="24"/>
                <w:highlight w:val="none"/>
              </w:rPr>
            </w:pPr>
            <w:r>
              <w:rPr>
                <w:rFonts w:hint="eastAsia" w:ascii="宋体" w:hAnsi="宋体" w:cs="宋体"/>
                <w:sz w:val="24"/>
                <w:highlight w:val="none"/>
              </w:rPr>
              <w:t>□组织，考察时间：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27E2308">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highlight w:val="none"/>
              </w:rPr>
              <w:t>考察地点：</w:t>
            </w:r>
            <w:r>
              <w:rPr>
                <w:rFonts w:hAnsi="宋体" w:cs="宋体"/>
                <w:sz w:val="24"/>
                <w:highlight w:val="none"/>
                <w:u w:val="single"/>
              </w:rPr>
              <w:t xml:space="preserve">                </w:t>
            </w:r>
            <w:r>
              <w:rPr>
                <w:rFonts w:hAnsi="宋体" w:cs="宋体"/>
                <w:sz w:val="24"/>
                <w:highlight w:val="none"/>
              </w:rPr>
              <w:t>。</w:t>
            </w:r>
          </w:p>
        </w:tc>
      </w:tr>
      <w:tr w14:paraId="3D5C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AAF3CBD">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p>
        </w:tc>
        <w:tc>
          <w:tcPr>
            <w:tcW w:w="1701" w:type="dxa"/>
            <w:vAlign w:val="center"/>
          </w:tcPr>
          <w:p w14:paraId="7FB9D235">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磋商前答疑会</w:t>
            </w:r>
          </w:p>
        </w:tc>
        <w:tc>
          <w:tcPr>
            <w:tcW w:w="7253" w:type="dxa"/>
            <w:vAlign w:val="center"/>
          </w:tcPr>
          <w:p w14:paraId="16C23A4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3441CB5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□召开，召开时间：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bCs/>
                <w:sz w:val="24"/>
                <w:highlight w:val="none"/>
              </w:rPr>
              <w:t>点</w:t>
            </w:r>
            <w:r>
              <w:rPr>
                <w:rFonts w:hint="eastAsia" w:ascii="宋体" w:hAnsi="宋体" w:cs="宋体"/>
                <w:sz w:val="24"/>
                <w:highlight w:val="none"/>
                <w:u w:val="single"/>
              </w:rPr>
              <w:t xml:space="preserve">    </w:t>
            </w:r>
            <w:r>
              <w:rPr>
                <w:rFonts w:hint="eastAsia" w:ascii="宋体" w:hAnsi="宋体" w:cs="宋体"/>
                <w:bCs/>
                <w:sz w:val="24"/>
                <w:highlight w:val="none"/>
              </w:rPr>
              <w:t>分</w:t>
            </w:r>
          </w:p>
          <w:p w14:paraId="5B21DE5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召开地点：</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0B2F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531C685">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4.2.5</w:t>
            </w:r>
          </w:p>
        </w:tc>
        <w:tc>
          <w:tcPr>
            <w:tcW w:w="1701" w:type="dxa"/>
            <w:vAlign w:val="center"/>
          </w:tcPr>
          <w:p w14:paraId="31999530">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标的所属行业</w:t>
            </w:r>
          </w:p>
        </w:tc>
        <w:tc>
          <w:tcPr>
            <w:tcW w:w="7253" w:type="dxa"/>
            <w:vAlign w:val="center"/>
          </w:tcPr>
          <w:p w14:paraId="6BFD271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43"/>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900"/>
              <w:gridCol w:w="3104"/>
            </w:tblGrid>
            <w:tr w14:paraId="2022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58" w:type="pct"/>
                  <w:tcBorders>
                    <w:top w:val="single" w:color="auto" w:sz="4" w:space="0"/>
                    <w:left w:val="single" w:color="auto" w:sz="4" w:space="0"/>
                    <w:bottom w:val="single" w:color="auto" w:sz="4" w:space="0"/>
                    <w:right w:val="single" w:color="auto" w:sz="4" w:space="0"/>
                  </w:tcBorders>
                  <w:vAlign w:val="center"/>
                </w:tcPr>
                <w:p w14:paraId="69D21A63">
                  <w:pPr>
                    <w:pageBreakBefore w:val="0"/>
                    <w:wordWrap w:val="0"/>
                    <w:topLinePunct w:val="0"/>
                    <w:bidi w:val="0"/>
                    <w:spacing w:line="360" w:lineRule="auto"/>
                    <w:jc w:val="center"/>
                    <w:textAlignment w:val="auto"/>
                    <w:rPr>
                      <w:rFonts w:hint="eastAsia" w:ascii="宋体" w:hAnsi="宋体" w:cs="宋体"/>
                      <w:bCs/>
                      <w:sz w:val="24"/>
                      <w:highlight w:val="none"/>
                    </w:rPr>
                  </w:pPr>
                  <w:r>
                    <w:rPr>
                      <w:rFonts w:hint="eastAsia" w:ascii="宋体" w:hAnsi="宋体" w:cs="宋体"/>
                      <w:bCs/>
                      <w:sz w:val="24"/>
                      <w:highlight w:val="none"/>
                    </w:rPr>
                    <w:t>包号</w:t>
                  </w:r>
                </w:p>
              </w:tc>
              <w:tc>
                <w:tcPr>
                  <w:tcW w:w="2145" w:type="pct"/>
                  <w:tcBorders>
                    <w:top w:val="single" w:color="auto" w:sz="4" w:space="0"/>
                    <w:left w:val="single" w:color="auto" w:sz="4" w:space="0"/>
                    <w:bottom w:val="single" w:color="auto" w:sz="4" w:space="0"/>
                    <w:right w:val="single" w:color="auto" w:sz="4" w:space="0"/>
                  </w:tcBorders>
                  <w:vAlign w:val="center"/>
                </w:tcPr>
                <w:p w14:paraId="3C4B313D">
                  <w:pPr>
                    <w:pageBreakBefore w:val="0"/>
                    <w:wordWrap w:val="0"/>
                    <w:topLinePunct w:val="0"/>
                    <w:bidi w:val="0"/>
                    <w:spacing w:line="360" w:lineRule="auto"/>
                    <w:jc w:val="center"/>
                    <w:textAlignment w:val="auto"/>
                    <w:rPr>
                      <w:rFonts w:hint="eastAsia" w:ascii="宋体" w:hAnsi="宋体" w:cs="宋体"/>
                      <w:sz w:val="24"/>
                      <w:highlight w:val="none"/>
                    </w:rPr>
                  </w:pPr>
                  <w:r>
                    <w:rPr>
                      <w:rFonts w:hint="eastAsia" w:ascii="宋体" w:hAnsi="宋体" w:cs="宋体"/>
                      <w:bCs/>
                      <w:sz w:val="24"/>
                      <w:highlight w:val="none"/>
                    </w:rPr>
                    <w:t>标的名称</w:t>
                  </w:r>
                </w:p>
              </w:tc>
              <w:tc>
                <w:tcPr>
                  <w:tcW w:w="2296" w:type="pct"/>
                  <w:tcBorders>
                    <w:top w:val="single" w:color="auto" w:sz="4" w:space="0"/>
                    <w:left w:val="single" w:color="auto" w:sz="4" w:space="0"/>
                    <w:bottom w:val="single" w:color="auto" w:sz="4" w:space="0"/>
                    <w:right w:val="single" w:color="auto" w:sz="4" w:space="0"/>
                  </w:tcBorders>
                  <w:vAlign w:val="center"/>
                </w:tcPr>
                <w:p w14:paraId="2BACD2DE">
                  <w:pPr>
                    <w:pageBreakBefore w:val="0"/>
                    <w:wordWrap w:val="0"/>
                    <w:topLinePunct w:val="0"/>
                    <w:bidi w:val="0"/>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中小企业划分标准所属行业</w:t>
                  </w:r>
                </w:p>
              </w:tc>
            </w:tr>
            <w:tr w14:paraId="5D59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58" w:type="pct"/>
                  <w:tcBorders>
                    <w:top w:val="single" w:color="auto" w:sz="4" w:space="0"/>
                    <w:left w:val="single" w:color="auto" w:sz="4" w:space="0"/>
                    <w:bottom w:val="single" w:color="auto" w:sz="4" w:space="0"/>
                    <w:right w:val="single" w:color="auto" w:sz="4" w:space="0"/>
                  </w:tcBorders>
                  <w:vAlign w:val="center"/>
                </w:tcPr>
                <w:p w14:paraId="62405E64">
                  <w:pPr>
                    <w:pageBreakBefore w:val="0"/>
                    <w:wordWrap w:val="0"/>
                    <w:topLinePunct w:val="0"/>
                    <w:bidi w:val="0"/>
                    <w:spacing w:line="360" w:lineRule="auto"/>
                    <w:jc w:val="center"/>
                    <w:textAlignment w:val="auto"/>
                    <w:rPr>
                      <w:rFonts w:hint="eastAsia" w:ascii="宋体" w:hAnsi="宋体" w:cs="宋体"/>
                      <w:bCs/>
                      <w:sz w:val="24"/>
                      <w:highlight w:val="none"/>
                    </w:rPr>
                  </w:pPr>
                  <w:r>
                    <w:rPr>
                      <w:rFonts w:hint="eastAsia" w:ascii="宋体" w:hAnsi="宋体" w:cs="宋体"/>
                      <w:bCs/>
                      <w:sz w:val="24"/>
                      <w:highlight w:val="none"/>
                    </w:rPr>
                    <w:t>01</w:t>
                  </w:r>
                </w:p>
              </w:tc>
              <w:tc>
                <w:tcPr>
                  <w:tcW w:w="2145" w:type="pct"/>
                  <w:tcBorders>
                    <w:top w:val="single" w:color="auto" w:sz="4" w:space="0"/>
                    <w:left w:val="single" w:color="auto" w:sz="4" w:space="0"/>
                    <w:bottom w:val="single" w:color="auto" w:sz="4" w:space="0"/>
                    <w:right w:val="single" w:color="auto" w:sz="4" w:space="0"/>
                  </w:tcBorders>
                  <w:vAlign w:val="center"/>
                </w:tcPr>
                <w:p w14:paraId="5A7217E4">
                  <w:pPr>
                    <w:pageBreakBefore w:val="0"/>
                    <w:wordWrap w:val="0"/>
                    <w:topLinePunct w:val="0"/>
                    <w:bidi w:val="0"/>
                    <w:spacing w:line="360" w:lineRule="auto"/>
                    <w:jc w:val="center"/>
                    <w:textAlignment w:val="auto"/>
                    <w:rPr>
                      <w:rFonts w:hint="eastAsia" w:ascii="宋体" w:hAnsi="宋体" w:eastAsia="宋体" w:cs="宋体"/>
                      <w:kern w:val="0"/>
                      <w:sz w:val="24"/>
                      <w:highlight w:val="none"/>
                      <w:lang w:eastAsia="zh-CN"/>
                    </w:rPr>
                  </w:pPr>
                  <w:r>
                    <w:rPr>
                      <w:rFonts w:hint="eastAsia" w:ascii="宋体" w:hAnsi="宋体" w:cs="宋体"/>
                      <w:sz w:val="24"/>
                      <w:highlight w:val="none"/>
                      <w:lang w:eastAsia="zh-CN"/>
                    </w:rPr>
                    <w:t>桃源里24、25栋外墙加固改造工程</w:t>
                  </w:r>
                </w:p>
              </w:tc>
              <w:tc>
                <w:tcPr>
                  <w:tcW w:w="2296" w:type="pct"/>
                  <w:tcBorders>
                    <w:top w:val="single" w:color="auto" w:sz="4" w:space="0"/>
                    <w:left w:val="single" w:color="auto" w:sz="4" w:space="0"/>
                    <w:bottom w:val="single" w:color="auto" w:sz="4" w:space="0"/>
                    <w:right w:val="single" w:color="auto" w:sz="4" w:space="0"/>
                  </w:tcBorders>
                  <w:vAlign w:val="center"/>
                </w:tcPr>
                <w:p w14:paraId="660B5F71">
                  <w:pPr>
                    <w:pageBreakBefore w:val="0"/>
                    <w:wordWrap w:val="0"/>
                    <w:topLinePunct w:val="0"/>
                    <w:bidi w:val="0"/>
                    <w:spacing w:line="360" w:lineRule="auto"/>
                    <w:jc w:val="center"/>
                    <w:textAlignment w:val="auto"/>
                    <w:rPr>
                      <w:rFonts w:hint="eastAsia" w:ascii="宋体" w:hAnsi="宋体" w:cs="宋体"/>
                      <w:kern w:val="0"/>
                      <w:sz w:val="24"/>
                      <w:highlight w:val="none"/>
                    </w:rPr>
                  </w:pPr>
                  <w:r>
                    <w:rPr>
                      <w:rFonts w:hint="eastAsia" w:ascii="宋体" w:hAnsi="宋体" w:cs="宋体"/>
                      <w:kern w:val="0"/>
                      <w:sz w:val="24"/>
                      <w:highlight w:val="none"/>
                    </w:rPr>
                    <w:t>建筑业</w:t>
                  </w:r>
                </w:p>
              </w:tc>
            </w:tr>
          </w:tbl>
          <w:p w14:paraId="4725AB77">
            <w:pPr>
              <w:pageBreakBefore w:val="0"/>
              <w:wordWrap w:val="0"/>
              <w:topLinePunct w:val="0"/>
              <w:bidi w:val="0"/>
              <w:spacing w:after="0" w:line="360" w:lineRule="auto"/>
              <w:jc w:val="left"/>
              <w:textAlignment w:val="auto"/>
              <w:rPr>
                <w:rFonts w:hint="eastAsia" w:ascii="宋体" w:hAnsi="宋体" w:cs="宋体"/>
                <w:sz w:val="24"/>
                <w:highlight w:val="none"/>
              </w:rPr>
            </w:pPr>
          </w:p>
        </w:tc>
      </w:tr>
      <w:tr w14:paraId="467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218B03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10.2</w:t>
            </w:r>
          </w:p>
        </w:tc>
        <w:tc>
          <w:tcPr>
            <w:tcW w:w="1701" w:type="dxa"/>
            <w:vAlign w:val="center"/>
          </w:tcPr>
          <w:p w14:paraId="482C519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报价</w:t>
            </w:r>
          </w:p>
        </w:tc>
        <w:tc>
          <w:tcPr>
            <w:tcW w:w="7253" w:type="dxa"/>
            <w:vAlign w:val="center"/>
          </w:tcPr>
          <w:p w14:paraId="67430F7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报价的特殊规定：</w:t>
            </w:r>
          </w:p>
          <w:p w14:paraId="12B5C4A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w:t>
            </w:r>
          </w:p>
          <w:p w14:paraId="6246859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□有，具体情形：</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5A38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0ACDF5">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11.1</w:t>
            </w:r>
          </w:p>
        </w:tc>
        <w:tc>
          <w:tcPr>
            <w:tcW w:w="1701" w:type="dxa"/>
            <w:vMerge w:val="restart"/>
            <w:vAlign w:val="center"/>
          </w:tcPr>
          <w:p w14:paraId="718BF41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磋商保证金</w:t>
            </w:r>
          </w:p>
        </w:tc>
        <w:tc>
          <w:tcPr>
            <w:tcW w:w="7253" w:type="dxa"/>
            <w:vAlign w:val="center"/>
          </w:tcPr>
          <w:p w14:paraId="2120DAA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磋商保证金金额：</w:t>
            </w:r>
            <w:r>
              <w:rPr>
                <w:rFonts w:hint="eastAsia" w:ascii="宋体" w:hAnsi="宋体" w:cs="宋体"/>
                <w:sz w:val="24"/>
                <w:highlight w:val="none"/>
                <w:lang w:val="en-US" w:eastAsia="zh-CN"/>
              </w:rPr>
              <w:t>20</w:t>
            </w:r>
            <w:r>
              <w:rPr>
                <w:rFonts w:hint="eastAsia" w:ascii="宋体" w:hAnsi="宋体" w:cs="宋体"/>
                <w:sz w:val="24"/>
                <w:highlight w:val="none"/>
              </w:rPr>
              <w:t>,000.00（</w:t>
            </w:r>
            <w:r>
              <w:rPr>
                <w:rFonts w:hint="eastAsia" w:ascii="宋体" w:hAnsi="宋体" w:cs="宋体"/>
                <w:sz w:val="24"/>
                <w:highlight w:val="none"/>
                <w:lang w:val="en-US" w:eastAsia="zh-CN"/>
              </w:rPr>
              <w:t>贰万</w:t>
            </w:r>
            <w:r>
              <w:rPr>
                <w:rFonts w:hint="eastAsia" w:ascii="宋体" w:hAnsi="宋体" w:cs="宋体"/>
                <w:sz w:val="24"/>
                <w:highlight w:val="none"/>
              </w:rPr>
              <w:t>元整）</w:t>
            </w:r>
          </w:p>
          <w:p w14:paraId="0470CB2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 xml:space="preserve">磋商保证金收受人信息： </w:t>
            </w:r>
          </w:p>
          <w:p w14:paraId="762F520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户    名：北京德音工程咨询有限公司</w:t>
            </w:r>
          </w:p>
          <w:p w14:paraId="106A470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开 户 行：中国建设银行股份有限公司北京大兴狼垡支行</w:t>
            </w:r>
          </w:p>
          <w:p w14:paraId="5833E72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账    号：1105 0110 0701 0000 0064</w:t>
            </w:r>
          </w:p>
        </w:tc>
      </w:tr>
      <w:tr w14:paraId="047C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FB2A51">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11.7.5</w:t>
            </w:r>
          </w:p>
        </w:tc>
        <w:tc>
          <w:tcPr>
            <w:tcW w:w="1701" w:type="dxa"/>
            <w:vMerge w:val="continue"/>
            <w:vAlign w:val="center"/>
          </w:tcPr>
          <w:p w14:paraId="7D933419">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7253" w:type="dxa"/>
            <w:vAlign w:val="center"/>
          </w:tcPr>
          <w:p w14:paraId="134298A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磋商保证金不予退还的其他情形：</w:t>
            </w:r>
          </w:p>
          <w:p w14:paraId="7CE6CBA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□无</w:t>
            </w:r>
          </w:p>
          <w:p w14:paraId="3D1EC996">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有，具体情形：</w:t>
            </w:r>
          </w:p>
          <w:p w14:paraId="6128611F">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（1）供应商在其竞争性磋商文件中规定的有效期内撤回其响应文件。</w:t>
            </w:r>
          </w:p>
          <w:p w14:paraId="6522D619">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（2）中标通知书发出后，供应商放弃中标项目的，无正当理由不与采购人签订合同的。</w:t>
            </w:r>
          </w:p>
        </w:tc>
      </w:tr>
      <w:tr w14:paraId="16EF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D0F759">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12.1</w:t>
            </w:r>
          </w:p>
        </w:tc>
        <w:tc>
          <w:tcPr>
            <w:tcW w:w="1701" w:type="dxa"/>
            <w:vAlign w:val="center"/>
          </w:tcPr>
          <w:p w14:paraId="2CADEE7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响应有效期</w:t>
            </w:r>
          </w:p>
        </w:tc>
        <w:tc>
          <w:tcPr>
            <w:tcW w:w="7253" w:type="dxa"/>
            <w:vAlign w:val="center"/>
          </w:tcPr>
          <w:p w14:paraId="27A242F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自提交响应文件的截止之日起算90日历天。</w:t>
            </w:r>
          </w:p>
        </w:tc>
      </w:tr>
      <w:tr w14:paraId="3D4F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AEFC6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17.2</w:t>
            </w:r>
          </w:p>
        </w:tc>
        <w:tc>
          <w:tcPr>
            <w:tcW w:w="1701" w:type="dxa"/>
          </w:tcPr>
          <w:p w14:paraId="531505DB">
            <w:pPr>
              <w:pStyle w:val="24"/>
              <w:pageBreakBefore w:val="0"/>
              <w:wordWrap w:val="0"/>
              <w:topLinePunct w:val="0"/>
              <w:bidi w:val="0"/>
              <w:adjustRightInd w:val="0"/>
              <w:snapToGrid w:val="0"/>
              <w:spacing w:after="0" w:line="360" w:lineRule="auto"/>
              <w:jc w:val="center"/>
              <w:textAlignment w:val="auto"/>
              <w:rPr>
                <w:rFonts w:hAnsi="宋体" w:cs="宋体"/>
                <w:sz w:val="24"/>
                <w:highlight w:val="none"/>
              </w:rPr>
            </w:pPr>
            <w:r>
              <w:rPr>
                <w:rFonts w:hAnsi="宋体" w:cs="宋体"/>
                <w:sz w:val="24"/>
                <w:szCs w:val="24"/>
                <w:highlight w:val="none"/>
              </w:rPr>
              <w:t>解密时间</w:t>
            </w:r>
          </w:p>
        </w:tc>
        <w:tc>
          <w:tcPr>
            <w:tcW w:w="7253" w:type="dxa"/>
          </w:tcPr>
          <w:p w14:paraId="688E7C9F">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解密时间：15分钟</w:t>
            </w:r>
          </w:p>
        </w:tc>
      </w:tr>
      <w:tr w14:paraId="1C03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78C4A2">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20.1</w:t>
            </w:r>
          </w:p>
        </w:tc>
        <w:tc>
          <w:tcPr>
            <w:tcW w:w="1701" w:type="dxa"/>
            <w:vAlign w:val="center"/>
          </w:tcPr>
          <w:p w14:paraId="0C1C4A34">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确定</w:t>
            </w:r>
          </w:p>
          <w:p w14:paraId="34576E14">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成交供应商</w:t>
            </w:r>
          </w:p>
        </w:tc>
        <w:tc>
          <w:tcPr>
            <w:tcW w:w="7253" w:type="dxa"/>
            <w:vAlign w:val="center"/>
          </w:tcPr>
          <w:p w14:paraId="1926D028">
            <w:pPr>
              <w:pStyle w:val="24"/>
              <w:pageBreakBefore w:val="0"/>
              <w:wordWrap w:val="0"/>
              <w:topLinePunct w:val="0"/>
              <w:bidi w:val="0"/>
              <w:adjustRightInd w:val="0"/>
              <w:snapToGrid w:val="0"/>
              <w:spacing w:after="0" w:line="360" w:lineRule="auto"/>
              <w:textAlignment w:val="auto"/>
              <w:rPr>
                <w:rFonts w:hAnsi="宋体" w:cs="宋体"/>
                <w:sz w:val="24"/>
                <w:szCs w:val="24"/>
                <w:highlight w:val="none"/>
              </w:rPr>
            </w:pPr>
            <w:r>
              <w:rPr>
                <w:rFonts w:hAnsi="宋体" w:cs="宋体"/>
                <w:sz w:val="24"/>
                <w:szCs w:val="24"/>
                <w:highlight w:val="none"/>
              </w:rPr>
              <w:t>采购人是否授权磋商小组直接确定成交供应商：</w:t>
            </w:r>
          </w:p>
          <w:p w14:paraId="010C4EAD">
            <w:pPr>
              <w:pageBreakBefore w:val="0"/>
              <w:wordWrap w:val="0"/>
              <w:topLinePunct w:val="0"/>
              <w:bidi w:val="0"/>
              <w:spacing w:after="0" w:line="360" w:lineRule="auto"/>
              <w:jc w:val="left"/>
              <w:textAlignment w:val="auto"/>
              <w:rPr>
                <w:rFonts w:hint="eastAsia" w:ascii="宋体" w:hAnsi="宋体" w:cs="宋体"/>
                <w:bCs/>
                <w:sz w:val="24"/>
                <w:highlight w:val="none"/>
              </w:rPr>
            </w:pPr>
            <w:r>
              <w:rPr>
                <w:rFonts w:hint="eastAsia" w:ascii="宋体" w:hAnsi="宋体" w:cs="宋体"/>
                <w:bCs/>
                <w:sz w:val="24"/>
                <w:highlight w:val="none"/>
              </w:rPr>
              <w:t>■否</w:t>
            </w:r>
          </w:p>
          <w:p w14:paraId="5032E28B">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□是</w:t>
            </w:r>
          </w:p>
          <w:p w14:paraId="4B29C1F8">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sz w:val="24"/>
                <w:highlight w:val="none"/>
              </w:rPr>
              <w:t>成交候选人并列的，按照以下方式确定成交供应商：</w:t>
            </w:r>
            <w:r>
              <w:rPr>
                <w:rFonts w:hint="eastAsia" w:ascii="宋体" w:hAnsi="宋体" w:cs="宋体"/>
                <w:sz w:val="24"/>
                <w:highlight w:val="none"/>
                <w:u w:val="single"/>
              </w:rPr>
              <w:t>按技术方案得分高低排序</w:t>
            </w:r>
            <w:r>
              <w:rPr>
                <w:rFonts w:hint="eastAsia" w:ascii="宋体" w:hAnsi="宋体" w:cs="宋体"/>
                <w:sz w:val="24"/>
                <w:highlight w:val="none"/>
              </w:rPr>
              <w:t>。</w:t>
            </w:r>
          </w:p>
        </w:tc>
      </w:tr>
      <w:tr w14:paraId="3153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0AF9E8">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23.5</w:t>
            </w:r>
          </w:p>
        </w:tc>
        <w:tc>
          <w:tcPr>
            <w:tcW w:w="1701" w:type="dxa"/>
            <w:vAlign w:val="center"/>
          </w:tcPr>
          <w:p w14:paraId="6921FD50">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分包</w:t>
            </w:r>
          </w:p>
        </w:tc>
        <w:tc>
          <w:tcPr>
            <w:tcW w:w="7253" w:type="dxa"/>
            <w:vAlign w:val="center"/>
          </w:tcPr>
          <w:p w14:paraId="57FFE39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 xml:space="preserve">本项目是否允许分包： </w:t>
            </w:r>
          </w:p>
          <w:p w14:paraId="0ECA150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7995A833">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□允许，具体要求：</w:t>
            </w:r>
            <w:r>
              <w:rPr>
                <w:rFonts w:hint="eastAsia" w:ascii="宋体" w:hAnsi="宋体" w:cs="宋体"/>
                <w:sz w:val="24"/>
                <w:highlight w:val="none"/>
                <w:u w:val="single"/>
              </w:rPr>
              <w:t xml:space="preserve">       </w:t>
            </w:r>
            <w:r>
              <w:rPr>
                <w:rFonts w:hint="eastAsia" w:ascii="宋体" w:hAnsi="宋体" w:cs="宋体"/>
                <w:sz w:val="24"/>
                <w:highlight w:val="none"/>
              </w:rPr>
              <w:t>。</w:t>
            </w:r>
          </w:p>
          <w:p w14:paraId="7D6293A0">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14:paraId="49C65EEE">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（2）允许分包的金额或者比例：</w:t>
            </w:r>
            <w:r>
              <w:rPr>
                <w:rFonts w:hint="eastAsia" w:ascii="宋体" w:hAnsi="宋体" w:cs="宋体"/>
                <w:sz w:val="24"/>
                <w:highlight w:val="none"/>
                <w:u w:val="single"/>
              </w:rPr>
              <w:t xml:space="preserve">       </w:t>
            </w:r>
            <w:r>
              <w:rPr>
                <w:rFonts w:hint="eastAsia" w:ascii="宋体" w:hAnsi="宋体" w:cs="宋体"/>
                <w:sz w:val="24"/>
                <w:highlight w:val="none"/>
              </w:rPr>
              <w:t>；</w:t>
            </w:r>
          </w:p>
          <w:p w14:paraId="5A34A966">
            <w:pPr>
              <w:pageBreakBefore w:val="0"/>
              <w:wordWrap w:val="0"/>
              <w:topLinePunct w:val="0"/>
              <w:bidi w:val="0"/>
              <w:spacing w:after="0" w:line="360" w:lineRule="auto"/>
              <w:jc w:val="left"/>
              <w:textAlignment w:val="auto"/>
              <w:rPr>
                <w:rFonts w:hint="eastAsia" w:ascii="宋体" w:hAnsi="宋体" w:cs="宋体"/>
                <w:sz w:val="24"/>
                <w:highlight w:val="none"/>
                <w:u w:val="single"/>
              </w:rPr>
            </w:pPr>
            <w:r>
              <w:rPr>
                <w:rFonts w:hint="eastAsia" w:ascii="宋体" w:hAnsi="宋体" w:cs="宋体"/>
                <w:sz w:val="24"/>
                <w:highlight w:val="none"/>
              </w:rPr>
              <w:t>（3）其他要求：</w:t>
            </w:r>
            <w:r>
              <w:rPr>
                <w:rFonts w:hint="eastAsia" w:ascii="宋体" w:hAnsi="宋体" w:cs="宋体"/>
                <w:sz w:val="24"/>
                <w:highlight w:val="none"/>
                <w:u w:val="single"/>
              </w:rPr>
              <w:t xml:space="preserve">       </w:t>
            </w:r>
            <w:r>
              <w:rPr>
                <w:rFonts w:hint="eastAsia" w:ascii="宋体" w:hAnsi="宋体" w:cs="宋体"/>
                <w:sz w:val="24"/>
                <w:highlight w:val="none"/>
              </w:rPr>
              <w:t>。</w:t>
            </w:r>
          </w:p>
        </w:tc>
      </w:tr>
      <w:tr w14:paraId="75B9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0F25A4">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23.6</w:t>
            </w:r>
          </w:p>
        </w:tc>
        <w:tc>
          <w:tcPr>
            <w:tcW w:w="1701" w:type="dxa"/>
            <w:vAlign w:val="center"/>
          </w:tcPr>
          <w:p w14:paraId="1023F4AD">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政采贷</w:t>
            </w:r>
          </w:p>
        </w:tc>
        <w:tc>
          <w:tcPr>
            <w:tcW w:w="7253" w:type="dxa"/>
            <w:vAlign w:val="center"/>
          </w:tcPr>
          <w:p w14:paraId="4E6E3A2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FB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5E37E9">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24.1.1</w:t>
            </w:r>
          </w:p>
        </w:tc>
        <w:tc>
          <w:tcPr>
            <w:tcW w:w="1701" w:type="dxa"/>
            <w:vAlign w:val="center"/>
          </w:tcPr>
          <w:p w14:paraId="7793CDB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询问</w:t>
            </w:r>
          </w:p>
        </w:tc>
        <w:tc>
          <w:tcPr>
            <w:tcW w:w="7253" w:type="dxa"/>
            <w:vAlign w:val="center"/>
          </w:tcPr>
          <w:p w14:paraId="7C47F125">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询问送达形式：书面形式。</w:t>
            </w:r>
          </w:p>
        </w:tc>
      </w:tr>
      <w:tr w14:paraId="2583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988" w:type="dxa"/>
            <w:vAlign w:val="center"/>
          </w:tcPr>
          <w:p w14:paraId="2F805FA0">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24.3</w:t>
            </w:r>
          </w:p>
        </w:tc>
        <w:tc>
          <w:tcPr>
            <w:tcW w:w="1701" w:type="dxa"/>
            <w:vAlign w:val="center"/>
          </w:tcPr>
          <w:p w14:paraId="6AE13EFC">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联系方式</w:t>
            </w:r>
          </w:p>
        </w:tc>
        <w:tc>
          <w:tcPr>
            <w:tcW w:w="7253" w:type="dxa"/>
            <w:vAlign w:val="center"/>
          </w:tcPr>
          <w:p w14:paraId="5E3A3CC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接收询问和质疑的联系方式</w:t>
            </w:r>
          </w:p>
          <w:p w14:paraId="7B3AD2F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联系部门：北京德音工程咨询有限公司项目部；</w:t>
            </w:r>
          </w:p>
          <w:p w14:paraId="1ABB6548">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联系电话：010-53600601；</w:t>
            </w:r>
          </w:p>
          <w:p w14:paraId="22294D34">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通讯地址：北京市丰台区科技园工商联大厦B座1401室。</w:t>
            </w:r>
          </w:p>
        </w:tc>
      </w:tr>
      <w:tr w14:paraId="7AE4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AE8776">
            <w:pPr>
              <w:pStyle w:val="24"/>
              <w:pageBreakBefore w:val="0"/>
              <w:wordWrap w:val="0"/>
              <w:topLinePunct w:val="0"/>
              <w:bidi w:val="0"/>
              <w:adjustRightInd w:val="0"/>
              <w:snapToGrid w:val="0"/>
              <w:spacing w:after="0" w:line="360" w:lineRule="auto"/>
              <w:jc w:val="center"/>
              <w:textAlignment w:val="auto"/>
              <w:rPr>
                <w:rFonts w:hAnsi="宋体" w:cs="宋体"/>
                <w:sz w:val="24"/>
                <w:szCs w:val="24"/>
                <w:highlight w:val="none"/>
              </w:rPr>
            </w:pPr>
            <w:r>
              <w:rPr>
                <w:rFonts w:hAnsi="宋体" w:cs="宋体"/>
                <w:sz w:val="24"/>
                <w:szCs w:val="24"/>
                <w:highlight w:val="none"/>
              </w:rPr>
              <w:t>25</w:t>
            </w:r>
          </w:p>
        </w:tc>
        <w:tc>
          <w:tcPr>
            <w:tcW w:w="1701" w:type="dxa"/>
            <w:vAlign w:val="center"/>
          </w:tcPr>
          <w:p w14:paraId="768F877D">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代理费</w:t>
            </w:r>
          </w:p>
        </w:tc>
        <w:tc>
          <w:tcPr>
            <w:tcW w:w="7253" w:type="dxa"/>
            <w:vAlign w:val="center"/>
          </w:tcPr>
          <w:p w14:paraId="7B4DCD81">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收费对象：</w:t>
            </w:r>
          </w:p>
          <w:p w14:paraId="72D1BAE2">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□采购人</w:t>
            </w:r>
          </w:p>
          <w:p w14:paraId="72FB5507">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成交供应商</w:t>
            </w:r>
          </w:p>
          <w:p w14:paraId="2EF9E129">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收费标准：《关于降低部分建设项目收费标准规范收费行为等有关问题的通知》〔2011〕534号和《招标代理服务收费管理暂行办法》（计价格〔2002〕1980号）以及《关于招标代理服务收费有关问题的通知》（发改办价格〔2003〕857号）计取；不足3000元的按照3000收取。</w:t>
            </w:r>
          </w:p>
          <w:p w14:paraId="433F9FDC">
            <w:pPr>
              <w:pageBreakBefore w:val="0"/>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缴纳时间：成交供应商在领取成交通知书时一次性向采购代理机构交纳所有服务费。</w:t>
            </w:r>
          </w:p>
        </w:tc>
      </w:tr>
    </w:tbl>
    <w:p w14:paraId="2F6AE028">
      <w:pPr>
        <w:pageBreakBefore w:val="0"/>
        <w:tabs>
          <w:tab w:val="left" w:pos="5580"/>
        </w:tabs>
        <w:wordWrap w:val="0"/>
        <w:topLinePunct w:val="0"/>
        <w:bidi w:val="0"/>
        <w:adjustRightInd w:val="0"/>
        <w:spacing w:after="0" w:line="360" w:lineRule="auto"/>
        <w:jc w:val="distribute"/>
        <w:textAlignment w:val="auto"/>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2263AEB">
      <w:pPr>
        <w:pageBreakBefore w:val="0"/>
        <w:wordWrap w:val="0"/>
        <w:topLinePunct w:val="0"/>
        <w:bidi w:val="0"/>
        <w:spacing w:before="240" w:beforeLines="100" w:after="0" w:line="360" w:lineRule="auto"/>
        <w:jc w:val="center"/>
        <w:textAlignment w:val="auto"/>
        <w:rPr>
          <w:rFonts w:hint="eastAsia" w:ascii="宋体" w:hAnsi="宋体" w:cs="宋体"/>
          <w:b/>
          <w:sz w:val="28"/>
          <w:szCs w:val="28"/>
          <w:highlight w:val="none"/>
        </w:rPr>
      </w:pPr>
      <w:r>
        <w:rPr>
          <w:rFonts w:hint="eastAsia" w:ascii="宋体" w:hAnsi="宋体" w:cs="宋体"/>
          <w:b/>
          <w:sz w:val="28"/>
          <w:szCs w:val="28"/>
          <w:highlight w:val="none"/>
        </w:rPr>
        <w:t>供应商须知</w:t>
      </w:r>
    </w:p>
    <w:p w14:paraId="7FAF21C8">
      <w:pPr>
        <w:pStyle w:val="3"/>
        <w:pageBreakBefore w:val="0"/>
        <w:tabs>
          <w:tab w:val="center" w:pos="4592"/>
          <w:tab w:val="left" w:pos="7860"/>
        </w:tabs>
        <w:wordWrap w:val="0"/>
        <w:topLinePunct w:val="0"/>
        <w:bidi w:val="0"/>
        <w:spacing w:before="0" w:after="0" w:line="360" w:lineRule="auto"/>
        <w:jc w:val="left"/>
        <w:textAlignment w:val="auto"/>
        <w:rPr>
          <w:rFonts w:hint="eastAsia" w:ascii="宋体" w:hAnsi="宋体" w:eastAsia="宋体" w:cs="宋体"/>
          <w:sz w:val="28"/>
          <w:highlight w:val="none"/>
        </w:rPr>
      </w:pPr>
      <w:bookmarkStart w:id="75" w:name="_Toc520356143"/>
      <w:bookmarkStart w:id="76" w:name="_Toc127151518"/>
      <w:r>
        <w:rPr>
          <w:rFonts w:hint="eastAsia" w:ascii="宋体" w:hAnsi="宋体" w:eastAsia="宋体" w:cs="宋体"/>
          <w:sz w:val="28"/>
          <w:highlight w:val="none"/>
        </w:rPr>
        <w:tab/>
      </w:r>
      <w:bookmarkStart w:id="77" w:name="_Toc226337214"/>
      <w:bookmarkStart w:id="78" w:name="_Toc265228356"/>
      <w:bookmarkStart w:id="79" w:name="_Toc142311020"/>
      <w:bookmarkStart w:id="80" w:name="_Toc226965791"/>
      <w:bookmarkStart w:id="81" w:name="_Toc264969208"/>
      <w:bookmarkStart w:id="82" w:name="_Toc150774618"/>
      <w:bookmarkStart w:id="83" w:name="_Toc151190145"/>
      <w:bookmarkStart w:id="84" w:name="_Toc226965708"/>
      <w:bookmarkStart w:id="85" w:name="_Toc151193906"/>
      <w:bookmarkStart w:id="86" w:name="_Toc150774723"/>
      <w:bookmarkStart w:id="87" w:name="_Toc151193616"/>
      <w:bookmarkStart w:id="88" w:name="_Toc305158860"/>
      <w:bookmarkStart w:id="89" w:name="_Toc150480756"/>
      <w:bookmarkStart w:id="90" w:name="_Toc226309762"/>
      <w:bookmarkStart w:id="91" w:name="_Toc195842883"/>
      <w:bookmarkStart w:id="92" w:name="_Toc150509269"/>
      <w:bookmarkStart w:id="93" w:name="_Toc151193688"/>
      <w:bookmarkStart w:id="94" w:name="_Toc305158786"/>
      <w:bookmarkStart w:id="95" w:name="_Toc151193832"/>
      <w:bookmarkStart w:id="96" w:name="_Toc151193760"/>
      <w:r>
        <w:rPr>
          <w:rFonts w:hint="eastAsia" w:ascii="宋体" w:hAnsi="宋体" w:eastAsia="宋体" w:cs="宋体"/>
          <w:sz w:val="28"/>
          <w:highlight w:val="none"/>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ascii="宋体" w:hAnsi="宋体" w:eastAsia="宋体" w:cs="宋体"/>
          <w:sz w:val="28"/>
          <w:highlight w:val="none"/>
        </w:rPr>
        <w:tab/>
      </w:r>
    </w:p>
    <w:p w14:paraId="7CB002BE">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97" w:name="_Toc305158861"/>
      <w:bookmarkStart w:id="98" w:name="_Toc305158787"/>
      <w:bookmarkStart w:id="99" w:name="_Toc265228357"/>
      <w:bookmarkStart w:id="100" w:name="_Toc264969209"/>
      <w:r>
        <w:rPr>
          <w:rFonts w:hint="eastAsia" w:ascii="宋体" w:hAnsi="宋体" w:cs="宋体"/>
          <w:sz w:val="24"/>
          <w:highlight w:val="none"/>
        </w:rPr>
        <w:t>采购人、采购代理机构、供应商</w:t>
      </w:r>
      <w:bookmarkEnd w:id="97"/>
      <w:bookmarkEnd w:id="98"/>
      <w:bookmarkEnd w:id="99"/>
      <w:bookmarkEnd w:id="100"/>
      <w:r>
        <w:rPr>
          <w:rFonts w:hint="eastAsia" w:ascii="宋体" w:hAnsi="宋体" w:cs="宋体"/>
          <w:sz w:val="24"/>
          <w:highlight w:val="none"/>
        </w:rPr>
        <w:t>、联合体</w:t>
      </w:r>
    </w:p>
    <w:p w14:paraId="0766346E">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采购人、采购代理机构：指依法进行政府采购的国家机关、事业单位、团体组织，及其委托的采购代理机构。本项目采购人、采购代理机构见第一章《采购邀请》。</w:t>
      </w:r>
    </w:p>
    <w:p w14:paraId="76F607BF">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供应商（也称“申请人”）：指向采购人提供货物、工程或者服务的法人、其他组织或者自然人。</w:t>
      </w:r>
    </w:p>
    <w:p w14:paraId="57941588">
      <w:pPr>
        <w:pageBreakBefore w:val="0"/>
        <w:numPr>
          <w:ilvl w:val="1"/>
          <w:numId w:val="8"/>
        </w:numPr>
        <w:tabs>
          <w:tab w:val="left" w:pos="1080"/>
          <w:tab w:val="left" w:pos="2014"/>
          <w:tab w:val="left" w:pos="5521"/>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670AF904">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101" w:name="_Toc264969210"/>
      <w:bookmarkStart w:id="102" w:name="_Toc164608634"/>
      <w:bookmarkStart w:id="103" w:name="_Toc142311022"/>
      <w:bookmarkStart w:id="104" w:name="_Toc150774620"/>
      <w:bookmarkStart w:id="105" w:name="_Toc151193834"/>
      <w:bookmarkStart w:id="106" w:name="_Toc127161434"/>
      <w:bookmarkStart w:id="107" w:name="_Toc149720813"/>
      <w:bookmarkStart w:id="108" w:name="_Toc151193618"/>
      <w:bookmarkStart w:id="109" w:name="_Toc164229361"/>
      <w:bookmarkStart w:id="110" w:name="_Toc164229215"/>
      <w:bookmarkStart w:id="111" w:name="_Toc305158862"/>
      <w:bookmarkStart w:id="112" w:name="_Toc151193908"/>
      <w:bookmarkStart w:id="113" w:name="_Toc151190147"/>
      <w:bookmarkStart w:id="114" w:name="_Toc150480758"/>
      <w:bookmarkStart w:id="115" w:name="_Toc226337216"/>
      <w:bookmarkStart w:id="116" w:name="_Toc127151721"/>
      <w:bookmarkStart w:id="117" w:name="_Toc151193762"/>
      <w:bookmarkStart w:id="118" w:name="_Toc195842885"/>
      <w:bookmarkStart w:id="119" w:name="_Toc150774725"/>
      <w:bookmarkStart w:id="120" w:name="_Toc150509271"/>
      <w:bookmarkStart w:id="121" w:name="_Toc226965793"/>
      <w:bookmarkStart w:id="122" w:name="_Toc226309764"/>
      <w:bookmarkStart w:id="123" w:name="_Toc305158788"/>
      <w:bookmarkStart w:id="124" w:name="_Toc151193690"/>
      <w:bookmarkStart w:id="125" w:name="_Toc164351614"/>
      <w:bookmarkStart w:id="126" w:name="_Toc164608789"/>
      <w:bookmarkStart w:id="127" w:name="_Toc265228358"/>
      <w:bookmarkStart w:id="128" w:name="_Toc226965710"/>
      <w:bookmarkStart w:id="129" w:name="_Toc127151520"/>
      <w:r>
        <w:rPr>
          <w:rFonts w:hint="eastAsia" w:ascii="宋体" w:hAnsi="宋体" w:cs="宋体"/>
          <w:sz w:val="24"/>
          <w:highlight w:val="none"/>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宋体" w:hAnsi="宋体" w:cs="宋体"/>
          <w:sz w:val="24"/>
          <w:highlight w:val="none"/>
        </w:rPr>
        <w:t>、项目属性、科研仪器设备采购</w:t>
      </w:r>
    </w:p>
    <w:p w14:paraId="2AFFFCE6">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3995D35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项目属性见《供应商须知资料表》。</w:t>
      </w:r>
    </w:p>
    <w:p w14:paraId="43DA0EB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是否属于科研仪器设备采购见《供应商须知资料表》。</w:t>
      </w:r>
    </w:p>
    <w:p w14:paraId="1F7284D4">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现场考察、磋商前答疑会</w:t>
      </w:r>
    </w:p>
    <w:p w14:paraId="075E7B68">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8"/>
          <w:highlight w:val="none"/>
        </w:rPr>
      </w:pPr>
      <w:r>
        <w:rPr>
          <w:rFonts w:hint="eastAsia" w:ascii="宋体" w:hAnsi="宋体" w:cs="宋体"/>
          <w:sz w:val="24"/>
          <w:highlight w:val="none"/>
        </w:rPr>
        <w:t>若《供应商须知资料表》中规定了组织现场考察、召开磋商前答疑会，则供应商应按要求在规定的时间和地点参加。</w:t>
      </w:r>
      <w:bookmarkStart w:id="130" w:name="_Toc142311024"/>
      <w:bookmarkStart w:id="131" w:name="_Toc226309766"/>
      <w:bookmarkStart w:id="132" w:name="_Toc150480760"/>
      <w:bookmarkStart w:id="133" w:name="_Toc265228360"/>
      <w:bookmarkStart w:id="134" w:name="_Toc520356146"/>
      <w:bookmarkStart w:id="135" w:name="_Toc127151522"/>
      <w:bookmarkStart w:id="136" w:name="_Toc305158790"/>
      <w:bookmarkStart w:id="137" w:name="_Toc151193910"/>
      <w:bookmarkStart w:id="138" w:name="_Toc195842887"/>
      <w:bookmarkStart w:id="139" w:name="_Toc151193836"/>
      <w:bookmarkStart w:id="140" w:name="_Toc151190149"/>
      <w:bookmarkStart w:id="141" w:name="_Toc226965795"/>
      <w:bookmarkStart w:id="142" w:name="_Toc226965712"/>
      <w:bookmarkStart w:id="143" w:name="_Toc151193692"/>
      <w:bookmarkStart w:id="144" w:name="_Toc305158864"/>
      <w:bookmarkStart w:id="145" w:name="_Toc150509273"/>
      <w:bookmarkStart w:id="146" w:name="_Toc151193764"/>
      <w:bookmarkStart w:id="147" w:name="_Toc150774727"/>
      <w:bookmarkStart w:id="148" w:name="_Toc226337218"/>
      <w:bookmarkStart w:id="149" w:name="_Toc150774622"/>
      <w:bookmarkStart w:id="150" w:name="_Toc264969212"/>
      <w:bookmarkStart w:id="151" w:name="_Toc151193620"/>
    </w:p>
    <w:p w14:paraId="4EB0F5B5">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5CF120B">
      <w:pPr>
        <w:pageBreakBefore w:val="0"/>
        <w:numPr>
          <w:ilvl w:val="0"/>
          <w:numId w:val="8"/>
        </w:numPr>
        <w:tabs>
          <w:tab w:val="left" w:pos="360"/>
          <w:tab w:val="clear" w:pos="90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政府采购政策（包括但不限于下列具体政策要求）</w:t>
      </w:r>
    </w:p>
    <w:p w14:paraId="23F4226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采购本国货物、工程和服务</w:t>
      </w:r>
    </w:p>
    <w:p w14:paraId="67D8FE11">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政府采购应当采购本国货物、工程和服务。但有《中华人民共和国政府采购法》第十条规定情形的除外。</w:t>
      </w:r>
    </w:p>
    <w:p w14:paraId="0A97CFE9">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本项目如接受非本国货物、工程、服务参与投标，则具体要求见第四章《采购需求》。</w:t>
      </w:r>
    </w:p>
    <w:p w14:paraId="7D0FC92D">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A5B1A4">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中小企业、监狱企业及残疾人福利性单位</w:t>
      </w:r>
    </w:p>
    <w:p w14:paraId="2C9CC8C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中小企业定义：</w:t>
      </w:r>
    </w:p>
    <w:p w14:paraId="15D053B7">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742854E4">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供应商提供的货物、工程或者服务符合下列情形的，享受中小企业扶持政策：</w:t>
      </w:r>
    </w:p>
    <w:p w14:paraId="4A4D9E9F">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1ECB13E7">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6FC74C19">
      <w:pPr>
        <w:pageBreakBefore w:val="0"/>
        <w:tabs>
          <w:tab w:val="left" w:pos="1980"/>
        </w:tabs>
        <w:wordWrap w:val="0"/>
        <w:topLinePunct w:val="0"/>
        <w:bidi w:val="0"/>
        <w:snapToGrid w:val="0"/>
        <w:spacing w:after="0" w:line="360" w:lineRule="auto"/>
        <w:ind w:left="2835" w:leftChars="1350"/>
        <w:textAlignment w:val="auto"/>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4BBF4A5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04942E7F">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43C882C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4DA817">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36631C">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color w:val="000000"/>
          <w:sz w:val="24"/>
          <w:highlight w:val="none"/>
        </w:rPr>
        <w:t>安置的残疾人占本单位在职职工人数的比例不低于25%（含25%），并且安置的残疾人人数不少于10 人（含10 人）；</w:t>
      </w:r>
    </w:p>
    <w:p w14:paraId="3584DA40">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依法与安置的每位残疾人签订了一年以上（含一年）的劳动合同或服务协议；</w:t>
      </w:r>
    </w:p>
    <w:p w14:paraId="44B5A21D">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07191CB6">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696F345A">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6A385069">
      <w:pPr>
        <w:pageBreakBefore w:val="0"/>
        <w:numPr>
          <w:ilvl w:val="3"/>
          <w:numId w:val="8"/>
        </w:numPr>
        <w:tabs>
          <w:tab w:val="left" w:pos="1980"/>
          <w:tab w:val="left" w:pos="2035"/>
          <w:tab w:val="left" w:pos="2885"/>
          <w:tab w:val="left" w:pos="2977"/>
          <w:tab w:val="clear" w:pos="900"/>
        </w:tabs>
        <w:wordWrap w:val="0"/>
        <w:topLinePunct w:val="0"/>
        <w:bidi w:val="0"/>
        <w:snapToGrid w:val="0"/>
        <w:spacing w:after="0" w:line="360" w:lineRule="auto"/>
        <w:ind w:left="2885"/>
        <w:textAlignment w:val="auto"/>
        <w:rPr>
          <w:rFonts w:hint="eastAsia" w:ascii="宋体" w:hAnsi="宋体" w:cs="宋体"/>
          <w:color w:val="000000"/>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71C5A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本项目是否专门面向中小企业预留采购份额见第一章《采购邀请》。</w:t>
      </w:r>
    </w:p>
    <w:p w14:paraId="60B96F8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采购标的对应的中小企业划分标准所属行业见《供应商须知资料表》。</w:t>
      </w:r>
    </w:p>
    <w:p w14:paraId="44F7E37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小微企业价格评审优惠的政策调整：见第三章《评审方法和评审标准》。</w:t>
      </w:r>
    </w:p>
    <w:p w14:paraId="74DEDF4A">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政府采购节能产品、环境标志产品</w:t>
      </w:r>
    </w:p>
    <w:p w14:paraId="2529128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B83CE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E043EE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w:t>
      </w:r>
    </w:p>
    <w:p w14:paraId="43EF1D5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非政府强制采购的节能产品或环境标志产品，依据品目清单和认证证书实施政府优先采购。优先采购的具体规定见第三章《评审方法和评审标准》（如涉及）。</w:t>
      </w:r>
    </w:p>
    <w:p w14:paraId="47451CCC">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正版软件</w:t>
      </w:r>
    </w:p>
    <w:p w14:paraId="416E8C8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9132A9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网络安全专用产品</w:t>
      </w:r>
    </w:p>
    <w:p w14:paraId="7F566248">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0056C87">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推广使用低挥发性有机化合物（VOCs）</w:t>
      </w:r>
    </w:p>
    <w:p w14:paraId="5B2140FF">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cs="宋体"/>
          <w:kern w:val="0"/>
          <w:sz w:val="24"/>
          <w:highlight w:val="none"/>
        </w:rPr>
        <w:t>否则</w:t>
      </w:r>
      <w:r>
        <w:rPr>
          <w:rFonts w:hint="eastAsia" w:ascii="宋体" w:hAnsi="宋体" w:cs="宋体"/>
          <w:b/>
          <w:kern w:val="0"/>
          <w:sz w:val="24"/>
          <w:highlight w:val="none"/>
        </w:rPr>
        <w:t>响应无效</w:t>
      </w:r>
      <w:r>
        <w:rPr>
          <w:rFonts w:hint="eastAsia" w:ascii="宋体" w:hAnsi="宋体" w:cs="宋体"/>
          <w:sz w:val="24"/>
          <w:highlight w:val="none"/>
        </w:rPr>
        <w:t>；属于推荐性标准的，优先采购，具体见第三章《评审方法和评审标准》。</w:t>
      </w:r>
    </w:p>
    <w:p w14:paraId="25C75B3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采购需求标准</w:t>
      </w:r>
    </w:p>
    <w:p w14:paraId="6C02377F">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商品包装、快递包装政府采购需求标准（试行）</w:t>
      </w:r>
    </w:p>
    <w:p w14:paraId="2C17F507">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2E1FEAFB">
      <w:pPr>
        <w:pageBreakBefore w:val="0"/>
        <w:numPr>
          <w:ilvl w:val="2"/>
          <w:numId w:val="8"/>
        </w:numPr>
        <w:tabs>
          <w:tab w:val="left" w:pos="2014"/>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绿色数据中心政府采购需求标准（试行）</w:t>
      </w:r>
    </w:p>
    <w:p w14:paraId="19866612">
      <w:pPr>
        <w:pageBreakBefore w:val="0"/>
        <w:tabs>
          <w:tab w:val="left" w:pos="2014"/>
        </w:tabs>
        <w:wordWrap w:val="0"/>
        <w:topLinePunct w:val="0"/>
        <w:bidi w:val="0"/>
        <w:snapToGrid w:val="0"/>
        <w:spacing w:after="0" w:line="360" w:lineRule="auto"/>
        <w:ind w:left="1900"/>
        <w:textAlignment w:val="auto"/>
        <w:rPr>
          <w:rFonts w:hint="eastAsia"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54066D92">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响应费用</w:t>
      </w:r>
    </w:p>
    <w:p w14:paraId="15A65A4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供应商应自行承担所有与准备和参加磋商有关的费用，无论磋商的结果如何，采购人或采购代理机构在任何情况下均无承担这些费用的义务和责任。</w:t>
      </w:r>
    </w:p>
    <w:p w14:paraId="29E1056B">
      <w:pPr>
        <w:pageBreakBefore w:val="0"/>
        <w:tabs>
          <w:tab w:val="left" w:pos="1080"/>
        </w:tabs>
        <w:wordWrap w:val="0"/>
        <w:topLinePunct w:val="0"/>
        <w:bidi w:val="0"/>
        <w:snapToGrid w:val="0"/>
        <w:spacing w:after="0" w:line="360" w:lineRule="auto"/>
        <w:ind w:left="1080"/>
        <w:textAlignment w:val="auto"/>
        <w:rPr>
          <w:rFonts w:hint="eastAsia" w:ascii="宋体" w:hAnsi="宋体" w:cs="宋体"/>
          <w:sz w:val="28"/>
          <w:highlight w:val="none"/>
        </w:rPr>
      </w:pPr>
      <w:bookmarkStart w:id="152" w:name="_1.8_计量单位"/>
      <w:bookmarkEnd w:id="152"/>
    </w:p>
    <w:p w14:paraId="3899AE3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ABE483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153" w:name="_Toc127151523"/>
      <w:bookmarkStart w:id="154" w:name="_Toc151193693"/>
      <w:bookmarkStart w:id="155" w:name="_Toc150774728"/>
      <w:bookmarkStart w:id="156" w:name="_Toc164229218"/>
      <w:bookmarkStart w:id="157" w:name="_Toc151193621"/>
      <w:bookmarkStart w:id="158" w:name="_Toc195842888"/>
      <w:bookmarkStart w:id="159" w:name="_Toc151193911"/>
      <w:bookmarkStart w:id="160" w:name="_Toc264969213"/>
      <w:bookmarkStart w:id="161" w:name="_Toc305158865"/>
      <w:bookmarkStart w:id="162" w:name="_Toc520356147"/>
      <w:bookmarkStart w:id="163" w:name="_Toc150480761"/>
      <w:bookmarkStart w:id="164" w:name="_Toc305158791"/>
      <w:bookmarkStart w:id="165" w:name="_Toc150509274"/>
      <w:bookmarkStart w:id="166" w:name="_Toc164608637"/>
      <w:bookmarkStart w:id="167" w:name="_Toc226309767"/>
      <w:bookmarkStart w:id="168" w:name="_Toc226965713"/>
      <w:bookmarkStart w:id="169" w:name="_Toc265228361"/>
      <w:bookmarkStart w:id="170" w:name="_Toc151193837"/>
      <w:bookmarkStart w:id="171" w:name="_Toc150774623"/>
      <w:bookmarkStart w:id="172" w:name="_Toc127161437"/>
      <w:bookmarkStart w:id="173" w:name="_Toc151190150"/>
      <w:bookmarkStart w:id="174" w:name="_Toc142311025"/>
      <w:bookmarkStart w:id="175" w:name="_Toc149720816"/>
      <w:bookmarkStart w:id="176" w:name="_Toc164229364"/>
      <w:bookmarkStart w:id="177" w:name="_Toc226965796"/>
      <w:bookmarkStart w:id="178" w:name="_Toc127151724"/>
      <w:bookmarkStart w:id="179" w:name="_Toc226337219"/>
      <w:bookmarkStart w:id="180" w:name="_Toc151193765"/>
      <w:bookmarkStart w:id="181" w:name="_Toc164351617"/>
      <w:bookmarkStart w:id="182" w:name="_Toc164608792"/>
      <w:r>
        <w:rPr>
          <w:rFonts w:hint="eastAsia" w:ascii="宋体" w:hAnsi="宋体" w:cs="宋体"/>
          <w:sz w:val="24"/>
          <w:highlight w:val="none"/>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cs="宋体"/>
          <w:sz w:val="24"/>
          <w:highlight w:val="none"/>
        </w:rPr>
        <w:t>成</w:t>
      </w:r>
    </w:p>
    <w:p w14:paraId="70E5D2C0">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竞争性磋商文件包括以下部分：</w:t>
      </w:r>
    </w:p>
    <w:p w14:paraId="3BD30F5A">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采购邀请</w:t>
      </w:r>
    </w:p>
    <w:p w14:paraId="2B00D66C">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供应商须知</w:t>
      </w:r>
    </w:p>
    <w:p w14:paraId="5A2EC832">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评审方法和评审标准</w:t>
      </w:r>
    </w:p>
    <w:p w14:paraId="4FC313A2">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采购需求</w:t>
      </w:r>
    </w:p>
    <w:p w14:paraId="09D51628">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合同草案条款</w:t>
      </w:r>
    </w:p>
    <w:p w14:paraId="4EBFAA03">
      <w:pPr>
        <w:pageBreakBefore w:val="0"/>
        <w:numPr>
          <w:ilvl w:val="0"/>
          <w:numId w:val="9"/>
        </w:numPr>
        <w:tabs>
          <w:tab w:val="left" w:pos="1980"/>
          <w:tab w:val="left" w:pos="2520"/>
        </w:tabs>
        <w:wordWrap w:val="0"/>
        <w:topLinePunct w:val="0"/>
        <w:bidi w:val="0"/>
        <w:snapToGrid w:val="0"/>
        <w:spacing w:after="0" w:line="360" w:lineRule="auto"/>
        <w:ind w:left="1440" w:firstLine="5"/>
        <w:textAlignment w:val="auto"/>
        <w:rPr>
          <w:rFonts w:hint="eastAsia" w:ascii="宋体" w:hAnsi="宋体" w:cs="宋体"/>
          <w:sz w:val="24"/>
          <w:highlight w:val="none"/>
        </w:rPr>
      </w:pPr>
      <w:r>
        <w:rPr>
          <w:rFonts w:hint="eastAsia" w:ascii="宋体" w:hAnsi="宋体" w:cs="宋体"/>
          <w:sz w:val="24"/>
          <w:highlight w:val="none"/>
        </w:rPr>
        <w:t>响应文件格式</w:t>
      </w:r>
    </w:p>
    <w:p w14:paraId="29EA18B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highlight w:val="none"/>
        </w:rPr>
        <w:t>响应无效</w:t>
      </w:r>
      <w:r>
        <w:rPr>
          <w:rFonts w:hint="eastAsia" w:ascii="宋体" w:hAnsi="宋体" w:cs="宋体"/>
          <w:sz w:val="24"/>
          <w:highlight w:val="none"/>
        </w:rPr>
        <w:t>。</w:t>
      </w:r>
    </w:p>
    <w:p w14:paraId="14C42132">
      <w:pPr>
        <w:pageBreakBefore w:val="0"/>
        <w:numPr>
          <w:ilvl w:val="0"/>
          <w:numId w:val="8"/>
        </w:numPr>
        <w:tabs>
          <w:tab w:val="left" w:pos="1080"/>
          <w:tab w:val="left" w:pos="2014"/>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对竞争性磋商文件的澄清或修改</w:t>
      </w:r>
    </w:p>
    <w:p w14:paraId="433A2B6B">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9A080D0">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上述书面通知，按照获取竞争性磋商文件的潜在供应商提供的联系方式发出，因提供的信息有误导致通知延迟或无法通知的，采购人或采购代理机构不承担责任。</w:t>
      </w:r>
    </w:p>
    <w:p w14:paraId="0D7A7658">
      <w:pPr>
        <w:pageBreakBefore w:val="0"/>
        <w:numPr>
          <w:ilvl w:val="1"/>
          <w:numId w:val="8"/>
        </w:numPr>
        <w:tabs>
          <w:tab w:val="left" w:pos="1080"/>
          <w:tab w:val="left" w:pos="1561"/>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的截止时间。</w:t>
      </w:r>
    </w:p>
    <w:p w14:paraId="2E1ACC16">
      <w:pPr>
        <w:pageBreakBefore w:val="0"/>
        <w:tabs>
          <w:tab w:val="left" w:pos="1080"/>
          <w:tab w:val="left" w:pos="1561"/>
        </w:tabs>
        <w:wordWrap w:val="0"/>
        <w:topLinePunct w:val="0"/>
        <w:bidi w:val="0"/>
        <w:snapToGrid w:val="0"/>
        <w:spacing w:after="0" w:line="360" w:lineRule="auto"/>
        <w:ind w:left="1080"/>
        <w:textAlignment w:val="auto"/>
        <w:rPr>
          <w:rFonts w:hint="eastAsia" w:ascii="宋体" w:hAnsi="宋体" w:cs="宋体"/>
          <w:sz w:val="28"/>
          <w:highlight w:val="none"/>
        </w:rPr>
      </w:pPr>
      <w:bookmarkStart w:id="183" w:name="_Toc516367020"/>
      <w:bookmarkStart w:id="184" w:name="_Toc151193840"/>
      <w:bookmarkStart w:id="185" w:name="_Toc520356150"/>
      <w:bookmarkStart w:id="186" w:name="_Toc151193768"/>
      <w:bookmarkStart w:id="187" w:name="_Toc150774626"/>
      <w:bookmarkStart w:id="188" w:name="_Toc265228364"/>
      <w:bookmarkStart w:id="189" w:name="_Toc305158868"/>
      <w:bookmarkStart w:id="190" w:name="_Toc150509277"/>
      <w:bookmarkStart w:id="191" w:name="_Toc226965799"/>
      <w:bookmarkStart w:id="192" w:name="_Toc226337222"/>
      <w:bookmarkStart w:id="193" w:name="_Toc305158794"/>
      <w:bookmarkStart w:id="194" w:name="_Toc150480764"/>
      <w:bookmarkStart w:id="195" w:name="_Toc151193696"/>
      <w:bookmarkStart w:id="196" w:name="_Toc151190153"/>
      <w:bookmarkStart w:id="197" w:name="_Toc226965716"/>
      <w:bookmarkStart w:id="198" w:name="_Toc127151526"/>
      <w:bookmarkStart w:id="199" w:name="_Toc264969216"/>
      <w:bookmarkStart w:id="200" w:name="_Toc150774731"/>
      <w:bookmarkStart w:id="201" w:name="_Toc226309770"/>
      <w:bookmarkStart w:id="202" w:name="_Toc151193624"/>
      <w:bookmarkStart w:id="203" w:name="_Toc151193914"/>
      <w:bookmarkStart w:id="204" w:name="_Toc142311028"/>
      <w:bookmarkStart w:id="205" w:name="_Toc195842891"/>
    </w:p>
    <w:p w14:paraId="551431B8">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183"/>
      <w:r>
        <w:rPr>
          <w:rFonts w:hint="eastAsia" w:ascii="宋体" w:hAnsi="宋体" w:eastAsia="宋体" w:cs="宋体"/>
          <w:sz w:val="28"/>
          <w:highlight w:val="none"/>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2C455DC">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06" w:name="_Toc127151527"/>
      <w:bookmarkStart w:id="207" w:name="_Toc151193915"/>
      <w:bookmarkStart w:id="208" w:name="_Toc226337223"/>
      <w:bookmarkStart w:id="209" w:name="_Toc164608641"/>
      <w:bookmarkStart w:id="210" w:name="_Toc150509278"/>
      <w:bookmarkStart w:id="211" w:name="_Toc151193841"/>
      <w:bookmarkStart w:id="212" w:name="_Toc305158795"/>
      <w:bookmarkStart w:id="213" w:name="_Toc520356151"/>
      <w:bookmarkStart w:id="214" w:name="_Toc164608796"/>
      <w:bookmarkStart w:id="215" w:name="_Toc226965800"/>
      <w:bookmarkStart w:id="216" w:name="_Toc149720820"/>
      <w:bookmarkStart w:id="217" w:name="_Toc151190154"/>
      <w:bookmarkStart w:id="218" w:name="_Toc164229222"/>
      <w:bookmarkStart w:id="219" w:name="_Toc127151728"/>
      <w:bookmarkStart w:id="220" w:name="_Toc151193625"/>
      <w:bookmarkStart w:id="221" w:name="_Toc305158869"/>
      <w:bookmarkStart w:id="222" w:name="_Toc151193769"/>
      <w:bookmarkStart w:id="223" w:name="_Toc164351621"/>
      <w:bookmarkStart w:id="224" w:name="_Toc150480765"/>
      <w:bookmarkStart w:id="225" w:name="_Toc226309771"/>
      <w:bookmarkStart w:id="226" w:name="_Toc265228365"/>
      <w:bookmarkStart w:id="227" w:name="_Toc127161441"/>
      <w:bookmarkStart w:id="228" w:name="_Toc150774627"/>
      <w:bookmarkStart w:id="229" w:name="_Toc142311029"/>
      <w:bookmarkStart w:id="230" w:name="_Toc164229368"/>
      <w:bookmarkStart w:id="231" w:name="_Toc150774732"/>
      <w:bookmarkStart w:id="232" w:name="_Toc195842892"/>
      <w:bookmarkStart w:id="233" w:name="_Toc226965717"/>
      <w:bookmarkStart w:id="234" w:name="_Toc516367021"/>
      <w:bookmarkStart w:id="235" w:name="_Toc151193697"/>
      <w:bookmarkStart w:id="236" w:name="_Toc264969217"/>
      <w:r>
        <w:rPr>
          <w:rFonts w:hint="eastAsia" w:ascii="宋体" w:hAnsi="宋体" w:cs="宋体"/>
          <w:sz w:val="24"/>
          <w:highlight w:val="none"/>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hint="eastAsia" w:ascii="宋体" w:hAnsi="宋体" w:cs="宋体"/>
          <w:sz w:val="24"/>
          <w:highlight w:val="none"/>
        </w:rPr>
        <w:t>及磋商语言</w:t>
      </w:r>
    </w:p>
    <w:p w14:paraId="411E8F9F">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C78912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除竞争性磋商文件有特殊要求外，本项目磋商所使用的计量单位，应采用中华人民共和国法定计量单位。</w:t>
      </w:r>
    </w:p>
    <w:p w14:paraId="4865F743">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CB9A9D">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37" w:name="_Toc516367022"/>
      <w:bookmarkStart w:id="238" w:name="_Ref467306676"/>
      <w:bookmarkStart w:id="239" w:name="_Ref467306195"/>
      <w:bookmarkStart w:id="240" w:name="_Toc150774628"/>
      <w:bookmarkStart w:id="241" w:name="_Toc127161442"/>
      <w:bookmarkStart w:id="242" w:name="_Toc151193842"/>
      <w:bookmarkStart w:id="243" w:name="_Toc150774733"/>
      <w:bookmarkStart w:id="244" w:name="_Toc151193698"/>
      <w:bookmarkStart w:id="245" w:name="_Toc305158870"/>
      <w:bookmarkStart w:id="246" w:name="_Toc151193770"/>
      <w:bookmarkStart w:id="247" w:name="_Toc226965718"/>
      <w:bookmarkStart w:id="248" w:name="_Toc305158796"/>
      <w:bookmarkStart w:id="249" w:name="_Toc520356152"/>
      <w:bookmarkStart w:id="250" w:name="_Toc164351622"/>
      <w:bookmarkStart w:id="251" w:name="_Toc164608797"/>
      <w:bookmarkStart w:id="252" w:name="_Toc195842893"/>
      <w:bookmarkStart w:id="253" w:name="_Toc142311030"/>
      <w:bookmarkStart w:id="254" w:name="_Toc151190155"/>
      <w:bookmarkStart w:id="255" w:name="_Toc127151729"/>
      <w:bookmarkStart w:id="256" w:name="_Toc265228366"/>
      <w:bookmarkStart w:id="257" w:name="_Toc151193626"/>
      <w:bookmarkStart w:id="258" w:name="_Toc151193916"/>
      <w:bookmarkStart w:id="259" w:name="_Toc226965801"/>
      <w:bookmarkStart w:id="260" w:name="_Toc149720821"/>
      <w:bookmarkStart w:id="261" w:name="_Toc150509279"/>
      <w:bookmarkStart w:id="262" w:name="_Toc150480766"/>
      <w:bookmarkStart w:id="263" w:name="_Toc264969218"/>
      <w:bookmarkStart w:id="264" w:name="_Toc226337224"/>
      <w:bookmarkStart w:id="265" w:name="_Toc164229369"/>
      <w:bookmarkStart w:id="266" w:name="_Toc164229223"/>
      <w:bookmarkStart w:id="267" w:name="_Toc164608642"/>
      <w:bookmarkStart w:id="268" w:name="_Toc127151528"/>
      <w:bookmarkStart w:id="269" w:name="_Toc226309772"/>
      <w:r>
        <w:rPr>
          <w:rFonts w:hint="eastAsia" w:ascii="宋体" w:hAnsi="宋体" w:cs="宋体"/>
          <w:sz w:val="24"/>
          <w:highlight w:val="none"/>
        </w:rPr>
        <w:t>响应文件</w:t>
      </w:r>
      <w:bookmarkEnd w:id="237"/>
      <w:bookmarkEnd w:id="238"/>
      <w:bookmarkEnd w:id="239"/>
      <w:r>
        <w:rPr>
          <w:rFonts w:hint="eastAsia" w:ascii="宋体" w:hAnsi="宋体" w:cs="宋体"/>
          <w:sz w:val="24"/>
          <w:highlight w:val="none"/>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FF7214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270" w:name="_Ref467052588"/>
      <w:r>
        <w:rPr>
          <w:rFonts w:hint="eastAsia" w:ascii="宋体" w:hAnsi="宋体" w:cs="宋体"/>
          <w:sz w:val="24"/>
          <w:highlight w:val="none"/>
        </w:rPr>
        <w:t>供应商应当按照竞争性磋商文件的要求编制响应文件，</w:t>
      </w:r>
      <w:r>
        <w:rPr>
          <w:rFonts w:hint="eastAsia" w:ascii="宋体" w:hAnsi="宋体" w:cs="宋体"/>
          <w:kern w:val="0"/>
          <w:sz w:val="24"/>
          <w:highlight w:val="none"/>
        </w:rPr>
        <w:t>并对其提交的响应文件的真实性、合法性承担法律责任</w:t>
      </w:r>
      <w:r>
        <w:rPr>
          <w:rFonts w:hint="eastAsia" w:ascii="宋体" w:hAnsi="宋体" w:cs="宋体"/>
          <w:sz w:val="24"/>
          <w:highlight w:val="none"/>
        </w:rPr>
        <w:t>。响应文件的部分格式要求，见第六章《响应文件格式》。</w:t>
      </w:r>
    </w:p>
    <w:p w14:paraId="06C442A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highlight w:val="none"/>
        </w:rPr>
        <w:t>对于竞争性磋商文件中标记了“实质性格式”文件的，</w:t>
      </w:r>
      <w:r>
        <w:rPr>
          <w:rFonts w:hint="eastAsia" w:ascii="宋体" w:hAnsi="宋体" w:cs="宋体"/>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323E2B2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第三章《评审方法和评审标准》中涉及的证明文件。</w:t>
      </w:r>
    </w:p>
    <w:p w14:paraId="160973B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3AA294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供应商认为应附的其他材料。</w:t>
      </w:r>
      <w:bookmarkEnd w:id="270"/>
    </w:p>
    <w:p w14:paraId="31FF2A51">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71" w:name="_Toc150774630"/>
      <w:bookmarkStart w:id="272" w:name="_Toc151193918"/>
      <w:bookmarkStart w:id="273" w:name="_Toc164608799"/>
      <w:bookmarkStart w:id="274" w:name="_Toc150509281"/>
      <w:bookmarkStart w:id="275" w:name="_Toc151193628"/>
      <w:bookmarkStart w:id="276" w:name="_Toc195842895"/>
      <w:bookmarkStart w:id="277" w:name="_Toc164229225"/>
      <w:bookmarkStart w:id="278" w:name="_Toc164608644"/>
      <w:bookmarkStart w:id="279" w:name="_Toc150774735"/>
      <w:bookmarkStart w:id="280" w:name="_Toc151193772"/>
      <w:bookmarkStart w:id="281" w:name="_Toc520356155"/>
      <w:bookmarkStart w:id="282" w:name="_Toc127161444"/>
      <w:bookmarkStart w:id="283" w:name="_Toc150480768"/>
      <w:bookmarkStart w:id="284" w:name="_Toc164229371"/>
      <w:bookmarkStart w:id="285" w:name="_Toc164351624"/>
      <w:bookmarkStart w:id="286" w:name="_Toc151190157"/>
      <w:bookmarkStart w:id="287" w:name="_Toc142311032"/>
      <w:bookmarkStart w:id="288" w:name="_Toc149720823"/>
      <w:bookmarkStart w:id="289" w:name="_Toc127151731"/>
      <w:bookmarkStart w:id="290" w:name="_Toc127151530"/>
      <w:bookmarkStart w:id="291" w:name="_Toc151193844"/>
      <w:bookmarkStart w:id="292" w:name="_Toc151193700"/>
      <w:r>
        <w:rPr>
          <w:rFonts w:hint="eastAsia" w:ascii="宋体" w:hAnsi="宋体" w:cs="宋体"/>
          <w:sz w:val="24"/>
          <w:highlight w:val="none"/>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50739D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所有响应均以人民币为计价货币。</w:t>
      </w:r>
    </w:p>
    <w:p w14:paraId="2143EEB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628A52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0540955">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按照竞争性磋商文件要求完成本项目的全部相关费用。</w:t>
      </w:r>
    </w:p>
    <w:p w14:paraId="52F6BEA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5EFCA5B1">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供应商不能提供任何有选择性或可调整的最后报价（</w:t>
      </w:r>
      <w:r>
        <w:rPr>
          <w:rFonts w:hint="eastAsia" w:ascii="宋体" w:hAnsi="宋体" w:cs="宋体"/>
          <w:color w:val="000000"/>
          <w:kern w:val="0"/>
          <w:sz w:val="24"/>
          <w:highlight w:val="none"/>
        </w:rPr>
        <w:t>竞争性磋商文件</w:t>
      </w:r>
      <w:r>
        <w:rPr>
          <w:rFonts w:hint="eastAsia" w:ascii="宋体" w:hAnsi="宋体" w:cs="宋体"/>
          <w:sz w:val="24"/>
          <w:highlight w:val="none"/>
        </w:rPr>
        <w:t>另有规定的除外），否则其</w:t>
      </w:r>
      <w:r>
        <w:rPr>
          <w:rFonts w:hint="eastAsia" w:ascii="宋体" w:hAnsi="宋体" w:cs="宋体"/>
          <w:b/>
          <w:sz w:val="24"/>
          <w:highlight w:val="none"/>
        </w:rPr>
        <w:t>响应无效</w:t>
      </w:r>
      <w:r>
        <w:rPr>
          <w:rFonts w:hint="eastAsia" w:ascii="宋体" w:hAnsi="宋体" w:cs="宋体"/>
          <w:sz w:val="24"/>
          <w:highlight w:val="none"/>
        </w:rPr>
        <w:t>。</w:t>
      </w:r>
    </w:p>
    <w:p w14:paraId="1D6D6AC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磋商保证金</w:t>
      </w:r>
    </w:p>
    <w:p w14:paraId="09A5B78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供应商应按《供应商须知资料表》中规定的金额及要求交纳磋商保证金。供应商自愿超额缴纳磋商保证金的，响应文件不做无效处理。</w:t>
      </w:r>
    </w:p>
    <w:p w14:paraId="357E4CB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交纳磋商保证金可采用的形式：政府采购法律法规接受的支票、汇票、本票、网上银行支付或者金融机构、担保机构出具的保函等非现金形式。</w:t>
      </w:r>
    </w:p>
    <w:p w14:paraId="495316A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1398C14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供应商除需在响应文件中提供“磋商保证金凭证/交款单据电子件”，还需在首次响应文件提交截止时间前，通过电子交易平台上传“磋商保证金凭证/交款单据电子件”。</w:t>
      </w:r>
    </w:p>
    <w:p w14:paraId="663BE55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磋商保证金有效期同响应有效期。</w:t>
      </w:r>
    </w:p>
    <w:p w14:paraId="22D9E996">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供应商为联合体的，可以由联合体中的一方或者多方共同交纳磋商保证金，其交纳的保证金对联合体各方均具有约束力。</w:t>
      </w:r>
    </w:p>
    <w:p w14:paraId="1CE2F51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E02AE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37DB7DD8">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成交供应商的磋商保证金，在采购合同签订后5个工作日内退还成交供应商；</w:t>
      </w:r>
    </w:p>
    <w:p w14:paraId="7A77A6B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未成交供应商的磋商保证金，在成交通知书发出后5个工作日内退还。</w:t>
      </w:r>
    </w:p>
    <w:p w14:paraId="5B431C0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有下列情形之一的，采购人或采购代理机构不予退还磋商保证金：</w:t>
      </w:r>
    </w:p>
    <w:p w14:paraId="38984F2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供应商在提交响应文件截止时间后撤回响应文件的；</w:t>
      </w:r>
    </w:p>
    <w:p w14:paraId="4622687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供应商在响应文件中提供虚假材料的；</w:t>
      </w:r>
    </w:p>
    <w:p w14:paraId="310F2F8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除因不可抗力或磋商文件认可的情形以外，成交供应商不与采购人签订合同的；</w:t>
      </w:r>
    </w:p>
    <w:p w14:paraId="2E9FC0D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供应商与采购人、其他供应商或者采购代理机构恶意串通的；</w:t>
      </w:r>
    </w:p>
    <w:p w14:paraId="41B4B2D2">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《供应商须知资料表》规定的其他情形。</w:t>
      </w:r>
    </w:p>
    <w:p w14:paraId="4C3CF22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响应有效期</w:t>
      </w:r>
    </w:p>
    <w:p w14:paraId="592300D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cs="宋体"/>
          <w:b/>
          <w:sz w:val="24"/>
          <w:highlight w:val="none"/>
        </w:rPr>
        <w:t>响应无效</w:t>
      </w:r>
      <w:r>
        <w:rPr>
          <w:rFonts w:hint="eastAsia" w:ascii="宋体" w:hAnsi="宋体" w:cs="宋体"/>
          <w:sz w:val="24"/>
          <w:highlight w:val="none"/>
        </w:rPr>
        <w:t>。</w:t>
      </w:r>
    </w:p>
    <w:p w14:paraId="2EE4DC54">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293" w:name="_Toc305158875"/>
      <w:bookmarkStart w:id="294" w:name="_Toc151193921"/>
      <w:bookmarkStart w:id="295" w:name="_Toc520356158"/>
      <w:bookmarkStart w:id="296" w:name="_Toc151193631"/>
      <w:bookmarkStart w:id="297" w:name="_Toc151193775"/>
      <w:bookmarkStart w:id="298" w:name="_Toc149720826"/>
      <w:bookmarkStart w:id="299" w:name="_Toc164608802"/>
      <w:bookmarkStart w:id="300" w:name="_Toc150774738"/>
      <w:bookmarkStart w:id="301" w:name="_Toc151193847"/>
      <w:bookmarkStart w:id="302" w:name="_Toc226965723"/>
      <w:bookmarkStart w:id="303" w:name="_Toc150774633"/>
      <w:bookmarkStart w:id="304" w:name="_Toc264969223"/>
      <w:bookmarkStart w:id="305" w:name="_Toc195842898"/>
      <w:bookmarkStart w:id="306" w:name="_Toc164229374"/>
      <w:bookmarkStart w:id="307" w:name="_Toc226309777"/>
      <w:bookmarkStart w:id="308" w:name="_Toc164351627"/>
      <w:bookmarkStart w:id="309" w:name="_Toc226337229"/>
      <w:bookmarkStart w:id="310" w:name="_Toc164229228"/>
      <w:bookmarkStart w:id="311" w:name="_Toc150480771"/>
      <w:bookmarkStart w:id="312" w:name="_Toc127151533"/>
      <w:bookmarkStart w:id="313" w:name="_Toc226965806"/>
      <w:bookmarkStart w:id="314" w:name="_Toc151190160"/>
      <w:bookmarkStart w:id="315" w:name="_Toc305158801"/>
      <w:bookmarkStart w:id="316" w:name="_Toc164608647"/>
      <w:bookmarkStart w:id="317" w:name="_Toc142311035"/>
      <w:bookmarkStart w:id="318" w:name="_Toc150509284"/>
      <w:bookmarkStart w:id="319" w:name="_Toc127151734"/>
      <w:bookmarkStart w:id="320" w:name="_Toc151193703"/>
      <w:bookmarkStart w:id="321" w:name="_Toc265228371"/>
      <w:bookmarkStart w:id="322" w:name="_Toc127161447"/>
      <w:r>
        <w:rPr>
          <w:rFonts w:hint="eastAsia" w:ascii="宋体" w:hAnsi="宋体" w:cs="宋体"/>
          <w:sz w:val="24"/>
          <w:highlight w:val="none"/>
        </w:rPr>
        <w:t>各包响应文件的签署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hint="eastAsia" w:ascii="宋体" w:hAnsi="宋体" w:cs="宋体"/>
          <w:sz w:val="24"/>
          <w:highlight w:val="none"/>
        </w:rPr>
        <w:t>、盖章</w:t>
      </w:r>
    </w:p>
    <w:p w14:paraId="1CE5454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323" w:name="_Toc150480772"/>
      <w:bookmarkStart w:id="324" w:name="_Toc151190161"/>
      <w:bookmarkStart w:id="325" w:name="_Toc305158876"/>
      <w:bookmarkStart w:id="326" w:name="_Toc151193776"/>
      <w:bookmarkStart w:id="327" w:name="_Toc150774634"/>
      <w:bookmarkStart w:id="328" w:name="_Toc150509285"/>
      <w:bookmarkStart w:id="329" w:name="_Toc226309778"/>
      <w:bookmarkStart w:id="330" w:name="_Toc195842899"/>
      <w:bookmarkStart w:id="331" w:name="_Toc305158802"/>
      <w:bookmarkStart w:id="332" w:name="_Toc226965724"/>
      <w:bookmarkStart w:id="333" w:name="_Toc264969224"/>
      <w:bookmarkStart w:id="334" w:name="_Toc265228372"/>
      <w:bookmarkStart w:id="335" w:name="_Toc127151534"/>
      <w:bookmarkStart w:id="336" w:name="_Toc151193848"/>
      <w:bookmarkStart w:id="337" w:name="_Toc520356159"/>
      <w:bookmarkStart w:id="338" w:name="_Toc142311036"/>
      <w:bookmarkStart w:id="339" w:name="_Toc150774739"/>
      <w:bookmarkStart w:id="340" w:name="_Toc151193632"/>
      <w:bookmarkStart w:id="341" w:name="_Toc226337230"/>
      <w:bookmarkStart w:id="342" w:name="_Toc226965807"/>
      <w:bookmarkStart w:id="343" w:name="_Toc151193704"/>
      <w:bookmarkStart w:id="344" w:name="_Toc151193922"/>
      <w:r>
        <w:rPr>
          <w:rFonts w:hint="eastAsia" w:ascii="宋体" w:hAnsi="宋体" w:cs="宋体"/>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29F8891">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竞争性磋商文件要求盖章的内容，一般通过投标文件编制工具加盖电子签章。</w:t>
      </w:r>
    </w:p>
    <w:p w14:paraId="5D46D8FF">
      <w:pPr>
        <w:pageBreakBefore w:val="0"/>
        <w:tabs>
          <w:tab w:val="left" w:pos="900"/>
          <w:tab w:val="left" w:pos="1080"/>
        </w:tabs>
        <w:wordWrap w:val="0"/>
        <w:topLinePunct w:val="0"/>
        <w:bidi w:val="0"/>
        <w:snapToGrid w:val="0"/>
        <w:spacing w:after="0" w:line="360" w:lineRule="auto"/>
        <w:ind w:left="357"/>
        <w:textAlignment w:val="auto"/>
        <w:rPr>
          <w:rFonts w:hint="eastAsia" w:ascii="宋体" w:hAnsi="宋体" w:cs="宋体"/>
          <w:highlight w:val="none"/>
        </w:rPr>
      </w:pPr>
    </w:p>
    <w:p w14:paraId="01FFA2EE">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71A3457">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45" w:name="_Toc226309779"/>
      <w:bookmarkStart w:id="346" w:name="_Toc520356160"/>
      <w:bookmarkStart w:id="347" w:name="_Toc150774635"/>
      <w:bookmarkStart w:id="348" w:name="_Toc151193849"/>
      <w:bookmarkStart w:id="349" w:name="_Toc151190162"/>
      <w:bookmarkStart w:id="350" w:name="_Toc127151736"/>
      <w:bookmarkStart w:id="351" w:name="_Toc164229230"/>
      <w:bookmarkStart w:id="352" w:name="_Toc226965808"/>
      <w:bookmarkStart w:id="353" w:name="_Toc195842900"/>
      <w:bookmarkStart w:id="354" w:name="_Toc127151535"/>
      <w:bookmarkStart w:id="355" w:name="_Toc164229376"/>
      <w:bookmarkStart w:id="356" w:name="_Toc150480773"/>
      <w:bookmarkStart w:id="357" w:name="_Toc150509286"/>
      <w:bookmarkStart w:id="358" w:name="_Toc151193633"/>
      <w:bookmarkStart w:id="359" w:name="_Toc305158877"/>
      <w:bookmarkStart w:id="360" w:name="_Toc164351629"/>
      <w:bookmarkStart w:id="361" w:name="_Toc151193777"/>
      <w:bookmarkStart w:id="362" w:name="_Toc264969225"/>
      <w:bookmarkStart w:id="363" w:name="_Toc151193923"/>
      <w:bookmarkStart w:id="364" w:name="_Toc142311037"/>
      <w:bookmarkStart w:id="365" w:name="_Toc305158803"/>
      <w:bookmarkStart w:id="366" w:name="_Toc265228373"/>
      <w:bookmarkStart w:id="367" w:name="_Toc150774740"/>
      <w:bookmarkStart w:id="368" w:name="_Toc226337231"/>
      <w:bookmarkStart w:id="369" w:name="_Toc164608804"/>
      <w:bookmarkStart w:id="370" w:name="_Toc226965725"/>
      <w:bookmarkStart w:id="371" w:name="_Toc149720828"/>
      <w:bookmarkStart w:id="372" w:name="_Toc164608649"/>
      <w:bookmarkStart w:id="373" w:name="_Toc127161449"/>
      <w:bookmarkStart w:id="374" w:name="_Toc151193705"/>
      <w:r>
        <w:rPr>
          <w:rFonts w:hint="eastAsia" w:ascii="宋体" w:hAnsi="宋体" w:cs="宋体"/>
          <w:sz w:val="24"/>
          <w:highlight w:val="none"/>
        </w:rPr>
        <w:t>各包响应文件的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hint="eastAsia" w:ascii="宋体" w:hAnsi="宋体" w:cs="宋体"/>
          <w:sz w:val="24"/>
          <w:highlight w:val="none"/>
        </w:rPr>
        <w:t>提交</w:t>
      </w:r>
    </w:p>
    <w:p w14:paraId="5356CA1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本项目使用北京市政府采购电子交易平台。供应商根据竞争性磋商文件及电子交易平台供应商操作手册要求编制、生成并提交电子响应文件。</w:t>
      </w:r>
    </w:p>
    <w:p w14:paraId="4392E490">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采购人及采购代理机构拒绝接受通过电子交易平台以外任何形式提交的首次响应文件，磋商保证金除外。</w:t>
      </w:r>
    </w:p>
    <w:p w14:paraId="755741D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375" w:name="_Toc150509287"/>
      <w:bookmarkStart w:id="376" w:name="_Toc150480774"/>
      <w:bookmarkStart w:id="377" w:name="_Toc264969226"/>
      <w:bookmarkStart w:id="378" w:name="_Toc150774741"/>
      <w:bookmarkStart w:id="379" w:name="_Toc164608805"/>
      <w:bookmarkStart w:id="380" w:name="_Toc305158878"/>
      <w:bookmarkStart w:id="381" w:name="_Toc226309780"/>
      <w:bookmarkStart w:id="382" w:name="_Toc164229377"/>
      <w:bookmarkStart w:id="383" w:name="_Toc142311038"/>
      <w:bookmarkStart w:id="384" w:name="_Toc226337232"/>
      <w:bookmarkStart w:id="385" w:name="_Toc520356161"/>
      <w:bookmarkStart w:id="386" w:name="_Toc127151737"/>
      <w:bookmarkStart w:id="387" w:name="_Toc127161450"/>
      <w:bookmarkStart w:id="388" w:name="_Toc150774636"/>
      <w:bookmarkStart w:id="389" w:name="_Toc151193850"/>
      <w:bookmarkStart w:id="390" w:name="_Toc151193924"/>
      <w:bookmarkStart w:id="391" w:name="_Toc149720829"/>
      <w:bookmarkStart w:id="392" w:name="_Toc127151536"/>
      <w:bookmarkStart w:id="393" w:name="_Toc195842901"/>
      <w:bookmarkStart w:id="394" w:name="_Toc265228374"/>
      <w:bookmarkStart w:id="395" w:name="_Toc151193706"/>
      <w:bookmarkStart w:id="396" w:name="_Toc164229231"/>
      <w:bookmarkStart w:id="397" w:name="_Toc164608650"/>
      <w:bookmarkStart w:id="398" w:name="_Toc226965809"/>
      <w:bookmarkStart w:id="399" w:name="_Toc226965726"/>
      <w:bookmarkStart w:id="400" w:name="_Toc305158804"/>
      <w:bookmarkStart w:id="401" w:name="_Toc151193778"/>
      <w:bookmarkStart w:id="402" w:name="_Toc151193634"/>
      <w:bookmarkStart w:id="403" w:name="_Toc164351630"/>
      <w:bookmarkStart w:id="404" w:name="_Toc151190163"/>
      <w:r>
        <w:rPr>
          <w:rFonts w:hint="eastAsia" w:ascii="宋体" w:hAnsi="宋体" w:cs="宋体"/>
          <w:sz w:val="24"/>
          <w:highlight w:val="none"/>
        </w:rPr>
        <w:t>响应文件截止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宋体" w:hAnsi="宋体" w:cs="宋体"/>
          <w:sz w:val="24"/>
          <w:highlight w:val="none"/>
        </w:rPr>
        <w:t>时间</w:t>
      </w:r>
    </w:p>
    <w:p w14:paraId="2F86245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05" w:name="_Toc150774742"/>
      <w:bookmarkStart w:id="406" w:name="_Toc305158805"/>
      <w:bookmarkStart w:id="407" w:name="_Toc164608806"/>
      <w:bookmarkStart w:id="408" w:name="_Toc150774637"/>
      <w:bookmarkStart w:id="409" w:name="_Toc150509288"/>
      <w:bookmarkStart w:id="410" w:name="_Toc164351631"/>
      <w:bookmarkStart w:id="411" w:name="_Toc195842902"/>
      <w:bookmarkStart w:id="412" w:name="_Toc265228375"/>
      <w:bookmarkStart w:id="413" w:name="_Toc142311039"/>
      <w:bookmarkStart w:id="414" w:name="_Toc151193851"/>
      <w:bookmarkStart w:id="415" w:name="_Toc226337233"/>
      <w:bookmarkStart w:id="416" w:name="_Toc151193779"/>
      <w:bookmarkStart w:id="417" w:name="_Toc520356162"/>
      <w:bookmarkStart w:id="418" w:name="_Toc226965810"/>
      <w:bookmarkStart w:id="419" w:name="_Toc127151738"/>
      <w:bookmarkStart w:id="420" w:name="_Toc149720830"/>
      <w:bookmarkStart w:id="421" w:name="_Toc151190164"/>
      <w:bookmarkStart w:id="422" w:name="_Toc150480775"/>
      <w:bookmarkStart w:id="423" w:name="_Toc151193635"/>
      <w:bookmarkStart w:id="424" w:name="_Toc264969227"/>
      <w:bookmarkStart w:id="425" w:name="_Toc305158879"/>
      <w:bookmarkStart w:id="426" w:name="_Toc164608651"/>
      <w:bookmarkStart w:id="427" w:name="_Toc226965727"/>
      <w:bookmarkStart w:id="428" w:name="_Toc127161451"/>
      <w:bookmarkStart w:id="429" w:name="_Toc164229232"/>
      <w:bookmarkStart w:id="430" w:name="_Toc151193925"/>
      <w:bookmarkStart w:id="431" w:name="_Toc226309781"/>
      <w:bookmarkStart w:id="432" w:name="_Toc164229378"/>
      <w:bookmarkStart w:id="433" w:name="_Toc151193707"/>
      <w:bookmarkStart w:id="434" w:name="_Toc127151537"/>
      <w:r>
        <w:rPr>
          <w:rFonts w:hint="eastAsia" w:ascii="宋体" w:hAnsi="宋体" w:cs="宋体"/>
          <w:sz w:val="24"/>
          <w:highlight w:val="none"/>
        </w:rPr>
        <w:t>供应商应在竞争性磋商文件要求响应文件提交截止时间前，将电子响应文件 提交至电子交易平台。</w:t>
      </w:r>
    </w:p>
    <w:p w14:paraId="482DA11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9897D4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4A9877D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供应商对响应文件的补充、修改的内容应当按照竞争性磋商文件要求签署、盖章，作为响应文件的组成部分。补充、修改的内容与响应文件不一致的，以补充、修改的内容为准</w:t>
      </w:r>
      <w:r>
        <w:rPr>
          <w:rFonts w:hint="eastAsia" w:ascii="宋体" w:hAnsi="宋体" w:cs="宋体"/>
          <w:kern w:val="0"/>
          <w:sz w:val="24"/>
          <w:highlight w:val="none"/>
        </w:rPr>
        <w:t>。</w:t>
      </w:r>
    </w:p>
    <w:p w14:paraId="563A6BE4">
      <w:pPr>
        <w:pageBreakBefore w:val="0"/>
        <w:tabs>
          <w:tab w:val="left" w:pos="900"/>
          <w:tab w:val="left" w:pos="1080"/>
          <w:tab w:val="left" w:pos="1589"/>
        </w:tabs>
        <w:wordWrap w:val="0"/>
        <w:topLinePunct w:val="0"/>
        <w:bidi w:val="0"/>
        <w:snapToGrid w:val="0"/>
        <w:spacing w:after="0" w:line="360" w:lineRule="auto"/>
        <w:ind w:left="357"/>
        <w:textAlignment w:val="auto"/>
        <w:rPr>
          <w:rFonts w:hint="eastAsia" w:ascii="宋体" w:hAnsi="宋体" w:cs="宋体"/>
          <w:sz w:val="24"/>
          <w:highlight w:val="none"/>
        </w:rPr>
      </w:pPr>
    </w:p>
    <w:p w14:paraId="1A49DC2D">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35" w:name="_Toc151193708"/>
      <w:bookmarkStart w:id="436" w:name="_Toc150509289"/>
      <w:bookmarkStart w:id="437" w:name="_Toc226309782"/>
      <w:bookmarkStart w:id="438" w:name="_Toc226965811"/>
      <w:bookmarkStart w:id="439" w:name="_Toc142311040"/>
      <w:bookmarkStart w:id="440" w:name="_Toc151193636"/>
      <w:bookmarkStart w:id="441" w:name="_Toc264969228"/>
      <w:bookmarkStart w:id="442" w:name="_Toc127151538"/>
      <w:bookmarkStart w:id="443" w:name="_Toc151193780"/>
      <w:bookmarkStart w:id="444" w:name="_Toc151193926"/>
      <w:bookmarkStart w:id="445" w:name="_Toc195842903"/>
      <w:bookmarkStart w:id="446" w:name="_Toc305158880"/>
      <w:bookmarkStart w:id="447" w:name="_Toc150774638"/>
      <w:bookmarkStart w:id="448" w:name="_Toc265228376"/>
      <w:bookmarkStart w:id="449" w:name="_Toc520356163"/>
      <w:bookmarkStart w:id="450" w:name="_Toc150774743"/>
      <w:bookmarkStart w:id="451" w:name="_Toc226337234"/>
      <w:bookmarkStart w:id="452" w:name="_Toc151193852"/>
      <w:bookmarkStart w:id="453" w:name="_Toc151190165"/>
      <w:bookmarkStart w:id="454" w:name="_Toc226965728"/>
      <w:bookmarkStart w:id="455" w:name="_Toc150480776"/>
      <w:bookmarkStart w:id="456" w:name="_Toc305158806"/>
      <w:r>
        <w:rPr>
          <w:rFonts w:hint="eastAsia" w:ascii="宋体" w:hAnsi="宋体" w:eastAsia="宋体" w:cs="宋体"/>
          <w:sz w:val="28"/>
          <w:highlight w:val="none"/>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hint="eastAsia" w:ascii="宋体" w:hAnsi="宋体" w:eastAsia="宋体" w:cs="宋体"/>
          <w:sz w:val="28"/>
          <w:highlight w:val="none"/>
        </w:rPr>
        <w:t>评审</w:t>
      </w:r>
    </w:p>
    <w:p w14:paraId="1E9075BA">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响应文件的开启</w:t>
      </w:r>
    </w:p>
    <w:p w14:paraId="27013012">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采购人或采购代理机构将按竞争性磋商文件的规定，在响应文件提交截止时间的同一时间和竞争性磋商文件预先确定的地点开启响应文件。</w:t>
      </w:r>
    </w:p>
    <w:p w14:paraId="739DF1A9">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本项目解密使用北京市政府采购电子交易平台。供应商应在《供应商须知资料表》规定的时间内对响应文件进行解密，因非系统原因导致的解密失败，视为无效响应。</w:t>
      </w:r>
    </w:p>
    <w:p w14:paraId="0D4CD968">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bookmarkStart w:id="457" w:name="_Toc520356165"/>
      <w:r>
        <w:rPr>
          <w:rFonts w:hint="eastAsia" w:ascii="宋体" w:hAnsi="宋体" w:cs="宋体"/>
          <w:sz w:val="24"/>
          <w:highlight w:val="none"/>
        </w:rPr>
        <w:t>供应商不足3家的，不予开启。</w:t>
      </w:r>
    </w:p>
    <w:bookmarkEnd w:id="457"/>
    <w:p w14:paraId="583D2BBE">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本项目不公开报价。</w:t>
      </w:r>
    </w:p>
    <w:p w14:paraId="3DC4045F">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磋商小组</w:t>
      </w:r>
    </w:p>
    <w:p w14:paraId="23E87D0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磋商小组根据政府采购有关规定和本次采购项目的特点进行组建，并负责具 体评审与磋商事务，独立履行职责。</w:t>
      </w:r>
      <w:bookmarkStart w:id="458" w:name="_Toc520356166"/>
    </w:p>
    <w:p w14:paraId="2910C76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03BDFF01">
      <w:pPr>
        <w:pageBreakBefore w:val="0"/>
        <w:numPr>
          <w:ilvl w:val="0"/>
          <w:numId w:val="8"/>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评审方法和评审标准</w:t>
      </w:r>
    </w:p>
    <w:p w14:paraId="2AEC7B44">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见第三章《评审方法和评审标准》。</w:t>
      </w:r>
    </w:p>
    <w:p w14:paraId="4D41B87E">
      <w:pPr>
        <w:pageBreakBefore w:val="0"/>
        <w:tabs>
          <w:tab w:val="left" w:pos="360"/>
          <w:tab w:val="left" w:pos="1080"/>
        </w:tabs>
        <w:wordWrap w:val="0"/>
        <w:topLinePunct w:val="0"/>
        <w:bidi w:val="0"/>
        <w:snapToGrid w:val="0"/>
        <w:spacing w:after="0" w:line="360" w:lineRule="auto"/>
        <w:ind w:left="1080"/>
        <w:textAlignment w:val="auto"/>
        <w:rPr>
          <w:rFonts w:hint="eastAsia" w:ascii="宋体" w:hAnsi="宋体" w:cs="宋体"/>
          <w:sz w:val="24"/>
          <w:highlight w:val="none"/>
        </w:rPr>
      </w:pPr>
    </w:p>
    <w:p w14:paraId="6D4F9CFA">
      <w:pPr>
        <w:pStyle w:val="3"/>
        <w:pageBreakBefore w:val="0"/>
        <w:wordWrap w:val="0"/>
        <w:topLinePunct w:val="0"/>
        <w:bidi w:val="0"/>
        <w:spacing w:before="0" w:after="0" w:line="360" w:lineRule="auto"/>
        <w:textAlignment w:val="auto"/>
        <w:rPr>
          <w:rFonts w:hint="eastAsia" w:ascii="宋体" w:hAnsi="宋体" w:eastAsia="宋体" w:cs="宋体"/>
          <w:sz w:val="28"/>
          <w:highlight w:val="none"/>
        </w:rPr>
      </w:pPr>
      <w:bookmarkStart w:id="460" w:name="_Toc195842910"/>
      <w:bookmarkStart w:id="461" w:name="_Toc151193643"/>
      <w:bookmarkStart w:id="462" w:name="_Toc151190172"/>
      <w:bookmarkStart w:id="463" w:name="_Toc127151545"/>
      <w:bookmarkStart w:id="464" w:name="_Toc150509296"/>
      <w:bookmarkStart w:id="465" w:name="_Toc305158887"/>
      <w:bookmarkStart w:id="466" w:name="_Toc151193933"/>
      <w:bookmarkStart w:id="467" w:name="_Toc150774750"/>
      <w:bookmarkStart w:id="468" w:name="_Toc226965735"/>
      <w:bookmarkStart w:id="469" w:name="_Toc305158813"/>
      <w:bookmarkStart w:id="470" w:name="_Toc226337241"/>
      <w:bookmarkStart w:id="471" w:name="_Toc226965818"/>
      <w:bookmarkStart w:id="472" w:name="_Toc150774645"/>
      <w:bookmarkStart w:id="473" w:name="_Toc151193715"/>
      <w:bookmarkStart w:id="474" w:name="_Toc226309789"/>
      <w:bookmarkStart w:id="475" w:name="_Toc151193787"/>
      <w:bookmarkStart w:id="476" w:name="_Toc151193859"/>
      <w:bookmarkStart w:id="477" w:name="_Toc265228383"/>
      <w:bookmarkStart w:id="478" w:name="_Toc150480783"/>
      <w:bookmarkStart w:id="479" w:name="_Toc142311047"/>
      <w:bookmarkStart w:id="480" w:name="_Toc264969235"/>
      <w:r>
        <w:rPr>
          <w:rFonts w:hint="eastAsia" w:ascii="宋体" w:hAnsi="宋体" w:eastAsia="宋体" w:cs="宋体"/>
          <w:sz w:val="28"/>
          <w:highlight w:val="none"/>
        </w:rPr>
        <w:t xml:space="preserve">六   </w:t>
      </w:r>
      <w:bookmarkEnd w:id="459"/>
      <w:r>
        <w:rPr>
          <w:rFonts w:hint="eastAsia" w:ascii="宋体" w:hAnsi="宋体" w:eastAsia="宋体" w:cs="宋体"/>
          <w:sz w:val="28"/>
          <w:highlight w:val="none"/>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hint="eastAsia" w:ascii="宋体" w:hAnsi="宋体" w:eastAsia="宋体" w:cs="宋体"/>
          <w:sz w:val="28"/>
          <w:highlight w:val="none"/>
        </w:rPr>
        <w:t>成交</w:t>
      </w:r>
    </w:p>
    <w:p w14:paraId="22460F8B">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481" w:name="_Toc264969237"/>
      <w:bookmarkStart w:id="482" w:name="_Toc150509298"/>
      <w:bookmarkStart w:id="483" w:name="_Toc195842912"/>
      <w:bookmarkStart w:id="484" w:name="_Toc164608661"/>
      <w:bookmarkStart w:id="485" w:name="_Toc150774647"/>
      <w:bookmarkStart w:id="486" w:name="_Toc305158815"/>
      <w:bookmarkStart w:id="487" w:name="_Toc151190174"/>
      <w:bookmarkStart w:id="488" w:name="_Toc142311049"/>
      <w:bookmarkStart w:id="489" w:name="_Toc164229388"/>
      <w:bookmarkStart w:id="490" w:name="_Toc127151547"/>
      <w:bookmarkStart w:id="491" w:name="_Toc226337243"/>
      <w:bookmarkStart w:id="492" w:name="_Toc127161461"/>
      <w:bookmarkStart w:id="493" w:name="_Toc150480785"/>
      <w:bookmarkStart w:id="494" w:name="_Toc151193861"/>
      <w:bookmarkStart w:id="495" w:name="_Toc164608816"/>
      <w:bookmarkStart w:id="496" w:name="_Toc151193645"/>
      <w:bookmarkStart w:id="497" w:name="_Toc127151748"/>
      <w:bookmarkStart w:id="498" w:name="_Toc150774752"/>
      <w:bookmarkStart w:id="499" w:name="_Toc305158889"/>
      <w:bookmarkStart w:id="500" w:name="_Toc226965820"/>
      <w:bookmarkStart w:id="501" w:name="_Toc149720840"/>
      <w:bookmarkStart w:id="502" w:name="_Toc226309791"/>
      <w:bookmarkStart w:id="503" w:name="_Toc151193935"/>
      <w:bookmarkStart w:id="504" w:name="_Toc151193789"/>
      <w:bookmarkStart w:id="505" w:name="_Toc164351641"/>
      <w:bookmarkStart w:id="506" w:name="_Toc265228385"/>
      <w:bookmarkStart w:id="507" w:name="_Toc226965737"/>
      <w:bookmarkStart w:id="508" w:name="_Toc164229242"/>
      <w:bookmarkStart w:id="509" w:name="_Toc151193717"/>
      <w:r>
        <w:rPr>
          <w:rFonts w:hint="eastAsia" w:ascii="宋体" w:hAnsi="宋体" w:cs="宋体"/>
          <w:sz w:val="24"/>
          <w:highlight w:val="none"/>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4CF108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6BACEE2">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10" w:name="_Toc305158817"/>
      <w:bookmarkStart w:id="511" w:name="_Toc305158891"/>
      <w:bookmarkStart w:id="512" w:name="_Toc164608818"/>
      <w:bookmarkStart w:id="513" w:name="_Toc149720842"/>
      <w:bookmarkStart w:id="514" w:name="_Toc164351643"/>
      <w:bookmarkStart w:id="515" w:name="_Toc151193791"/>
      <w:bookmarkStart w:id="516" w:name="_Toc226965739"/>
      <w:bookmarkStart w:id="517" w:name="_Toc150480787"/>
      <w:bookmarkStart w:id="518" w:name="_Toc127151549"/>
      <w:bookmarkStart w:id="519" w:name="_Toc226337245"/>
      <w:bookmarkStart w:id="520" w:name="_Toc265228387"/>
      <w:bookmarkStart w:id="521" w:name="_Toc151193719"/>
      <w:bookmarkStart w:id="522" w:name="_Toc226309793"/>
      <w:bookmarkStart w:id="523" w:name="_Toc151193647"/>
      <w:bookmarkStart w:id="524" w:name="_Toc127161463"/>
      <w:bookmarkStart w:id="525" w:name="_Toc164229244"/>
      <w:bookmarkStart w:id="526" w:name="_Toc151193937"/>
      <w:bookmarkStart w:id="527" w:name="_Toc151190176"/>
      <w:bookmarkStart w:id="528" w:name="_Toc151193863"/>
      <w:bookmarkStart w:id="529" w:name="_Toc164608663"/>
      <w:bookmarkStart w:id="530" w:name="_Toc164229390"/>
      <w:bookmarkStart w:id="531" w:name="_Toc195842914"/>
      <w:bookmarkStart w:id="532" w:name="_Toc142311051"/>
      <w:bookmarkStart w:id="533" w:name="_Toc226965822"/>
      <w:bookmarkStart w:id="534" w:name="_Toc264969239"/>
      <w:bookmarkStart w:id="535" w:name="_Toc150774754"/>
      <w:bookmarkStart w:id="536" w:name="_Toc150774649"/>
      <w:bookmarkStart w:id="537" w:name="_Toc150509300"/>
      <w:bookmarkStart w:id="538" w:name="_Toc127151750"/>
      <w:bookmarkStart w:id="539" w:name="_Ref467307090"/>
      <w:bookmarkStart w:id="540" w:name="_Toc520356176"/>
      <w:bookmarkStart w:id="541" w:name="_Ref467306425"/>
      <w:r>
        <w:rPr>
          <w:rFonts w:hint="eastAsia" w:ascii="宋体" w:hAnsi="宋体" w:cs="宋体"/>
          <w:sz w:val="24"/>
          <w:highlight w:val="none"/>
        </w:rPr>
        <w:t>成交公告与成交通知书</w:t>
      </w:r>
      <w:bookmarkEnd w:id="510"/>
      <w:bookmarkEnd w:id="511"/>
    </w:p>
    <w:p w14:paraId="079F900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采购人或采购代理机构将</w:t>
      </w:r>
      <w:r>
        <w:rPr>
          <w:rFonts w:hint="eastAsia" w:ascii="宋体" w:hAnsi="宋体" w:cs="宋体"/>
          <w:kern w:val="0"/>
          <w:sz w:val="24"/>
          <w:highlight w:val="none"/>
        </w:rPr>
        <w:t>在成交供应商确定后2个工作日内，在</w:t>
      </w:r>
      <w:r>
        <w:rPr>
          <w:rFonts w:hint="eastAsia" w:ascii="宋体" w:hAnsi="宋体" w:cs="宋体"/>
          <w:sz w:val="24"/>
          <w:highlight w:val="none"/>
        </w:rPr>
        <w:t>北京市政府采购网、中国政府采购网</w:t>
      </w:r>
      <w:r>
        <w:rPr>
          <w:rFonts w:hint="eastAsia" w:ascii="宋体" w:hAnsi="宋体" w:cs="宋体"/>
          <w:kern w:val="0"/>
          <w:sz w:val="24"/>
          <w:highlight w:val="none"/>
        </w:rPr>
        <w:t>公告成交结果，同时向成交供应商发出成交通知书，</w:t>
      </w:r>
      <w:r>
        <w:rPr>
          <w:rFonts w:hint="eastAsia" w:ascii="宋体" w:hAnsi="宋体" w:cs="宋体"/>
          <w:sz w:val="24"/>
          <w:highlight w:val="none"/>
        </w:rPr>
        <w:t>成交公告期限为1个工作日。</w:t>
      </w:r>
    </w:p>
    <w:p w14:paraId="0F65A49B">
      <w:pPr>
        <w:pageBreakBefore w:val="0"/>
        <w:numPr>
          <w:ilvl w:val="1"/>
          <w:numId w:val="8"/>
        </w:numPr>
        <w:tabs>
          <w:tab w:val="left" w:pos="1080"/>
          <w:tab w:val="left" w:pos="2014"/>
        </w:tabs>
        <w:wordWrap w:val="0"/>
        <w:topLinePunct w:val="0"/>
        <w:bidi w:val="0"/>
        <w:snapToGrid w:val="0"/>
        <w:spacing w:after="0" w:line="360" w:lineRule="auto"/>
        <w:ind w:left="1080" w:hanging="720"/>
        <w:textAlignment w:val="auto"/>
        <w:rPr>
          <w:rFonts w:hint="eastAsia" w:ascii="宋体" w:hAnsi="宋体" w:cs="宋体"/>
          <w:sz w:val="24"/>
          <w:highlight w:val="none"/>
        </w:rPr>
      </w:pPr>
      <w:r>
        <w:rPr>
          <w:rFonts w:hint="eastAsia" w:ascii="宋体" w:hAnsi="宋体" w:cs="宋体"/>
          <w:sz w:val="24"/>
          <w:highlight w:val="none"/>
        </w:rPr>
        <w:t>成交通知书对采购人和成交供应商均具有法律效力。成交通知书发出后，采购人改变成交结果的，或者成交供应商放弃成交项目的，将依法承担法律责任。</w:t>
      </w:r>
    </w:p>
    <w:p w14:paraId="4968810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终止</w:t>
      </w:r>
    </w:p>
    <w:p w14:paraId="492B0EFC">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在采购中，出现下列情形之一的，采购人或采购代理机构将终止竞争性磋商采购活动，发布项目终止公告并说明原因，重新开展采购活动：</w:t>
      </w:r>
    </w:p>
    <w:p w14:paraId="13EAB5C9">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因情况变化，不再符合规定的竞争性磋商采购方式适用情形的；</w:t>
      </w:r>
    </w:p>
    <w:p w14:paraId="2E4CAA8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出现影响采购公正的违法、违规行为的；</w:t>
      </w:r>
    </w:p>
    <w:p w14:paraId="4E35B91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7E0B1B05">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bookmarkStart w:id="542" w:name="_Toc127151550"/>
      <w:bookmarkStart w:id="543" w:name="_Toc150480788"/>
      <w:bookmarkStart w:id="544" w:name="_Toc151193792"/>
      <w:bookmarkStart w:id="545" w:name="_Toc151193648"/>
      <w:bookmarkStart w:id="546" w:name="_Toc151193720"/>
      <w:bookmarkStart w:id="547" w:name="_Ref467306377"/>
      <w:bookmarkStart w:id="548" w:name="_Toc150774755"/>
      <w:bookmarkStart w:id="549" w:name="_Toc164351644"/>
      <w:bookmarkStart w:id="550" w:name="_Toc520356175"/>
      <w:bookmarkStart w:id="551" w:name="_Toc264969240"/>
      <w:bookmarkStart w:id="552" w:name="_Toc127161464"/>
      <w:bookmarkStart w:id="553" w:name="_Toc151193938"/>
      <w:bookmarkStart w:id="554" w:name="_Toc305158818"/>
      <w:bookmarkStart w:id="555" w:name="_Toc226337246"/>
      <w:bookmarkStart w:id="556" w:name="_Toc151193864"/>
      <w:bookmarkStart w:id="557" w:name="_Toc195842915"/>
      <w:bookmarkStart w:id="558" w:name="_Toc164229245"/>
      <w:bookmarkStart w:id="559" w:name="_Toc142311052"/>
      <w:bookmarkStart w:id="560" w:name="_Toc265228388"/>
      <w:bookmarkStart w:id="561" w:name="_Ref467306978"/>
      <w:bookmarkStart w:id="562" w:name="_Toc149720843"/>
      <w:bookmarkStart w:id="563" w:name="_Ref467307062"/>
      <w:bookmarkStart w:id="564" w:name="_Toc150509301"/>
      <w:bookmarkStart w:id="565" w:name="_Toc151190177"/>
      <w:bookmarkStart w:id="566" w:name="_Toc164608664"/>
      <w:bookmarkStart w:id="567" w:name="_Toc305158892"/>
      <w:bookmarkStart w:id="568" w:name="_Toc226965740"/>
      <w:bookmarkStart w:id="569" w:name="_Toc226309794"/>
      <w:bookmarkStart w:id="570" w:name="_Toc226965823"/>
      <w:bookmarkStart w:id="571" w:name="_Ref467307204"/>
      <w:bookmarkStart w:id="572" w:name="_Toc164608819"/>
      <w:bookmarkStart w:id="573" w:name="_Toc164229391"/>
      <w:bookmarkStart w:id="574" w:name="_Toc127151751"/>
      <w:bookmarkStart w:id="575" w:name="_Toc150774650"/>
      <w:r>
        <w:rPr>
          <w:rFonts w:hint="eastAsia" w:ascii="宋体" w:hAnsi="宋体" w:cs="宋体"/>
          <w:sz w:val="24"/>
          <w:highlight w:val="none"/>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0B18835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采购人与成交供应商将在成交通知书发出之日起30日内，按照磋商文件确定的合同文本以及采购标的、规格型号、采购金额、采购数量、技术和服务要求等事项签订政府采购合同。</w:t>
      </w:r>
    </w:p>
    <w:p w14:paraId="467318BD">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88E1B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联合体获得成交资格的，联合体各方应当共同与采购人签订合同，就采购合同约定的事项向采购人承担连带责任。</w:t>
      </w:r>
    </w:p>
    <w:p w14:paraId="464878F5">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政府采购合同不能转包。</w:t>
      </w:r>
    </w:p>
    <w:p w14:paraId="6555276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sz w:val="24"/>
          <w:highlight w:val="none"/>
        </w:rPr>
        <w:t>否则响应无效</w:t>
      </w:r>
      <w:r>
        <w:rPr>
          <w:rFonts w:hint="eastAsia" w:ascii="宋体" w:hAnsi="宋体" w:cs="宋体"/>
          <w:sz w:val="24"/>
          <w:highlight w:val="none"/>
        </w:rPr>
        <w:t>。成交供应商就采购项目和分包项目向采购人负责，分包供应商就分包项目承担责任。</w:t>
      </w:r>
    </w:p>
    <w:p w14:paraId="0ED61A9A">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“政采贷 ”融资指引：详见《供应商须知资料表》。</w:t>
      </w:r>
    </w:p>
    <w:bookmarkEnd w:id="539"/>
    <w:bookmarkEnd w:id="540"/>
    <w:bookmarkEnd w:id="541"/>
    <w:p w14:paraId="46C73A8B">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询问与质疑</w:t>
      </w:r>
    </w:p>
    <w:p w14:paraId="641DD3F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询问</w:t>
      </w:r>
    </w:p>
    <w:p w14:paraId="67599307">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供应商对政府采购活动事项有疑问的，可依法向采购人或采购代理机构提出询问，提出形式见《供应商须知资料表》。</w:t>
      </w:r>
    </w:p>
    <w:p w14:paraId="726A6DC0">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78014267">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质疑</w:t>
      </w:r>
    </w:p>
    <w:p w14:paraId="635D59BC">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0F4865EE">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677B0CC3">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A5829B">
      <w:pPr>
        <w:pageBreakBefore w:val="0"/>
        <w:numPr>
          <w:ilvl w:val="2"/>
          <w:numId w:val="8"/>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供应商应在法定质疑期内一次性提出针对同一采购程序环节的质疑，法定质疑期内针对同一采购程序环节再次提出的质疑，采购人、采购代理机构有权不予答复。</w:t>
      </w:r>
    </w:p>
    <w:p w14:paraId="4690787B">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接收询问和质疑的联系部门、联系电话和通讯地址见《供应商须知资料表》。</w:t>
      </w:r>
    </w:p>
    <w:p w14:paraId="2F6AF069">
      <w:pPr>
        <w:pageBreakBefore w:val="0"/>
        <w:numPr>
          <w:ilvl w:val="0"/>
          <w:numId w:val="8"/>
        </w:numPr>
        <w:tabs>
          <w:tab w:val="left" w:pos="360"/>
        </w:tabs>
        <w:wordWrap w:val="0"/>
        <w:topLinePunct w:val="0"/>
        <w:bidi w:val="0"/>
        <w:snapToGrid w:val="0"/>
        <w:spacing w:after="0" w:line="360" w:lineRule="auto"/>
        <w:ind w:left="357" w:hanging="357"/>
        <w:textAlignment w:val="auto"/>
        <w:outlineLvl w:val="2"/>
        <w:rPr>
          <w:rFonts w:hint="eastAsia" w:ascii="宋体" w:hAnsi="宋体" w:cs="宋体"/>
          <w:sz w:val="24"/>
          <w:highlight w:val="none"/>
        </w:rPr>
      </w:pPr>
      <w:r>
        <w:rPr>
          <w:rFonts w:hint="eastAsia" w:ascii="宋体" w:hAnsi="宋体" w:cs="宋体"/>
          <w:sz w:val="24"/>
          <w:highlight w:val="none"/>
        </w:rPr>
        <w:t>代理费</w:t>
      </w:r>
    </w:p>
    <w:p w14:paraId="3495AAEF">
      <w:pPr>
        <w:pageBreakBefore w:val="0"/>
        <w:numPr>
          <w:ilvl w:val="1"/>
          <w:numId w:val="8"/>
        </w:numPr>
        <w:tabs>
          <w:tab w:val="left" w:pos="1080"/>
          <w:tab w:val="left" w:pos="2014"/>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收费对象、收费标准及缴纳时间见《供应商须知资料表》。由成交供应商支付的，成交供应商须一次性向采购代理机构缴纳代理费，报价应包含代理费用。</w:t>
      </w:r>
    </w:p>
    <w:p w14:paraId="6CCB74E7">
      <w:pPr>
        <w:pageBreakBefore w:val="0"/>
        <w:tabs>
          <w:tab w:val="left" w:pos="360"/>
          <w:tab w:val="left" w:pos="1080"/>
        </w:tabs>
        <w:wordWrap w:val="0"/>
        <w:topLinePunct w:val="0"/>
        <w:bidi w:val="0"/>
        <w:snapToGrid w:val="0"/>
        <w:spacing w:after="0" w:line="360" w:lineRule="auto"/>
        <w:ind w:left="360"/>
        <w:textAlignment w:val="auto"/>
        <w:rPr>
          <w:rFonts w:hint="eastAsia" w:ascii="宋体" w:hAnsi="宋体" w:cs="宋体"/>
          <w:sz w:val="24"/>
          <w:highlight w:val="none"/>
        </w:rPr>
      </w:pPr>
    </w:p>
    <w:p w14:paraId="5450B934">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576" w:name="_Toc353873934"/>
      <w:bookmarkStart w:id="577" w:name="_Toc127151554"/>
      <w:bookmarkStart w:id="578" w:name="_Toc305158896"/>
      <w:bookmarkStart w:id="579" w:name="_Toc142311056"/>
      <w:bookmarkStart w:id="580" w:name="_Toc226337250"/>
      <w:bookmarkStart w:id="581" w:name="_Toc150774759"/>
      <w:bookmarkStart w:id="582" w:name="_Toc265228392"/>
      <w:bookmarkStart w:id="583" w:name="_Toc353873664"/>
      <w:bookmarkStart w:id="584" w:name="_Toc305158822"/>
      <w:bookmarkStart w:id="585" w:name="_Toc150480792"/>
      <w:bookmarkStart w:id="586" w:name="_Toc353825544"/>
      <w:bookmarkStart w:id="587" w:name="_Toc226965827"/>
      <w:bookmarkStart w:id="588" w:name="_Toc264969244"/>
      <w:r>
        <w:rPr>
          <w:rFonts w:hint="eastAsia" w:ascii="宋体" w:hAnsi="宋体" w:cs="宋体"/>
          <w:sz w:val="24"/>
          <w:highlight w:val="none"/>
        </w:rPr>
        <w:br w:type="page"/>
      </w:r>
      <w:bookmarkStart w:id="589" w:name="_Toc19126"/>
      <w:bookmarkStart w:id="590" w:name="_Toc8458"/>
      <w:r>
        <w:rPr>
          <w:rFonts w:hint="eastAsia" w:ascii="宋体" w:hAnsi="宋体" w:cs="宋体"/>
          <w:b/>
          <w:sz w:val="36"/>
          <w:szCs w:val="36"/>
          <w:highlight w:val="none"/>
        </w:rPr>
        <w:t xml:space="preserve">第三章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hint="eastAsia" w:ascii="宋体" w:hAnsi="宋体" w:cs="宋体"/>
          <w:b/>
          <w:sz w:val="36"/>
          <w:szCs w:val="36"/>
          <w:highlight w:val="none"/>
        </w:rPr>
        <w:t>评审方法和评审标准</w:t>
      </w:r>
      <w:bookmarkEnd w:id="589"/>
      <w:bookmarkEnd w:id="590"/>
      <w:bookmarkStart w:id="591" w:name="_Toc487900382"/>
    </w:p>
    <w:p w14:paraId="37DDE053">
      <w:pPr>
        <w:pStyle w:val="3"/>
        <w:pageBreakBefore w:val="0"/>
        <w:wordWrap w:val="0"/>
        <w:topLinePunct w:val="0"/>
        <w:bidi w:val="0"/>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一、资格审查程序</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1"/>
    <w:p w14:paraId="55F3A139">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bookmarkStart w:id="592" w:name="_Toc164608810"/>
      <w:bookmarkStart w:id="593" w:name="_Toc150480779"/>
      <w:bookmarkStart w:id="594" w:name="_Toc226965814"/>
      <w:bookmarkStart w:id="595" w:name="_Toc164229236"/>
      <w:bookmarkStart w:id="596" w:name="_Toc150774641"/>
      <w:bookmarkStart w:id="597" w:name="_Toc151193855"/>
      <w:bookmarkStart w:id="598" w:name="_Toc265228379"/>
      <w:bookmarkStart w:id="599" w:name="_Toc151193711"/>
      <w:bookmarkStart w:id="600" w:name="_Toc305158883"/>
      <w:bookmarkStart w:id="601" w:name="_Toc305158809"/>
      <w:bookmarkStart w:id="602" w:name="_Toc149720834"/>
      <w:bookmarkStart w:id="603" w:name="_Toc150774746"/>
      <w:bookmarkStart w:id="604" w:name="_Toc195842906"/>
      <w:bookmarkStart w:id="605" w:name="_Toc127151742"/>
      <w:bookmarkStart w:id="606" w:name="_Toc226309785"/>
      <w:bookmarkStart w:id="607" w:name="_Toc151193639"/>
      <w:bookmarkStart w:id="608" w:name="_Toc226337237"/>
      <w:bookmarkStart w:id="609" w:name="_Toc226965731"/>
      <w:bookmarkStart w:id="610" w:name="_Toc151193929"/>
      <w:bookmarkStart w:id="611" w:name="_Toc164351635"/>
      <w:bookmarkStart w:id="612" w:name="_Toc127151541"/>
      <w:bookmarkStart w:id="613" w:name="_Toc151190168"/>
      <w:bookmarkStart w:id="614" w:name="_Toc142311043"/>
      <w:bookmarkStart w:id="615" w:name="_Toc127161455"/>
      <w:bookmarkStart w:id="616" w:name="_Toc264969231"/>
      <w:bookmarkStart w:id="617" w:name="_Toc164608655"/>
      <w:bookmarkStart w:id="618" w:name="_Toc151193783"/>
      <w:bookmarkStart w:id="619" w:name="_Toc164229382"/>
      <w:bookmarkStart w:id="620" w:name="_Toc150509292"/>
      <w:bookmarkStart w:id="621" w:name="_Toc353873941"/>
      <w:bookmarkStart w:id="622" w:name="_Toc353825551"/>
      <w:bookmarkStart w:id="623" w:name="_Toc142311057"/>
      <w:bookmarkStart w:id="624" w:name="_Toc265228393"/>
      <w:bookmarkStart w:id="625" w:name="_Toc195842920"/>
      <w:bookmarkStart w:id="626" w:name="_Toc226965828"/>
      <w:bookmarkStart w:id="627" w:name="_Toc150774760"/>
      <w:bookmarkStart w:id="628" w:name="_Toc353825545"/>
      <w:bookmarkStart w:id="629" w:name="_Toc305158897"/>
      <w:bookmarkStart w:id="630" w:name="_Toc305158823"/>
      <w:bookmarkStart w:id="631" w:name="_Toc264969245"/>
      <w:bookmarkStart w:id="632" w:name="_Toc353873935"/>
      <w:bookmarkStart w:id="633" w:name="_Toc226337251"/>
      <w:bookmarkStart w:id="634" w:name="_Toc127151555"/>
      <w:bookmarkStart w:id="635" w:name="_Toc150480793"/>
      <w:bookmarkStart w:id="636" w:name="_Toc353873665"/>
      <w:r>
        <w:rPr>
          <w:rFonts w:hint="eastAsia" w:ascii="宋体" w:hAnsi="宋体" w:cs="宋体"/>
          <w:sz w:val="24"/>
          <w:highlight w:val="none"/>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hint="eastAsia" w:ascii="宋体" w:hAnsi="宋体" w:cs="宋体"/>
          <w:sz w:val="24"/>
          <w:highlight w:val="none"/>
        </w:rPr>
        <w:t>资格性检查和符合性审查</w:t>
      </w:r>
    </w:p>
    <w:p w14:paraId="7E7CF61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hint="eastAsia" w:ascii="宋体" w:hAnsi="宋体" w:cs="宋体"/>
          <w:b/>
          <w:sz w:val="24"/>
          <w:highlight w:val="none"/>
        </w:rPr>
        <w:t>无效响应</w:t>
      </w:r>
      <w:r>
        <w:rPr>
          <w:rFonts w:hint="eastAsia" w:ascii="宋体" w:hAnsi="宋体" w:cs="宋体"/>
          <w:sz w:val="24"/>
          <w:highlight w:val="none"/>
        </w:rPr>
        <w:t>处理，磋商小组应当告知提交响应文件的供应商。</w:t>
      </w:r>
    </w:p>
    <w:p w14:paraId="1AF92619">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《资格性检查要求》中对格式有要求的，除竞争性磋商文件另有规定外，均为“实质性格式”文件。</w:t>
      </w:r>
    </w:p>
    <w:p w14:paraId="633755D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《资格性检查要求》见下表：</w:t>
      </w:r>
    </w:p>
    <w:p w14:paraId="5CE4DAE4">
      <w:pPr>
        <w:pageBreakBefore w:val="0"/>
        <w:tabs>
          <w:tab w:val="left" w:pos="900"/>
          <w:tab w:val="left" w:pos="1080"/>
        </w:tabs>
        <w:wordWrap w:val="0"/>
        <w:topLinePunct w:val="0"/>
        <w:bidi w:val="0"/>
        <w:snapToGrid w:val="0"/>
        <w:spacing w:after="0" w:line="360" w:lineRule="auto"/>
        <w:ind w:left="1077" w:firstLine="2650" w:firstLineChars="1100"/>
        <w:textAlignment w:val="auto"/>
        <w:rPr>
          <w:rFonts w:hint="eastAsia" w:ascii="宋体" w:hAnsi="宋体" w:cs="宋体"/>
          <w:b/>
          <w:sz w:val="24"/>
          <w:highlight w:val="none"/>
        </w:rPr>
      </w:pPr>
      <w:r>
        <w:rPr>
          <w:rFonts w:hint="eastAsia" w:ascii="宋体" w:hAnsi="宋体" w:cs="宋体"/>
          <w:b/>
          <w:sz w:val="24"/>
          <w:highlight w:val="none"/>
        </w:rPr>
        <w:t>资格性检查要求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720"/>
        <w:gridCol w:w="4733"/>
        <w:gridCol w:w="1885"/>
      </w:tblGrid>
      <w:tr w14:paraId="49FC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2AE4919">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bookmarkStart w:id="637" w:name="_Hlt487972895"/>
            <w:bookmarkEnd w:id="637"/>
            <w:r>
              <w:rPr>
                <w:rFonts w:hint="eastAsia" w:ascii="宋体" w:hAnsi="宋体" w:cs="宋体"/>
                <w:b/>
                <w:sz w:val="24"/>
                <w:highlight w:val="none"/>
              </w:rPr>
              <w:t>序号</w:t>
            </w:r>
          </w:p>
        </w:tc>
        <w:tc>
          <w:tcPr>
            <w:tcW w:w="937" w:type="pct"/>
            <w:vAlign w:val="center"/>
          </w:tcPr>
          <w:p w14:paraId="03372FFC">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检查因素</w:t>
            </w:r>
          </w:p>
        </w:tc>
        <w:tc>
          <w:tcPr>
            <w:tcW w:w="2579" w:type="pct"/>
            <w:vAlign w:val="center"/>
          </w:tcPr>
          <w:p w14:paraId="7738793C">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检查内容</w:t>
            </w:r>
          </w:p>
        </w:tc>
        <w:tc>
          <w:tcPr>
            <w:tcW w:w="1027" w:type="pct"/>
            <w:vAlign w:val="center"/>
          </w:tcPr>
          <w:p w14:paraId="4C8FF6D3">
            <w:pPr>
              <w:pageBreakBefore w:val="0"/>
              <w:tabs>
                <w:tab w:val="left" w:pos="1080"/>
              </w:tabs>
              <w:wordWrap w:val="0"/>
              <w:topLinePunct w:val="0"/>
              <w:bidi w:val="0"/>
              <w:snapToGrid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格式要求</w:t>
            </w:r>
          </w:p>
        </w:tc>
      </w:tr>
      <w:tr w14:paraId="7DEF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1BDC878">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w:t>
            </w:r>
          </w:p>
        </w:tc>
        <w:tc>
          <w:tcPr>
            <w:tcW w:w="937" w:type="pct"/>
            <w:vAlign w:val="center"/>
          </w:tcPr>
          <w:p w14:paraId="68C05B43">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满足《中华人民共和国政府采购法》第二十二条规定</w:t>
            </w:r>
          </w:p>
        </w:tc>
        <w:tc>
          <w:tcPr>
            <w:tcW w:w="2579" w:type="pct"/>
            <w:vAlign w:val="center"/>
          </w:tcPr>
          <w:p w14:paraId="367A17F9">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具体规定见第一章《采购邀请》。</w:t>
            </w:r>
          </w:p>
        </w:tc>
        <w:tc>
          <w:tcPr>
            <w:tcW w:w="1027" w:type="pct"/>
            <w:vAlign w:val="center"/>
          </w:tcPr>
          <w:p w14:paraId="04F674E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w:t>
            </w:r>
          </w:p>
        </w:tc>
      </w:tr>
      <w:tr w14:paraId="655F3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543BB7D">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1-1</w:t>
            </w:r>
          </w:p>
        </w:tc>
        <w:tc>
          <w:tcPr>
            <w:tcW w:w="937" w:type="pct"/>
            <w:vAlign w:val="center"/>
          </w:tcPr>
          <w:p w14:paraId="227C99D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营业执照等证明文件</w:t>
            </w:r>
          </w:p>
        </w:tc>
        <w:tc>
          <w:tcPr>
            <w:tcW w:w="2579" w:type="pct"/>
            <w:vAlign w:val="center"/>
          </w:tcPr>
          <w:p w14:paraId="212637AE">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供应商为企业（包括合伙企业）的，应提供有效的“营业执照”；</w:t>
            </w:r>
          </w:p>
          <w:p w14:paraId="5232C3A2">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供应商为事业单位的，应提供有效的“事业单位法人证书”；</w:t>
            </w:r>
          </w:p>
          <w:p w14:paraId="00880B4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7E245137">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供应商是个体工商户的，应提供有效的“个体工商户营业执照”；</w:t>
            </w:r>
          </w:p>
          <w:p w14:paraId="524CA94F">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供应商是自然人的，应提供有效的自然人身份证明。</w:t>
            </w:r>
          </w:p>
          <w:p w14:paraId="62082A84">
            <w:pPr>
              <w:pageBreakBefore w:val="0"/>
              <w:tabs>
                <w:tab w:val="left" w:pos="1080"/>
              </w:tabs>
              <w:wordWrap w:val="0"/>
              <w:topLinePunct w:val="0"/>
              <w:bidi w:val="0"/>
              <w:snapToGrid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分支机构参加响应的，应</w:t>
            </w:r>
            <w:r>
              <w:rPr>
                <w:rFonts w:hint="eastAsia" w:ascii="宋体" w:hAnsi="宋体" w:cs="宋体"/>
                <w:sz w:val="24"/>
                <w:highlight w:val="none"/>
              </w:rPr>
              <w:t>提</w:t>
            </w:r>
            <w:r>
              <w:rPr>
                <w:rFonts w:hint="eastAsia" w:ascii="宋体" w:hAnsi="宋体" w:cs="宋体"/>
                <w:color w:val="000000"/>
                <w:sz w:val="24"/>
                <w:highlight w:val="none"/>
              </w:rPr>
              <w:t>供该分支机构或</w:t>
            </w:r>
          </w:p>
          <w:p w14:paraId="6E53FC97">
            <w:pPr>
              <w:pageBreakBefore w:val="0"/>
              <w:tabs>
                <w:tab w:val="left" w:pos="1080"/>
              </w:tabs>
              <w:wordWrap w:val="0"/>
              <w:topLinePunct w:val="0"/>
              <w:bidi w:val="0"/>
              <w:snapToGrid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其所属法人/其他组织的相应证明文件；同时还应</w:t>
            </w:r>
            <w:r>
              <w:rPr>
                <w:rFonts w:hint="eastAsia" w:ascii="宋体" w:hAnsi="宋体" w:cs="宋体"/>
                <w:sz w:val="24"/>
                <w:highlight w:val="none"/>
              </w:rPr>
              <w:t>提</w:t>
            </w:r>
            <w:r>
              <w:rPr>
                <w:rFonts w:hint="eastAsia" w:ascii="宋体" w:hAnsi="宋体" w:cs="宋体"/>
                <w:color w:val="000000"/>
                <w:sz w:val="24"/>
                <w:highlight w:val="none"/>
              </w:rPr>
              <w:t>供其所属法人/其他组织出具的授权其参与本项目的授权书（格式自拟，须加盖其所属法人/其他组织的公章）；对于银行、保险、石油石化、电力、电信等行业的分支机构，可以</w:t>
            </w:r>
            <w:r>
              <w:rPr>
                <w:rFonts w:hint="eastAsia" w:ascii="宋体" w:hAnsi="宋体" w:cs="宋体"/>
                <w:sz w:val="24"/>
                <w:highlight w:val="none"/>
              </w:rPr>
              <w:t>提</w:t>
            </w:r>
            <w:r>
              <w:rPr>
                <w:rFonts w:hint="eastAsia" w:ascii="宋体" w:hAnsi="宋体" w:cs="宋体"/>
                <w:color w:val="000000"/>
                <w:sz w:val="24"/>
                <w:highlight w:val="none"/>
              </w:rPr>
              <w:t>供上述授权，也可以</w:t>
            </w:r>
            <w:r>
              <w:rPr>
                <w:rFonts w:hint="eastAsia" w:ascii="宋体" w:hAnsi="宋体" w:cs="宋体"/>
                <w:sz w:val="24"/>
                <w:highlight w:val="none"/>
              </w:rPr>
              <w:t>提</w:t>
            </w:r>
            <w:r>
              <w:rPr>
                <w:rFonts w:hint="eastAsia" w:ascii="宋体" w:hAnsi="宋体" w:cs="宋体"/>
                <w:color w:val="000000"/>
                <w:sz w:val="24"/>
                <w:highlight w:val="none"/>
              </w:rPr>
              <w:t>供其所属法人/其他组织的有关文件或制度等能够证明授权其独立开展业务的证明材料。</w:t>
            </w:r>
          </w:p>
        </w:tc>
        <w:tc>
          <w:tcPr>
            <w:tcW w:w="1027" w:type="pct"/>
            <w:vAlign w:val="center"/>
          </w:tcPr>
          <w:p w14:paraId="270E299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0848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0FC6D98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1-2</w:t>
            </w:r>
          </w:p>
        </w:tc>
        <w:tc>
          <w:tcPr>
            <w:tcW w:w="937" w:type="pct"/>
            <w:vAlign w:val="center"/>
          </w:tcPr>
          <w:p w14:paraId="5A94D57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供应商资格声明书</w:t>
            </w:r>
          </w:p>
        </w:tc>
        <w:tc>
          <w:tcPr>
            <w:tcW w:w="2579" w:type="pct"/>
            <w:vAlign w:val="center"/>
          </w:tcPr>
          <w:p w14:paraId="1ACDBE2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提供了符合竞争性磋商文件要求的《供应商资格声明书》。</w:t>
            </w:r>
          </w:p>
        </w:tc>
        <w:tc>
          <w:tcPr>
            <w:tcW w:w="1027" w:type="pct"/>
            <w:vAlign w:val="center"/>
          </w:tcPr>
          <w:p w14:paraId="6205819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23F9E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5AC52E54">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1-3</w:t>
            </w:r>
          </w:p>
        </w:tc>
        <w:tc>
          <w:tcPr>
            <w:tcW w:w="937" w:type="pct"/>
            <w:vAlign w:val="center"/>
          </w:tcPr>
          <w:p w14:paraId="598F251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供应商信用记录</w:t>
            </w:r>
          </w:p>
        </w:tc>
        <w:tc>
          <w:tcPr>
            <w:tcW w:w="2579" w:type="pct"/>
            <w:vAlign w:val="center"/>
          </w:tcPr>
          <w:p w14:paraId="638E64ED">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查询渠道：信用中国网站和中国政府采购网（www.creditchina.gov.cn、www.ccgp.gov</w:t>
            </w:r>
          </w:p>
          <w:p w14:paraId="68C2D12E">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.cn）；</w:t>
            </w:r>
          </w:p>
          <w:p w14:paraId="14DFBFEF">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截止时点：首次响应文件提交截止时间以后、资格性检查阶段采购人或采购代理机构的实际查询时间为准；</w:t>
            </w:r>
          </w:p>
          <w:p w14:paraId="66D2EEB7">
            <w:pPr>
              <w:pageBreakBefore w:val="0"/>
              <w:tabs>
                <w:tab w:val="left" w:pos="900"/>
                <w:tab w:val="left" w:pos="19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信用信息查询记录和证据留存具体方式：查询结果网页打印页作为查询记录和证据，与其他竞争性磋商文件一并保存；</w:t>
            </w:r>
          </w:p>
          <w:p w14:paraId="451CD9D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sz w:val="24"/>
                <w:highlight w:val="none"/>
              </w:rPr>
              <w:t>响应无效</w:t>
            </w:r>
            <w:r>
              <w:rPr>
                <w:rFonts w:hint="eastAsia" w:ascii="宋体" w:hAnsi="宋体" w:cs="宋体"/>
                <w:sz w:val="24"/>
                <w:highlight w:val="none"/>
              </w:rPr>
              <w:t>。联合体形式磋商的，联合体成员存在不良信用记录，视同联合体存在不良信用记录。</w:t>
            </w:r>
          </w:p>
        </w:tc>
        <w:tc>
          <w:tcPr>
            <w:tcW w:w="1027" w:type="pct"/>
            <w:vAlign w:val="center"/>
          </w:tcPr>
          <w:p w14:paraId="7EDDF48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无须供应商提供，由采购人或采购代理机构查询。</w:t>
            </w:r>
          </w:p>
        </w:tc>
      </w:tr>
      <w:tr w14:paraId="51E45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45E6692B">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1-4</w:t>
            </w:r>
          </w:p>
        </w:tc>
        <w:tc>
          <w:tcPr>
            <w:tcW w:w="937" w:type="pct"/>
            <w:vAlign w:val="center"/>
          </w:tcPr>
          <w:p w14:paraId="335D62E6">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法律、行政法</w:t>
            </w:r>
          </w:p>
          <w:p w14:paraId="20A7E7F3">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规规定的其他条件</w:t>
            </w:r>
          </w:p>
        </w:tc>
        <w:tc>
          <w:tcPr>
            <w:tcW w:w="2579" w:type="pct"/>
            <w:vAlign w:val="center"/>
          </w:tcPr>
          <w:p w14:paraId="647A194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法律、行政法规规定的其他条件。</w:t>
            </w:r>
          </w:p>
        </w:tc>
        <w:tc>
          <w:tcPr>
            <w:tcW w:w="1027" w:type="pct"/>
            <w:vAlign w:val="center"/>
          </w:tcPr>
          <w:p w14:paraId="3B29E93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6AE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F5A6C2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w:t>
            </w:r>
          </w:p>
        </w:tc>
        <w:tc>
          <w:tcPr>
            <w:tcW w:w="937" w:type="pct"/>
            <w:vAlign w:val="center"/>
          </w:tcPr>
          <w:p w14:paraId="0AF507D1">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落实政府采购政策需满足的资格要求</w:t>
            </w:r>
          </w:p>
        </w:tc>
        <w:tc>
          <w:tcPr>
            <w:tcW w:w="2579" w:type="pct"/>
            <w:vAlign w:val="center"/>
          </w:tcPr>
          <w:p w14:paraId="75398E00">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具体要求见第一章《采购邀请》。</w:t>
            </w:r>
          </w:p>
        </w:tc>
        <w:tc>
          <w:tcPr>
            <w:tcW w:w="1027" w:type="pct"/>
            <w:vAlign w:val="center"/>
          </w:tcPr>
          <w:p w14:paraId="3C09953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1C8FB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087E3EDE">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w:t>
            </w:r>
          </w:p>
        </w:tc>
        <w:tc>
          <w:tcPr>
            <w:tcW w:w="1720" w:type="dxa"/>
            <w:vAlign w:val="center"/>
          </w:tcPr>
          <w:p w14:paraId="6E3E8BC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中小企业政策</w:t>
            </w:r>
          </w:p>
        </w:tc>
        <w:tc>
          <w:tcPr>
            <w:tcW w:w="4732" w:type="dxa"/>
            <w:vAlign w:val="center"/>
          </w:tcPr>
          <w:p w14:paraId="70848BC2">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具体要求见第一章《采购邀请》。</w:t>
            </w:r>
          </w:p>
        </w:tc>
        <w:tc>
          <w:tcPr>
            <w:tcW w:w="1885" w:type="dxa"/>
            <w:vAlign w:val="center"/>
          </w:tcPr>
          <w:p w14:paraId="27F27C1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28E5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507423DA">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2-1-1</w:t>
            </w:r>
          </w:p>
        </w:tc>
        <w:tc>
          <w:tcPr>
            <w:tcW w:w="1720" w:type="dxa"/>
            <w:vAlign w:val="center"/>
          </w:tcPr>
          <w:p w14:paraId="1290337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中小企业证明文件</w:t>
            </w:r>
          </w:p>
        </w:tc>
        <w:tc>
          <w:tcPr>
            <w:tcW w:w="4732" w:type="dxa"/>
            <w:vAlign w:val="center"/>
          </w:tcPr>
          <w:p w14:paraId="411445A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当本项目（包）涉及预留份额专门面向中小企业采购，提供如下资料：</w:t>
            </w:r>
          </w:p>
          <w:p w14:paraId="41C22D6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1、供应商单独响应的，应提供《中小企业声明函》或《残疾人福利性单位声明函》或由省级以上监狱管理局、戒毒管理局（含新疆生产建设兵团）出具的属于监狱企业的证明文件。</w:t>
            </w:r>
          </w:p>
          <w:p w14:paraId="5154B8A9">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85" w:type="dxa"/>
            <w:vAlign w:val="center"/>
          </w:tcPr>
          <w:p w14:paraId="3A3D08FB">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46E54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3A1FA384">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2-1-2</w:t>
            </w:r>
          </w:p>
        </w:tc>
        <w:tc>
          <w:tcPr>
            <w:tcW w:w="1720" w:type="dxa"/>
            <w:vAlign w:val="center"/>
          </w:tcPr>
          <w:p w14:paraId="6AD0DFE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拟分包情况说明及分包意向协议</w:t>
            </w:r>
          </w:p>
        </w:tc>
        <w:tc>
          <w:tcPr>
            <w:tcW w:w="4732" w:type="dxa"/>
            <w:vAlign w:val="center"/>
          </w:tcPr>
          <w:p w14:paraId="6A2AC92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如本项目（包）要求通过分包措施预留部分采购份额面向中小企业采购、且投标人因落实政府采购政策拟进行分包的，必须提供；否则无须提供。</w:t>
            </w:r>
          </w:p>
          <w:p w14:paraId="0672EEF4">
            <w:pPr>
              <w:pageBreakBefore w:val="0"/>
              <w:tabs>
                <w:tab w:val="left" w:pos="1080"/>
              </w:tabs>
              <w:wordWrap w:val="0"/>
              <w:topLinePunct w:val="0"/>
              <w:bidi w:val="0"/>
              <w:snapToGrid w:val="0"/>
              <w:spacing w:after="0" w:line="360" w:lineRule="auto"/>
              <w:textAlignment w:val="auto"/>
              <w:rPr>
                <w:rFonts w:hint="eastAsia" w:ascii="宋体" w:hAnsi="宋体" w:cs="宋体"/>
                <w:b/>
                <w:sz w:val="24"/>
                <w:highlight w:val="none"/>
              </w:rPr>
            </w:pPr>
            <w:r>
              <w:rPr>
                <w:rFonts w:hint="eastAsia" w:ascii="宋体" w:hAnsi="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885" w:type="dxa"/>
            <w:vAlign w:val="center"/>
          </w:tcPr>
          <w:p w14:paraId="0245B2B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00EE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6622E141">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2-2</w:t>
            </w:r>
          </w:p>
        </w:tc>
        <w:tc>
          <w:tcPr>
            <w:tcW w:w="937" w:type="pct"/>
            <w:vAlign w:val="center"/>
          </w:tcPr>
          <w:p w14:paraId="6328611D">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其它落实政府采购政策的资格要求</w:t>
            </w:r>
          </w:p>
        </w:tc>
        <w:tc>
          <w:tcPr>
            <w:tcW w:w="2579" w:type="pct"/>
            <w:vAlign w:val="center"/>
          </w:tcPr>
          <w:p w14:paraId="1F2281F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如有，见第一章《采购邀请》</w:t>
            </w:r>
          </w:p>
        </w:tc>
        <w:tc>
          <w:tcPr>
            <w:tcW w:w="1027" w:type="pct"/>
            <w:vAlign w:val="center"/>
          </w:tcPr>
          <w:p w14:paraId="09E0677A">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3769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2" w:hRule="atLeast"/>
        </w:trPr>
        <w:tc>
          <w:tcPr>
            <w:tcW w:w="455" w:type="pct"/>
            <w:vAlign w:val="center"/>
          </w:tcPr>
          <w:p w14:paraId="56EA1AC3">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w:t>
            </w:r>
          </w:p>
        </w:tc>
        <w:tc>
          <w:tcPr>
            <w:tcW w:w="937" w:type="pct"/>
            <w:vAlign w:val="center"/>
          </w:tcPr>
          <w:p w14:paraId="6E117F95">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本项目的特定资格要求</w:t>
            </w:r>
          </w:p>
        </w:tc>
        <w:tc>
          <w:tcPr>
            <w:tcW w:w="2579" w:type="pct"/>
            <w:vAlign w:val="center"/>
          </w:tcPr>
          <w:p w14:paraId="30586D24">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如有，见第一章《采购邀请》。</w:t>
            </w:r>
          </w:p>
        </w:tc>
        <w:tc>
          <w:tcPr>
            <w:tcW w:w="1027" w:type="pct"/>
            <w:vAlign w:val="center"/>
          </w:tcPr>
          <w:p w14:paraId="4B5FDB37">
            <w:pPr>
              <w:pageBreakBefore w:val="0"/>
              <w:tabs>
                <w:tab w:val="left" w:pos="1080"/>
              </w:tabs>
              <w:wordWrap w:val="0"/>
              <w:topLinePunct w:val="0"/>
              <w:bidi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w:t>
            </w:r>
          </w:p>
        </w:tc>
      </w:tr>
      <w:tr w14:paraId="56C54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5" w:hRule="atLeast"/>
        </w:trPr>
        <w:tc>
          <w:tcPr>
            <w:tcW w:w="836" w:type="dxa"/>
            <w:vAlign w:val="center"/>
          </w:tcPr>
          <w:p w14:paraId="69ECC693">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3-1</w:t>
            </w:r>
          </w:p>
        </w:tc>
        <w:tc>
          <w:tcPr>
            <w:tcW w:w="1720" w:type="dxa"/>
            <w:vAlign w:val="center"/>
          </w:tcPr>
          <w:p w14:paraId="3B8AD41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本项目对于联合体的要求</w:t>
            </w:r>
          </w:p>
        </w:tc>
        <w:tc>
          <w:tcPr>
            <w:tcW w:w="4732" w:type="dxa"/>
            <w:vAlign w:val="center"/>
          </w:tcPr>
          <w:p w14:paraId="57F826C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w:t>
            </w:r>
            <w:r>
              <w:rPr>
                <w:rFonts w:hint="eastAsia" w:ascii="宋体" w:hAnsi="宋体" w:cs="宋体"/>
                <w:color w:val="000000"/>
                <w:kern w:val="0"/>
                <w:sz w:val="24"/>
                <w:highlight w:val="none"/>
              </w:rPr>
              <w:t>响应</w:t>
            </w:r>
            <w:r>
              <w:rPr>
                <w:rFonts w:hint="eastAsia" w:ascii="宋体" w:hAnsi="宋体" w:cs="宋体"/>
                <w:sz w:val="24"/>
                <w:highlight w:val="none"/>
              </w:rPr>
              <w:t>文件的组成部分，与响应文件其他内容同时递交。</w:t>
            </w:r>
          </w:p>
          <w:p w14:paraId="65F4ED7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2、联合体各成员单位均须提供本表中序号1-1、1-2的证明文件。联合体各成员单位均应满足本表3-2及3-3项规定。</w:t>
            </w:r>
          </w:p>
          <w:p w14:paraId="004614FF">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3、本表序号3-3项规定的其他特定资格要求中的每一小项要求，联合体各方中至少应当有一方符合本表中其他资格要求并提供证明文件。</w:t>
            </w:r>
          </w:p>
          <w:p w14:paraId="1BA0214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4、联合体中有同类资质的供应商按照联合体分工承担相同工作的，应当按照资质等级较低的供应商确定资质等级。</w:t>
            </w:r>
          </w:p>
          <w:p w14:paraId="692A5652">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5、以联合体形式参加政府采购活动的，联合体各方不得再单独参加或者与其他供应商另外组成联合体参加同一合同项下的政府采购活动。</w:t>
            </w:r>
          </w:p>
          <w:p w14:paraId="183E7DB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6、若联合体中任一成员单位中途退出，则该联合体的</w:t>
            </w:r>
            <w:r>
              <w:rPr>
                <w:rFonts w:hint="eastAsia" w:ascii="宋体" w:hAnsi="宋体" w:cs="宋体"/>
                <w:b/>
                <w:sz w:val="24"/>
                <w:highlight w:val="none"/>
              </w:rPr>
              <w:t>投标无效</w:t>
            </w:r>
            <w:r>
              <w:rPr>
                <w:rFonts w:hint="eastAsia" w:ascii="宋体" w:hAnsi="宋体" w:cs="宋体"/>
                <w:sz w:val="24"/>
                <w:highlight w:val="none"/>
              </w:rPr>
              <w:t>。</w:t>
            </w:r>
          </w:p>
          <w:p w14:paraId="306A1EAA">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7、本项目不接受联合体投标时，投标人不得为联合体。</w:t>
            </w:r>
          </w:p>
        </w:tc>
        <w:tc>
          <w:tcPr>
            <w:tcW w:w="1885" w:type="dxa"/>
            <w:vAlign w:val="center"/>
          </w:tcPr>
          <w:p w14:paraId="72272E4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提供《联合协议》原件的电子件</w:t>
            </w:r>
          </w:p>
          <w:p w14:paraId="642767C8">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21956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690B74D7">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3-2</w:t>
            </w:r>
          </w:p>
        </w:tc>
        <w:tc>
          <w:tcPr>
            <w:tcW w:w="1720" w:type="dxa"/>
            <w:vAlign w:val="center"/>
          </w:tcPr>
          <w:p w14:paraId="778E44C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政府购买服务承接主体的要求</w:t>
            </w:r>
          </w:p>
        </w:tc>
        <w:tc>
          <w:tcPr>
            <w:tcW w:w="4732" w:type="dxa"/>
            <w:vAlign w:val="center"/>
          </w:tcPr>
          <w:p w14:paraId="27F17CF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1885" w:type="dxa"/>
            <w:vAlign w:val="center"/>
          </w:tcPr>
          <w:p w14:paraId="7654783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格式见《响应文件格式》</w:t>
            </w:r>
          </w:p>
        </w:tc>
      </w:tr>
      <w:tr w14:paraId="7AE1A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7AC94A7A">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3-3</w:t>
            </w:r>
          </w:p>
        </w:tc>
        <w:tc>
          <w:tcPr>
            <w:tcW w:w="937" w:type="pct"/>
            <w:vAlign w:val="center"/>
          </w:tcPr>
          <w:p w14:paraId="173B1D43">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其他特定资格要求</w:t>
            </w:r>
          </w:p>
        </w:tc>
        <w:tc>
          <w:tcPr>
            <w:tcW w:w="2579" w:type="pct"/>
            <w:vAlign w:val="center"/>
          </w:tcPr>
          <w:p w14:paraId="51DE5F64">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如有，见第一章《采购邀请》</w:t>
            </w:r>
          </w:p>
          <w:p w14:paraId="5AFE672D">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注：如联合体中有同类资质的供应商按照联合体分工承担相同工作的，均应当提供资质证书电子件或电子证照。</w:t>
            </w:r>
          </w:p>
        </w:tc>
        <w:tc>
          <w:tcPr>
            <w:tcW w:w="1027" w:type="pct"/>
            <w:vAlign w:val="center"/>
          </w:tcPr>
          <w:p w14:paraId="6CC9201B">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提供证明文件的电子件或电子证照</w:t>
            </w:r>
          </w:p>
        </w:tc>
      </w:tr>
      <w:tr w14:paraId="1E91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455" w:type="pct"/>
            <w:vAlign w:val="center"/>
          </w:tcPr>
          <w:p w14:paraId="3DFE275C">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4</w:t>
            </w:r>
          </w:p>
        </w:tc>
        <w:tc>
          <w:tcPr>
            <w:tcW w:w="937" w:type="pct"/>
            <w:vAlign w:val="center"/>
          </w:tcPr>
          <w:p w14:paraId="5A38B9E1">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color w:val="000000"/>
                <w:kern w:val="0"/>
                <w:sz w:val="24"/>
                <w:highlight w:val="none"/>
              </w:rPr>
              <w:t>磋商保证金</w:t>
            </w:r>
          </w:p>
        </w:tc>
        <w:tc>
          <w:tcPr>
            <w:tcW w:w="2579" w:type="pct"/>
            <w:vAlign w:val="center"/>
          </w:tcPr>
          <w:p w14:paraId="4D3FD530">
            <w:pPr>
              <w:pageBreakBefore w:val="0"/>
              <w:tabs>
                <w:tab w:val="left" w:pos="1080"/>
              </w:tabs>
              <w:wordWrap w:val="0"/>
              <w:topLinePunct w:val="0"/>
              <w:bidi w:val="0"/>
              <w:snapToGrid w:val="0"/>
              <w:spacing w:after="0" w:line="360" w:lineRule="auto"/>
              <w:textAlignment w:val="auto"/>
              <w:rPr>
                <w:rFonts w:hint="eastAsia" w:ascii="宋体" w:hAnsi="宋体" w:cs="宋体"/>
                <w:color w:val="000000"/>
                <w:sz w:val="24"/>
                <w:highlight w:val="none"/>
              </w:rPr>
            </w:pPr>
            <w:r>
              <w:rPr>
                <w:rFonts w:hint="eastAsia" w:ascii="宋体" w:hAnsi="宋体" w:cs="宋体"/>
                <w:color w:val="000000"/>
                <w:kern w:val="0"/>
                <w:sz w:val="24"/>
                <w:highlight w:val="none"/>
              </w:rPr>
              <w:t>按照竞争性磋商文件的要求提交磋商保证金。</w:t>
            </w:r>
          </w:p>
        </w:tc>
        <w:tc>
          <w:tcPr>
            <w:tcW w:w="1027" w:type="pct"/>
            <w:vAlign w:val="center"/>
          </w:tcPr>
          <w:p w14:paraId="24E27439">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w:t>
            </w:r>
          </w:p>
        </w:tc>
      </w:tr>
      <w:tr w14:paraId="56EA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36" w:type="dxa"/>
            <w:vAlign w:val="center"/>
          </w:tcPr>
          <w:p w14:paraId="4AACD408">
            <w:pPr>
              <w:pageBreakBefore w:val="0"/>
              <w:tabs>
                <w:tab w:val="left" w:pos="1080"/>
              </w:tabs>
              <w:wordWrap w:val="0"/>
              <w:topLinePunct w:val="0"/>
              <w:bidi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5</w:t>
            </w:r>
          </w:p>
        </w:tc>
        <w:tc>
          <w:tcPr>
            <w:tcW w:w="1720" w:type="dxa"/>
            <w:vAlign w:val="center"/>
          </w:tcPr>
          <w:p w14:paraId="634F067A">
            <w:pPr>
              <w:pageBreakBefore w:val="0"/>
              <w:tabs>
                <w:tab w:val="left" w:pos="1080"/>
              </w:tabs>
              <w:wordWrap w:val="0"/>
              <w:topLinePunct w:val="0"/>
              <w:bidi w:val="0"/>
              <w:snapToGrid w:val="0"/>
              <w:spacing w:after="0" w:line="360" w:lineRule="auto"/>
              <w:textAlignment w:val="auto"/>
              <w:rPr>
                <w:rFonts w:hint="eastAsia" w:ascii="宋体" w:hAnsi="宋体" w:cs="宋体"/>
                <w:color w:val="000000"/>
                <w:kern w:val="0"/>
                <w:sz w:val="24"/>
                <w:highlight w:val="none"/>
              </w:rPr>
            </w:pPr>
            <w:r>
              <w:rPr>
                <w:rFonts w:hint="eastAsia" w:ascii="宋体" w:hAnsi="宋体" w:cs="宋体"/>
                <w:kern w:val="0"/>
                <w:sz w:val="24"/>
                <w:highlight w:val="none"/>
              </w:rPr>
              <w:t>获取磋商文件</w:t>
            </w:r>
          </w:p>
        </w:tc>
        <w:tc>
          <w:tcPr>
            <w:tcW w:w="4732" w:type="dxa"/>
            <w:vAlign w:val="center"/>
          </w:tcPr>
          <w:p w14:paraId="69B872C6">
            <w:pPr>
              <w:pageBreakBefore w:val="0"/>
              <w:tabs>
                <w:tab w:val="left" w:pos="1080"/>
              </w:tabs>
              <w:wordWrap w:val="0"/>
              <w:topLinePunct w:val="0"/>
              <w:bidi w:val="0"/>
              <w:snapToGrid w:val="0"/>
              <w:spacing w:after="0" w:line="360" w:lineRule="auto"/>
              <w:textAlignment w:val="auto"/>
              <w:rPr>
                <w:rFonts w:hint="eastAsia" w:ascii="宋体" w:hAnsi="宋体" w:cs="宋体"/>
                <w:kern w:val="0"/>
                <w:sz w:val="24"/>
                <w:highlight w:val="none"/>
              </w:rPr>
            </w:pPr>
            <w:r>
              <w:rPr>
                <w:rFonts w:hint="eastAsia" w:ascii="宋体" w:hAnsi="宋体" w:cs="宋体"/>
                <w:kern w:val="0"/>
                <w:sz w:val="24"/>
                <w:highlight w:val="none"/>
              </w:rPr>
              <w:t>在规定期限内通过北京市政府采购电子交易平台获取所参与包的磋商文件。</w:t>
            </w:r>
          </w:p>
          <w:p w14:paraId="64180AD1">
            <w:pPr>
              <w:pageBreakBefore w:val="0"/>
              <w:tabs>
                <w:tab w:val="left" w:pos="1080"/>
              </w:tabs>
              <w:wordWrap w:val="0"/>
              <w:topLinePunct w:val="0"/>
              <w:bidi w:val="0"/>
              <w:snapToGrid w:val="0"/>
              <w:spacing w:after="0" w:line="360" w:lineRule="auto"/>
              <w:textAlignment w:val="auto"/>
              <w:rPr>
                <w:rFonts w:hint="eastAsia" w:ascii="宋体" w:hAnsi="宋体" w:cs="宋体"/>
                <w:color w:val="000000"/>
                <w:kern w:val="0"/>
                <w:sz w:val="24"/>
                <w:highlight w:val="none"/>
              </w:rPr>
            </w:pPr>
            <w:r>
              <w:rPr>
                <w:rFonts w:hint="eastAsia" w:ascii="宋体" w:hAnsi="宋体" w:cs="宋体"/>
                <w:kern w:val="0"/>
                <w:sz w:val="24"/>
                <w:highlight w:val="none"/>
              </w:rPr>
              <w:t>注：如本项目接受联合体，且供应商为联合体时，联合体中任一成员获取文件即视为满足要求。</w:t>
            </w:r>
          </w:p>
        </w:tc>
        <w:tc>
          <w:tcPr>
            <w:tcW w:w="1027" w:type="pct"/>
            <w:vAlign w:val="center"/>
          </w:tcPr>
          <w:p w14:paraId="0963DB8E">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p>
        </w:tc>
      </w:tr>
    </w:tbl>
    <w:p w14:paraId="7FF2EBA5">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254705BD">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《符合性审查要求》见下表：</w:t>
      </w:r>
    </w:p>
    <w:p w14:paraId="30B3F39C">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690"/>
        <w:gridCol w:w="4597"/>
        <w:gridCol w:w="1886"/>
      </w:tblGrid>
      <w:tr w14:paraId="269C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2957A3F">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921" w:type="pct"/>
            <w:shd w:val="clear" w:color="auto" w:fill="auto"/>
            <w:vAlign w:val="center"/>
          </w:tcPr>
          <w:p w14:paraId="3B7F7CCF">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因素</w:t>
            </w:r>
          </w:p>
        </w:tc>
        <w:tc>
          <w:tcPr>
            <w:tcW w:w="2505" w:type="pct"/>
            <w:shd w:val="clear" w:color="auto" w:fill="auto"/>
            <w:vAlign w:val="center"/>
          </w:tcPr>
          <w:p w14:paraId="24E3D457">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sz w:val="24"/>
                <w:highlight w:val="none"/>
              </w:rPr>
              <w:t>检查</w:t>
            </w:r>
            <w:r>
              <w:rPr>
                <w:rFonts w:hint="eastAsia" w:ascii="宋体" w:hAnsi="宋体" w:cs="宋体"/>
                <w:b/>
                <w:color w:val="000000"/>
                <w:kern w:val="0"/>
                <w:sz w:val="24"/>
                <w:highlight w:val="none"/>
              </w:rPr>
              <w:t>内容</w:t>
            </w:r>
          </w:p>
        </w:tc>
        <w:tc>
          <w:tcPr>
            <w:tcW w:w="1028" w:type="pct"/>
            <w:shd w:val="clear" w:color="auto" w:fill="auto"/>
            <w:vAlign w:val="center"/>
          </w:tcPr>
          <w:p w14:paraId="5355CE7E">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是否允许澄清、</w:t>
            </w:r>
          </w:p>
          <w:p w14:paraId="1DDF9D27">
            <w:pPr>
              <w:pageBreakBefore w:val="0"/>
              <w:widowControl/>
              <w:wordWrap w:val="0"/>
              <w:topLinePunct w:val="0"/>
              <w:bidi w:val="0"/>
              <w:spacing w:after="0" w:line="360" w:lineRule="auto"/>
              <w:jc w:val="center"/>
              <w:textAlignment w:val="auto"/>
              <w:rPr>
                <w:rFonts w:hint="eastAsia" w:ascii="宋体" w:hAnsi="宋体" w:cs="宋体"/>
                <w:b/>
                <w:color w:val="000000"/>
                <w:kern w:val="0"/>
                <w:sz w:val="24"/>
                <w:highlight w:val="none"/>
              </w:rPr>
            </w:pPr>
            <w:r>
              <w:rPr>
                <w:rFonts w:hint="eastAsia" w:ascii="宋体" w:hAnsi="宋体" w:cs="宋体"/>
                <w:b/>
                <w:color w:val="000000"/>
                <w:kern w:val="0"/>
                <w:sz w:val="24"/>
                <w:highlight w:val="none"/>
              </w:rPr>
              <w:t>说明或者更正</w:t>
            </w:r>
          </w:p>
        </w:tc>
      </w:tr>
      <w:tr w14:paraId="0A07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645D7D4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921" w:type="pct"/>
            <w:shd w:val="clear" w:color="auto" w:fill="auto"/>
            <w:vAlign w:val="center"/>
          </w:tcPr>
          <w:p w14:paraId="719CFAE4">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授权委托书</w:t>
            </w:r>
          </w:p>
        </w:tc>
        <w:tc>
          <w:tcPr>
            <w:tcW w:w="2505" w:type="pct"/>
            <w:shd w:val="clear" w:color="auto" w:fill="auto"/>
            <w:vAlign w:val="center"/>
          </w:tcPr>
          <w:p w14:paraId="2E51E9B3">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按</w:t>
            </w:r>
            <w:r>
              <w:rPr>
                <w:rFonts w:hint="eastAsia" w:ascii="宋体" w:hAnsi="宋体" w:cs="宋体"/>
                <w:sz w:val="24"/>
                <w:highlight w:val="none"/>
              </w:rPr>
              <w:t>磋商</w:t>
            </w:r>
            <w:r>
              <w:rPr>
                <w:rFonts w:hint="eastAsia" w:ascii="宋体" w:hAnsi="宋体" w:cs="宋体"/>
                <w:color w:val="000000"/>
                <w:kern w:val="0"/>
                <w:sz w:val="24"/>
                <w:highlight w:val="none"/>
              </w:rPr>
              <w:t>文件要求提供授权委托书；</w:t>
            </w:r>
          </w:p>
        </w:tc>
        <w:tc>
          <w:tcPr>
            <w:tcW w:w="1028" w:type="pct"/>
            <w:shd w:val="clear" w:color="auto" w:fill="auto"/>
            <w:vAlign w:val="center"/>
          </w:tcPr>
          <w:p w14:paraId="177F4F0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507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46B0255">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921" w:type="pct"/>
            <w:shd w:val="clear" w:color="auto" w:fill="auto"/>
            <w:vAlign w:val="center"/>
          </w:tcPr>
          <w:p w14:paraId="28455D3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投标完整性</w:t>
            </w:r>
          </w:p>
        </w:tc>
        <w:tc>
          <w:tcPr>
            <w:tcW w:w="2505" w:type="pct"/>
            <w:shd w:val="clear" w:color="auto" w:fill="auto"/>
            <w:vAlign w:val="center"/>
          </w:tcPr>
          <w:p w14:paraId="08167EE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未将一个采购包中的内容拆开投标；</w:t>
            </w:r>
          </w:p>
        </w:tc>
        <w:tc>
          <w:tcPr>
            <w:tcW w:w="1028" w:type="pct"/>
            <w:shd w:val="clear" w:color="auto" w:fill="auto"/>
            <w:vAlign w:val="center"/>
          </w:tcPr>
          <w:p w14:paraId="620FD915">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7A4F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6A51BB8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921" w:type="pct"/>
            <w:shd w:val="clear" w:color="auto" w:fill="auto"/>
            <w:vAlign w:val="center"/>
          </w:tcPr>
          <w:p w14:paraId="5C9474B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w:t>
            </w:r>
          </w:p>
        </w:tc>
        <w:tc>
          <w:tcPr>
            <w:tcW w:w="2505" w:type="pct"/>
            <w:shd w:val="clear" w:color="auto" w:fill="auto"/>
            <w:vAlign w:val="center"/>
          </w:tcPr>
          <w:p w14:paraId="464EC402">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投标报价未</w:t>
            </w:r>
            <w:r>
              <w:rPr>
                <w:rFonts w:hint="eastAsia" w:ascii="宋体" w:hAnsi="宋体" w:cs="宋体"/>
                <w:color w:val="000000"/>
                <w:sz w:val="24"/>
                <w:highlight w:val="none"/>
              </w:rPr>
              <w:t>超过</w:t>
            </w:r>
            <w:r>
              <w:rPr>
                <w:rFonts w:hint="eastAsia" w:ascii="宋体" w:hAnsi="宋体" w:cs="宋体"/>
                <w:sz w:val="24"/>
                <w:highlight w:val="none"/>
              </w:rPr>
              <w:t>磋商</w:t>
            </w:r>
            <w:r>
              <w:rPr>
                <w:rFonts w:hint="eastAsia" w:ascii="宋体" w:hAnsi="宋体" w:cs="宋体"/>
                <w:color w:val="000000"/>
                <w:sz w:val="24"/>
                <w:highlight w:val="none"/>
              </w:rPr>
              <w:t>文件中规定的项目/采购包预算金额或者项目/采购包最高限价</w:t>
            </w:r>
            <w:r>
              <w:rPr>
                <w:rFonts w:hint="eastAsia" w:ascii="宋体" w:hAnsi="宋体" w:cs="宋体"/>
                <w:color w:val="000000"/>
                <w:kern w:val="0"/>
                <w:sz w:val="24"/>
                <w:highlight w:val="none"/>
              </w:rPr>
              <w:t>；</w:t>
            </w:r>
          </w:p>
        </w:tc>
        <w:tc>
          <w:tcPr>
            <w:tcW w:w="1028" w:type="pct"/>
            <w:shd w:val="clear" w:color="auto" w:fill="auto"/>
            <w:vAlign w:val="center"/>
          </w:tcPr>
          <w:p w14:paraId="56C262A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7C6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E2E61E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921" w:type="pct"/>
            <w:shd w:val="clear" w:color="auto" w:fill="auto"/>
            <w:vAlign w:val="center"/>
          </w:tcPr>
          <w:p w14:paraId="346F1E68">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报价唯一性</w:t>
            </w:r>
          </w:p>
        </w:tc>
        <w:tc>
          <w:tcPr>
            <w:tcW w:w="2505" w:type="pct"/>
            <w:shd w:val="clear" w:color="auto" w:fill="auto"/>
            <w:vAlign w:val="center"/>
          </w:tcPr>
          <w:p w14:paraId="25EE51C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响应文件未</w:t>
            </w:r>
            <w:r>
              <w:rPr>
                <w:rFonts w:hint="eastAsia" w:ascii="宋体" w:hAnsi="宋体" w:cs="宋体"/>
                <w:sz w:val="24"/>
                <w:highlight w:val="none"/>
              </w:rPr>
              <w:t>出现可选择性或可调整的报价（磋商文件另有规定的除外）</w:t>
            </w:r>
            <w:r>
              <w:rPr>
                <w:rFonts w:hint="eastAsia" w:ascii="宋体" w:hAnsi="宋体" w:cs="宋体"/>
                <w:color w:val="000000"/>
                <w:kern w:val="0"/>
                <w:sz w:val="24"/>
                <w:highlight w:val="none"/>
              </w:rPr>
              <w:t>；</w:t>
            </w:r>
          </w:p>
        </w:tc>
        <w:tc>
          <w:tcPr>
            <w:tcW w:w="1028" w:type="pct"/>
            <w:shd w:val="clear" w:color="auto" w:fill="auto"/>
            <w:vAlign w:val="center"/>
          </w:tcPr>
          <w:p w14:paraId="42C4ED0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549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492255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5</w:t>
            </w:r>
          </w:p>
        </w:tc>
        <w:tc>
          <w:tcPr>
            <w:tcW w:w="921" w:type="pct"/>
            <w:shd w:val="clear" w:color="auto" w:fill="auto"/>
            <w:vAlign w:val="center"/>
          </w:tcPr>
          <w:p w14:paraId="15B046B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响应有效期</w:t>
            </w:r>
          </w:p>
        </w:tc>
        <w:tc>
          <w:tcPr>
            <w:tcW w:w="2505" w:type="pct"/>
            <w:shd w:val="clear" w:color="auto" w:fill="auto"/>
            <w:vAlign w:val="center"/>
          </w:tcPr>
          <w:p w14:paraId="2694A8F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响应文件中承诺的响应有效期满足</w:t>
            </w:r>
            <w:r>
              <w:rPr>
                <w:rFonts w:hint="eastAsia" w:ascii="宋体" w:hAnsi="宋体" w:cs="宋体"/>
                <w:sz w:val="24"/>
                <w:highlight w:val="none"/>
              </w:rPr>
              <w:t>磋商</w:t>
            </w:r>
            <w:r>
              <w:rPr>
                <w:rFonts w:hint="eastAsia" w:ascii="宋体" w:hAnsi="宋体" w:cs="宋体"/>
                <w:color w:val="000000"/>
                <w:kern w:val="0"/>
                <w:sz w:val="24"/>
                <w:highlight w:val="none"/>
              </w:rPr>
              <w:t>文件中载明的响应有效期的；</w:t>
            </w:r>
          </w:p>
        </w:tc>
        <w:tc>
          <w:tcPr>
            <w:tcW w:w="1028" w:type="pct"/>
            <w:shd w:val="clear" w:color="auto" w:fill="auto"/>
            <w:vAlign w:val="center"/>
          </w:tcPr>
          <w:p w14:paraId="30234CE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763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45" w:type="pct"/>
            <w:shd w:val="clear" w:color="auto" w:fill="auto"/>
            <w:vAlign w:val="center"/>
          </w:tcPr>
          <w:p w14:paraId="0BF1FDB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6</w:t>
            </w:r>
          </w:p>
        </w:tc>
        <w:tc>
          <w:tcPr>
            <w:tcW w:w="921" w:type="pct"/>
            <w:shd w:val="clear" w:color="auto" w:fill="auto"/>
            <w:vAlign w:val="center"/>
          </w:tcPr>
          <w:p w14:paraId="5D9FCF1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实质性格式</w:t>
            </w:r>
          </w:p>
        </w:tc>
        <w:tc>
          <w:tcPr>
            <w:tcW w:w="2505" w:type="pct"/>
            <w:shd w:val="clear" w:color="auto" w:fill="auto"/>
            <w:vAlign w:val="center"/>
          </w:tcPr>
          <w:p w14:paraId="56D79AB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kern w:val="0"/>
                <w:sz w:val="24"/>
                <w:highlight w:val="none"/>
              </w:rPr>
              <w:t>标记为“实质性格式”的文件均按</w:t>
            </w:r>
            <w:r>
              <w:rPr>
                <w:rFonts w:hint="eastAsia" w:ascii="宋体" w:hAnsi="宋体" w:cs="宋体"/>
                <w:sz w:val="24"/>
                <w:highlight w:val="none"/>
              </w:rPr>
              <w:t>磋商</w:t>
            </w:r>
            <w:r>
              <w:rPr>
                <w:rFonts w:hint="eastAsia" w:ascii="宋体" w:hAnsi="宋体" w:cs="宋体"/>
                <w:kern w:val="0"/>
                <w:sz w:val="24"/>
                <w:highlight w:val="none"/>
              </w:rPr>
              <w:t>文件要求提供且签署、盖章的；</w:t>
            </w:r>
          </w:p>
        </w:tc>
        <w:tc>
          <w:tcPr>
            <w:tcW w:w="1028" w:type="pct"/>
            <w:shd w:val="clear" w:color="auto" w:fill="auto"/>
            <w:vAlign w:val="center"/>
          </w:tcPr>
          <w:p w14:paraId="28581D2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664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2158D5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7</w:t>
            </w:r>
          </w:p>
        </w:tc>
        <w:tc>
          <w:tcPr>
            <w:tcW w:w="921" w:type="pct"/>
            <w:shd w:val="clear" w:color="auto" w:fill="auto"/>
            <w:vAlign w:val="center"/>
          </w:tcPr>
          <w:p w14:paraId="5FDC3073">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★号条款响应</w:t>
            </w:r>
          </w:p>
        </w:tc>
        <w:tc>
          <w:tcPr>
            <w:tcW w:w="2505" w:type="pct"/>
            <w:shd w:val="clear" w:color="auto" w:fill="auto"/>
            <w:vAlign w:val="center"/>
          </w:tcPr>
          <w:p w14:paraId="1D3B908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响应文件满足</w:t>
            </w:r>
            <w:r>
              <w:rPr>
                <w:rFonts w:hint="eastAsia" w:ascii="宋体" w:hAnsi="宋体" w:cs="宋体"/>
                <w:sz w:val="24"/>
                <w:highlight w:val="none"/>
              </w:rPr>
              <w:t>磋商</w:t>
            </w:r>
            <w:r>
              <w:rPr>
                <w:rFonts w:hint="eastAsia" w:ascii="宋体" w:hAnsi="宋体" w:cs="宋体"/>
                <w:color w:val="000000"/>
                <w:kern w:val="0"/>
                <w:sz w:val="24"/>
                <w:highlight w:val="none"/>
              </w:rPr>
              <w:t>文件</w:t>
            </w:r>
            <w:r>
              <w:rPr>
                <w:rFonts w:hint="eastAsia" w:ascii="宋体" w:hAnsi="宋体" w:cs="宋体"/>
                <w:sz w:val="24"/>
                <w:highlight w:val="none"/>
              </w:rPr>
              <w:t>第五章《采购需求》</w:t>
            </w:r>
            <w:r>
              <w:rPr>
                <w:rFonts w:hint="eastAsia" w:ascii="宋体" w:hAnsi="宋体" w:cs="宋体"/>
                <w:color w:val="000000"/>
                <w:kern w:val="0"/>
                <w:sz w:val="24"/>
                <w:highlight w:val="none"/>
              </w:rPr>
              <w:t>中★号条款要求的；</w:t>
            </w:r>
          </w:p>
        </w:tc>
        <w:tc>
          <w:tcPr>
            <w:tcW w:w="1028" w:type="pct"/>
            <w:shd w:val="clear" w:color="auto" w:fill="auto"/>
            <w:vAlign w:val="center"/>
          </w:tcPr>
          <w:p w14:paraId="11257D31">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09F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537A054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8</w:t>
            </w:r>
          </w:p>
        </w:tc>
        <w:tc>
          <w:tcPr>
            <w:tcW w:w="921" w:type="pct"/>
            <w:shd w:val="clear" w:color="auto" w:fill="auto"/>
            <w:vAlign w:val="center"/>
          </w:tcPr>
          <w:p w14:paraId="0B29CA9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拟分包情况说明（如有）</w:t>
            </w:r>
          </w:p>
        </w:tc>
        <w:tc>
          <w:tcPr>
            <w:tcW w:w="2505" w:type="pct"/>
            <w:shd w:val="clear" w:color="auto" w:fill="auto"/>
            <w:vAlign w:val="center"/>
          </w:tcPr>
          <w:p w14:paraId="5D4CD89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如本项目（包）非因“落实政府采购政策”亦允许分包，且供应商拟进行分包时，必须提供；否则无需提供；</w:t>
            </w:r>
          </w:p>
        </w:tc>
        <w:tc>
          <w:tcPr>
            <w:tcW w:w="1028" w:type="pct"/>
            <w:shd w:val="clear" w:color="auto" w:fill="auto"/>
            <w:vAlign w:val="center"/>
          </w:tcPr>
          <w:p w14:paraId="681F0B3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4290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4202B4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9</w:t>
            </w:r>
          </w:p>
        </w:tc>
        <w:tc>
          <w:tcPr>
            <w:tcW w:w="921" w:type="pct"/>
            <w:shd w:val="clear" w:color="auto" w:fill="auto"/>
            <w:vAlign w:val="center"/>
          </w:tcPr>
          <w:p w14:paraId="6129003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分包其他要求（如有）</w:t>
            </w:r>
          </w:p>
        </w:tc>
        <w:tc>
          <w:tcPr>
            <w:tcW w:w="2505" w:type="pct"/>
            <w:shd w:val="clear" w:color="auto" w:fill="auto"/>
            <w:vAlign w:val="center"/>
          </w:tcPr>
          <w:p w14:paraId="7CFAD589">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分包履行的内容、金额或者比例未超出《投标人须知资料表》中的规定；</w:t>
            </w:r>
          </w:p>
          <w:p w14:paraId="3DDEDD82">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分包承担主体具备《投标人须知资料表》载明的资质条件且提供了资质证书电子件（如有）；</w:t>
            </w:r>
          </w:p>
        </w:tc>
        <w:tc>
          <w:tcPr>
            <w:tcW w:w="1028" w:type="pct"/>
            <w:shd w:val="clear" w:color="auto" w:fill="auto"/>
            <w:vAlign w:val="center"/>
          </w:tcPr>
          <w:p w14:paraId="29E49E11">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2E69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46B6353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10</w:t>
            </w:r>
          </w:p>
        </w:tc>
        <w:tc>
          <w:tcPr>
            <w:tcW w:w="921" w:type="pct"/>
            <w:shd w:val="clear" w:color="auto" w:fill="auto"/>
            <w:vAlign w:val="center"/>
          </w:tcPr>
          <w:p w14:paraId="572499E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报价的修正（如有）</w:t>
            </w:r>
          </w:p>
        </w:tc>
        <w:tc>
          <w:tcPr>
            <w:tcW w:w="2505" w:type="pct"/>
            <w:shd w:val="clear" w:color="auto" w:fill="auto"/>
            <w:vAlign w:val="center"/>
          </w:tcPr>
          <w:p w14:paraId="32323194">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不涉及报价修正，或响应文件报价出现前后不一致时，投标人对修正后的报价予以确认；（如有）</w:t>
            </w:r>
          </w:p>
        </w:tc>
        <w:tc>
          <w:tcPr>
            <w:tcW w:w="1028" w:type="pct"/>
            <w:shd w:val="clear" w:color="auto" w:fill="auto"/>
            <w:vAlign w:val="center"/>
          </w:tcPr>
          <w:p w14:paraId="4AA4C6B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w:t>
            </w:r>
          </w:p>
        </w:tc>
      </w:tr>
      <w:tr w14:paraId="6931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7F863CE">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11</w:t>
            </w:r>
          </w:p>
        </w:tc>
        <w:tc>
          <w:tcPr>
            <w:tcW w:w="921" w:type="pct"/>
            <w:shd w:val="clear" w:color="auto" w:fill="auto"/>
            <w:vAlign w:val="center"/>
          </w:tcPr>
          <w:p w14:paraId="2F19851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报价合理性</w:t>
            </w:r>
          </w:p>
        </w:tc>
        <w:tc>
          <w:tcPr>
            <w:tcW w:w="2505" w:type="pct"/>
            <w:shd w:val="clear" w:color="auto" w:fill="auto"/>
            <w:vAlign w:val="center"/>
          </w:tcPr>
          <w:p w14:paraId="01149AF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color w:val="000000"/>
                <w:kern w:val="0"/>
                <w:sz w:val="24"/>
                <w:highlight w:val="none"/>
              </w:rPr>
              <w:t>；</w:t>
            </w:r>
          </w:p>
        </w:tc>
        <w:tc>
          <w:tcPr>
            <w:tcW w:w="1886" w:type="dxa"/>
            <w:shd w:val="clear" w:color="auto" w:fill="auto"/>
            <w:vAlign w:val="center"/>
          </w:tcPr>
          <w:p w14:paraId="0E8A42D0">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w:t>
            </w:r>
          </w:p>
        </w:tc>
      </w:tr>
      <w:tr w14:paraId="1E1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393D87D9">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12</w:t>
            </w:r>
          </w:p>
        </w:tc>
        <w:tc>
          <w:tcPr>
            <w:tcW w:w="921" w:type="pct"/>
            <w:shd w:val="clear" w:color="auto" w:fill="auto"/>
            <w:vAlign w:val="center"/>
          </w:tcPr>
          <w:p w14:paraId="08916D7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进口产品</w:t>
            </w:r>
          </w:p>
          <w:p w14:paraId="4E22568F">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（如有）</w:t>
            </w:r>
          </w:p>
        </w:tc>
        <w:tc>
          <w:tcPr>
            <w:tcW w:w="2505" w:type="pct"/>
            <w:shd w:val="clear" w:color="auto" w:fill="auto"/>
            <w:vAlign w:val="center"/>
          </w:tcPr>
          <w:p w14:paraId="165F995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磋商文件不接受进口产品投标的内容时，投标人所投产品非进口产品的；</w:t>
            </w:r>
          </w:p>
        </w:tc>
        <w:tc>
          <w:tcPr>
            <w:tcW w:w="1028" w:type="pct"/>
            <w:shd w:val="clear" w:color="auto" w:fill="auto"/>
            <w:vAlign w:val="center"/>
          </w:tcPr>
          <w:p w14:paraId="6C8AA64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DC1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0DC6D9F">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13</w:t>
            </w:r>
          </w:p>
        </w:tc>
        <w:tc>
          <w:tcPr>
            <w:tcW w:w="921" w:type="pct"/>
            <w:shd w:val="clear" w:color="auto" w:fill="auto"/>
            <w:vAlign w:val="center"/>
          </w:tcPr>
          <w:p w14:paraId="236621A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w:t>
            </w:r>
          </w:p>
        </w:tc>
        <w:tc>
          <w:tcPr>
            <w:tcW w:w="2505" w:type="pct"/>
            <w:shd w:val="clear" w:color="auto" w:fill="auto"/>
            <w:vAlign w:val="center"/>
          </w:tcPr>
          <w:p w14:paraId="2026336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748DCD3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7F05B4CA">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2）所投产品属于列入《网络关键设备和网络安全专用产品目</w:t>
            </w:r>
          </w:p>
          <w:p w14:paraId="18F5A5D7">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2E7F7B5">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816A2F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sz w:val="24"/>
                <w:highlight w:val="none"/>
              </w:rPr>
              <w:t>5）项目中涉及涂料、胶黏剂、油墨、清洗剂等挥发性有机物产品，且属于强制性标准的，供应商应执行符合本市和国家的VOCs 含量限制标准。</w:t>
            </w:r>
          </w:p>
        </w:tc>
        <w:tc>
          <w:tcPr>
            <w:tcW w:w="1028" w:type="pct"/>
            <w:shd w:val="clear" w:color="auto" w:fill="auto"/>
            <w:vAlign w:val="center"/>
          </w:tcPr>
          <w:p w14:paraId="57777B4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3224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1DEFE2E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14</w:t>
            </w:r>
          </w:p>
        </w:tc>
        <w:tc>
          <w:tcPr>
            <w:tcW w:w="921" w:type="pct"/>
            <w:shd w:val="clear" w:color="auto" w:fill="auto"/>
            <w:vAlign w:val="center"/>
          </w:tcPr>
          <w:p w14:paraId="16E13315">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公平竞争</w:t>
            </w:r>
          </w:p>
        </w:tc>
        <w:tc>
          <w:tcPr>
            <w:tcW w:w="2505" w:type="pct"/>
            <w:shd w:val="clear" w:color="auto" w:fill="auto"/>
            <w:vAlign w:val="center"/>
          </w:tcPr>
          <w:p w14:paraId="58715AB5">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投标人遵循公平竞争的原则，不存在恶意串通，妨碍其他投标人的竞争行为，不存在损害采购人或者其他投标人的合法权益情形的；</w:t>
            </w:r>
          </w:p>
        </w:tc>
        <w:tc>
          <w:tcPr>
            <w:tcW w:w="1028" w:type="pct"/>
            <w:shd w:val="clear" w:color="auto" w:fill="auto"/>
            <w:vAlign w:val="center"/>
          </w:tcPr>
          <w:p w14:paraId="0FB1C6C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5BFC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3043A588">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15</w:t>
            </w:r>
          </w:p>
        </w:tc>
        <w:tc>
          <w:tcPr>
            <w:tcW w:w="921" w:type="pct"/>
            <w:shd w:val="clear" w:color="auto" w:fill="auto"/>
            <w:vAlign w:val="center"/>
          </w:tcPr>
          <w:p w14:paraId="2E320F2D">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串通投标</w:t>
            </w:r>
          </w:p>
        </w:tc>
        <w:tc>
          <w:tcPr>
            <w:tcW w:w="2505" w:type="pct"/>
            <w:shd w:val="clear" w:color="auto" w:fill="auto"/>
            <w:vAlign w:val="center"/>
          </w:tcPr>
          <w:p w14:paraId="517CF0B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028" w:type="pct"/>
            <w:shd w:val="clear" w:color="auto" w:fill="auto"/>
            <w:vAlign w:val="center"/>
          </w:tcPr>
          <w:p w14:paraId="412C4FC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670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0AB15BF7">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16</w:t>
            </w:r>
          </w:p>
        </w:tc>
        <w:tc>
          <w:tcPr>
            <w:tcW w:w="921" w:type="pct"/>
            <w:shd w:val="clear" w:color="auto" w:fill="auto"/>
            <w:vAlign w:val="center"/>
          </w:tcPr>
          <w:p w14:paraId="5121C7A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附加条件</w:t>
            </w:r>
          </w:p>
        </w:tc>
        <w:tc>
          <w:tcPr>
            <w:tcW w:w="2505" w:type="pct"/>
            <w:shd w:val="clear" w:color="auto" w:fill="auto"/>
            <w:vAlign w:val="center"/>
          </w:tcPr>
          <w:p w14:paraId="17F44E79">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响应</w:t>
            </w:r>
            <w:r>
              <w:rPr>
                <w:rFonts w:hint="eastAsia" w:ascii="宋体" w:hAnsi="宋体" w:cs="宋体"/>
                <w:color w:val="000000"/>
                <w:kern w:val="0"/>
                <w:sz w:val="24"/>
                <w:highlight w:val="none"/>
              </w:rPr>
              <w:t>文件未含有采购人不能接受的附加条件的；</w:t>
            </w:r>
          </w:p>
        </w:tc>
        <w:tc>
          <w:tcPr>
            <w:tcW w:w="1028" w:type="pct"/>
            <w:shd w:val="clear" w:color="auto" w:fill="auto"/>
            <w:vAlign w:val="center"/>
          </w:tcPr>
          <w:p w14:paraId="1273296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15D7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4AB66EFA">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17</w:t>
            </w:r>
          </w:p>
        </w:tc>
        <w:tc>
          <w:tcPr>
            <w:tcW w:w="921" w:type="pct"/>
            <w:shd w:val="clear" w:color="auto" w:fill="auto"/>
            <w:vAlign w:val="center"/>
          </w:tcPr>
          <w:p w14:paraId="53CC574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其他无效情形</w:t>
            </w:r>
          </w:p>
        </w:tc>
        <w:tc>
          <w:tcPr>
            <w:tcW w:w="2505" w:type="pct"/>
            <w:shd w:val="clear" w:color="auto" w:fill="auto"/>
            <w:vAlign w:val="center"/>
          </w:tcPr>
          <w:p w14:paraId="613DB65B">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sz w:val="24"/>
                <w:highlight w:val="none"/>
              </w:rPr>
              <w:t>供应商、响应文件不存在不符合法律、法规和磋商文件规定的其他无效情形。</w:t>
            </w:r>
          </w:p>
        </w:tc>
        <w:tc>
          <w:tcPr>
            <w:tcW w:w="1028" w:type="pct"/>
            <w:shd w:val="clear" w:color="auto" w:fill="auto"/>
            <w:vAlign w:val="center"/>
          </w:tcPr>
          <w:p w14:paraId="1789A04C">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否</w:t>
            </w:r>
          </w:p>
        </w:tc>
      </w:tr>
      <w:tr w14:paraId="2572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7BA2C196">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18</w:t>
            </w:r>
          </w:p>
        </w:tc>
        <w:tc>
          <w:tcPr>
            <w:tcW w:w="921" w:type="pct"/>
            <w:shd w:val="clear" w:color="auto" w:fill="auto"/>
            <w:vAlign w:val="center"/>
          </w:tcPr>
          <w:p w14:paraId="2DE980B1">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含义不明确</w:t>
            </w:r>
          </w:p>
        </w:tc>
        <w:tc>
          <w:tcPr>
            <w:tcW w:w="2505" w:type="pct"/>
            <w:shd w:val="clear" w:color="auto" w:fill="auto"/>
            <w:vAlign w:val="center"/>
          </w:tcPr>
          <w:p w14:paraId="71FAE109">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含义不明确的情形。</w:t>
            </w:r>
          </w:p>
        </w:tc>
        <w:tc>
          <w:tcPr>
            <w:tcW w:w="1028" w:type="pct"/>
            <w:shd w:val="clear" w:color="auto" w:fill="auto"/>
            <w:vAlign w:val="center"/>
          </w:tcPr>
          <w:p w14:paraId="4098153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r w14:paraId="0A38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4753E7B">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19</w:t>
            </w:r>
          </w:p>
        </w:tc>
        <w:tc>
          <w:tcPr>
            <w:tcW w:w="921" w:type="pct"/>
            <w:shd w:val="clear" w:color="auto" w:fill="auto"/>
            <w:vAlign w:val="center"/>
          </w:tcPr>
          <w:p w14:paraId="40EAB44C">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同类问题表述不一致</w:t>
            </w:r>
          </w:p>
        </w:tc>
        <w:tc>
          <w:tcPr>
            <w:tcW w:w="4597" w:type="dxa"/>
            <w:shd w:val="clear" w:color="auto" w:fill="auto"/>
            <w:vAlign w:val="center"/>
          </w:tcPr>
          <w:p w14:paraId="0713A99F">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同类问题表述不一致的情形。</w:t>
            </w:r>
          </w:p>
        </w:tc>
        <w:tc>
          <w:tcPr>
            <w:tcW w:w="1886" w:type="dxa"/>
            <w:shd w:val="clear" w:color="auto" w:fill="auto"/>
            <w:vAlign w:val="center"/>
          </w:tcPr>
          <w:p w14:paraId="185EDC5B">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r w14:paraId="178B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auto" w:fill="auto"/>
            <w:vAlign w:val="center"/>
          </w:tcPr>
          <w:p w14:paraId="2CF860F3">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20</w:t>
            </w:r>
          </w:p>
        </w:tc>
        <w:tc>
          <w:tcPr>
            <w:tcW w:w="921" w:type="pct"/>
            <w:shd w:val="clear" w:color="auto" w:fill="auto"/>
            <w:vAlign w:val="center"/>
          </w:tcPr>
          <w:p w14:paraId="4FAC15CE">
            <w:pPr>
              <w:pageBreakBefore w:val="0"/>
              <w:widowControl/>
              <w:wordWrap w:val="0"/>
              <w:topLinePunct w:val="0"/>
              <w:bidi w:val="0"/>
              <w:spacing w:after="0" w:line="360" w:lineRule="auto"/>
              <w:jc w:val="left"/>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有明显文字和计算错误的内容</w:t>
            </w:r>
          </w:p>
        </w:tc>
        <w:tc>
          <w:tcPr>
            <w:tcW w:w="4597" w:type="dxa"/>
            <w:shd w:val="clear" w:color="auto" w:fill="auto"/>
            <w:vAlign w:val="center"/>
          </w:tcPr>
          <w:p w14:paraId="17CD5D46">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响应文件存在</w:t>
            </w:r>
            <w:r>
              <w:rPr>
                <w:rFonts w:hint="eastAsia" w:ascii="宋体" w:hAnsi="宋体" w:cs="宋体"/>
                <w:color w:val="000000"/>
                <w:kern w:val="0"/>
                <w:sz w:val="24"/>
                <w:highlight w:val="none"/>
              </w:rPr>
              <w:t>有明显文字和计算错误的内容的情形。</w:t>
            </w:r>
          </w:p>
        </w:tc>
        <w:tc>
          <w:tcPr>
            <w:tcW w:w="1886" w:type="dxa"/>
            <w:shd w:val="clear" w:color="auto" w:fill="auto"/>
            <w:vAlign w:val="center"/>
          </w:tcPr>
          <w:p w14:paraId="3C800D50">
            <w:pPr>
              <w:pageBreakBefore w:val="0"/>
              <w:widowControl/>
              <w:wordWrap w:val="0"/>
              <w:topLinePunct w:val="0"/>
              <w:bidi w:val="0"/>
              <w:spacing w:after="0" w:line="360" w:lineRule="auto"/>
              <w:jc w:val="center"/>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是（但不得超出或改变磋商文件及响应文件的范围及实质性内容）</w:t>
            </w:r>
          </w:p>
        </w:tc>
      </w:tr>
    </w:tbl>
    <w:p w14:paraId="5F252DB6">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磋商、响应文件有关事项的澄清、说明或者更正和最后报价</w:t>
      </w:r>
    </w:p>
    <w:p w14:paraId="305781A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磋商小组所有成员应当集中与单一供应商分别进行磋商，并给予所有参加磋商的供应商平等的磋商机会。</w:t>
      </w:r>
    </w:p>
    <w:p w14:paraId="281591A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E82618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kern w:val="0"/>
          <w:sz w:val="24"/>
          <w:highlight w:val="none"/>
        </w:rPr>
      </w:pPr>
      <w:r>
        <w:rPr>
          <w:rFonts w:hint="eastAsia" w:ascii="宋体" w:hAnsi="宋体" w:cs="宋体"/>
          <w:kern w:val="0"/>
          <w:sz w:val="24"/>
          <w:highlight w:val="none"/>
        </w:rPr>
        <w:t>对磋商文件作出的实质性变动是磋商文件的有效组成部分，磋商小组应当及时以书面形式同时通知所有参加磋商的供应商。</w:t>
      </w:r>
    </w:p>
    <w:p w14:paraId="4AE557E8">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kern w:val="0"/>
          <w:sz w:val="24"/>
          <w:highlight w:val="none"/>
        </w:rPr>
      </w:pPr>
      <w:r>
        <w:rPr>
          <w:rFonts w:hint="eastAsia" w:ascii="宋体" w:hAnsi="宋体" w:cs="宋体"/>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B6A3885">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响应文件的澄清、说明或者更正：</w:t>
      </w:r>
    </w:p>
    <w:p w14:paraId="15072CF9">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4F54FA16">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highlight w:val="none"/>
        </w:rPr>
        <w:t>无效处理</w:t>
      </w:r>
      <w:r>
        <w:rPr>
          <w:rFonts w:hint="eastAsia" w:ascii="宋体" w:hAnsi="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highlight w:val="none"/>
        </w:rPr>
        <w:t>无效处理</w:t>
      </w:r>
      <w:r>
        <w:rPr>
          <w:rFonts w:hint="eastAsia" w:ascii="宋体" w:hAnsi="宋体" w:cs="宋体"/>
          <w:sz w:val="24"/>
          <w:highlight w:val="none"/>
        </w:rPr>
        <w:t>。</w:t>
      </w:r>
    </w:p>
    <w:p w14:paraId="0A0B0F96">
      <w:pPr>
        <w:pageBreakBefore w:val="0"/>
        <w:numPr>
          <w:ilvl w:val="2"/>
          <w:numId w:val="10"/>
        </w:numPr>
        <w:wordWrap w:val="0"/>
        <w:topLinePunct w:val="0"/>
        <w:bidi w:val="0"/>
        <w:snapToGrid w:val="0"/>
        <w:spacing w:after="0" w:line="360" w:lineRule="auto"/>
        <w:textAlignment w:val="auto"/>
        <w:rPr>
          <w:rFonts w:hint="eastAsia" w:ascii="宋体" w:hAnsi="宋体" w:cs="宋体"/>
          <w:sz w:val="24"/>
          <w:highlight w:val="none"/>
        </w:rPr>
      </w:pPr>
      <w:r>
        <w:rPr>
          <w:rFonts w:hint="eastAsia" w:ascii="宋体" w:hAnsi="宋体" w:cs="宋体"/>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6561AF0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磋商结束后，磋商小组将要求所有实质性响应的供应商在规定时间内提交最后报价。最后报价时间为磋商小组指定的时间，具体时间根据磋商进度另行通知。</w:t>
      </w:r>
    </w:p>
    <w:p w14:paraId="6F85837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010CB09">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最后报价是供应商响应文件的有效组成部分。</w:t>
      </w:r>
    </w:p>
    <w:p w14:paraId="4F4A06A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已提交响应文件的供应商，在提交最后报价之前，可以根据磋商情况退出磋商。</w:t>
      </w:r>
    </w:p>
    <w:p w14:paraId="65ED8A7B">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最后报价的算术修正及政策调整</w:t>
      </w:r>
    </w:p>
    <w:p w14:paraId="64E686C5">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highlight w:val="none"/>
        </w:rPr>
        <w:t>响应无效</w:t>
      </w:r>
      <w:r>
        <w:rPr>
          <w:rFonts w:hint="eastAsia" w:ascii="宋体" w:hAnsi="宋体" w:cs="宋体"/>
          <w:sz w:val="24"/>
          <w:highlight w:val="none"/>
        </w:rPr>
        <w:t>。</w:t>
      </w:r>
    </w:p>
    <w:p w14:paraId="7ACD1798">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最后报价出现前后不一致的，按照下列规定修正：</w:t>
      </w:r>
    </w:p>
    <w:p w14:paraId="290F0EDE">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竞争性磋商文件对于报价修正是否另有规定：</w:t>
      </w:r>
    </w:p>
    <w:p w14:paraId="41BA1CCF">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u w:val="single"/>
        </w:rPr>
      </w:pPr>
      <w:r>
        <w:rPr>
          <w:rFonts w:hint="eastAsia" w:ascii="宋体" w:hAnsi="宋体" w:cs="宋体"/>
          <w:sz w:val="24"/>
          <w:highlight w:val="none"/>
        </w:rPr>
        <w:t>□有，具体规定为：___________</w:t>
      </w:r>
    </w:p>
    <w:p w14:paraId="1BF019F4">
      <w:pPr>
        <w:pageBreakBefore w:val="0"/>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■无，按下述3.2.2-3.2.6项规定修正。</w:t>
      </w:r>
    </w:p>
    <w:p w14:paraId="65205691">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大写金额和小写金额不一致的，以大写金额为准；</w:t>
      </w:r>
    </w:p>
    <w:p w14:paraId="24A5E9F8">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单价金额小数点或者百分比有明显错位的，以总价为准，并修改单价；</w:t>
      </w:r>
    </w:p>
    <w:p w14:paraId="0C0D9B26">
      <w:pPr>
        <w:pageBreakBefore w:val="0"/>
        <w:numPr>
          <w:ilvl w:val="2"/>
          <w:numId w:val="10"/>
        </w:numPr>
        <w:tabs>
          <w:tab w:val="left" w:pos="2035"/>
          <w:tab w:val="left" w:pos="2114"/>
          <w:tab w:val="left" w:pos="2977"/>
        </w:tabs>
        <w:wordWrap w:val="0"/>
        <w:topLinePunct w:val="0"/>
        <w:bidi w:val="0"/>
        <w:snapToGrid w:val="0"/>
        <w:spacing w:after="0" w:line="360" w:lineRule="auto"/>
        <w:ind w:left="2035"/>
        <w:textAlignment w:val="auto"/>
        <w:rPr>
          <w:rFonts w:hint="eastAsia" w:ascii="宋体" w:hAnsi="宋体" w:cs="宋体"/>
          <w:color w:val="000000"/>
          <w:sz w:val="24"/>
          <w:highlight w:val="none"/>
        </w:rPr>
      </w:pPr>
      <w:r>
        <w:rPr>
          <w:rFonts w:hint="eastAsia" w:ascii="宋体" w:hAnsi="宋体" w:cs="宋体"/>
          <w:color w:val="000000"/>
          <w:sz w:val="24"/>
          <w:highlight w:val="none"/>
        </w:rPr>
        <w:t>总价金额与按单价汇总金额不一致的，以单价金额计算结果为准。</w:t>
      </w:r>
    </w:p>
    <w:p w14:paraId="0105C24C">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同时出现两种以上不一致的，按照前款规定的顺序修正。</w:t>
      </w:r>
    </w:p>
    <w:p w14:paraId="54FB87A5">
      <w:pPr>
        <w:pageBreakBefore w:val="0"/>
        <w:numPr>
          <w:ilvl w:val="2"/>
          <w:numId w:val="10"/>
        </w:numPr>
        <w:tabs>
          <w:tab w:val="left" w:pos="1080"/>
          <w:tab w:val="left" w:pos="1589"/>
          <w:tab w:val="left" w:pos="2035"/>
          <w:tab w:val="left" w:pos="21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修正后的报价经供应商书面确认后产生约束力，供应商不确认的，</w:t>
      </w:r>
      <w:r>
        <w:rPr>
          <w:rFonts w:hint="eastAsia" w:ascii="宋体" w:hAnsi="宋体" w:cs="宋体"/>
          <w:b/>
          <w:sz w:val="24"/>
          <w:highlight w:val="none"/>
        </w:rPr>
        <w:t>其响应无效</w:t>
      </w:r>
      <w:r>
        <w:rPr>
          <w:rFonts w:hint="eastAsia" w:ascii="宋体" w:hAnsi="宋体" w:cs="宋体"/>
          <w:sz w:val="24"/>
          <w:highlight w:val="none"/>
        </w:rPr>
        <w:t>。</w:t>
      </w:r>
    </w:p>
    <w:p w14:paraId="508F9AF6">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落实政府采购政策的价格调整：只有符合第二章《供应商须知》4.2条规定情形的，可以享受中小企业扶持政策，用扣除后的价格参加评审；否则，评审时价格不予扣除。</w:t>
      </w:r>
    </w:p>
    <w:p w14:paraId="3038A264">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cs="宋体"/>
          <w:sz w:val="24"/>
          <w:highlight w:val="none"/>
        </w:rPr>
        <w:t>%的扣除，用扣除后的价格参加评审。</w:t>
      </w:r>
    </w:p>
    <w:p w14:paraId="07BA93B3">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sz w:val="24"/>
          <w:highlight w:val="none"/>
          <w:lang w:val="en-US" w:eastAsia="zh-CN"/>
        </w:rPr>
        <w:t>1</w:t>
      </w:r>
      <w:r>
        <w:rPr>
          <w:rFonts w:hint="eastAsia" w:ascii="宋体" w:hAnsi="宋体" w:cs="宋体"/>
          <w:sz w:val="24"/>
          <w:highlight w:val="none"/>
        </w:rPr>
        <w:t>%的扣除，用扣除后的价格参加评审。</w:t>
      </w:r>
    </w:p>
    <w:p w14:paraId="1BC0E470">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52086F2F">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价格扣除比例对小型企业和微型企业同等对待，不作区分。</w:t>
      </w:r>
    </w:p>
    <w:p w14:paraId="289E3764">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color w:val="000000"/>
          <w:sz w:val="24"/>
          <w:highlight w:val="none"/>
        </w:rPr>
        <w:t>中小企业参加政府采购活动，应当按照竞争性磋商文件给定的格式出具《中小企业声明函》，否则不得享受相关中小企业扶持政策。</w:t>
      </w:r>
    </w:p>
    <w:p w14:paraId="58BFBE95">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4EFF505D">
      <w:pPr>
        <w:pageBreakBefore w:val="0"/>
        <w:numPr>
          <w:ilvl w:val="2"/>
          <w:numId w:val="10"/>
        </w:numPr>
        <w:tabs>
          <w:tab w:val="left" w:pos="1080"/>
          <w:tab w:val="left" w:pos="1589"/>
          <w:tab w:val="left" w:pos="2035"/>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残疾人福利性单位按竞争性磋商文件要求提供了《残疾人福利性单位声明函》的，视同小微企业。</w:t>
      </w:r>
    </w:p>
    <w:p w14:paraId="33BAF1C1">
      <w:pPr>
        <w:pageBreakBefore w:val="0"/>
        <w:numPr>
          <w:ilvl w:val="2"/>
          <w:numId w:val="10"/>
        </w:numPr>
        <w:tabs>
          <w:tab w:val="left" w:pos="1080"/>
          <w:tab w:val="left" w:pos="1589"/>
          <w:tab w:val="left" w:pos="20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若供应商同时属于小型或微型企业、监狱企业、残疾人福利性单位中的两种及以上，将不重复享受小微企业价格扣减的优惠政策。</w:t>
      </w:r>
    </w:p>
    <w:p w14:paraId="25D93728">
      <w:pPr>
        <w:pageBreakBefore w:val="0"/>
        <w:numPr>
          <w:ilvl w:val="2"/>
          <w:numId w:val="10"/>
        </w:numPr>
        <w:tabs>
          <w:tab w:val="left" w:pos="1080"/>
          <w:tab w:val="left" w:pos="1589"/>
          <w:tab w:val="left" w:pos="2014"/>
        </w:tabs>
        <w:wordWrap w:val="0"/>
        <w:topLinePunct w:val="0"/>
        <w:bidi w:val="0"/>
        <w:snapToGrid w:val="0"/>
        <w:spacing w:after="0" w:line="360" w:lineRule="auto"/>
        <w:ind w:left="2035"/>
        <w:textAlignment w:val="auto"/>
        <w:rPr>
          <w:rFonts w:hint="eastAsia" w:ascii="宋体" w:hAnsi="宋体" w:cs="宋体"/>
          <w:sz w:val="24"/>
          <w:highlight w:val="none"/>
        </w:rPr>
      </w:pPr>
      <w:r>
        <w:rPr>
          <w:rFonts w:hint="eastAsia" w:ascii="宋体" w:hAnsi="宋体" w:cs="宋体"/>
          <w:sz w:val="24"/>
          <w:highlight w:val="none"/>
        </w:rPr>
        <w:t>其他为落实政府采购政策实施的优先采购：无。</w:t>
      </w:r>
    </w:p>
    <w:p w14:paraId="1925BC4C">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磋商环节及提交最后报价后如出现以下情况的，供应商的</w:t>
      </w:r>
      <w:r>
        <w:rPr>
          <w:rFonts w:hint="eastAsia" w:ascii="宋体" w:hAnsi="宋体" w:cs="宋体"/>
          <w:b/>
          <w:sz w:val="24"/>
          <w:highlight w:val="none"/>
        </w:rPr>
        <w:t>响应文件无效</w:t>
      </w:r>
      <w:r>
        <w:rPr>
          <w:rFonts w:hint="eastAsia" w:ascii="宋体" w:hAnsi="宋体" w:cs="宋体"/>
          <w:sz w:val="24"/>
          <w:highlight w:val="none"/>
        </w:rPr>
        <w:t>：</w:t>
      </w:r>
    </w:p>
    <w:p w14:paraId="57B55D04">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供应商对实质性变动不予确认的；</w:t>
      </w:r>
    </w:p>
    <w:p w14:paraId="63BE3F2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不满足磋商文件★号条款或磋商文件技术指标超出磋商文件《采购需求》中主要技术参数允许偏差的最大范围的（如有）；</w:t>
      </w:r>
    </w:p>
    <w:p w14:paraId="14891602">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未按照磋商小组规定的时间、逾期提交最后报价的；</w:t>
      </w:r>
    </w:p>
    <w:p w14:paraId="6A1DFA9A">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如供应商的最后报价超过竞争性磋商文件中规定的项目/采购包预算金额或者项目/采购包最高限价的；</w:t>
      </w:r>
    </w:p>
    <w:p w14:paraId="1B23E8C6">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响应文件中出现可选择性或可调整的报价的（竞争性磋商文件另有规定的除外）；</w:t>
      </w:r>
    </w:p>
    <w:p w14:paraId="4BA5ACF3">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最后报价出现前后不一致，供应商对修正后的报价不予确认的；</w:t>
      </w:r>
    </w:p>
    <w:p w14:paraId="2DE8C8E2">
      <w:pPr>
        <w:pageBreakBefore w:val="0"/>
        <w:numPr>
          <w:ilvl w:val="1"/>
          <w:numId w:val="10"/>
        </w:numPr>
        <w:tabs>
          <w:tab w:val="left" w:pos="1080"/>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其他：供应商、响应文件不存在不符合法律、法规和磋商文件规定的其他无效情形。</w:t>
      </w:r>
    </w:p>
    <w:bookmarkEnd w:id="621"/>
    <w:bookmarkEnd w:id="622"/>
    <w:p w14:paraId="566F6170">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评审方法和评审标准</w:t>
      </w:r>
    </w:p>
    <w:p w14:paraId="09F9EFA4">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46B13E9">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竞争性磋商文件中没有规定的评审标准不得作为评审依据。</w:t>
      </w:r>
    </w:p>
    <w:p w14:paraId="2AE7A75D">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无</w:t>
      </w:r>
      <w:r>
        <w:rPr>
          <w:rFonts w:hint="eastAsia" w:ascii="宋体" w:hAnsi="宋体" w:cs="宋体"/>
          <w:sz w:val="24"/>
          <w:highlight w:val="none"/>
        </w:rPr>
        <w:t>。</w:t>
      </w:r>
    </w:p>
    <w:p w14:paraId="140C6CD6">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确定</w:t>
      </w:r>
      <w:bookmarkStart w:id="638" w:name="_Toc164608660"/>
      <w:bookmarkStart w:id="639" w:name="_Toc164351640"/>
      <w:bookmarkStart w:id="640" w:name="_Toc150774646"/>
      <w:bookmarkStart w:id="641" w:name="_Toc151193934"/>
      <w:bookmarkStart w:id="642" w:name="_Toc127151546"/>
      <w:bookmarkStart w:id="643" w:name="_Toc265228384"/>
      <w:bookmarkStart w:id="644" w:name="_Toc226309790"/>
      <w:bookmarkStart w:id="645" w:name="_Toc151193860"/>
      <w:bookmarkStart w:id="646" w:name="_Toc150480784"/>
      <w:bookmarkStart w:id="647" w:name="_Ref467307010"/>
      <w:bookmarkStart w:id="648" w:name="_Toc164229241"/>
      <w:bookmarkStart w:id="649" w:name="_Toc226337242"/>
      <w:bookmarkStart w:id="650" w:name="_Toc164608815"/>
      <w:bookmarkStart w:id="651" w:name="_Toc151193644"/>
      <w:bookmarkStart w:id="652" w:name="_Toc264969236"/>
      <w:bookmarkStart w:id="653" w:name="_Toc151193716"/>
      <w:bookmarkStart w:id="654" w:name="_Toc149720839"/>
      <w:bookmarkStart w:id="655" w:name="_Toc305158814"/>
      <w:bookmarkStart w:id="656" w:name="_Toc150509297"/>
      <w:bookmarkStart w:id="657" w:name="_Toc226965736"/>
      <w:bookmarkStart w:id="658" w:name="_Toc195842911"/>
      <w:bookmarkStart w:id="659" w:name="_Toc520356170"/>
      <w:bookmarkStart w:id="660" w:name="_Toc127161460"/>
      <w:bookmarkStart w:id="661" w:name="_Toc142311048"/>
      <w:bookmarkStart w:id="662" w:name="_Toc226965819"/>
      <w:bookmarkStart w:id="663" w:name="_Toc164229387"/>
      <w:bookmarkStart w:id="664" w:name="_Toc151190173"/>
      <w:bookmarkStart w:id="665" w:name="_Toc127151747"/>
      <w:bookmarkStart w:id="666" w:name="_Toc151193788"/>
      <w:bookmarkStart w:id="667" w:name="_Toc150774751"/>
      <w:bookmarkStart w:id="668" w:name="_Toc305158888"/>
      <w:r>
        <w:rPr>
          <w:rFonts w:hint="eastAsia" w:ascii="宋体" w:hAnsi="宋体" w:cs="宋体"/>
          <w:sz w:val="24"/>
          <w:highlight w:val="none"/>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3BB7FD3F">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C7B39DF">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kern w:val="0"/>
          <w:sz w:val="24"/>
          <w:szCs w:val="20"/>
          <w:highlight w:val="none"/>
        </w:rPr>
        <w:t>磋商小组根据上述供应商排序，依次推荐排序前</w:t>
      </w:r>
      <w:r>
        <w:rPr>
          <w:rFonts w:hint="eastAsia" w:ascii="宋体" w:hAnsi="宋体" w:cs="宋体"/>
          <w:sz w:val="24"/>
          <w:highlight w:val="none"/>
        </w:rPr>
        <w:t>3名</w:t>
      </w:r>
      <w:r>
        <w:rPr>
          <w:rFonts w:hint="eastAsia" w:ascii="宋体" w:hAnsi="宋体" w:cs="宋体"/>
          <w:kern w:val="0"/>
          <w:sz w:val="24"/>
          <w:szCs w:val="20"/>
          <w:highlight w:val="none"/>
        </w:rPr>
        <w:t>的供应商为</w:t>
      </w:r>
      <w:r>
        <w:rPr>
          <w:rFonts w:hint="eastAsia" w:ascii="宋体" w:hAnsi="宋体" w:cs="宋体"/>
          <w:snapToGrid w:val="0"/>
          <w:kern w:val="0"/>
          <w:sz w:val="24"/>
          <w:szCs w:val="21"/>
          <w:highlight w:val="none"/>
        </w:rPr>
        <w:t>成交候选供应商</w:t>
      </w:r>
      <w:r>
        <w:rPr>
          <w:rFonts w:hint="eastAsia" w:ascii="宋体" w:hAnsi="宋体" w:cs="宋体"/>
          <w:kern w:val="0"/>
          <w:sz w:val="24"/>
          <w:szCs w:val="20"/>
          <w:highlight w:val="none"/>
        </w:rPr>
        <w:t>（若在磋商文件允许的情形下提交最后报价的供应商为二家，则依次推荐二名供应商为成交候选供应商），并编写评审报告。</w:t>
      </w:r>
    </w:p>
    <w:p w14:paraId="3E67EDA3">
      <w:pPr>
        <w:pageBreakBefore w:val="0"/>
        <w:numPr>
          <w:ilvl w:val="1"/>
          <w:numId w:val="10"/>
        </w:numPr>
        <w:tabs>
          <w:tab w:val="left" w:pos="1080"/>
          <w:tab w:val="left" w:pos="1872"/>
        </w:tabs>
        <w:wordWrap w:val="0"/>
        <w:topLinePunct w:val="0"/>
        <w:bidi w:val="0"/>
        <w:snapToGrid w:val="0"/>
        <w:spacing w:after="0" w:line="360" w:lineRule="auto"/>
        <w:ind w:left="1077" w:hanging="720"/>
        <w:textAlignment w:val="auto"/>
        <w:rPr>
          <w:rFonts w:hint="eastAsia" w:ascii="宋体" w:hAnsi="宋体" w:cs="宋体"/>
          <w:sz w:val="24"/>
          <w:highlight w:val="none"/>
        </w:rPr>
      </w:pPr>
      <w:r>
        <w:rPr>
          <w:rFonts w:hint="eastAsia" w:ascii="宋体" w:hAnsi="宋体" w:cs="宋体"/>
          <w:sz w:val="24"/>
          <w:highlight w:val="none"/>
        </w:rPr>
        <w:t>磋商小组要对评分汇总情况进行复核，特别是对排名第一的、报价最低的、响应文件被认定为无效的情形进行重点复核。</w:t>
      </w:r>
    </w:p>
    <w:p w14:paraId="341466F3">
      <w:pPr>
        <w:pageBreakBefore w:val="0"/>
        <w:numPr>
          <w:ilvl w:val="0"/>
          <w:numId w:val="10"/>
        </w:numPr>
        <w:tabs>
          <w:tab w:val="left" w:pos="360"/>
        </w:tabs>
        <w:wordWrap w:val="0"/>
        <w:topLinePunct w:val="0"/>
        <w:bidi w:val="0"/>
        <w:snapToGrid w:val="0"/>
        <w:spacing w:after="0" w:line="360" w:lineRule="auto"/>
        <w:textAlignment w:val="auto"/>
        <w:outlineLvl w:val="2"/>
        <w:rPr>
          <w:rFonts w:hint="eastAsia" w:ascii="宋体" w:hAnsi="宋体" w:cs="宋体"/>
          <w:sz w:val="24"/>
          <w:highlight w:val="none"/>
        </w:rPr>
      </w:pPr>
      <w:r>
        <w:rPr>
          <w:rFonts w:hint="eastAsia" w:ascii="宋体" w:hAnsi="宋体" w:cs="宋体"/>
          <w:sz w:val="24"/>
          <w:highlight w:val="none"/>
        </w:rPr>
        <w:t>报告违法行为</w:t>
      </w:r>
    </w:p>
    <w:p w14:paraId="0DBE3EDD">
      <w:pPr>
        <w:pageBreakBefore w:val="0"/>
        <w:widowControl/>
        <w:numPr>
          <w:ilvl w:val="1"/>
          <w:numId w:val="10"/>
        </w:numPr>
        <w:tabs>
          <w:tab w:val="left" w:pos="1080"/>
          <w:tab w:val="left" w:pos="1872"/>
        </w:tabs>
        <w:wordWrap w:val="0"/>
        <w:topLinePunct w:val="0"/>
        <w:bidi w:val="0"/>
        <w:snapToGrid w:val="0"/>
        <w:spacing w:after="0" w:line="360" w:lineRule="auto"/>
        <w:ind w:left="1077" w:hanging="720"/>
        <w:jc w:val="left"/>
        <w:textAlignment w:val="auto"/>
        <w:rPr>
          <w:rFonts w:hint="eastAsia" w:ascii="宋体" w:hAnsi="宋体" w:cs="宋体"/>
          <w:b/>
          <w:sz w:val="24"/>
          <w:highlight w:val="none"/>
        </w:rPr>
        <w:sectPr>
          <w:headerReference r:id="rId7" w:type="first"/>
          <w:footerReference r:id="rId9" w:type="first"/>
          <w:headerReference r:id="rId6" w:type="even"/>
          <w:footerReference r:id="rId8" w:type="even"/>
          <w:pgSz w:w="11905" w:h="16838"/>
          <w:pgMar w:top="1474" w:right="1474" w:bottom="1474" w:left="1474" w:header="850" w:footer="992" w:gutter="0"/>
          <w:pgNumType w:fmt="decimal"/>
          <w:cols w:space="0" w:num="1"/>
          <w:rtlGutter w:val="0"/>
          <w:docGrid w:linePitch="462" w:charSpace="0"/>
        </w:sectPr>
      </w:pPr>
      <w:r>
        <w:rPr>
          <w:rFonts w:hint="eastAsia" w:ascii="宋体" w:hAnsi="宋体" w:cs="宋体"/>
          <w:sz w:val="24"/>
          <w:highlight w:val="none"/>
        </w:rPr>
        <w:t>磋商小组在评审过程中发现供应商有行贿、提供虚假材料或者串通等违法行为时，应当及时向财政部门报告。</w:t>
      </w:r>
    </w:p>
    <w:p w14:paraId="0DD78DA2">
      <w:pPr>
        <w:pStyle w:val="3"/>
        <w:pageBreakBefore w:val="0"/>
        <w:numPr>
          <w:ilvl w:val="0"/>
          <w:numId w:val="11"/>
        </w:numPr>
        <w:wordWrap w:val="0"/>
        <w:topLinePunct w:val="0"/>
        <w:bidi w:val="0"/>
        <w:spacing w:before="0"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bl>
      <w:tblPr>
        <w:tblStyle w:val="43"/>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87"/>
        <w:gridCol w:w="765"/>
        <w:gridCol w:w="5865"/>
      </w:tblGrid>
      <w:tr w14:paraId="200C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dxa"/>
            <w:noWrap w:val="0"/>
            <w:vAlign w:val="center"/>
          </w:tcPr>
          <w:p w14:paraId="72D35C55">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序号</w:t>
            </w:r>
          </w:p>
        </w:tc>
        <w:tc>
          <w:tcPr>
            <w:tcW w:w="1587" w:type="dxa"/>
            <w:noWrap w:val="0"/>
            <w:vAlign w:val="center"/>
          </w:tcPr>
          <w:p w14:paraId="3AA7AFBB">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评分因素</w:t>
            </w:r>
          </w:p>
        </w:tc>
        <w:tc>
          <w:tcPr>
            <w:tcW w:w="765" w:type="dxa"/>
            <w:noWrap w:val="0"/>
            <w:vAlign w:val="center"/>
          </w:tcPr>
          <w:p w14:paraId="656EC684">
            <w:pPr>
              <w:pageBreakBefore w:val="0"/>
              <w:topLinePunct w:val="0"/>
              <w:bidi w:val="0"/>
              <w:spacing w:after="0" w:line="360" w:lineRule="auto"/>
              <w:ind w:firstLine="28"/>
              <w:jc w:val="center"/>
              <w:textAlignment w:val="auto"/>
              <w:rPr>
                <w:rFonts w:hint="eastAsia" w:ascii="宋体" w:hAnsi="宋体" w:eastAsia="宋体" w:cs="宋体"/>
                <w:b/>
                <w:i w:val="0"/>
                <w:iCs w:val="0"/>
                <w:sz w:val="24"/>
                <w:highlight w:val="none"/>
              </w:rPr>
            </w:pPr>
            <w:r>
              <w:rPr>
                <w:rFonts w:hint="eastAsia" w:ascii="宋体" w:hAnsi="宋体" w:eastAsia="宋体" w:cs="宋体"/>
                <w:b/>
                <w:i w:val="0"/>
                <w:iCs w:val="0"/>
                <w:sz w:val="24"/>
                <w:highlight w:val="none"/>
              </w:rPr>
              <w:t>分值</w:t>
            </w:r>
          </w:p>
        </w:tc>
        <w:tc>
          <w:tcPr>
            <w:tcW w:w="5865" w:type="dxa"/>
            <w:noWrap w:val="0"/>
            <w:vAlign w:val="center"/>
          </w:tcPr>
          <w:p w14:paraId="71E87604">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rPr>
            </w:pPr>
            <w:r>
              <w:rPr>
                <w:rFonts w:hint="eastAsia" w:ascii="宋体" w:hAnsi="宋体" w:eastAsia="宋体" w:cs="宋体"/>
                <w:b/>
                <w:i w:val="0"/>
                <w:iCs w:val="0"/>
                <w:sz w:val="24"/>
                <w:highlight w:val="none"/>
              </w:rPr>
              <w:t>评分标准</w:t>
            </w:r>
          </w:p>
        </w:tc>
      </w:tr>
      <w:tr w14:paraId="68B5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97" w:type="dxa"/>
            <w:gridSpan w:val="4"/>
            <w:noWrap w:val="0"/>
            <w:vAlign w:val="center"/>
          </w:tcPr>
          <w:p w14:paraId="2FE5891D">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lang w:val="en-US" w:eastAsia="zh-CN"/>
              </w:rPr>
            </w:pPr>
            <w:r>
              <w:rPr>
                <w:rFonts w:hint="eastAsia" w:ascii="宋体" w:hAnsi="宋体" w:eastAsia="宋体" w:cs="宋体"/>
                <w:i w:val="0"/>
                <w:iCs w:val="0"/>
                <w:szCs w:val="24"/>
                <w:highlight w:val="none"/>
                <w:lang w:val="en-US" w:eastAsia="zh-CN"/>
              </w:rPr>
              <w:t>价格部分</w:t>
            </w:r>
          </w:p>
        </w:tc>
      </w:tr>
      <w:tr w14:paraId="27D8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780" w:type="dxa"/>
            <w:noWrap w:val="0"/>
            <w:vAlign w:val="center"/>
          </w:tcPr>
          <w:p w14:paraId="05F21E16">
            <w:pPr>
              <w:pageBreakBefore w:val="0"/>
              <w:topLinePunct w:val="0"/>
              <w:bidi w:val="0"/>
              <w:spacing w:after="0" w:line="360" w:lineRule="auto"/>
              <w:ind w:firstLine="28"/>
              <w:jc w:val="center"/>
              <w:textAlignment w:val="auto"/>
              <w:rPr>
                <w:rFonts w:hint="eastAsia" w:ascii="宋体" w:hAnsi="宋体" w:eastAsia="宋体" w:cs="宋体"/>
                <w:b w:val="0"/>
                <w:bCs/>
                <w:i w:val="0"/>
                <w:iCs w:val="0"/>
                <w:sz w:val="24"/>
                <w:highlight w:val="none"/>
                <w:lang w:val="en-US" w:eastAsia="zh-CN"/>
              </w:rPr>
            </w:pPr>
            <w:r>
              <w:rPr>
                <w:rFonts w:hint="eastAsia" w:ascii="宋体" w:hAnsi="宋体" w:eastAsia="宋体" w:cs="宋体"/>
                <w:b w:val="0"/>
                <w:bCs/>
                <w:i w:val="0"/>
                <w:iCs w:val="0"/>
                <w:sz w:val="24"/>
                <w:highlight w:val="none"/>
                <w:lang w:val="en-US" w:eastAsia="zh-CN"/>
              </w:rPr>
              <w:t>1</w:t>
            </w:r>
          </w:p>
        </w:tc>
        <w:tc>
          <w:tcPr>
            <w:tcW w:w="1587" w:type="dxa"/>
            <w:noWrap w:val="0"/>
            <w:vAlign w:val="center"/>
          </w:tcPr>
          <w:p w14:paraId="29BBACC9">
            <w:pPr>
              <w:pageBreakBefore w:val="0"/>
              <w:topLinePunct w:val="0"/>
              <w:bidi w:val="0"/>
              <w:spacing w:after="0" w:line="360" w:lineRule="auto"/>
              <w:ind w:firstLine="28" w:firstLineChars="0"/>
              <w:jc w:val="center"/>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sz w:val="24"/>
                <w:highlight w:val="none"/>
              </w:rPr>
              <w:t>投标报价</w:t>
            </w:r>
          </w:p>
        </w:tc>
        <w:tc>
          <w:tcPr>
            <w:tcW w:w="765" w:type="dxa"/>
            <w:noWrap w:val="0"/>
            <w:vAlign w:val="center"/>
          </w:tcPr>
          <w:p w14:paraId="3D1EC2BF">
            <w:pPr>
              <w:pageBreakBefore w:val="0"/>
              <w:topLinePunct w:val="0"/>
              <w:bidi w:val="0"/>
              <w:spacing w:after="0" w:line="360" w:lineRule="auto"/>
              <w:ind w:firstLine="28" w:firstLineChars="0"/>
              <w:jc w:val="center"/>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kern w:val="2"/>
                <w:sz w:val="24"/>
                <w:szCs w:val="24"/>
                <w:highlight w:val="none"/>
                <w:lang w:val="en-US" w:eastAsia="zh-CN" w:bidi="ar-SA"/>
              </w:rPr>
              <w:t>30</w:t>
            </w:r>
          </w:p>
        </w:tc>
        <w:tc>
          <w:tcPr>
            <w:tcW w:w="5865" w:type="dxa"/>
            <w:noWrap w:val="0"/>
            <w:vAlign w:val="center"/>
          </w:tcPr>
          <w:p w14:paraId="4F5F5E37">
            <w:pPr>
              <w:pageBreakBefore w:val="0"/>
              <w:topLinePunct w:val="0"/>
              <w:bidi w:val="0"/>
              <w:spacing w:after="0" w:line="360" w:lineRule="auto"/>
              <w:ind w:firstLine="28"/>
              <w:jc w:val="left"/>
              <w:textAlignment w:val="auto"/>
              <w:rPr>
                <w:rFonts w:hint="eastAsia" w:ascii="宋体" w:hAnsi="宋体" w:eastAsia="宋体" w:cs="宋体"/>
                <w:b w:val="0"/>
                <w:bCs/>
                <w:i w:val="0"/>
                <w:iCs w:val="0"/>
                <w:sz w:val="24"/>
                <w:highlight w:val="none"/>
              </w:rPr>
            </w:pPr>
            <w:r>
              <w:rPr>
                <w:rFonts w:hint="eastAsia" w:ascii="宋体" w:hAnsi="宋体" w:eastAsia="宋体" w:cs="宋体"/>
                <w:b w:val="0"/>
                <w:bCs/>
                <w:i w:val="0"/>
                <w:iCs w:val="0"/>
                <w:sz w:val="24"/>
                <w:highlight w:val="none"/>
              </w:rPr>
              <w:t>满足磋商文件要求的最后报价最低的供应商的价格为磋商基准价，其价格分为满分。</w:t>
            </w:r>
          </w:p>
          <w:p w14:paraId="73F51724">
            <w:pPr>
              <w:pageBreakBefore w:val="0"/>
              <w:topLinePunct w:val="0"/>
              <w:bidi w:val="0"/>
              <w:spacing w:after="0" w:line="360" w:lineRule="auto"/>
              <w:ind w:firstLine="28"/>
              <w:jc w:val="left"/>
              <w:textAlignment w:val="auto"/>
              <w:rPr>
                <w:rFonts w:hint="eastAsia" w:ascii="宋体" w:hAnsi="宋体" w:eastAsia="宋体" w:cs="宋体"/>
                <w:b w:val="0"/>
                <w:bCs/>
                <w:i w:val="0"/>
                <w:iCs w:val="0"/>
                <w:sz w:val="24"/>
                <w:highlight w:val="none"/>
              </w:rPr>
            </w:pPr>
            <w:r>
              <w:rPr>
                <w:rFonts w:hint="eastAsia" w:ascii="宋体" w:hAnsi="宋体" w:eastAsia="宋体" w:cs="宋体"/>
                <w:b w:val="0"/>
                <w:bCs/>
                <w:i w:val="0"/>
                <w:iCs w:val="0"/>
                <w:sz w:val="24"/>
                <w:highlight w:val="none"/>
              </w:rPr>
              <w:t>其他供应商的价格分统一按照下列公式计算：</w:t>
            </w:r>
          </w:p>
          <w:p w14:paraId="45D2178A">
            <w:pPr>
              <w:pageBreakBefore w:val="0"/>
              <w:topLinePunct w:val="0"/>
              <w:bidi w:val="0"/>
              <w:spacing w:after="0" w:line="360" w:lineRule="auto"/>
              <w:ind w:left="-38" w:leftChars="0"/>
              <w:textAlignment w:val="auto"/>
              <w:rPr>
                <w:rFonts w:hint="eastAsia" w:ascii="宋体" w:hAnsi="宋体" w:eastAsia="宋体" w:cs="宋体"/>
                <w:b w:val="0"/>
                <w:bCs/>
                <w:i w:val="0"/>
                <w:iCs w:val="0"/>
                <w:kern w:val="2"/>
                <w:sz w:val="24"/>
                <w:szCs w:val="24"/>
                <w:highlight w:val="none"/>
                <w:lang w:val="en-US" w:eastAsia="zh-CN" w:bidi="ar-SA"/>
              </w:rPr>
            </w:pPr>
            <w:r>
              <w:rPr>
                <w:rFonts w:hint="eastAsia" w:ascii="宋体" w:hAnsi="宋体" w:eastAsia="宋体" w:cs="宋体"/>
                <w:b w:val="0"/>
                <w:bCs/>
                <w:i w:val="0"/>
                <w:iCs w:val="0"/>
                <w:sz w:val="24"/>
                <w:highlight w:val="none"/>
              </w:rPr>
              <w:t>磋商报价得分=（磋商基准价/最后报价）×</w:t>
            </w:r>
            <w:r>
              <w:rPr>
                <w:rFonts w:hint="eastAsia" w:ascii="宋体" w:hAnsi="宋体" w:eastAsia="宋体" w:cs="宋体"/>
                <w:b w:val="0"/>
                <w:bCs/>
                <w:i w:val="0"/>
                <w:iCs w:val="0"/>
                <w:sz w:val="24"/>
                <w:highlight w:val="none"/>
                <w:lang w:val="en-US" w:eastAsia="zh-CN"/>
              </w:rPr>
              <w:t>分值</w:t>
            </w:r>
          </w:p>
        </w:tc>
      </w:tr>
      <w:tr w14:paraId="36A8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997" w:type="dxa"/>
            <w:gridSpan w:val="4"/>
            <w:noWrap w:val="0"/>
            <w:vAlign w:val="center"/>
          </w:tcPr>
          <w:p w14:paraId="63C24B29">
            <w:pPr>
              <w:pStyle w:val="246"/>
              <w:pageBreakBefore w:val="0"/>
              <w:topLinePunct w:val="0"/>
              <w:bidi w:val="0"/>
              <w:spacing w:before="0" w:after="0" w:line="360" w:lineRule="auto"/>
              <w:textAlignment w:val="auto"/>
              <w:rPr>
                <w:rFonts w:hint="eastAsia" w:ascii="宋体" w:hAnsi="宋体" w:eastAsia="宋体" w:cs="宋体"/>
                <w:b/>
                <w:i w:val="0"/>
                <w:iCs w:val="0"/>
                <w:kern w:val="2"/>
                <w:sz w:val="24"/>
                <w:szCs w:val="24"/>
                <w:highlight w:val="none"/>
                <w:lang w:val="en-US" w:eastAsia="zh-CN" w:bidi="ar-SA"/>
              </w:rPr>
            </w:pPr>
            <w:r>
              <w:rPr>
                <w:rFonts w:hint="eastAsia" w:ascii="宋体" w:hAnsi="宋体" w:eastAsia="宋体" w:cs="宋体"/>
                <w:i w:val="0"/>
                <w:iCs w:val="0"/>
                <w:szCs w:val="24"/>
                <w:highlight w:val="none"/>
                <w:lang w:val="en-US" w:eastAsia="zh-CN"/>
              </w:rPr>
              <w:t>商务部分</w:t>
            </w:r>
          </w:p>
        </w:tc>
      </w:tr>
      <w:tr w14:paraId="2A88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3F455ABA">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w:t>
            </w:r>
          </w:p>
        </w:tc>
        <w:tc>
          <w:tcPr>
            <w:tcW w:w="1587" w:type="dxa"/>
            <w:noWrap w:val="0"/>
            <w:vAlign w:val="center"/>
          </w:tcPr>
          <w:p w14:paraId="317617CF">
            <w:pPr>
              <w:spacing w:after="0" w:line="276" w:lineRule="auto"/>
              <w:jc w:val="center"/>
              <w:rPr>
                <w:rFonts w:hint="eastAsia" w:ascii="宋体" w:hAnsi="宋体" w:eastAsia="宋体" w:cs="宋体"/>
                <w:i w:val="0"/>
                <w:iCs w:val="0"/>
                <w:sz w:val="24"/>
                <w:highlight w:val="none"/>
              </w:rPr>
            </w:pPr>
            <w:r>
              <w:rPr>
                <w:rFonts w:hint="eastAsia" w:ascii="宋体" w:hAnsi="宋体" w:eastAsia="宋体" w:cs="宋体"/>
                <w:kern w:val="0"/>
                <w:sz w:val="24"/>
                <w:highlight w:val="none"/>
              </w:rPr>
              <w:t>类似案例</w:t>
            </w:r>
          </w:p>
        </w:tc>
        <w:tc>
          <w:tcPr>
            <w:tcW w:w="765" w:type="dxa"/>
            <w:noWrap w:val="0"/>
            <w:vAlign w:val="center"/>
          </w:tcPr>
          <w:p w14:paraId="675B9585">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5</w:t>
            </w:r>
          </w:p>
        </w:tc>
        <w:tc>
          <w:tcPr>
            <w:tcW w:w="5865" w:type="dxa"/>
            <w:noWrap w:val="0"/>
            <w:vAlign w:val="center"/>
          </w:tcPr>
          <w:p w14:paraId="13225249">
            <w:pPr>
              <w:pageBreakBefore w:val="0"/>
              <w:topLinePunct w:val="0"/>
              <w:bidi w:val="0"/>
              <w:spacing w:after="0" w:line="360" w:lineRule="auto"/>
              <w:ind w:firstLine="28"/>
              <w:jc w:val="left"/>
              <w:textAlignment w:val="auto"/>
              <w:rPr>
                <w:rFonts w:hint="eastAsia" w:ascii="宋体" w:hAnsi="宋体" w:eastAsia="宋体" w:cs="宋体"/>
                <w:i w:val="0"/>
                <w:iCs w:val="0"/>
                <w:sz w:val="24"/>
                <w:highlight w:val="none"/>
              </w:rPr>
            </w:pPr>
            <w:r>
              <w:rPr>
                <w:rFonts w:hint="eastAsia" w:ascii="宋体" w:hAnsi="宋体" w:eastAsia="宋体" w:cs="宋体"/>
                <w:sz w:val="24"/>
                <w:highlight w:val="none"/>
              </w:rPr>
              <w:t>投标截止前三</w:t>
            </w:r>
            <w:r>
              <w:rPr>
                <w:rFonts w:hint="eastAsia" w:ascii="宋体" w:hAnsi="宋体" w:eastAsia="宋体" w:cs="宋体"/>
                <w:i w:val="0"/>
                <w:iCs w:val="0"/>
                <w:sz w:val="24"/>
                <w:highlight w:val="none"/>
              </w:rPr>
              <w:t>年内类似项目经验，每提供1份有效业绩得</w:t>
            </w:r>
            <w:r>
              <w:rPr>
                <w:rFonts w:hint="eastAsia" w:ascii="宋体" w:hAnsi="宋体" w:eastAsia="宋体" w:cs="宋体"/>
                <w:i w:val="0"/>
                <w:iCs w:val="0"/>
                <w:sz w:val="24"/>
                <w:highlight w:val="none"/>
                <w:lang w:val="en-US" w:eastAsia="zh-CN"/>
              </w:rPr>
              <w:t>1</w:t>
            </w:r>
            <w:r>
              <w:rPr>
                <w:rFonts w:hint="eastAsia" w:ascii="宋体" w:hAnsi="宋体" w:eastAsia="宋体" w:cs="宋体"/>
                <w:i w:val="0"/>
                <w:iCs w:val="0"/>
                <w:sz w:val="24"/>
                <w:highlight w:val="none"/>
              </w:rPr>
              <w:t>分，最多得</w:t>
            </w:r>
            <w:r>
              <w:rPr>
                <w:rFonts w:hint="eastAsia" w:ascii="宋体" w:hAnsi="宋体" w:eastAsia="宋体" w:cs="宋体"/>
                <w:i w:val="0"/>
                <w:iCs w:val="0"/>
                <w:sz w:val="24"/>
                <w:highlight w:val="none"/>
                <w:lang w:val="en-US" w:eastAsia="zh-CN"/>
              </w:rPr>
              <w:t>5</w:t>
            </w:r>
            <w:r>
              <w:rPr>
                <w:rFonts w:hint="eastAsia" w:ascii="宋体" w:hAnsi="宋体" w:eastAsia="宋体" w:cs="宋体"/>
                <w:i w:val="0"/>
                <w:iCs w:val="0"/>
                <w:sz w:val="24"/>
                <w:highlight w:val="none"/>
              </w:rPr>
              <w:t>分。</w:t>
            </w:r>
          </w:p>
          <w:p w14:paraId="1352B12F">
            <w:pPr>
              <w:pageBreakBefore w:val="0"/>
              <w:topLinePunct w:val="0"/>
              <w:bidi w:val="0"/>
              <w:spacing w:after="0" w:line="360" w:lineRule="auto"/>
              <w:ind w:firstLine="28"/>
              <w:jc w:val="left"/>
              <w:textAlignment w:val="auto"/>
              <w:rPr>
                <w:rFonts w:hint="eastAsia" w:ascii="宋体" w:hAnsi="宋体" w:eastAsia="宋体" w:cs="宋体"/>
                <w:i w:val="0"/>
                <w:iCs w:val="0"/>
                <w:szCs w:val="24"/>
                <w:highlight w:val="none"/>
              </w:rPr>
            </w:pPr>
            <w:r>
              <w:rPr>
                <w:rFonts w:hint="eastAsia" w:ascii="宋体" w:hAnsi="宋体" w:eastAsia="宋体" w:cs="宋体"/>
                <w:i w:val="0"/>
                <w:iCs w:val="0"/>
                <w:sz w:val="24"/>
                <w:highlight w:val="none"/>
              </w:rPr>
              <w:t>（须提供合同关键页，包含但不限于：合同首页、服务名称、金额所在页、盖章所在页复印件并加盖公章），否则不得分。</w:t>
            </w:r>
          </w:p>
        </w:tc>
      </w:tr>
      <w:tr w14:paraId="5E8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0B379C80">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2</w:t>
            </w:r>
          </w:p>
        </w:tc>
        <w:tc>
          <w:tcPr>
            <w:tcW w:w="1587" w:type="dxa"/>
            <w:noWrap w:val="0"/>
            <w:vAlign w:val="center"/>
          </w:tcPr>
          <w:p w14:paraId="2F12650E">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rPr>
              <w:t>现场组织管理机构</w:t>
            </w:r>
          </w:p>
        </w:tc>
        <w:tc>
          <w:tcPr>
            <w:tcW w:w="765" w:type="dxa"/>
            <w:noWrap w:val="0"/>
            <w:vAlign w:val="center"/>
          </w:tcPr>
          <w:p w14:paraId="1F1DCFCA">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5</w:t>
            </w:r>
          </w:p>
        </w:tc>
        <w:tc>
          <w:tcPr>
            <w:tcW w:w="5865" w:type="dxa"/>
            <w:noWrap w:val="0"/>
            <w:vAlign w:val="center"/>
          </w:tcPr>
          <w:p w14:paraId="0826FBE8">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管理机构完整，人员丰富，职责明确得5分；</w:t>
            </w:r>
          </w:p>
          <w:p w14:paraId="559F0377">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管理机构完整，人员一般，职责分工一般得3分；</w:t>
            </w:r>
          </w:p>
          <w:p w14:paraId="4036ED85">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管理机构欠缺，人员分工不明确或不完整得1分；</w:t>
            </w:r>
          </w:p>
          <w:p w14:paraId="3AED5366">
            <w:pPr>
              <w:pageBreakBefore w:val="0"/>
              <w:topLinePunct w:val="0"/>
              <w:bidi w:val="0"/>
              <w:spacing w:after="0" w:line="360" w:lineRule="auto"/>
              <w:ind w:firstLine="28" w:firstLineChars="0"/>
              <w:jc w:val="left"/>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没有不得分</w:t>
            </w:r>
            <w:r>
              <w:rPr>
                <w:rFonts w:hint="eastAsia" w:ascii="宋体" w:hAnsi="宋体" w:eastAsia="宋体" w:cs="宋体"/>
                <w:i w:val="0"/>
                <w:iCs w:val="0"/>
                <w:sz w:val="24"/>
                <w:highlight w:val="none"/>
              </w:rPr>
              <w:t>。</w:t>
            </w:r>
          </w:p>
        </w:tc>
      </w:tr>
      <w:tr w14:paraId="1A9B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997" w:type="dxa"/>
            <w:gridSpan w:val="4"/>
            <w:noWrap w:val="0"/>
            <w:vAlign w:val="center"/>
          </w:tcPr>
          <w:p w14:paraId="3D5CA345">
            <w:pPr>
              <w:pStyle w:val="246"/>
              <w:pageBreakBefore w:val="0"/>
              <w:topLinePunct w:val="0"/>
              <w:bidi w:val="0"/>
              <w:spacing w:before="0" w:after="0" w:line="360" w:lineRule="auto"/>
              <w:textAlignment w:val="auto"/>
              <w:rPr>
                <w:rFonts w:hint="eastAsia" w:ascii="宋体" w:hAnsi="宋体" w:eastAsia="宋体" w:cs="宋体"/>
                <w:i w:val="0"/>
                <w:iCs w:val="0"/>
                <w:szCs w:val="24"/>
                <w:highlight w:val="none"/>
              </w:rPr>
            </w:pPr>
            <w:r>
              <w:rPr>
                <w:rFonts w:hint="eastAsia" w:ascii="宋体" w:hAnsi="宋体" w:eastAsia="宋体" w:cs="宋体"/>
                <w:i w:val="0"/>
                <w:iCs w:val="0"/>
                <w:szCs w:val="24"/>
                <w:highlight w:val="none"/>
                <w:lang w:val="en-US" w:eastAsia="zh-CN"/>
              </w:rPr>
              <w:t>技术部分</w:t>
            </w:r>
          </w:p>
        </w:tc>
      </w:tr>
      <w:tr w14:paraId="68AF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25077B6E">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1</w:t>
            </w:r>
          </w:p>
        </w:tc>
        <w:tc>
          <w:tcPr>
            <w:tcW w:w="1587" w:type="dxa"/>
            <w:noWrap w:val="0"/>
            <w:vAlign w:val="center"/>
          </w:tcPr>
          <w:p w14:paraId="46F581A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施工方案与技术措施</w:t>
            </w:r>
          </w:p>
        </w:tc>
        <w:tc>
          <w:tcPr>
            <w:tcW w:w="765" w:type="dxa"/>
            <w:noWrap w:val="0"/>
            <w:vAlign w:val="center"/>
          </w:tcPr>
          <w:p w14:paraId="2C532E39">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7</w:t>
            </w:r>
          </w:p>
        </w:tc>
        <w:tc>
          <w:tcPr>
            <w:tcW w:w="5865" w:type="dxa"/>
            <w:noWrap w:val="0"/>
            <w:vAlign w:val="center"/>
          </w:tcPr>
          <w:p w14:paraId="5621CAC8">
            <w:pPr>
              <w:pageBreakBefore w:val="0"/>
              <w:topLinePunct w:val="0"/>
              <w:bidi w:val="0"/>
              <w:spacing w:after="0" w:line="360" w:lineRule="auto"/>
              <w:ind w:firstLine="28"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375A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131C36D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2</w:t>
            </w:r>
          </w:p>
        </w:tc>
        <w:tc>
          <w:tcPr>
            <w:tcW w:w="1587" w:type="dxa"/>
            <w:noWrap w:val="0"/>
            <w:vAlign w:val="center"/>
          </w:tcPr>
          <w:p w14:paraId="3DAB52BF">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质量管理体系与保证措施</w:t>
            </w:r>
          </w:p>
        </w:tc>
        <w:tc>
          <w:tcPr>
            <w:tcW w:w="765" w:type="dxa"/>
            <w:noWrap w:val="0"/>
            <w:vAlign w:val="center"/>
          </w:tcPr>
          <w:p w14:paraId="138DB527">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7</w:t>
            </w:r>
          </w:p>
        </w:tc>
        <w:tc>
          <w:tcPr>
            <w:tcW w:w="5865" w:type="dxa"/>
            <w:noWrap w:val="0"/>
            <w:vAlign w:val="center"/>
          </w:tcPr>
          <w:p w14:paraId="62A5EA7F">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09DD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2B976EC">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3</w:t>
            </w:r>
          </w:p>
        </w:tc>
        <w:tc>
          <w:tcPr>
            <w:tcW w:w="1587" w:type="dxa"/>
            <w:noWrap w:val="0"/>
            <w:vAlign w:val="center"/>
          </w:tcPr>
          <w:p w14:paraId="0BF5ACE6">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安全和绿色施工保障措施</w:t>
            </w:r>
          </w:p>
        </w:tc>
        <w:tc>
          <w:tcPr>
            <w:tcW w:w="765" w:type="dxa"/>
            <w:noWrap w:val="0"/>
            <w:vAlign w:val="center"/>
          </w:tcPr>
          <w:p w14:paraId="26140554">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7</w:t>
            </w:r>
          </w:p>
        </w:tc>
        <w:tc>
          <w:tcPr>
            <w:tcW w:w="5865" w:type="dxa"/>
            <w:noWrap w:val="0"/>
            <w:vAlign w:val="center"/>
          </w:tcPr>
          <w:p w14:paraId="15FE66E8">
            <w:pPr>
              <w:pageBreakBefore w:val="0"/>
              <w:topLinePunct w:val="0"/>
              <w:bidi w:val="0"/>
              <w:spacing w:after="0" w:line="36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6461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747C4D5">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4</w:t>
            </w:r>
          </w:p>
        </w:tc>
        <w:tc>
          <w:tcPr>
            <w:tcW w:w="1587" w:type="dxa"/>
            <w:noWrap w:val="0"/>
            <w:vAlign w:val="center"/>
          </w:tcPr>
          <w:p w14:paraId="54E73584">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进度计划及保障措施</w:t>
            </w:r>
          </w:p>
        </w:tc>
        <w:tc>
          <w:tcPr>
            <w:tcW w:w="765" w:type="dxa"/>
            <w:noWrap w:val="0"/>
            <w:vAlign w:val="center"/>
          </w:tcPr>
          <w:p w14:paraId="100D5871">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7</w:t>
            </w:r>
          </w:p>
        </w:tc>
        <w:tc>
          <w:tcPr>
            <w:tcW w:w="5865" w:type="dxa"/>
            <w:shd w:val="clear" w:color="auto" w:fill="auto"/>
            <w:noWrap w:val="0"/>
            <w:vAlign w:val="center"/>
          </w:tcPr>
          <w:p w14:paraId="428AD9F7">
            <w:pPr>
              <w:pageBreakBefore w:val="0"/>
              <w:topLinePunct w:val="0"/>
              <w:bidi w:val="0"/>
              <w:spacing w:after="0" w:line="360" w:lineRule="auto"/>
              <w:ind w:firstLine="28" w:firstLineChars="0"/>
              <w:jc w:val="left"/>
              <w:textAlignment w:val="auto"/>
              <w:rPr>
                <w:rFonts w:hint="eastAsia" w:ascii="宋体" w:hAnsi="宋体" w:eastAsia="宋体" w:cs="宋体"/>
                <w:i w:val="0"/>
                <w:iCs w:val="0"/>
                <w:kern w:val="2"/>
                <w:sz w:val="21"/>
                <w:szCs w:val="24"/>
                <w:highlight w:val="none"/>
                <w:lang w:val="en-US" w:eastAsia="zh-CN" w:bidi="ar-SA"/>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7DF8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noWrap w:val="0"/>
            <w:vAlign w:val="center"/>
          </w:tcPr>
          <w:p w14:paraId="6C366DD6">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5</w:t>
            </w:r>
          </w:p>
        </w:tc>
        <w:tc>
          <w:tcPr>
            <w:tcW w:w="1587" w:type="dxa"/>
            <w:noWrap w:val="0"/>
            <w:vAlign w:val="center"/>
          </w:tcPr>
          <w:p w14:paraId="22FC57C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消防、保卫方案</w:t>
            </w:r>
          </w:p>
        </w:tc>
        <w:tc>
          <w:tcPr>
            <w:tcW w:w="765" w:type="dxa"/>
            <w:noWrap w:val="0"/>
            <w:vAlign w:val="center"/>
          </w:tcPr>
          <w:p w14:paraId="27166D84">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7</w:t>
            </w:r>
          </w:p>
        </w:tc>
        <w:tc>
          <w:tcPr>
            <w:tcW w:w="5865" w:type="dxa"/>
            <w:noWrap w:val="0"/>
            <w:vAlign w:val="center"/>
          </w:tcPr>
          <w:p w14:paraId="35E36D8E">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76F6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2D30611F">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6</w:t>
            </w:r>
          </w:p>
        </w:tc>
        <w:tc>
          <w:tcPr>
            <w:tcW w:w="1587" w:type="dxa"/>
            <w:noWrap w:val="0"/>
            <w:vAlign w:val="center"/>
          </w:tcPr>
          <w:p w14:paraId="46D9D5D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冬雨季施工方案</w:t>
            </w:r>
          </w:p>
        </w:tc>
        <w:tc>
          <w:tcPr>
            <w:tcW w:w="765" w:type="dxa"/>
            <w:noWrap w:val="0"/>
            <w:vAlign w:val="center"/>
          </w:tcPr>
          <w:p w14:paraId="05B85FD8">
            <w:pPr>
              <w:pageBreakBefore w:val="0"/>
              <w:topLinePunct w:val="0"/>
              <w:bidi w:val="0"/>
              <w:spacing w:after="0" w:line="360" w:lineRule="auto"/>
              <w:ind w:firstLine="28"/>
              <w:jc w:val="center"/>
              <w:textAlignment w:val="auto"/>
              <w:rPr>
                <w:rFonts w:hint="default" w:ascii="宋体" w:hAnsi="宋体" w:eastAsia="宋体" w:cs="宋体"/>
                <w:i w:val="0"/>
                <w:iCs w:val="0"/>
                <w:sz w:val="24"/>
                <w:highlight w:val="none"/>
                <w:lang w:val="en-US" w:eastAsia="zh-CN"/>
              </w:rPr>
            </w:pPr>
            <w:r>
              <w:rPr>
                <w:rFonts w:hint="eastAsia" w:ascii="宋体" w:hAnsi="宋体" w:cs="宋体"/>
                <w:i w:val="0"/>
                <w:iCs w:val="0"/>
                <w:sz w:val="24"/>
                <w:highlight w:val="none"/>
                <w:lang w:val="en-US" w:eastAsia="zh-CN"/>
              </w:rPr>
              <w:t>7</w:t>
            </w:r>
          </w:p>
        </w:tc>
        <w:tc>
          <w:tcPr>
            <w:tcW w:w="5865" w:type="dxa"/>
            <w:noWrap w:val="0"/>
            <w:vAlign w:val="center"/>
          </w:tcPr>
          <w:p w14:paraId="062CF845">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w:t>
            </w:r>
            <w:r>
              <w:rPr>
                <w:rFonts w:hint="eastAsia" w:ascii="宋体" w:hAnsi="宋体" w:cs="宋体"/>
                <w:sz w:val="24"/>
                <w:highlight w:val="none"/>
                <w:lang w:val="en-US" w:eastAsia="zh-CN"/>
              </w:rPr>
              <w:t>7</w:t>
            </w:r>
            <w:r>
              <w:rPr>
                <w:rFonts w:hint="eastAsia" w:ascii="宋体" w:hAnsi="宋体" w:eastAsia="宋体" w:cs="宋体"/>
                <w:sz w:val="24"/>
                <w:highlight w:val="none"/>
                <w:lang w:val="en-US" w:eastAsia="zh-CN"/>
              </w:rPr>
              <w:t>分；方案一般，通用，针对性不强得</w:t>
            </w:r>
            <w:r>
              <w:rPr>
                <w:rFonts w:hint="eastAsia" w:ascii="宋体" w:hAnsi="宋体" w:cs="宋体"/>
                <w:sz w:val="24"/>
                <w:highlight w:val="none"/>
                <w:lang w:val="en-US" w:eastAsia="zh-CN"/>
              </w:rPr>
              <w:t>5</w:t>
            </w:r>
            <w:r>
              <w:rPr>
                <w:rFonts w:hint="eastAsia" w:ascii="宋体" w:hAnsi="宋体" w:eastAsia="宋体" w:cs="宋体"/>
                <w:sz w:val="24"/>
                <w:highlight w:val="none"/>
                <w:lang w:val="en-US" w:eastAsia="zh-CN"/>
              </w:rPr>
              <w:t>分；内容有欠缺，不完全满足项目要求得</w:t>
            </w: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分；没有不得分。</w:t>
            </w:r>
          </w:p>
        </w:tc>
      </w:tr>
      <w:tr w14:paraId="2EC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7D772B28">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7</w:t>
            </w:r>
          </w:p>
        </w:tc>
        <w:tc>
          <w:tcPr>
            <w:tcW w:w="1587" w:type="dxa"/>
            <w:noWrap w:val="0"/>
            <w:vAlign w:val="center"/>
          </w:tcPr>
          <w:p w14:paraId="6460CE8B">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施工现场总平面布置</w:t>
            </w:r>
          </w:p>
        </w:tc>
        <w:tc>
          <w:tcPr>
            <w:tcW w:w="765" w:type="dxa"/>
            <w:noWrap w:val="0"/>
            <w:vAlign w:val="center"/>
          </w:tcPr>
          <w:p w14:paraId="7F917C79">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41506971">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0953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1F7B7FBB">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8</w:t>
            </w:r>
          </w:p>
        </w:tc>
        <w:tc>
          <w:tcPr>
            <w:tcW w:w="1587" w:type="dxa"/>
            <w:noWrap w:val="0"/>
            <w:vAlign w:val="center"/>
          </w:tcPr>
          <w:p w14:paraId="4953D15E">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成品保护和工程保修工作的管理措施和承诺</w:t>
            </w:r>
          </w:p>
        </w:tc>
        <w:tc>
          <w:tcPr>
            <w:tcW w:w="765" w:type="dxa"/>
            <w:noWrap w:val="0"/>
            <w:vAlign w:val="center"/>
          </w:tcPr>
          <w:p w14:paraId="09D3BE71">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3DB6E7DC">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091A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80" w:type="dxa"/>
            <w:shd w:val="clear" w:color="auto" w:fill="auto"/>
            <w:noWrap w:val="0"/>
            <w:vAlign w:val="center"/>
          </w:tcPr>
          <w:p w14:paraId="32380DB6">
            <w:pPr>
              <w:pageBreakBefore w:val="0"/>
              <w:topLinePunct w:val="0"/>
              <w:bidi w:val="0"/>
              <w:spacing w:after="0" w:line="360" w:lineRule="auto"/>
              <w:ind w:firstLine="28" w:firstLineChars="0"/>
              <w:jc w:val="center"/>
              <w:textAlignment w:val="auto"/>
              <w:rPr>
                <w:rFonts w:hint="eastAsia" w:ascii="宋体" w:hAnsi="宋体" w:eastAsia="宋体" w:cs="宋体"/>
                <w:i w:val="0"/>
                <w:iCs w:val="0"/>
                <w:kern w:val="2"/>
                <w:sz w:val="24"/>
                <w:szCs w:val="24"/>
                <w:highlight w:val="none"/>
                <w:lang w:val="en-US" w:eastAsia="zh-CN" w:bidi="ar-SA"/>
              </w:rPr>
            </w:pPr>
            <w:r>
              <w:rPr>
                <w:rFonts w:hint="eastAsia" w:ascii="宋体" w:hAnsi="宋体" w:eastAsia="宋体" w:cs="宋体"/>
                <w:i w:val="0"/>
                <w:iCs w:val="0"/>
                <w:sz w:val="24"/>
                <w:highlight w:val="none"/>
                <w:lang w:val="en-US" w:eastAsia="zh-CN"/>
              </w:rPr>
              <w:t>9</w:t>
            </w:r>
          </w:p>
        </w:tc>
        <w:tc>
          <w:tcPr>
            <w:tcW w:w="1587" w:type="dxa"/>
            <w:noWrap w:val="0"/>
            <w:vAlign w:val="center"/>
          </w:tcPr>
          <w:p w14:paraId="3F1B9092">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紧急情况的处理措施、预案以及抵抗风险的措施</w:t>
            </w:r>
          </w:p>
        </w:tc>
        <w:tc>
          <w:tcPr>
            <w:tcW w:w="765" w:type="dxa"/>
            <w:noWrap w:val="0"/>
            <w:vAlign w:val="center"/>
          </w:tcPr>
          <w:p w14:paraId="1D11FFBD">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6</w:t>
            </w:r>
          </w:p>
        </w:tc>
        <w:tc>
          <w:tcPr>
            <w:tcW w:w="5865" w:type="dxa"/>
            <w:noWrap w:val="0"/>
            <w:vAlign w:val="center"/>
          </w:tcPr>
          <w:p w14:paraId="153BAFE4">
            <w:pPr>
              <w:pageBreakBefore w:val="0"/>
              <w:topLinePunct w:val="0"/>
              <w:bidi w:val="0"/>
              <w:spacing w:after="0" w:line="360" w:lineRule="auto"/>
              <w:ind w:firstLine="28" w:firstLineChars="0"/>
              <w:jc w:val="left"/>
              <w:textAlignment w:val="auto"/>
              <w:rPr>
                <w:rFonts w:hint="eastAsia" w:ascii="宋体" w:hAnsi="宋体" w:eastAsia="宋体" w:cs="宋体"/>
                <w:i w:val="0"/>
                <w:iCs w:val="0"/>
                <w:szCs w:val="24"/>
                <w:highlight w:val="none"/>
              </w:rPr>
            </w:pPr>
            <w:r>
              <w:rPr>
                <w:rFonts w:hint="eastAsia" w:ascii="宋体" w:hAnsi="宋体" w:eastAsia="宋体" w:cs="宋体"/>
                <w:sz w:val="24"/>
                <w:highlight w:val="none"/>
                <w:lang w:val="en-US" w:eastAsia="zh-CN"/>
              </w:rPr>
              <w:t>方案详细，科学合理，有针对性得6分；方案一般，通用，针对性不强得4分；内容有欠缺，不完全满足项目要求得2分；没有不得分。</w:t>
            </w:r>
          </w:p>
        </w:tc>
      </w:tr>
      <w:tr w14:paraId="2AE0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367" w:type="dxa"/>
            <w:gridSpan w:val="2"/>
            <w:noWrap w:val="0"/>
            <w:vAlign w:val="center"/>
          </w:tcPr>
          <w:p w14:paraId="502C8F20">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合计</w:t>
            </w:r>
          </w:p>
        </w:tc>
        <w:tc>
          <w:tcPr>
            <w:tcW w:w="765" w:type="dxa"/>
            <w:noWrap w:val="0"/>
            <w:vAlign w:val="center"/>
          </w:tcPr>
          <w:p w14:paraId="04FFB0B7">
            <w:pPr>
              <w:pageBreakBefore w:val="0"/>
              <w:topLinePunct w:val="0"/>
              <w:bidi w:val="0"/>
              <w:spacing w:after="0" w:line="360" w:lineRule="auto"/>
              <w:ind w:firstLine="28"/>
              <w:jc w:val="center"/>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100</w:t>
            </w:r>
          </w:p>
        </w:tc>
        <w:tc>
          <w:tcPr>
            <w:tcW w:w="5865" w:type="dxa"/>
            <w:noWrap w:val="0"/>
            <w:vAlign w:val="center"/>
          </w:tcPr>
          <w:p w14:paraId="543CFAE2">
            <w:pPr>
              <w:pageBreakBefore w:val="0"/>
              <w:topLinePunct w:val="0"/>
              <w:bidi w:val="0"/>
              <w:spacing w:after="0" w:line="360" w:lineRule="auto"/>
              <w:jc w:val="center"/>
              <w:textAlignment w:val="auto"/>
              <w:rPr>
                <w:rFonts w:hint="eastAsia"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w:t>
            </w:r>
          </w:p>
        </w:tc>
      </w:tr>
    </w:tbl>
    <w:p w14:paraId="59E7201F">
      <w:pPr>
        <w:spacing w:after="0"/>
        <w:rPr>
          <w:rFonts w:ascii="等线" w:hAnsi="等线" w:eastAsia="等线"/>
          <w:szCs w:val="22"/>
          <w:highlight w:val="none"/>
        </w:rPr>
      </w:pPr>
    </w:p>
    <w:p w14:paraId="6244CD38">
      <w:pPr>
        <w:spacing w:after="0"/>
        <w:rPr>
          <w:rFonts w:ascii="等线" w:hAnsi="等线" w:eastAsia="等线"/>
          <w:szCs w:val="22"/>
          <w:highlight w:val="none"/>
        </w:rPr>
      </w:pPr>
    </w:p>
    <w:p w14:paraId="5D00010B">
      <w:pPr>
        <w:pageBreakBefore w:val="0"/>
        <w:wordWrap w:val="0"/>
        <w:topLinePunct w:val="0"/>
        <w:bidi w:val="0"/>
        <w:spacing w:after="0"/>
        <w:textAlignment w:val="auto"/>
        <w:rPr>
          <w:rFonts w:hint="eastAsia" w:ascii="宋体" w:hAnsi="宋体" w:cs="宋体"/>
          <w:highlight w:val="none"/>
        </w:rPr>
        <w:sectPr>
          <w:pgSz w:w="11905" w:h="16838"/>
          <w:pgMar w:top="1474" w:right="1474" w:bottom="1474" w:left="1474" w:header="850" w:footer="992" w:gutter="0"/>
          <w:pgNumType w:fmt="decimal"/>
          <w:cols w:space="0" w:num="1"/>
          <w:rtlGutter w:val="0"/>
          <w:docGrid w:linePitch="462" w:charSpace="0"/>
        </w:sectPr>
      </w:pPr>
      <w:r>
        <w:rPr>
          <w:rFonts w:hint="eastAsia" w:ascii="宋体" w:hAnsi="宋体" w:cs="宋体"/>
          <w:highlight w:val="none"/>
        </w:rPr>
        <w:t xml:space="preserve">                                             </w:t>
      </w:r>
    </w:p>
    <w:p w14:paraId="7E49DC25">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669" w:name="_Toc21846"/>
      <w:bookmarkStart w:id="670" w:name="_Toc24934"/>
      <w:r>
        <w:rPr>
          <w:rFonts w:hint="eastAsia" w:ascii="宋体" w:hAnsi="宋体" w:cs="宋体"/>
          <w:b/>
          <w:sz w:val="36"/>
          <w:szCs w:val="36"/>
          <w:highlight w:val="none"/>
        </w:rPr>
        <w:t>第四章   采购需求</w:t>
      </w:r>
      <w:bookmarkEnd w:id="669"/>
      <w:bookmarkEnd w:id="670"/>
      <w:bookmarkStart w:id="671" w:name="_Hlk96006087"/>
    </w:p>
    <w:bookmarkEnd w:id="671"/>
    <w:p w14:paraId="728F6B5A">
      <w:pPr>
        <w:pStyle w:val="3"/>
        <w:pageBreakBefore w:val="0"/>
        <w:wordWrap w:val="0"/>
        <w:topLinePunct w:val="0"/>
        <w:bidi w:val="0"/>
        <w:spacing w:after="0"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一、采购标的</w:t>
      </w:r>
    </w:p>
    <w:p w14:paraId="03165BE7">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1. 采购标的（需求一览表或简要服务内容及数量）</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76"/>
        <w:gridCol w:w="1602"/>
        <w:gridCol w:w="600"/>
        <w:gridCol w:w="3579"/>
      </w:tblGrid>
      <w:tr w14:paraId="5BC3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noWrap/>
            <w:vAlign w:val="center"/>
          </w:tcPr>
          <w:p w14:paraId="0BD0584E">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包号</w:t>
            </w:r>
          </w:p>
        </w:tc>
        <w:tc>
          <w:tcPr>
            <w:tcW w:w="1404" w:type="pct"/>
            <w:noWrap/>
            <w:vAlign w:val="center"/>
          </w:tcPr>
          <w:p w14:paraId="52D86255">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标的名称</w:t>
            </w:r>
          </w:p>
        </w:tc>
        <w:tc>
          <w:tcPr>
            <w:tcW w:w="873" w:type="pct"/>
            <w:noWrap/>
            <w:vAlign w:val="center"/>
          </w:tcPr>
          <w:p w14:paraId="3827E38D">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采购包预算金额（万元）</w:t>
            </w:r>
          </w:p>
        </w:tc>
        <w:tc>
          <w:tcPr>
            <w:tcW w:w="327" w:type="pct"/>
            <w:noWrap/>
            <w:vAlign w:val="center"/>
          </w:tcPr>
          <w:p w14:paraId="6D516120">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数量</w:t>
            </w:r>
          </w:p>
        </w:tc>
        <w:tc>
          <w:tcPr>
            <w:tcW w:w="1952" w:type="pct"/>
            <w:noWrap/>
            <w:vAlign w:val="center"/>
          </w:tcPr>
          <w:p w14:paraId="6607FEB6">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简要技术需求或服务要求</w:t>
            </w:r>
          </w:p>
        </w:tc>
      </w:tr>
      <w:tr w14:paraId="7F5A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5" w:type="pct"/>
            <w:noWrap/>
            <w:vAlign w:val="center"/>
          </w:tcPr>
          <w:p w14:paraId="73B22816">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01</w:t>
            </w:r>
          </w:p>
        </w:tc>
        <w:tc>
          <w:tcPr>
            <w:tcW w:w="1404" w:type="pct"/>
            <w:noWrap/>
            <w:vAlign w:val="center"/>
          </w:tcPr>
          <w:p w14:paraId="14B8BC5F">
            <w:pPr>
              <w:pageBreakBefore w:val="0"/>
              <w:wordWrap w:val="0"/>
              <w:topLinePunct w:val="0"/>
              <w:bidi w:val="0"/>
              <w:spacing w:after="0" w:line="44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桃源里24、25栋外墙加固改造工程</w:t>
            </w:r>
          </w:p>
        </w:tc>
        <w:tc>
          <w:tcPr>
            <w:tcW w:w="873" w:type="pct"/>
            <w:noWrap/>
            <w:vAlign w:val="center"/>
          </w:tcPr>
          <w:p w14:paraId="0E1F3D0A">
            <w:pPr>
              <w:pageBreakBefore w:val="0"/>
              <w:wordWrap w:val="0"/>
              <w:topLinePunct w:val="0"/>
              <w:bidi w:val="0"/>
              <w:spacing w:after="0" w:line="44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350.06897</w:t>
            </w:r>
          </w:p>
        </w:tc>
        <w:tc>
          <w:tcPr>
            <w:tcW w:w="327" w:type="pct"/>
            <w:noWrap/>
            <w:vAlign w:val="center"/>
          </w:tcPr>
          <w:p w14:paraId="5F7568C5">
            <w:pPr>
              <w:pageBreakBefore w:val="0"/>
              <w:wordWrap w:val="0"/>
              <w:topLinePunct w:val="0"/>
              <w:bidi w:val="0"/>
              <w:spacing w:after="0" w:line="440" w:lineRule="exact"/>
              <w:jc w:val="center"/>
              <w:textAlignment w:val="auto"/>
              <w:rPr>
                <w:rFonts w:hint="eastAsia" w:ascii="宋体" w:hAnsi="宋体" w:cs="宋体"/>
                <w:sz w:val="24"/>
                <w:highlight w:val="none"/>
              </w:rPr>
            </w:pPr>
            <w:r>
              <w:rPr>
                <w:rFonts w:hint="eastAsia" w:ascii="宋体" w:hAnsi="宋体" w:cs="宋体"/>
                <w:sz w:val="24"/>
                <w:highlight w:val="none"/>
              </w:rPr>
              <w:t>1</w:t>
            </w:r>
          </w:p>
        </w:tc>
        <w:tc>
          <w:tcPr>
            <w:tcW w:w="1952" w:type="pct"/>
            <w:noWrap/>
            <w:vAlign w:val="center"/>
          </w:tcPr>
          <w:p w14:paraId="364139FD">
            <w:pPr>
              <w:pageBreakBefore w:val="0"/>
              <w:wordWrap w:val="0"/>
              <w:topLinePunct w:val="0"/>
              <w:bidi w:val="0"/>
              <w:spacing w:after="0" w:line="440" w:lineRule="exact"/>
              <w:textAlignment w:val="auto"/>
              <w:rPr>
                <w:rFonts w:hint="eastAsia" w:ascii="宋体" w:hAnsi="宋体" w:cs="宋体"/>
                <w:sz w:val="24"/>
                <w:highlight w:val="none"/>
              </w:rPr>
            </w:pPr>
            <w:r>
              <w:rPr>
                <w:rFonts w:hint="eastAsia" w:ascii="宋体" w:hAnsi="宋体" w:cs="宋体"/>
                <w:sz w:val="24"/>
                <w:highlight w:val="none"/>
                <w:lang w:eastAsia="zh-CN"/>
              </w:rPr>
              <w:t>桃源里24、25栋外墙加固改造工程</w:t>
            </w:r>
            <w:r>
              <w:rPr>
                <w:rFonts w:hint="eastAsia" w:ascii="宋体" w:hAnsi="宋体" w:cs="宋体"/>
                <w:sz w:val="24"/>
                <w:highlight w:val="none"/>
              </w:rPr>
              <w:t>工程量清单及施工图纸显示的全部工程内容。</w:t>
            </w:r>
          </w:p>
        </w:tc>
      </w:tr>
    </w:tbl>
    <w:p w14:paraId="4BE2DA6A">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2. 项目背景/项目概述</w:t>
      </w:r>
    </w:p>
    <w:p w14:paraId="05DA72EC">
      <w:pPr>
        <w:pageBreakBefore w:val="0"/>
        <w:wordWrap w:val="0"/>
        <w:topLinePunct w:val="0"/>
        <w:bidi w:val="0"/>
        <w:spacing w:after="0" w:line="440" w:lineRule="exact"/>
        <w:ind w:firstLine="420"/>
        <w:textAlignment w:val="auto"/>
        <w:rPr>
          <w:rFonts w:hint="eastAsia" w:ascii="宋体" w:hAnsi="宋体" w:cs="宋体"/>
          <w:sz w:val="24"/>
          <w:highlight w:val="none"/>
          <w:lang w:eastAsia="zh-CN"/>
        </w:rPr>
      </w:pPr>
      <w:r>
        <w:rPr>
          <w:rFonts w:hint="eastAsia" w:ascii="宋体" w:hAnsi="宋体" w:cs="宋体"/>
          <w:sz w:val="24"/>
          <w:highlight w:val="none"/>
          <w:lang w:eastAsia="zh-CN"/>
        </w:rPr>
        <w:t>桃源里24、25栋外墙加固改造工程工程量清单及施工图纸显示的全部工程内容。</w:t>
      </w:r>
    </w:p>
    <w:p w14:paraId="2217977E">
      <w:pPr>
        <w:pStyle w:val="3"/>
        <w:pageBreakBefore w:val="0"/>
        <w:wordWrap w:val="0"/>
        <w:topLinePunct w:val="0"/>
        <w:bidi w:val="0"/>
        <w:spacing w:after="0"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二、商务要求</w:t>
      </w:r>
    </w:p>
    <w:p w14:paraId="7E1B8436">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1. 实施的时间和地点</w:t>
      </w:r>
    </w:p>
    <w:p w14:paraId="00AC0F75">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1.1合同履行期：</w:t>
      </w:r>
      <w:r>
        <w:rPr>
          <w:rFonts w:hint="eastAsia" w:ascii="宋体" w:hAnsi="宋体" w:cs="宋体"/>
          <w:sz w:val="24"/>
          <w:highlight w:val="none"/>
          <w:lang w:eastAsia="zh-CN"/>
        </w:rPr>
        <w:t>初步计划工期</w:t>
      </w:r>
      <w:r>
        <w:rPr>
          <w:rFonts w:hint="eastAsia" w:ascii="宋体" w:hAnsi="宋体" w:cs="宋体"/>
          <w:sz w:val="24"/>
          <w:highlight w:val="none"/>
          <w:lang w:val="en-US" w:eastAsia="zh-CN"/>
        </w:rPr>
        <w:t xml:space="preserve"> 280</w:t>
      </w:r>
      <w:r>
        <w:rPr>
          <w:rFonts w:hint="eastAsia" w:ascii="宋体" w:hAnsi="宋体" w:cs="宋体"/>
          <w:sz w:val="24"/>
          <w:highlight w:val="none"/>
          <w:lang w:eastAsia="zh-CN"/>
        </w:rPr>
        <w:t>日历天</w:t>
      </w:r>
      <w:r>
        <w:rPr>
          <w:rFonts w:hint="eastAsia" w:ascii="宋体" w:hAnsi="宋体" w:cs="宋体"/>
          <w:sz w:val="24"/>
          <w:highlight w:val="none"/>
        </w:rPr>
        <w:t>，具体开工日期及工期，以实际通知为准。</w:t>
      </w:r>
    </w:p>
    <w:p w14:paraId="63D9B2B9">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1.2地点：北京市丰台区。</w:t>
      </w:r>
    </w:p>
    <w:p w14:paraId="31AA5E64">
      <w:pPr>
        <w:pageBreakBefore w:val="0"/>
        <w:wordWrap w:val="0"/>
        <w:topLinePunct w:val="0"/>
        <w:bidi w:val="0"/>
        <w:spacing w:after="0" w:line="440" w:lineRule="exact"/>
        <w:ind w:firstLine="420"/>
        <w:textAlignment w:val="auto"/>
        <w:rPr>
          <w:rFonts w:hint="eastAsia" w:ascii="宋体" w:hAnsi="宋体" w:cs="宋体"/>
          <w:sz w:val="24"/>
          <w:highlight w:val="none"/>
        </w:rPr>
      </w:pPr>
      <w:r>
        <w:rPr>
          <w:rFonts w:hint="eastAsia" w:ascii="宋体" w:hAnsi="宋体" w:cs="宋体"/>
          <w:sz w:val="24"/>
          <w:highlight w:val="none"/>
        </w:rPr>
        <w:t>1.3采购人或者采购代理机构应当按照政府采购合同规定的工程量、服务、安全标准组织对供应商履约情况进行验收，并出具验收书。</w:t>
      </w:r>
    </w:p>
    <w:p w14:paraId="6FF3F8F1">
      <w:pPr>
        <w:pageBreakBefore w:val="0"/>
        <w:wordWrap w:val="0"/>
        <w:topLinePunct w:val="0"/>
        <w:bidi w:val="0"/>
        <w:spacing w:after="0" w:line="440" w:lineRule="exact"/>
        <w:textAlignment w:val="auto"/>
        <w:rPr>
          <w:rFonts w:hint="eastAsia" w:ascii="宋体" w:hAnsi="宋体" w:cs="宋体"/>
          <w:b/>
          <w:bCs/>
          <w:sz w:val="24"/>
          <w:highlight w:val="none"/>
        </w:rPr>
      </w:pPr>
      <w:r>
        <w:rPr>
          <w:rFonts w:hint="eastAsia" w:ascii="宋体" w:hAnsi="宋体" w:cs="宋体"/>
          <w:b/>
          <w:bCs/>
          <w:sz w:val="24"/>
          <w:highlight w:val="none"/>
        </w:rPr>
        <w:t>2. 付款条件</w:t>
      </w:r>
    </w:p>
    <w:p w14:paraId="52D28069">
      <w:pPr>
        <w:pageBreakBefore w:val="0"/>
        <w:wordWrap w:val="0"/>
        <w:topLinePunct w:val="0"/>
        <w:bidi w:val="0"/>
        <w:spacing w:after="0"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工程款分2次向承包方支付，第一次支付为开工后7日内，支付合同实际金额的50%为预付款；第二次支付为验收合格后7日内，支付合同实际金额的50%，工程价款的3%为质量保修金，质保期</w:t>
      </w:r>
      <w:r>
        <w:rPr>
          <w:rFonts w:hint="eastAsia" w:ascii="宋体" w:hAnsi="宋体" w:cs="宋体"/>
          <w:sz w:val="24"/>
          <w:highlight w:val="none"/>
          <w:lang w:val="en-US" w:eastAsia="zh-CN"/>
        </w:rPr>
        <w:t>2</w:t>
      </w:r>
      <w:r>
        <w:rPr>
          <w:rFonts w:hint="eastAsia" w:ascii="宋体" w:hAnsi="宋体" w:cs="宋体"/>
          <w:sz w:val="24"/>
          <w:highlight w:val="none"/>
        </w:rPr>
        <w:t>年。工程验收合格后，由甲方提供指定账号，乙方付工程总价的3%作为质量保修金，验收合格满 5 年无息返还。</w:t>
      </w:r>
    </w:p>
    <w:p w14:paraId="709527AA">
      <w:pPr>
        <w:pStyle w:val="3"/>
        <w:pageBreakBefore w:val="0"/>
        <w:wordWrap w:val="0"/>
        <w:topLinePunct w:val="0"/>
        <w:bidi w:val="0"/>
        <w:spacing w:after="0" w:line="360" w:lineRule="auto"/>
        <w:jc w:val="both"/>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三、</w:t>
      </w:r>
      <w:r>
        <w:rPr>
          <w:rFonts w:hint="eastAsia" w:ascii="宋体" w:hAnsi="宋体" w:eastAsia="宋体" w:cs="宋体"/>
          <w:sz w:val="24"/>
          <w:szCs w:val="28"/>
          <w:highlight w:val="none"/>
        </w:rPr>
        <w:t>工程量清单</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lang w:val="en-US" w:eastAsia="zh-CN"/>
        </w:rPr>
        <w:t>另附</w:t>
      </w:r>
      <w:r>
        <w:rPr>
          <w:rFonts w:hint="eastAsia" w:ascii="宋体" w:hAnsi="宋体" w:eastAsia="宋体" w:cs="宋体"/>
          <w:sz w:val="24"/>
          <w:szCs w:val="28"/>
          <w:highlight w:val="none"/>
          <w:lang w:eastAsia="zh-CN"/>
        </w:rPr>
        <w:t>）</w:t>
      </w:r>
    </w:p>
    <w:p w14:paraId="73A1A495">
      <w:pPr>
        <w:pageBreakBefore w:val="0"/>
        <w:wordWrap w:val="0"/>
        <w:topLinePunct w:val="0"/>
        <w:bidi w:val="0"/>
        <w:spacing w:after="0" w:line="440" w:lineRule="exact"/>
        <w:textAlignment w:val="auto"/>
        <w:rPr>
          <w:rFonts w:hAnsi="宋体" w:cs="宋体"/>
          <w:sz w:val="24"/>
          <w:highlight w:val="none"/>
        </w:rPr>
      </w:pPr>
      <w:r>
        <w:rPr>
          <w:highlight w:val="none"/>
        </w:rPr>
        <w:t xml:space="preserve">              </w:t>
      </w:r>
    </w:p>
    <w:p w14:paraId="1B33EB55">
      <w:pPr>
        <w:pageBreakBefore w:val="0"/>
        <w:wordWrap w:val="0"/>
        <w:topLinePunct w:val="0"/>
        <w:bidi w:val="0"/>
        <w:spacing w:after="0" w:line="440" w:lineRule="exact"/>
        <w:textAlignment w:val="auto"/>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48968820">
      <w:pPr>
        <w:pStyle w:val="3"/>
        <w:spacing w:after="0" w:line="360" w:lineRule="auto"/>
        <w:jc w:val="both"/>
        <w:rPr>
          <w:rFonts w:hint="eastAsia" w:ascii="宋体" w:hAnsi="宋体" w:eastAsia="宋体" w:cs="宋体"/>
          <w:sz w:val="24"/>
          <w:szCs w:val="28"/>
          <w:highlight w:val="none"/>
        </w:rPr>
      </w:pPr>
      <w:r>
        <w:rPr>
          <w:rFonts w:hint="eastAsia" w:ascii="宋体" w:hAnsi="宋体" w:eastAsia="宋体" w:cs="宋体"/>
          <w:sz w:val="24"/>
          <w:szCs w:val="28"/>
          <w:highlight w:val="none"/>
        </w:rPr>
        <w:t>四、技术标准及要求</w:t>
      </w:r>
    </w:p>
    <w:p w14:paraId="5A9F4201">
      <w:pPr>
        <w:pStyle w:val="250"/>
        <w:spacing w:before="120" w:after="0"/>
        <w:outlineLvl w:val="2"/>
        <w:rPr>
          <w:rFonts w:hint="eastAsia" w:asciiTheme="minorEastAsia" w:hAnsiTheme="minorEastAsia" w:eastAsiaTheme="minorEastAsia" w:cstheme="minorEastAsia"/>
          <w:b/>
          <w:sz w:val="24"/>
          <w:szCs w:val="24"/>
          <w:highlight w:val="none"/>
          <w:shd w:val="clear" w:color="auto" w:fill="FFFFFF"/>
        </w:rPr>
      </w:pPr>
      <w:r>
        <w:rPr>
          <w:rFonts w:hint="eastAsia" w:asciiTheme="minorEastAsia" w:hAnsiTheme="minorEastAsia" w:eastAsiaTheme="minorEastAsia" w:cstheme="minorEastAsia"/>
          <w:b/>
          <w:sz w:val="24"/>
          <w:szCs w:val="24"/>
          <w:highlight w:val="none"/>
          <w:shd w:val="clear" w:color="auto" w:fill="FFFFFF"/>
        </w:rPr>
        <w:t>技术标准和要求通用部分</w:t>
      </w:r>
    </w:p>
    <w:p w14:paraId="3BD6799F">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672" w:name="_Toc96529953"/>
      <w:bookmarkStart w:id="673" w:name="_Toc24705"/>
      <w:bookmarkStart w:id="674" w:name="_Toc96505331"/>
      <w:bookmarkStart w:id="675" w:name="_Toc96352127"/>
      <w:bookmarkStart w:id="676" w:name="_Toc96504942"/>
      <w:r>
        <w:rPr>
          <w:rFonts w:hint="eastAsia" w:asciiTheme="minorEastAsia" w:hAnsiTheme="minorEastAsia" w:eastAsiaTheme="minorEastAsia" w:cstheme="minorEastAsia"/>
          <w:sz w:val="24"/>
          <w:szCs w:val="24"/>
          <w:highlight w:val="none"/>
        </w:rPr>
        <w:t>1.工程说明</w:t>
      </w:r>
      <w:bookmarkEnd w:id="672"/>
      <w:bookmarkEnd w:id="673"/>
      <w:bookmarkEnd w:id="674"/>
      <w:bookmarkEnd w:id="675"/>
      <w:bookmarkEnd w:id="676"/>
    </w:p>
    <w:p w14:paraId="58F4A5FB">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工程概况</w:t>
      </w:r>
    </w:p>
    <w:p w14:paraId="29CA570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本工程基本情况见技术标准和要求专用部分。</w:t>
      </w:r>
    </w:p>
    <w:p w14:paraId="7C272C4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本工程施工场地（现场）具体地理位置见技术标准和要求专用部分。</w:t>
      </w:r>
    </w:p>
    <w:p w14:paraId="047D6AF6">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  现场条件和周围环境</w:t>
      </w:r>
    </w:p>
    <w:p w14:paraId="62309E89">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工程施工场地（现场）已经具备施工条件。施工场地（现场）临时水源接口位置、临时电源接口位置、临时排污口位置、建筑红线位置、道路交通和出入口、以及施工场地（现场）和周围环境等情况见本章附图：施工场地（现场）现状平面图。</w:t>
      </w:r>
    </w:p>
    <w:p w14:paraId="0DFF1CC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施工场地（现场）临时供水管径见技术标准和要求专用部分。</w:t>
      </w:r>
    </w:p>
    <w:p w14:paraId="69320E69">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施工场地（现场）临时排污管径见技术标准和要求专用部分。</w:t>
      </w:r>
    </w:p>
    <w:p w14:paraId="4F9515B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施工场地（现场）临时雨水管径见技术标准和要求专用部分。</w:t>
      </w:r>
    </w:p>
    <w:p w14:paraId="7E0FD99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施工场地（现场）临时供电容量（变压器输出功率）见技术标准和要求专用部分。</w:t>
      </w:r>
    </w:p>
    <w:p w14:paraId="052EBBF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  现场条件和周围环境的其他资料和信息数据见技术标准和要求专用部分。</w:t>
      </w:r>
    </w:p>
    <w:p w14:paraId="42B9981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  承包人被认为已在本工程投标阶段踏勘现场时充分了解本工程现场条件和周围环境，并已在其投标时就此给予了充分的考虑。</w:t>
      </w:r>
    </w:p>
    <w:p w14:paraId="44F423E7">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  地质及水文资料</w:t>
      </w:r>
    </w:p>
    <w:p w14:paraId="57BBFD7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现场地质及水文资料和信息数据见技术标准和要求专用部分。</w:t>
      </w:r>
    </w:p>
    <w:p w14:paraId="3DEA89A9">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  资料和信息的使用</w:t>
      </w:r>
    </w:p>
    <w:p w14:paraId="1AAC42F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4C0020A1">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677" w:name="_Toc96529954"/>
      <w:bookmarkStart w:id="678" w:name="_Toc96504943"/>
      <w:bookmarkStart w:id="679" w:name="_Toc96352128"/>
      <w:bookmarkStart w:id="680" w:name="_Toc29131"/>
      <w:bookmarkStart w:id="681" w:name="_Toc96505332"/>
      <w:r>
        <w:rPr>
          <w:rFonts w:hint="eastAsia" w:asciiTheme="minorEastAsia" w:hAnsiTheme="minorEastAsia" w:eastAsiaTheme="minorEastAsia" w:cstheme="minorEastAsia"/>
          <w:sz w:val="24"/>
          <w:szCs w:val="24"/>
          <w:highlight w:val="none"/>
        </w:rPr>
        <w:t>2.承包范围</w:t>
      </w:r>
      <w:bookmarkEnd w:id="677"/>
      <w:bookmarkEnd w:id="678"/>
      <w:bookmarkEnd w:id="679"/>
      <w:bookmarkEnd w:id="680"/>
      <w:bookmarkEnd w:id="681"/>
    </w:p>
    <w:p w14:paraId="0C918847">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承包范围</w:t>
      </w:r>
    </w:p>
    <w:p w14:paraId="080AEEC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承包人施工范围</w:t>
      </w:r>
    </w:p>
    <w:p w14:paraId="4811B598">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2.1.1.1  本工程承包人施工的工程范围见技术标准和要求专用部分。</w:t>
      </w:r>
    </w:p>
    <w:p w14:paraId="44A2AF6F">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2.1.1.2  承包人与其他独立承包人之间的工作界面划分见技术标准和要求专用部分。</w:t>
      </w:r>
    </w:p>
    <w:p w14:paraId="282055E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  承包范围内的暂估价材料和工程设备</w:t>
      </w:r>
    </w:p>
    <w:p w14:paraId="29A4F42E">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2.1.2.1  承包范围内以暂估价形式实施的材料和工程设备见第六章“工程量清单”表4.10-2“材料和工程设备暂估表”。</w:t>
      </w:r>
    </w:p>
    <w:p w14:paraId="06049546">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2.1.2.2  承包人与暂估价材料和工程设备的供应商之间的工作界面划分见技术标准和要求专用部分。</w:t>
      </w:r>
    </w:p>
    <w:p w14:paraId="1425109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  承包范围内的暂列金额项目</w:t>
      </w:r>
    </w:p>
    <w:p w14:paraId="3B3A616B">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2.1.3.1  以暂列金额（包括计日工）方式实施的项目一般包括两部分，见第六章“工程量清单”表4.10-1“暂列金额明细表”（不包括计日工）和表4.10-3“计日工表”；其中，计日工金额为承包人在其投标报价中按表4.10-3“计日工表”所列计日工子目、暂估数量等相应规定填报的金额，构成暂列金额的一部分。</w:t>
      </w:r>
    </w:p>
    <w:p w14:paraId="0BB5750A">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2.1.3.2  暂列金额明细表中每笔暂列金额所对应的子目，或计日工表中所列计日工子目，均只是可能发生的子目。承包人应当充分认识到，合同履行过程中所列上述暂列子目项金额可能不发生，也可能部分发生。监理人按照合同约定发出的使用暂列金额的指示，不限于只能用于上述表中所列子目。</w:t>
      </w:r>
    </w:p>
    <w:p w14:paraId="63F0237B">
      <w:pPr>
        <w:adjustRightInd w:val="0"/>
        <w:snapToGrid w:val="0"/>
        <w:spacing w:after="0" w:line="36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2.1.3.3  暂列金额是否实际发生、其再分和（或）合并等均不应成为承包人要求任何追加费用和(或)延长工期的理由。</w:t>
      </w:r>
    </w:p>
    <w:p w14:paraId="01E6E71A">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2.1.3.4  关于暂列金额的其他说明见技术标准和要求专用部分。</w:t>
      </w:r>
    </w:p>
    <w:p w14:paraId="36B6C178">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发包人供应的材料和工程设备</w:t>
      </w:r>
    </w:p>
    <w:p w14:paraId="02A8912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  由发包人供应的材料和工程设备不属于承包人的承包范围。发包人供应的材料和工程设备见合同附件三“发包人供应的材料和工程设备一览表”。但附件三中所列材料和工程设备的安装工作以及安装所需要的辅助材料均属于承包人施工的工程范围。</w:t>
      </w:r>
    </w:p>
    <w:p w14:paraId="72D6101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  承包人与发包人供应的材料和设备供应商之间的工作界面划分见技术标准和要求专用部分。</w:t>
      </w:r>
    </w:p>
    <w:p w14:paraId="263790DC">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承包人需要为发包人和监理人提供的现场办公条件和设施</w:t>
      </w:r>
    </w:p>
    <w:p w14:paraId="4CEA291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承包人需要为发包人和监理人提供的现场办公条件和设施及其详细要求见技术标准和要求专用部分。</w:t>
      </w:r>
    </w:p>
    <w:p w14:paraId="1A564CA0">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682" w:name="_Toc96504944"/>
      <w:bookmarkStart w:id="683" w:name="_Toc96352129"/>
      <w:bookmarkStart w:id="684" w:name="_Toc96529955"/>
      <w:bookmarkStart w:id="685" w:name="_Toc3549"/>
      <w:bookmarkStart w:id="686" w:name="_Toc96505333"/>
      <w:r>
        <w:rPr>
          <w:rFonts w:hint="eastAsia" w:asciiTheme="minorEastAsia" w:hAnsiTheme="minorEastAsia" w:eastAsiaTheme="minorEastAsia" w:cstheme="minorEastAsia"/>
          <w:sz w:val="24"/>
          <w:szCs w:val="24"/>
          <w:highlight w:val="none"/>
        </w:rPr>
        <w:t>3.工期要求</w:t>
      </w:r>
      <w:bookmarkEnd w:id="682"/>
      <w:bookmarkEnd w:id="683"/>
      <w:bookmarkEnd w:id="684"/>
      <w:bookmarkEnd w:id="685"/>
      <w:bookmarkEnd w:id="686"/>
    </w:p>
    <w:p w14:paraId="777E0EC0">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合同工期</w:t>
      </w:r>
    </w:p>
    <w:p w14:paraId="5D2732B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本工程合同工期和计划开、竣工日期为承包人在投标函或投标函附录中承诺的工期和计划开、竣工日期，并在合同协议书中载明。</w:t>
      </w:r>
    </w:p>
    <w:p w14:paraId="7C259852">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  关于工期的一般规定</w:t>
      </w:r>
    </w:p>
    <w:p w14:paraId="68028D19">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承包人在投标函或投标函附录中，承诺的工期和计划开、竣工日期之间发生矛盾或者不一致时，以承包人承诺的工期为准。实际开工日期以合同条款第11.1款约定的监理人发出的开工通知中载明的开工日期为准。</w:t>
      </w:r>
    </w:p>
    <w:p w14:paraId="442E628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承包人在投标函或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2CA2442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承包人在投标函或投标函附录中，所承诺的工期应当包括实施并完成第2.1.3项“承包范围内的暂列金额项目”规定的暂列金额在内的所有工作的工期。</w:t>
      </w:r>
    </w:p>
    <w:p w14:paraId="3768ACBD">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687" w:name="_Toc96504945"/>
      <w:bookmarkStart w:id="688" w:name="_Toc96529956"/>
      <w:bookmarkStart w:id="689" w:name="_Toc15236"/>
      <w:bookmarkStart w:id="690" w:name="_Toc96352130"/>
      <w:bookmarkStart w:id="691" w:name="_Toc96505334"/>
      <w:r>
        <w:rPr>
          <w:rFonts w:hint="eastAsia" w:asciiTheme="minorEastAsia" w:hAnsiTheme="minorEastAsia" w:eastAsiaTheme="minorEastAsia" w:cstheme="minorEastAsia"/>
          <w:sz w:val="24"/>
          <w:szCs w:val="24"/>
          <w:highlight w:val="none"/>
        </w:rPr>
        <w:t>4.质量要求</w:t>
      </w:r>
      <w:bookmarkEnd w:id="687"/>
      <w:bookmarkEnd w:id="688"/>
      <w:bookmarkEnd w:id="689"/>
      <w:bookmarkEnd w:id="690"/>
      <w:bookmarkEnd w:id="691"/>
    </w:p>
    <w:p w14:paraId="2877CAE6">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  质量标准</w:t>
      </w:r>
    </w:p>
    <w:p w14:paraId="1D8787D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本工程要求的质量标准为符合现行国家有关工程施工验收规范和标准的要求（合格）。</w:t>
      </w:r>
    </w:p>
    <w:p w14:paraId="4A92664A">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  特殊质量要求</w:t>
      </w:r>
    </w:p>
    <w:p w14:paraId="0EFEEC3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有关本工程质量方面的特殊要求见技术标准和要求专用部分。</w:t>
      </w:r>
    </w:p>
    <w:p w14:paraId="295C7EE7">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692" w:name="_Toc6119"/>
      <w:bookmarkStart w:id="693" w:name="_Toc96529957"/>
      <w:bookmarkStart w:id="694" w:name="_Toc96505335"/>
      <w:bookmarkStart w:id="695" w:name="_Toc96504946"/>
      <w:bookmarkStart w:id="696" w:name="_Toc96352131"/>
      <w:r>
        <w:rPr>
          <w:rFonts w:hint="eastAsia" w:asciiTheme="minorEastAsia" w:hAnsiTheme="minorEastAsia" w:eastAsiaTheme="minorEastAsia" w:cstheme="minorEastAsia"/>
          <w:sz w:val="24"/>
          <w:szCs w:val="24"/>
          <w:highlight w:val="none"/>
        </w:rPr>
        <w:t>5.适用规范和标准</w:t>
      </w:r>
      <w:bookmarkEnd w:id="692"/>
      <w:bookmarkEnd w:id="693"/>
      <w:bookmarkEnd w:id="694"/>
      <w:bookmarkEnd w:id="695"/>
      <w:bookmarkEnd w:id="696"/>
    </w:p>
    <w:p w14:paraId="34AF7155">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  除合同另有约定外，本工程适用现行国家、行业和地方规范、标准和规程。适用于本工程的国家、行业和地方的规范、标准和规程等的名录见技术标准和要求专用部分。</w:t>
      </w:r>
    </w:p>
    <w:p w14:paraId="20504A4D">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  构成合同文件的任何内容与适用的规范、标准和规程之间出现矛盾，承包人应书面要求监理人予以澄清，除监理人有特别指示外，承包人应按照其中要求最严格的标准执行。</w:t>
      </w:r>
    </w:p>
    <w:p w14:paraId="573FC845">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32F8A34E">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697" w:name="_Toc96504947"/>
      <w:bookmarkStart w:id="698" w:name="_Toc96505336"/>
      <w:bookmarkStart w:id="699" w:name="_Toc96352132"/>
      <w:bookmarkStart w:id="700" w:name="_Toc20972"/>
      <w:bookmarkStart w:id="701" w:name="_Toc96529958"/>
      <w:r>
        <w:rPr>
          <w:rFonts w:hint="eastAsia" w:asciiTheme="minorEastAsia" w:hAnsiTheme="minorEastAsia" w:eastAsiaTheme="minorEastAsia" w:cstheme="minorEastAsia"/>
          <w:sz w:val="24"/>
          <w:szCs w:val="24"/>
          <w:highlight w:val="none"/>
        </w:rPr>
        <w:t>6.安全文明施工</w:t>
      </w:r>
      <w:bookmarkEnd w:id="697"/>
      <w:bookmarkEnd w:id="698"/>
      <w:bookmarkEnd w:id="699"/>
      <w:bookmarkEnd w:id="700"/>
      <w:bookmarkEnd w:id="701"/>
    </w:p>
    <w:p w14:paraId="5A61CD52">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安全防护</w:t>
      </w:r>
    </w:p>
    <w:p w14:paraId="423D630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在工程施工、竣工、交付及修补任何缺陷的过程中，承包人应当始终遵守国家和地方有关安全生产的法律、法规、规范、标准和规程等，按照合同条款第9.2款的约定履行其安全施工职责。</w:t>
      </w:r>
    </w:p>
    <w:p w14:paraId="23979C4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承包人应坚持“安全第一、预防为主</w:t>
      </w:r>
      <w:r>
        <w:rPr>
          <w:rFonts w:hint="eastAsia" w:asciiTheme="minorEastAsia" w:hAnsiTheme="minorEastAsia" w:eastAsiaTheme="minorEastAsia" w:cstheme="minorEastAsia"/>
          <w:sz w:val="24"/>
          <w:szCs w:val="24"/>
          <w:highlight w:val="none"/>
          <w:shd w:val="clear" w:color="auto" w:fill="FFFFFF"/>
        </w:rPr>
        <w:t>、综合治理</w:t>
      </w:r>
      <w:r>
        <w:rPr>
          <w:rFonts w:hint="eastAsia" w:asciiTheme="minorEastAsia" w:hAnsiTheme="minorEastAsia" w:eastAsiaTheme="minorEastAsia" w:cstheme="minorEastAsia"/>
          <w:sz w:val="24"/>
          <w:szCs w:val="24"/>
          <w:highlight w:val="none"/>
        </w:rPr>
        <w:t>”的方针，建立、健全安全生产责任制度和安全生产教育培训制度。在整个工程施工期间，承包人应在施工场地（现场）设立、提供和维护并在有关工作完成或竣工后撤除：</w:t>
      </w:r>
    </w:p>
    <w:p w14:paraId="1328A73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(1)设立在现场入口显著位置的现场施工总平面图、总平面管理、安全生产、文明施工、环境保护、质量控制、材料管理等的规章制度和主要参建单位名称和工程概况等说明的图板；</w:t>
      </w:r>
    </w:p>
    <w:p w14:paraId="2CBE769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(2)为确保工程安全施工须设立的足够的标志、宣传画、标语、指示牌、警告牌、公示牌（如，职工工伤保险公示标牌）、火警、匪警和急救电话提示牌等等；</w:t>
      </w:r>
    </w:p>
    <w:p w14:paraId="7821523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(3)洞口和临边位置的安全防护设施，包括护身栏杆、脚手架、洞口盖板和加筋、竖井防护栏杆、防护棚、防护网、坡道等等；</w:t>
      </w:r>
    </w:p>
    <w:p w14:paraId="36D5A99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(4)安全带、安全绳、安全帽、安全网、绝缘鞋、绝缘手套、防护口罩和防护衣等安全生产用品；</w:t>
      </w:r>
    </w:p>
    <w:p w14:paraId="21FDE13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(5)所有机械设备包括各类电动工具的安全保护和接地装置和操作说明；</w:t>
      </w:r>
    </w:p>
    <w:p w14:paraId="51224A9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(6)装备良好的临时急救站和配备称职的医护人员；</w:t>
      </w:r>
    </w:p>
    <w:p w14:paraId="7EFC755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(7)主要作业场所和临时安全疏散通道24小时36伏安全照明和必要的警示等以防止各种可能的事故；</w:t>
      </w:r>
    </w:p>
    <w:p w14:paraId="76A7814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(8)足够数量的和合格的手提灭火器；</w:t>
      </w:r>
    </w:p>
    <w:p w14:paraId="6B3D9CF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(9)装备良好的易燃易爆物品仓库和相应的使用管理制度；</w:t>
      </w:r>
    </w:p>
    <w:p w14:paraId="4EDE3D4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(10)对涉及明火施工的工作制定诸如用火证等的管理制度；</w:t>
      </w:r>
    </w:p>
    <w:p w14:paraId="0055F20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(11)其他要求见技术标准和要求专用部分。</w:t>
      </w:r>
    </w:p>
    <w:p w14:paraId="0991FBE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6.1.3  安全文明施工费用必须专款专用，保证安全文明施工措施的投入，并在财务管理中单独列支安全文明施工费账目备查。承包人应对其由于安全文明施工费用和施工安全措施不到位而发生的安全事故承担全部责任。</w:t>
      </w:r>
    </w:p>
    <w:p w14:paraId="7284D73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6.1.4  承包人应建立专门的施工场地（现场）安全生产管理机构，配备足够数量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48B1AD3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6.1.5  承包人应遵照有关法律法规要求，编制印发安全防护手册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1F5E5D7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55D3513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373D130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6E267D4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律、法规、规章、规范、标准和规程等的要求。</w:t>
      </w:r>
    </w:p>
    <w:p w14:paraId="60486B0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2FD58B5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67F4D25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26F843D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43E0D88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02463FC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299198F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6.1.16  承包人应按照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2A88AD0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14:paraId="42830DE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6.1.18  安全防护方面的其他要求见技术标准和要求专用部分。</w:t>
      </w:r>
    </w:p>
    <w:p w14:paraId="1F17AA12">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  临时消防</w:t>
      </w:r>
    </w:p>
    <w:p w14:paraId="583B252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6.2.1  承包人应建立消防安全责任制度，制定用火、用电和使用易燃易爆等危险品的消防安全管理制度和操作规程。各项制度和规程等应满足相关法律法规和政府消防管理机构的要求。</w:t>
      </w:r>
    </w:p>
    <w:p w14:paraId="0B786FA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0850F17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6.2.3  承包人应当成立由项目主要负责人担任组长的临时消防组或消防队，宣传消防基本知识和基本操作培训，组织消防演练，保证一旦发生火灾，能够组织有效的自救，保护生命和财产安全。</w:t>
      </w:r>
    </w:p>
    <w:p w14:paraId="4536BD4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14:paraId="1B4445B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6.2.5  临时消防方面的其他要求见技术标准和要求专用部分。</w:t>
      </w:r>
    </w:p>
    <w:p w14:paraId="05120EB7">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  临时供电</w:t>
      </w:r>
    </w:p>
    <w:p w14:paraId="4C47347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  承包人应当根据《施工现场临时用电安全技术规范》（JGJ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2E21213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7C9B195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02F8501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31E53BC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6.3.5  凡可能漏电伤人或易受雷击的电器及建筑物均应设置接地和避雷装置。承包人应负责避雷装置的采购、安装、管理和维修，并建立定期检查制度。</w:t>
      </w:r>
    </w:p>
    <w:p w14:paraId="7034C27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6.3.6  临时用电方面的其他要求见技术标准和要求专用部分。</w:t>
      </w:r>
    </w:p>
    <w:p w14:paraId="2D5A709B">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  劳动保护</w:t>
      </w:r>
    </w:p>
    <w:p w14:paraId="32E1953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2414221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6A9391A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68605A3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40EBB2B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6.4.5  承包人应在现场设立专门的临时医疗站，配备足够的设施、药物和称职的医务人员，承包人还应准备急救担架，用于一旦发生安全事故时对受伤人员的急救。</w:t>
      </w:r>
    </w:p>
    <w:p w14:paraId="4449E15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6.4.6  劳动保护方面的其他要求见技术标准和要求专用部分。</w:t>
      </w:r>
    </w:p>
    <w:p w14:paraId="70AF09BD">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  脚手架</w:t>
      </w:r>
    </w:p>
    <w:p w14:paraId="5A67EE1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ACF834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6.5.2  所有脚手架，尤其是大型、复杂、高耸和非常规脚手架，要编制专项施工方案，还应当经过安全验算，脚手架安全验算结果必须报送监理人核查后方可实施。</w:t>
      </w:r>
    </w:p>
    <w:p w14:paraId="3D2D7B8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6.5.3  搭设爬架、挂架、超高脚手架等特种或新型脚手架时，承包人应确保此类脚手架的安全性和保证此类脚手架已经过有关行政管理部门允许使用的批准，并承担与此有关的一切费用。</w:t>
      </w:r>
    </w:p>
    <w:p w14:paraId="325607C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6.5.4  承包人应当加强脚手架的日常安全巡查，及时对其中的安全隐患进行整改，确保脚手架使用安全。雨、雪、雾、霜和大风等天气后，承包人必须对脚手架进行安全巡查，并及时消除安全隐患。</w:t>
      </w:r>
    </w:p>
    <w:p w14:paraId="0DDA15B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6.5.5  承包人应允许发包人、监理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独立承包人（如果有）和政府有关机构所需，只有在获得监理人书面批准后，承包人才能拆除相关脚手架，否则承包人应自费重新搭设。</w:t>
      </w:r>
    </w:p>
    <w:p w14:paraId="592ABF7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6.5.6  脚手架的其他要求见技术标准和要求专用部分。</w:t>
      </w:r>
    </w:p>
    <w:p w14:paraId="159D4D07">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  施工安全措施计划</w:t>
      </w:r>
    </w:p>
    <w:p w14:paraId="18FD501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495FD47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6.6.2  施工安全措施计划是承包人阐明其安全管理方针、管理体系、安全制度和安全措施等的文件，其内容应当反映现行法律法规规定的，和合同约定的以及本条上述约定的承包人安全职责，至少包括：</w:t>
      </w:r>
    </w:p>
    <w:p w14:paraId="40205709">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(1)施工安全管理机构的设置；</w:t>
      </w:r>
    </w:p>
    <w:p w14:paraId="0060F47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(2)专职安全管理人员的配备；</w:t>
      </w:r>
    </w:p>
    <w:p w14:paraId="3C43BD9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(3)安全责任制度和管理措施；</w:t>
      </w:r>
    </w:p>
    <w:p w14:paraId="3AD821B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(4)安全教育和培训制度及管理措施；</w:t>
      </w:r>
    </w:p>
    <w:p w14:paraId="40474B8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(5)各项安全生产规章制度和操作规程；</w:t>
      </w:r>
    </w:p>
    <w:p w14:paraId="30243E2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(6)各项施工安全措施和防护措施；</w:t>
      </w:r>
    </w:p>
    <w:p w14:paraId="29A653D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(7)危险品管理和使用制度；</w:t>
      </w:r>
    </w:p>
    <w:p w14:paraId="199FA679">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(8)安全设施、设备、器材和劳动保护用品的配置；</w:t>
      </w:r>
    </w:p>
    <w:p w14:paraId="202B3B3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(9)其他要求见技术标准和要求专用部分。</w:t>
      </w:r>
    </w:p>
    <w:p w14:paraId="2F34D1C9">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498CCF2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6.6.3  施工安全措施计划应当在合同条款第9.2.1项约定的期限内报送监理人。承包人应当严格执行经监理人批准的施工安全措施计划，并及时补充、修订和完善施工安全措施计划，确保安全生产。</w:t>
      </w:r>
    </w:p>
    <w:p w14:paraId="25BC0183">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  文明施工</w:t>
      </w:r>
    </w:p>
    <w:p w14:paraId="114C285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6.7.1  承包人应遵守国家和工程所在地有关法规、规范、规程和标准的规定，履行文明施工义务，确保文明施工专项费用专款专用。</w:t>
      </w:r>
    </w:p>
    <w:p w14:paraId="0AF453A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6.7.2  承包人应当规范现场施工秩序，实行标准化管理：</w:t>
      </w:r>
    </w:p>
    <w:p w14:paraId="252025E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(1)承包人的施工场地（现场）必须干净整洁、做到无积水、无淤泥、无杂物，材料堆放整齐；</w:t>
      </w:r>
    </w:p>
    <w:p w14:paraId="3207686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(2)承包人应当在建筑工地设置围挡，并采取覆盖、分段作业、择时施工、冲洗地面等有效防尘降尘措施；</w:t>
      </w:r>
    </w:p>
    <w:p w14:paraId="2EB2039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(3)施工现场土方、砂石等应当集中堆放，裸露的场地和集中堆放的土方、砂石等应当采取覆盖、固化或绿化等措施；</w:t>
      </w:r>
    </w:p>
    <w:p w14:paraId="4695C7C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(4)施工场地（现场）应进行硬化处理，定期定时洒水，做好防治扬尘和大气污染工作；</w:t>
      </w:r>
    </w:p>
    <w:p w14:paraId="4B6BD34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(5)严格遵守“工完、料尽、场地净”的原则，不留垃圾、不留剩余施工材料和施工机具，各种设备运转正常；</w:t>
      </w:r>
    </w:p>
    <w:p w14:paraId="643C972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(6)承包人修建的施工临时设施应符合监理人批准的施工规划要求，并应满足本章规定的各项安全要求；</w:t>
      </w:r>
    </w:p>
    <w:p w14:paraId="44EF0EF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(7)监理人可要求承包人在施工场地（现场）设置各级承包人的安全文明施工责任牌等文明施工警示牌；</w:t>
      </w:r>
    </w:p>
    <w:p w14:paraId="2A34DA6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(8)材料进入现场应按指定位置堆放整齐，不得影响现场施工和堵塞施工、消防通道。材料堆放场地应有专职的管理人员；</w:t>
      </w:r>
    </w:p>
    <w:p w14:paraId="0BF232D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(9)施工和安装用的各种扣件、紧固件、绳索具、小型配件、镙钉等应在专设的仓库内装箱放置；</w:t>
      </w:r>
    </w:p>
    <w:p w14:paraId="7B5965E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(10)现场风、水管及照明电线的布置应安全、合理、规范、有序，做到整齐美观。不得随意架设和造成隐患或影响施工；</w:t>
      </w:r>
    </w:p>
    <w:p w14:paraId="39C2E1C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(11)建筑拆除工程施工时应采取隔离、洒水等有效的降噪、降尘措施，并及时清理废弃物；</w:t>
      </w:r>
    </w:p>
    <w:p w14:paraId="0B32CDD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(12)当道路施工进行铣刨、切割等作业时，应采取有效的防扬尘措施。灰土和无机料应采用预拌进场，碾压过程中应洒水降尘。</w:t>
      </w:r>
    </w:p>
    <w:p w14:paraId="1D56CA4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6.7.3  承包人应为其雇佣的施工工人建立并维护相应的生活宿舍、食堂、浴室、厕所和文化活动室等，其标准应满足政府有关机构的生活标准和卫生标准等的要求。</w:t>
      </w:r>
    </w:p>
    <w:p w14:paraId="605725E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4761B26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6.7.5  在工程施工期间，承包人应始终避免现场出现不必要的障碍物，妥当存放并处置施工设备和多余的材料，及时从现场清除运走任何废料、垃圾或不再需要的临时工程和设施。</w:t>
      </w:r>
    </w:p>
    <w:p w14:paraId="162657C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19DEDCF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6.7.7  承包人应在现场设立固定的建筑垃圾临时存放点,并在各楼层或区域设立必要的垃圾箱；施工现场应当建立封闭式垃圾站。建筑物内垃圾应采用容器或搭设专用封闭垃圾道的方式清运，严禁凌空抛掷；所有建筑垃圾必须在当天清除出现场，并按有关行政管理部门的规定，运送到指定的垃圾消纳场。承包人还应加强建筑垃圾管理工作，严禁焚烧各类废弃物；严禁道路遗撒和乱倒乱卸等运输违法违规行为发生，建筑垃圾的运输必须采用封闭式运输车辆或采取覆盖措施；最大限度减少污染环境。</w:t>
      </w:r>
    </w:p>
    <w:p w14:paraId="5F72D3A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1EE21E2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6.7.9  承包人采用现场搅拌混凝土或砂浆的场所应采取封闭、降尘、降噪措施。水泥和其他易飞扬的细颗粒建筑材料应密闭存放或采取覆盖等措施。</w:t>
      </w:r>
    </w:p>
    <w:p w14:paraId="1DAC3F4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6.7.10  承包人应当制订成品保护措施计划，并提供必要的人员、材料和设备用于工程的成品保护，防止已完工作遭受任何损坏或破坏。成品保护措施应当合理安排工序，并包括工作面移交制度和责任赔偿制度。成品保护措施计划应当在合同条款专用部分约定的时限内报监理人审批。</w:t>
      </w:r>
    </w:p>
    <w:p w14:paraId="3D665FE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6.7.11  文明施工方面的其他要求见技术标准和要求专用部分。</w:t>
      </w:r>
    </w:p>
    <w:p w14:paraId="0578C2F9">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  环境保护</w:t>
      </w:r>
    </w:p>
    <w:p w14:paraId="38B3AB8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6.8.1  在工程施工、完工及修补任何缺陷的过程中，承包人应当始终遵守国家和工程所在地有关扬尘治理、建筑垃圾堆放、清运和消纳等环境保护、水土保护和污染防治的法律、法规、规章、规范、标准和规程等，按照合同条款第4.1.6项和第9.4款的约定履行其环境与生态保护职责。</w:t>
      </w:r>
    </w:p>
    <w:p w14:paraId="41ED87B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6D249F1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6.8.3  承包人制订施工方案和组织措施时应当同步考虑环境和资源保护，包括水土资源保护、噪声、振动和照明污染防治、固体废弃物处理、污水和废气处理、粉尘和扬尘治理、道路污染防治、卫生防疫、禁止有害材料、节能减排以及不可再生资源的循环使用等因素。</w:t>
      </w:r>
    </w:p>
    <w:p w14:paraId="0763624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其有关规定。承包人还应设置完善的排水系统，保持施工场地（现场）始终处于良好的排水状态，防止降雨径流对施工场地（现场）的冲刷。</w:t>
      </w:r>
    </w:p>
    <w:p w14:paraId="6CB7E21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004FD31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w:t>
      </w:r>
    </w:p>
    <w:p w14:paraId="7BEED53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69B80E2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现场）周边生产和生活的影响，并满足国家和地方政府有关规定的要求。</w:t>
      </w:r>
    </w:p>
    <w:p w14:paraId="36C2100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6.8.9  承包人保证使用已在本市进行信息编码登记符合排放标准的非道路移动机械和严禁使用高排放非道路移动机械，并做好行业挥发性有机物治理（如建筑外墙涂装、钢结构等鼓励使用水性漆替代油性漆）。</w:t>
      </w:r>
    </w:p>
    <w:p w14:paraId="6B056E1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6.8.10  环境保护方面的其他要求见技术标准和要求专用部分。</w:t>
      </w:r>
    </w:p>
    <w:p w14:paraId="598ACBFE">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6.9  施工环保措施计划</w:t>
      </w:r>
    </w:p>
    <w:p w14:paraId="6251653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6.9.1  合同条款第9.4.3项约定的施工环保措施计划是承包人阐明环保方针和拟采用的环保措施及方法等的文件，其内容应至少包括：</w:t>
      </w:r>
    </w:p>
    <w:p w14:paraId="3ED2285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(1)承包人生活区（如果有）的生活用水和生活污水处理措施；</w:t>
      </w:r>
    </w:p>
    <w:p w14:paraId="2102FC6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(2)施工生产废水处理措施；</w:t>
      </w:r>
    </w:p>
    <w:p w14:paraId="2A274D9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(3)施工扬尘和废气的处理措施；</w:t>
      </w:r>
    </w:p>
    <w:p w14:paraId="654FFCC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(4)施工噪声和光污染控制措施；</w:t>
      </w:r>
    </w:p>
    <w:p w14:paraId="14149BD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(5)节能减排措施；</w:t>
      </w:r>
    </w:p>
    <w:p w14:paraId="096BADB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(6)不可再生资源循环利用措施；</w:t>
      </w:r>
    </w:p>
    <w:p w14:paraId="72D33E1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(7)建筑垃圾等固体废弃物处理措施；</w:t>
      </w:r>
    </w:p>
    <w:p w14:paraId="003B1AA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(8)人群健康保护和卫生防疫措施；</w:t>
      </w:r>
    </w:p>
    <w:p w14:paraId="4B4100D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(9)防止误用有害材料的保证措施；</w:t>
      </w:r>
    </w:p>
    <w:p w14:paraId="5029AF0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(10)施工边坡工程的水土流失保护措施；</w:t>
      </w:r>
    </w:p>
    <w:p w14:paraId="618058B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(11)道路污染防治措施；</w:t>
      </w:r>
    </w:p>
    <w:p w14:paraId="34A0D45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(12)使用符合排放标准的非道路移动机械保证措施；</w:t>
      </w:r>
    </w:p>
    <w:p w14:paraId="67371C6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(13)做好行业挥发性有机物治理（如建筑外墙涂装、钢结构等鼓励使用水性漆替代油性漆）的保证措施；</w:t>
      </w:r>
    </w:p>
    <w:p w14:paraId="268A725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(14)完工后场地清理及其植被（如果有）恢复的规划和措施；</w:t>
      </w:r>
    </w:p>
    <w:p w14:paraId="31A350A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(15)其他要求见技术标准和要求专用部分。</w:t>
      </w:r>
    </w:p>
    <w:p w14:paraId="4F9DE89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6.9.2  施工环保措施计划应当在合同条款第9.4款约定的期限内报送监理人。承包人应当严格执行经监理人批准的施工环保措施计划，并及时补充、修订和完善施工环保措施计划。</w:t>
      </w:r>
    </w:p>
    <w:p w14:paraId="320AD075">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  施工现场安全文明施工要求</w:t>
      </w:r>
    </w:p>
    <w:p w14:paraId="353FF86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6.10.1 施工现场安全生产标准化管理目标等级</w:t>
      </w:r>
      <w:r>
        <w:rPr>
          <w:rFonts w:hint="eastAsia" w:asciiTheme="minorEastAsia" w:hAnsiTheme="minorEastAsia" w:eastAsiaTheme="minorEastAsia" w:cstheme="minorEastAsia"/>
          <w:b/>
          <w:bCs/>
          <w:sz w:val="24"/>
          <w:szCs w:val="24"/>
          <w:highlight w:val="none"/>
        </w:rPr>
        <w:t>见技术标准和要求专用部分</w:t>
      </w:r>
      <w:r>
        <w:rPr>
          <w:rFonts w:hint="eastAsia" w:asciiTheme="minorEastAsia" w:hAnsiTheme="minorEastAsia" w:eastAsiaTheme="minorEastAsia" w:cstheme="minorEastAsia"/>
          <w:sz w:val="24"/>
          <w:szCs w:val="24"/>
          <w:highlight w:val="none"/>
        </w:rPr>
        <w:t>。</w:t>
      </w:r>
    </w:p>
    <w:p w14:paraId="0286E19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6.10.2承包人应当按照合同文件中对安全文明施工的相关要求进行安全文明施工管理。</w:t>
      </w:r>
    </w:p>
    <w:p w14:paraId="2AEAA2B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6.10.3 承包人应当依据本章6.10.1项中约定的施工现场安全生产标准化管理目标等级要求，按照现行施工现场安全生产标准化分级管理标准中对应目标等级要求进行施工现场安全生产标准化管理。现行施工现场安全生产标准化分级管理标准</w:t>
      </w:r>
      <w:r>
        <w:rPr>
          <w:rFonts w:hint="eastAsia" w:asciiTheme="minorEastAsia" w:hAnsiTheme="minorEastAsia" w:eastAsiaTheme="minorEastAsia" w:cstheme="minorEastAsia"/>
          <w:b/>
          <w:bCs/>
          <w:sz w:val="24"/>
          <w:szCs w:val="24"/>
          <w:highlight w:val="none"/>
        </w:rPr>
        <w:t>见技术标准和要求专用部分</w:t>
      </w:r>
      <w:r>
        <w:rPr>
          <w:rFonts w:hint="eastAsia" w:asciiTheme="minorEastAsia" w:hAnsiTheme="minorEastAsia" w:eastAsiaTheme="minorEastAsia" w:cstheme="minorEastAsia"/>
          <w:sz w:val="24"/>
          <w:szCs w:val="24"/>
          <w:highlight w:val="none"/>
        </w:rPr>
        <w:t>。</w:t>
      </w:r>
    </w:p>
    <w:p w14:paraId="245DE99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6.10.4 特殊安全文明施工要求应当与技术标准和要求专用部分约定的要求一致或高于技术标准和要求专用部分约定。</w:t>
      </w:r>
    </w:p>
    <w:p w14:paraId="7AD3B4A5">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02" w:name="_Toc96352133"/>
      <w:bookmarkStart w:id="703" w:name="_Toc96505337"/>
      <w:bookmarkStart w:id="704" w:name="_Toc30915"/>
      <w:bookmarkStart w:id="705" w:name="_Toc96504948"/>
      <w:bookmarkStart w:id="706" w:name="_Toc96529959"/>
      <w:r>
        <w:rPr>
          <w:rFonts w:hint="eastAsia" w:asciiTheme="minorEastAsia" w:hAnsiTheme="minorEastAsia" w:eastAsiaTheme="minorEastAsia" w:cstheme="minorEastAsia"/>
          <w:sz w:val="24"/>
          <w:szCs w:val="24"/>
          <w:highlight w:val="none"/>
        </w:rPr>
        <w:t>7.治安保卫</w:t>
      </w:r>
      <w:bookmarkEnd w:id="702"/>
      <w:bookmarkEnd w:id="703"/>
      <w:bookmarkEnd w:id="704"/>
      <w:bookmarkEnd w:id="705"/>
      <w:bookmarkEnd w:id="706"/>
    </w:p>
    <w:p w14:paraId="6AC6027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  承包人应为施工现场提供24小时的保安保卫服务，施工现场应采取封闭式集中管理，严格进、出场实名制考勤，提出优化施工作业，减少人员聚集和交叉作业，未经批准严禁任何人进入现场，控制人员、材料和设备等进出场，防止现场材料和设备或其他物品失窃，以及禁止任何现场内的打架斗殴事件等具体举措。</w:t>
      </w:r>
    </w:p>
    <w:p w14:paraId="4D23969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3A0B6E3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14:paraId="0913F3B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0E958CB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1D60E51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7.6  承包人应当保证发包人支付的工程款项仅用于本合同目的，及时和足额地向所雇佣的人员支付劳动报酬，并制定严格的工人工资支付保障措施，有效防止影响社会安定的群体事件发生，并保障发包人免于因承包人拖欠工人工资而可能遭受的任何处罚、索赔、损失和损害等。</w:t>
      </w:r>
    </w:p>
    <w:p w14:paraId="50C08F9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7.7  突发治安事件紧急预案的要求见技术标准和要求专用部分。</w:t>
      </w:r>
    </w:p>
    <w:p w14:paraId="06AFD6A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7.8  治安保卫管理方面的其他要求见技术标准和要求专用部分。</w:t>
      </w:r>
    </w:p>
    <w:p w14:paraId="32DE5CBA">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07" w:name="_Toc96352134"/>
      <w:bookmarkStart w:id="708" w:name="_Toc96529960"/>
      <w:bookmarkStart w:id="709" w:name="_Toc32316"/>
      <w:bookmarkStart w:id="710" w:name="_Toc96504949"/>
      <w:bookmarkStart w:id="711" w:name="_Toc96505338"/>
      <w:r>
        <w:rPr>
          <w:rFonts w:hint="eastAsia" w:asciiTheme="minorEastAsia" w:hAnsiTheme="minorEastAsia" w:eastAsiaTheme="minorEastAsia" w:cstheme="minorEastAsia"/>
          <w:sz w:val="24"/>
          <w:szCs w:val="24"/>
          <w:highlight w:val="none"/>
        </w:rPr>
        <w:t>8.地上、地下设施和周边建筑物的临时保护</w:t>
      </w:r>
      <w:bookmarkEnd w:id="707"/>
      <w:bookmarkEnd w:id="708"/>
      <w:bookmarkEnd w:id="709"/>
      <w:bookmarkEnd w:id="710"/>
      <w:bookmarkEnd w:id="711"/>
    </w:p>
    <w:p w14:paraId="71435BC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  承包人应为施工场地及其周边现有的地上、地下设施和建筑物提供足够的临时保护设施，确保施工过程中这些设施和建筑物不会受到干扰和破坏。</w:t>
      </w:r>
    </w:p>
    <w:p w14:paraId="51A810F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7A5D8DD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  发包人特别提醒承包人注意地上、地下设施和周边建筑物的保护见技术标准和要求专用部分。</w:t>
      </w:r>
    </w:p>
    <w:p w14:paraId="589B628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8.4  地上、地下设施和周边建筑物的临时保护的其他要求见技术标准和要求专用部分。</w:t>
      </w:r>
    </w:p>
    <w:p w14:paraId="177E44CB">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12" w:name="_Toc21962"/>
      <w:bookmarkStart w:id="713" w:name="_Toc96352135"/>
      <w:bookmarkStart w:id="714" w:name="_Toc96505339"/>
      <w:bookmarkStart w:id="715" w:name="_Toc96529961"/>
      <w:bookmarkStart w:id="716" w:name="_Toc96504950"/>
      <w:r>
        <w:rPr>
          <w:rFonts w:hint="eastAsia" w:asciiTheme="minorEastAsia" w:hAnsiTheme="minorEastAsia" w:eastAsiaTheme="minorEastAsia" w:cstheme="minorEastAsia"/>
          <w:sz w:val="24"/>
          <w:szCs w:val="24"/>
          <w:highlight w:val="none"/>
        </w:rPr>
        <w:t>9.样品和材料代换</w:t>
      </w:r>
      <w:bookmarkEnd w:id="712"/>
      <w:bookmarkEnd w:id="713"/>
      <w:bookmarkEnd w:id="714"/>
      <w:bookmarkEnd w:id="715"/>
      <w:bookmarkEnd w:id="716"/>
    </w:p>
    <w:p w14:paraId="4585733C">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  样品</w:t>
      </w:r>
    </w:p>
    <w:p w14:paraId="0A29F02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9.1.1  本工程需要承包人提供样品的材料和工程设备见技术标准和要求专用部分。</w:t>
      </w:r>
    </w:p>
    <w:p w14:paraId="107BA56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9.1.2  对于本款第9.1.1项约定的材料和工程设备，承包人应按照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72AF5E9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9.1.3  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3FFE5BA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673F0F1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9.1.5  得到批准后的样品由监理人负责存放。但承包人应为保存样品提供适当和固定的场所并保持适当和良好的环境条件。</w:t>
      </w:r>
    </w:p>
    <w:p w14:paraId="661DA1C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9.1.6  提供样品和提供存放样品场所的费用由承包人承担。</w:t>
      </w:r>
    </w:p>
    <w:p w14:paraId="17BA170D">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  材料代换</w:t>
      </w:r>
    </w:p>
    <w:p w14:paraId="6AED251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67B873E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9.2.2  如果使用替代品，承包人应至少在被替代品按批准的进度计划用于永久工程前56天以书面形式通知监理人并随此通知提交下列文件：</w:t>
      </w:r>
    </w:p>
    <w:p w14:paraId="1667F1E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(1)拟被替代的合同约定的材料和工程设备的名称、数量、规格、型号、品牌、性能、价格及其他任何详细资料；</w:t>
      </w:r>
    </w:p>
    <w:p w14:paraId="0056C42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(2)拟采用的替代品的名称、数量、规格、型号、品牌、性能、价格及其他任何必要的详细资料；</w:t>
      </w:r>
    </w:p>
    <w:p w14:paraId="4B3CA81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(3)替代品使用的工程部位；</w:t>
      </w:r>
    </w:p>
    <w:p w14:paraId="435FC02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(4)采用替代品的理由和原因说明；</w:t>
      </w:r>
    </w:p>
    <w:p w14:paraId="0717457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(5)替代品与合同中约定的产品之间的差异以及使用替代品后可能对工程产生的任何影响；</w:t>
      </w:r>
    </w:p>
    <w:p w14:paraId="539DCE4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(6)价格上的差异；</w:t>
      </w:r>
    </w:p>
    <w:p w14:paraId="0F198AD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(7)监理人为做出适当的决定而随时要求承包人提供的任何其他文件。</w:t>
      </w:r>
    </w:p>
    <w:p w14:paraId="75D10FF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监理人在收到此类通知及上述文件后，应在28天内向承包人给出书面指示。如果28天内监理人未给出书面指示，应视为监理人和发包人已经批准使用上述替代品，承包人可以据此使用替代品。</w:t>
      </w:r>
    </w:p>
    <w:p w14:paraId="5854C3E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9.2.3  任何情况下，替代品都应遵守本合同中对相关材料和工程设备的要求。</w:t>
      </w:r>
    </w:p>
    <w:p w14:paraId="1ADA82F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9.2.4  如果承包人根据本条约定使用了替代品，监理人应与承包人适当协商之后并在合理的期限内确定替代材料和工程设备与合同中约定的材料和工程设备之间的价值差值，并决定：</w:t>
      </w:r>
    </w:p>
    <w:p w14:paraId="2A4FAE6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(1)如果替代材料和工程设备的价值高于合同中约定的材料和工程设备的价值，则将高出部分的价值追加到合同价格中并相应地通知承包人；</w:t>
      </w:r>
    </w:p>
    <w:p w14:paraId="53F1087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(2)如果替代材料和工程设备的价值低于合同中约定的材料和工程设备的价值，则将节余部分的价值从合同价格中扣除并相应地通知承包人。</w:t>
      </w:r>
    </w:p>
    <w:p w14:paraId="1CF6B93A">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17" w:name="_Toc21858"/>
      <w:bookmarkStart w:id="718" w:name="_Toc96504951"/>
      <w:bookmarkStart w:id="719" w:name="_Toc96352136"/>
      <w:bookmarkStart w:id="720" w:name="_Toc96505340"/>
      <w:bookmarkStart w:id="721" w:name="_Toc96529962"/>
      <w:r>
        <w:rPr>
          <w:rFonts w:hint="eastAsia" w:asciiTheme="minorEastAsia" w:hAnsiTheme="minorEastAsia" w:eastAsiaTheme="minorEastAsia" w:cstheme="minorEastAsia"/>
          <w:sz w:val="24"/>
          <w:szCs w:val="24"/>
          <w:highlight w:val="none"/>
        </w:rPr>
        <w:t>10.特殊技术标准和要求</w:t>
      </w:r>
      <w:bookmarkEnd w:id="717"/>
      <w:bookmarkEnd w:id="718"/>
      <w:bookmarkEnd w:id="719"/>
      <w:bookmarkEnd w:id="720"/>
      <w:bookmarkEnd w:id="721"/>
    </w:p>
    <w:p w14:paraId="014F709E">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  部分材料和工程设备特殊技术要求</w:t>
      </w:r>
    </w:p>
    <w:p w14:paraId="458D639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10.1.1  发包人依据工程特点，可以对承包人施工范围内的部分材料和设备提出技术要求。材料和工程设备技术要求中如果出现了参考品牌或规格型号，其目的是为了方便承包人直观和准确地把握相应材料和工程设备的技术标准，不具有指定或唯一使用的意思表示，承包人应当参考所列品牌的材料和工程设备，采购相当于或高于所列品牌技术标准的材料和工程设备。承包人施工范围内的部分材料和工程设备相关技术要求见技术标准和要求专用部分。</w:t>
      </w:r>
    </w:p>
    <w:p w14:paraId="4D3A13E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10.1.2  承包人施工范围内的材料和工程设备选型允许的偏离见技术标准和要求专用部分。</w:t>
      </w:r>
    </w:p>
    <w:p w14:paraId="4323AE10">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10.1.3  本工程施工现场所用混凝土或砂浆的供应方式为见技术标准和要求专用部分。</w:t>
      </w:r>
    </w:p>
    <w:p w14:paraId="1B234F5A">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  进口材料和工程设备</w:t>
      </w:r>
    </w:p>
    <w:p w14:paraId="03CB85B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10.2.1  本工程需要进口的材料和工程设备见技术标准和要求专用部分。</w:t>
      </w:r>
    </w:p>
    <w:p w14:paraId="3A2EACA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10.2.2  上述进口材料和工程设备采购、进口、报关、清关、商检、境内运输（包括保险）、保管的责任以及费用承担方式划分见技术标准和要求专用部分。</w:t>
      </w:r>
    </w:p>
    <w:p w14:paraId="60277342">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10.3  新技术、新工艺和新材料</w:t>
      </w:r>
    </w:p>
    <w:p w14:paraId="5BB3219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本工程涉及的新技术、新工艺和新材料及相应使用和操作说明见技术标准和要求专用部分。</w:t>
      </w:r>
    </w:p>
    <w:p w14:paraId="6F3F9558">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  其他特殊技术要求</w:t>
      </w:r>
    </w:p>
    <w:p w14:paraId="415F6A7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本工程的其他特殊技术要求见技术标准和要求专用部分。</w:t>
      </w:r>
    </w:p>
    <w:p w14:paraId="1E036BF4">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22" w:name="_Toc96504952"/>
      <w:bookmarkStart w:id="723" w:name="_Toc18753"/>
      <w:bookmarkStart w:id="724" w:name="_Toc96505341"/>
      <w:bookmarkStart w:id="725" w:name="_Toc96529963"/>
      <w:bookmarkStart w:id="726" w:name="_Toc96352137"/>
      <w:r>
        <w:rPr>
          <w:rFonts w:hint="eastAsia" w:asciiTheme="minorEastAsia" w:hAnsiTheme="minorEastAsia" w:eastAsiaTheme="minorEastAsia" w:cstheme="minorEastAsia"/>
          <w:sz w:val="24"/>
          <w:szCs w:val="24"/>
          <w:highlight w:val="none"/>
        </w:rPr>
        <w:t>11.进度报告和进度例会</w:t>
      </w:r>
      <w:bookmarkEnd w:id="722"/>
      <w:bookmarkEnd w:id="723"/>
      <w:bookmarkEnd w:id="724"/>
      <w:bookmarkEnd w:id="725"/>
      <w:bookmarkEnd w:id="726"/>
    </w:p>
    <w:p w14:paraId="2C0136F7">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进度报告</w:t>
      </w:r>
    </w:p>
    <w:p w14:paraId="27AB0BC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11.1.1  施工过程中，承包人应向监理人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0F28E46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11.1.2  日和周进度报表的内容应至少包括每日在现场工作的技术管理人员数量、各工种技术工人和非技术工人数量、后勤人员数量、参观现场的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4258094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41D8DF5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2500A27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11.1.5  各个进度报表的格式和内容应经过监理人的审批。进度报表应如实填写，由承包人授权代表签名，并报监理人的指定代表签名确认后再行分发。</w:t>
      </w:r>
    </w:p>
    <w:p w14:paraId="43BE2DF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11.1.6  如果监理人认为必要，进度报告和进度照片应同时以存储在磁盘或光盘中的数据文件的形式递交给发包人和监理人。数据文件采用的应用软件及其版本应经过监理人的审批。</w:t>
      </w:r>
    </w:p>
    <w:p w14:paraId="48EEF91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11.1.7  有关进度报告的其他要求见技术标准和要求专用部分。</w:t>
      </w:r>
    </w:p>
    <w:p w14:paraId="3CFD53A7">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进度例会</w:t>
      </w:r>
    </w:p>
    <w:p w14:paraId="240B917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11.2.1  监理人将主持召开有发包人、承包人和独立承包人等与本工程建设有关各方出席的每周一次的进度例会。必要时，监理人可随时召集所有上述各方或其中部分单位参加的会议。承包人应保证能代表其当场作出决定的高级管理人员出席会议。</w:t>
      </w:r>
    </w:p>
    <w:p w14:paraId="3EC5812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  进度例会的内容将涉及合同管理、进度协调和工程管理的各个方面，由监理人准备的会议议题将随会议通知在会议召开前至少24小时发给各参会方。</w:t>
      </w:r>
    </w:p>
    <w:p w14:paraId="20872D4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3A667A9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11.2.4  有关进度例会的其他要求见技术标准和要求专用部分。</w:t>
      </w:r>
    </w:p>
    <w:p w14:paraId="300FDEE9">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27" w:name="_Toc96352138"/>
      <w:bookmarkStart w:id="728" w:name="_Toc96504953"/>
      <w:bookmarkStart w:id="729" w:name="_Toc96529964"/>
      <w:bookmarkStart w:id="730" w:name="_Toc17755"/>
      <w:bookmarkStart w:id="731" w:name="_Toc96505342"/>
      <w:r>
        <w:rPr>
          <w:rFonts w:hint="eastAsia" w:asciiTheme="minorEastAsia" w:hAnsiTheme="minorEastAsia" w:eastAsiaTheme="minorEastAsia" w:cstheme="minorEastAsia"/>
          <w:sz w:val="24"/>
          <w:szCs w:val="24"/>
          <w:highlight w:val="none"/>
        </w:rPr>
        <w:t>12.试验和检验</w:t>
      </w:r>
      <w:bookmarkEnd w:id="727"/>
      <w:bookmarkEnd w:id="728"/>
      <w:bookmarkEnd w:id="729"/>
      <w:bookmarkEnd w:id="730"/>
      <w:bookmarkEnd w:id="731"/>
    </w:p>
    <w:p w14:paraId="24AE4CD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发包人委托具有相应资质的检测单位，按相关规定对见证取样的建筑材料、建筑构配件和设备、预拌混凝土、混凝土预制构件和工程实体质量、使用功能以及约定的其他检测内容进行检测。承包人应在监理人的监督下，进行现场取样、封样，并送检测单位进行检测。本工程发包人委托检测单位进行试验和检验的其他材料、工程设备和工艺见技术标准和要求专用部分。</w:t>
      </w:r>
    </w:p>
    <w:p w14:paraId="6A91454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除第12.1款约定的由发包人委托检测内容外，承包人应当按照工程施工验收规范和标准的规定和合同条款第14条的约定，对用于永久工程的主要材料、半成品、成品、建筑构配件、工程设备等进行试验和检验。监理人可以根据工程需要，指示承包人进行其他现场材料和工艺的试验和检验。</w:t>
      </w:r>
    </w:p>
    <w:p w14:paraId="72339BD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  本工程需要承包人进行试验和检验的材料、工程设备和工艺见技术标准和要求专用部分。</w:t>
      </w:r>
    </w:p>
    <w:p w14:paraId="2918FCA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  本工程需要由监理人和承包人共同进行试验和检验的材料、工程设备和工艺见技术标准和要求专用部分。</w:t>
      </w:r>
    </w:p>
    <w:p w14:paraId="20C9B28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  本条上述约定需要进行检验的材料、工程设备和工艺在经过检验并获得监理人批准以前，不得用于任何永久工程。</w:t>
      </w:r>
    </w:p>
    <w:p w14:paraId="310DC78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281E283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1095408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  承包人应在监理人的监督下，对涉及结构安全的试块、试件以及有关材料进行现场取样，并送质量检测单位进行检测。质量检测单位见技术标准和要求专用部分。</w:t>
      </w:r>
    </w:p>
    <w:p w14:paraId="56C1799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12.9  除合同另有约定外，承包人应负担除第12.1款发包人支付给委托检测单位的费用外，本合同项下的所有材料、工程设备和工艺检验的费用。</w:t>
      </w:r>
    </w:p>
    <w:p w14:paraId="0EE00160">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32" w:name="_Toc96505343"/>
      <w:bookmarkStart w:id="733" w:name="_Toc31447"/>
      <w:bookmarkStart w:id="734" w:name="_Toc96529965"/>
      <w:bookmarkStart w:id="735" w:name="_Toc96352139"/>
      <w:bookmarkStart w:id="736" w:name="_Toc96504954"/>
      <w:r>
        <w:rPr>
          <w:rFonts w:hint="eastAsia" w:asciiTheme="minorEastAsia" w:hAnsiTheme="minorEastAsia" w:eastAsiaTheme="minorEastAsia" w:cstheme="minorEastAsia"/>
          <w:sz w:val="24"/>
          <w:szCs w:val="24"/>
          <w:highlight w:val="none"/>
        </w:rPr>
        <w:t>13.计日工</w:t>
      </w:r>
      <w:bookmarkEnd w:id="732"/>
      <w:bookmarkEnd w:id="733"/>
      <w:bookmarkEnd w:id="734"/>
      <w:bookmarkEnd w:id="735"/>
      <w:bookmarkEnd w:id="736"/>
    </w:p>
    <w:p w14:paraId="0B842841">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合同条款第15.7.1项约定通知承包人实施。</w:t>
      </w:r>
    </w:p>
    <w:p w14:paraId="027552C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在工程实际开工后14天内，承包人应当按合同条款第15.7.2项约定的计日工报表内容，准备一份计日工日报表的格式，报送监理人审批，监理人应当在收到之日后7天内给予批复或提出修改意见。</w:t>
      </w:r>
    </w:p>
    <w:p w14:paraId="6F8FF51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14:paraId="254FFFB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67105C7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5E957BEE">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31BAC1C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13.7  关于计日工的其他约定见技术标准和要求专用部分。</w:t>
      </w:r>
    </w:p>
    <w:p w14:paraId="14B4281D">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37" w:name="_Toc96504955"/>
      <w:bookmarkStart w:id="738" w:name="_Toc96505344"/>
      <w:bookmarkStart w:id="739" w:name="_Toc96529966"/>
      <w:bookmarkStart w:id="740" w:name="_Toc96352140"/>
      <w:bookmarkStart w:id="741" w:name="_Toc2615"/>
      <w:r>
        <w:rPr>
          <w:rFonts w:hint="eastAsia" w:asciiTheme="minorEastAsia" w:hAnsiTheme="minorEastAsia" w:eastAsiaTheme="minorEastAsia" w:cstheme="minorEastAsia"/>
          <w:sz w:val="24"/>
          <w:szCs w:val="24"/>
          <w:highlight w:val="none"/>
        </w:rPr>
        <w:t>14.计量与支付</w:t>
      </w:r>
      <w:bookmarkEnd w:id="737"/>
      <w:bookmarkEnd w:id="738"/>
      <w:bookmarkEnd w:id="739"/>
      <w:bookmarkEnd w:id="740"/>
      <w:bookmarkEnd w:id="741"/>
    </w:p>
    <w:p w14:paraId="02D7BBA9">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付款申请单</w:t>
      </w:r>
    </w:p>
    <w:p w14:paraId="0413844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1E773F8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14.1.2  根据合同条款第17.1款和第17.3款，承包人应当在合同约定的每个付款周期末，对当期完成的各项工程量进行计量和计价，并按照合同条款第17.3.2项的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4A41F7D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14.1.3  竣工付款申请单的内容按合同条款第17.5.1(1)目的约定。采用单价合同形式的，竣工付款申请单应当附上按合同条款第17.1.4(5)目确定的结算工程量和最近一次进度付款和竣工付款之间完成的各子目的工程量计量文件。采用总价合同形式的，签约合同价所基于的工程量就是相应的竣工结算工程量，但是，变更应按合同约定进行计量和计价。</w:t>
      </w:r>
    </w:p>
    <w:p w14:paraId="23A662BD">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14.1.4  竣工结算总价（合同价格）应当按以下内容梳理：</w:t>
      </w:r>
    </w:p>
    <w:p w14:paraId="47F702D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(1)签约合同价；</w:t>
      </w:r>
    </w:p>
    <w:p w14:paraId="4882681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(2)应当扣减的项目：</w:t>
      </w:r>
    </w:p>
    <w:p w14:paraId="770BA7E0">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1）所有暂列金额；</w:t>
      </w:r>
    </w:p>
    <w:p w14:paraId="0E4433F9">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2）所有暂估价；</w:t>
      </w:r>
    </w:p>
    <w:p w14:paraId="4AFDDC03">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3）根据合同条款第15条应扣减的变更金额；</w:t>
      </w:r>
    </w:p>
    <w:p w14:paraId="5A3658ED">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4）根据合同条款第16条应扣减的价格调整（下调部分）；</w:t>
      </w:r>
    </w:p>
    <w:p w14:paraId="514E09CF">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5）根据合同条款第23.4款应扣减的发包人索赔金额；</w:t>
      </w:r>
    </w:p>
    <w:p w14:paraId="3E79FA67">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6）甩项工程的合同价值（如果有）；</w:t>
      </w:r>
    </w:p>
    <w:p w14:paraId="4E9806D4">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7）根据合同约定发包人应扣减的其他金额。</w:t>
      </w:r>
    </w:p>
    <w:p w14:paraId="47A4A42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(3)应当增加的项目：</w:t>
      </w:r>
    </w:p>
    <w:p w14:paraId="5080F677">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1）实际发生的暂列金额（包括计日工）；</w:t>
      </w:r>
    </w:p>
    <w:p w14:paraId="6D97E1B0">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2）实际发生的暂估价；</w:t>
      </w:r>
    </w:p>
    <w:p w14:paraId="17784B01">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3）根据合同条款第15条应增加的变更金额；</w:t>
      </w:r>
    </w:p>
    <w:p w14:paraId="1E2E729A">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4）根据合同条款第16条应增加的价格调整（上调部分）；</w:t>
      </w:r>
    </w:p>
    <w:p w14:paraId="764515C4">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5）根据合同条款第23.2款应增加的承包人索赔金额；</w:t>
      </w:r>
    </w:p>
    <w:p w14:paraId="22C6E55C">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6）根据合同约定承包人应当得到的其他金额。</w:t>
      </w:r>
    </w:p>
    <w:p w14:paraId="0A887C5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(4)规费和税金差额部分。</w:t>
      </w:r>
    </w:p>
    <w:p w14:paraId="0320501F">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14.1.5  最终结清申请单的应付金额应当按下列内容梳理：</w:t>
      </w:r>
    </w:p>
    <w:p w14:paraId="5E2587D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(1)按合同约定扣留的质量保证金</w:t>
      </w:r>
    </w:p>
    <w:p w14:paraId="14861FD4">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(2)应当扣除的金额：</w:t>
      </w:r>
    </w:p>
    <w:p w14:paraId="65FF1EFE">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1）按合同条款第17.4.3项约定扣留的质量保证金；</w:t>
      </w:r>
    </w:p>
    <w:p w14:paraId="461C1D6C">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2）按合同条款第19.2.4项约定扣除的质量保证金；</w:t>
      </w:r>
    </w:p>
    <w:p w14:paraId="387E5121">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3）根据合同条款第23.4款应扣减的缺陷责任期内发生的发包人索赔金额；</w:t>
      </w:r>
    </w:p>
    <w:p w14:paraId="0B40A97A">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4）根据合同约定应扣减的其他金额。</w:t>
      </w:r>
    </w:p>
    <w:p w14:paraId="70F72529">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(3)应当增加的金额：</w:t>
      </w:r>
    </w:p>
    <w:p w14:paraId="5C2F0669">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1）已完且符合合同约定的甩项工程的价值；</w:t>
      </w:r>
    </w:p>
    <w:p w14:paraId="3467B399">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2）按合同条款第19.2.3项约定由承包人修复的发包人原因造成的缺陷的价值；</w:t>
      </w:r>
    </w:p>
    <w:p w14:paraId="00169EDF">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3）根据合同条款第23.2款应增加的缺陷责任期内发生的承包人索赔金额；</w:t>
      </w:r>
    </w:p>
    <w:p w14:paraId="4B8D3666">
      <w:pPr>
        <w:adjustRightInd w:val="0"/>
        <w:snapToGrid w:val="0"/>
        <w:spacing w:after="0" w:line="360" w:lineRule="auto"/>
        <w:ind w:left="99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4）根据合同约定承包人应当得到的其他金额。</w:t>
      </w:r>
    </w:p>
    <w:p w14:paraId="32CC49E7">
      <w:pPr>
        <w:adjustRightInd w:val="0"/>
        <w:snapToGrid w:val="0"/>
        <w:spacing w:after="0" w:line="360" w:lineRule="auto"/>
        <w:ind w:firstLine="720" w:firstLineChars="3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最终结清应当由发包人和承包人按照“多退少补”的原则办理。</w:t>
      </w:r>
    </w:p>
    <w:p w14:paraId="43B7EDC3">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14.1.6  竣工付款申请单和最终结清申请单应当比照进度付款申请单的格式准备，并提供相关证明材料。</w:t>
      </w:r>
    </w:p>
    <w:p w14:paraId="291A2119">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其他约定</w:t>
      </w:r>
    </w:p>
    <w:p w14:paraId="2B2069A7">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其他约定内容见技术标准和要求专用部分。</w:t>
      </w:r>
    </w:p>
    <w:p w14:paraId="68F13F08">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42" w:name="_Toc1293"/>
      <w:bookmarkStart w:id="743" w:name="_Toc96504956"/>
      <w:bookmarkStart w:id="744" w:name="_Toc96529967"/>
      <w:bookmarkStart w:id="745" w:name="_Toc96352141"/>
      <w:bookmarkStart w:id="746" w:name="_Toc96505345"/>
      <w:r>
        <w:rPr>
          <w:rFonts w:hint="eastAsia" w:asciiTheme="minorEastAsia" w:hAnsiTheme="minorEastAsia" w:eastAsiaTheme="minorEastAsia" w:cstheme="minorEastAsia"/>
          <w:sz w:val="24"/>
          <w:szCs w:val="24"/>
          <w:highlight w:val="none"/>
        </w:rPr>
        <w:t>15.竣工验收和工程移交</w:t>
      </w:r>
      <w:bookmarkEnd w:id="742"/>
      <w:bookmarkEnd w:id="743"/>
      <w:bookmarkEnd w:id="744"/>
      <w:bookmarkEnd w:id="745"/>
      <w:bookmarkEnd w:id="746"/>
    </w:p>
    <w:p w14:paraId="61F57855">
      <w:pPr>
        <w:adjustRightInd w:val="0"/>
        <w:snapToGrid w:val="0"/>
        <w:spacing w:after="0"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  竣工验收申请报告</w:t>
      </w:r>
    </w:p>
    <w:p w14:paraId="5AF97FB8">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15.2.1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783288B5">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5C8D5F12">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15.2.3  竣工验收申请报告应当按合同条款第18.2款附上下列内容：</w:t>
      </w:r>
    </w:p>
    <w:p w14:paraId="050B94AA">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13802E1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(2)按合同条款第18.2(2)目约定的内容和份数整理的符合要求的竣工资料；</w:t>
      </w:r>
    </w:p>
    <w:p w14:paraId="728B626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(3)按监理人的要求编制了在缺陷责任期内完成的尾工（甩项）工程和缺陷修补工作清单以及相应施工计划；</w:t>
      </w:r>
    </w:p>
    <w:p w14:paraId="5731D35C">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(4)监理人要求在竣工验收前应完成的其他工作的证明材料；</w:t>
      </w:r>
    </w:p>
    <w:p w14:paraId="5D4239E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(5)监理人要求提交的竣工验收资料清单；</w:t>
      </w:r>
    </w:p>
    <w:p w14:paraId="7A0B9E2B">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(6)合同条款第19.7款约定的质量保修书（此前已经提交的不再提交）；</w:t>
      </w:r>
    </w:p>
    <w:p w14:paraId="28DFE756">
      <w:pPr>
        <w:adjustRightInd w:val="0"/>
        <w:snapToGrid w:val="0"/>
        <w:spacing w:after="0"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(7)其他要求见技术标准和要求专用部分。</w:t>
      </w:r>
    </w:p>
    <w:p w14:paraId="640AD3BF">
      <w:pPr>
        <w:adjustRightInd w:val="0"/>
        <w:snapToGrid w:val="0"/>
        <w:spacing w:after="0" w:line="360" w:lineRule="auto"/>
        <w:outlineLvl w:val="3"/>
        <w:rPr>
          <w:rFonts w:hint="eastAsia" w:asciiTheme="minorEastAsia" w:hAnsiTheme="minorEastAsia" w:eastAsiaTheme="minorEastAsia" w:cstheme="minorEastAsia"/>
          <w:sz w:val="24"/>
          <w:szCs w:val="24"/>
          <w:highlight w:val="none"/>
        </w:rPr>
      </w:pPr>
      <w:bookmarkStart w:id="747" w:name="_Toc96529968"/>
      <w:bookmarkStart w:id="748" w:name="_Toc96505346"/>
      <w:bookmarkStart w:id="749" w:name="_Toc96504957"/>
      <w:bookmarkStart w:id="750" w:name="_Toc96352142"/>
      <w:bookmarkStart w:id="751" w:name="_Toc12378"/>
      <w:r>
        <w:rPr>
          <w:rFonts w:hint="eastAsia" w:asciiTheme="minorEastAsia" w:hAnsiTheme="minorEastAsia" w:eastAsiaTheme="minorEastAsia" w:cstheme="minorEastAsia"/>
          <w:sz w:val="24"/>
          <w:szCs w:val="24"/>
          <w:highlight w:val="none"/>
        </w:rPr>
        <w:t>16.需要补充的其他要求</w:t>
      </w:r>
      <w:bookmarkEnd w:id="747"/>
      <w:bookmarkEnd w:id="748"/>
      <w:bookmarkEnd w:id="749"/>
      <w:bookmarkEnd w:id="750"/>
      <w:bookmarkEnd w:id="751"/>
    </w:p>
    <w:p w14:paraId="7FED2E35">
      <w:pPr>
        <w:spacing w:after="0" w:line="360" w:lineRule="auto"/>
        <w:rPr>
          <w:rFonts w:hint="eastAsia" w:asciiTheme="minorEastAsia" w:hAnsiTheme="minorEastAsia" w:eastAsiaTheme="minorEastAsia" w:cstheme="minorEastAsia"/>
          <w:b/>
          <w:sz w:val="24"/>
          <w:szCs w:val="24"/>
          <w:highlight w:val="none"/>
          <w:shd w:val="clear" w:color="auto" w:fill="FFFFFF"/>
        </w:rPr>
        <w:sectPr>
          <w:pgSz w:w="11906" w:h="16838"/>
          <w:pgMar w:top="1440" w:right="1797" w:bottom="1440" w:left="1797" w:header="851" w:footer="992" w:gutter="0"/>
          <w:pgNumType w:fmt="decimal"/>
          <w:cols w:space="720" w:num="1"/>
          <w:docGrid w:linePitch="312" w:charSpace="0"/>
        </w:sectPr>
      </w:pPr>
      <w:r>
        <w:rPr>
          <w:rFonts w:hint="eastAsia" w:asciiTheme="minorEastAsia" w:hAnsiTheme="minorEastAsia" w:eastAsiaTheme="minorEastAsia" w:cstheme="minorEastAsia"/>
          <w:sz w:val="24"/>
          <w:szCs w:val="24"/>
          <w:highlight w:val="none"/>
        </w:rPr>
        <w:t>需要补充的其他要求见技术标准和要求专用部分。</w:t>
      </w:r>
      <w:bookmarkStart w:id="752" w:name="_Toc497236021"/>
      <w:bookmarkStart w:id="753" w:name="_Toc480304504"/>
      <w:bookmarkStart w:id="754" w:name="_Toc490331745"/>
      <w:bookmarkStart w:id="755" w:name="_Toc486580462"/>
    </w:p>
    <w:bookmarkEnd w:id="752"/>
    <w:bookmarkEnd w:id="753"/>
    <w:bookmarkEnd w:id="754"/>
    <w:bookmarkEnd w:id="755"/>
    <w:p w14:paraId="6A0F2AF5">
      <w:pPr>
        <w:pStyle w:val="250"/>
        <w:spacing w:before="120" w:after="0"/>
        <w:outlineLvl w:val="2"/>
        <w:rPr>
          <w:rFonts w:hint="eastAsia" w:asciiTheme="minorEastAsia" w:hAnsiTheme="minorEastAsia" w:eastAsiaTheme="minorEastAsia" w:cstheme="minorEastAsia"/>
          <w:sz w:val="24"/>
          <w:szCs w:val="24"/>
          <w:highlight w:val="none"/>
          <w:shd w:val="clear" w:color="auto" w:fill="FFFFFF"/>
        </w:rPr>
      </w:pPr>
      <w:bookmarkStart w:id="756" w:name="_Toc96504958"/>
      <w:bookmarkStart w:id="757" w:name="_Toc22264"/>
      <w:bookmarkStart w:id="758" w:name="_Toc96505347"/>
      <w:bookmarkStart w:id="759" w:name="_Toc96352143"/>
      <w:bookmarkStart w:id="760" w:name="_Hlk83577958"/>
      <w:bookmarkStart w:id="761" w:name="_Toc501055673"/>
      <w:bookmarkStart w:id="762" w:name="_Toc486580463"/>
      <w:bookmarkStart w:id="763" w:name="_Toc483581227"/>
      <w:bookmarkStart w:id="764" w:name="_Toc497298375"/>
      <w:bookmarkStart w:id="765" w:name="_Toc490331746"/>
      <w:bookmarkStart w:id="766" w:name="_Toc489280268"/>
      <w:bookmarkStart w:id="767" w:name="_Toc38037921"/>
      <w:bookmarkStart w:id="768" w:name="_Toc241459790"/>
      <w:bookmarkStart w:id="769" w:name="_Toc342296547"/>
      <w:r>
        <w:rPr>
          <w:rFonts w:hint="eastAsia" w:asciiTheme="minorEastAsia" w:hAnsiTheme="minorEastAsia" w:eastAsiaTheme="minorEastAsia" w:cstheme="minorEastAsia"/>
          <w:b/>
          <w:sz w:val="24"/>
          <w:szCs w:val="24"/>
          <w:highlight w:val="none"/>
          <w:shd w:val="clear" w:color="auto" w:fill="FFFFFF"/>
        </w:rPr>
        <w:t>技术标准和要求专用部分</w:t>
      </w:r>
      <w:bookmarkEnd w:id="756"/>
      <w:bookmarkEnd w:id="757"/>
      <w:bookmarkEnd w:id="758"/>
      <w:bookmarkEnd w:id="759"/>
    </w:p>
    <w:bookmarkEnd w:id="760"/>
    <w:p w14:paraId="01FF4DF7">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770" w:name="_Toc96504959"/>
      <w:bookmarkStart w:id="771" w:name="_Toc96529970"/>
      <w:bookmarkStart w:id="772" w:name="_Toc13757"/>
      <w:bookmarkStart w:id="773" w:name="_Toc96352144"/>
      <w:bookmarkStart w:id="774" w:name="_Toc96505348"/>
      <w:r>
        <w:rPr>
          <w:rFonts w:hint="eastAsia" w:asciiTheme="minorEastAsia" w:hAnsiTheme="minorEastAsia" w:eastAsiaTheme="minorEastAsia" w:cstheme="minorEastAsia"/>
          <w:sz w:val="24"/>
          <w:szCs w:val="24"/>
          <w:highlight w:val="none"/>
          <w:shd w:val="clear" w:color="auto" w:fill="FFFFFF"/>
        </w:rPr>
        <w:t>1.工程说明</w:t>
      </w:r>
      <w:bookmarkEnd w:id="761"/>
      <w:bookmarkEnd w:id="762"/>
      <w:bookmarkEnd w:id="763"/>
      <w:bookmarkEnd w:id="764"/>
      <w:bookmarkEnd w:id="765"/>
      <w:bookmarkEnd w:id="766"/>
      <w:bookmarkEnd w:id="767"/>
      <w:bookmarkEnd w:id="770"/>
      <w:bookmarkEnd w:id="771"/>
      <w:bookmarkEnd w:id="772"/>
      <w:bookmarkEnd w:id="773"/>
      <w:bookmarkEnd w:id="774"/>
    </w:p>
    <w:p w14:paraId="21C19917">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775" w:name="_Toc38037922"/>
      <w:bookmarkStart w:id="776" w:name="_Toc486580464"/>
      <w:bookmarkStart w:id="777" w:name="_Toc96504960"/>
      <w:bookmarkStart w:id="778" w:name="_Toc31999"/>
      <w:bookmarkStart w:id="779" w:name="_Toc96352145"/>
      <w:bookmarkStart w:id="780" w:name="_Toc96529971"/>
      <w:bookmarkStart w:id="781" w:name="_Toc489280269"/>
      <w:bookmarkStart w:id="782" w:name="_Toc501055674"/>
      <w:bookmarkStart w:id="783" w:name="_Toc96505349"/>
      <w:bookmarkStart w:id="784" w:name="_Toc483581228"/>
      <w:bookmarkStart w:id="785" w:name="_Toc497298376"/>
      <w:r>
        <w:rPr>
          <w:rFonts w:hint="eastAsia" w:asciiTheme="minorEastAsia" w:hAnsiTheme="minorEastAsia" w:eastAsiaTheme="minorEastAsia" w:cstheme="minorEastAsia"/>
          <w:sz w:val="24"/>
          <w:szCs w:val="24"/>
          <w:highlight w:val="none"/>
          <w:shd w:val="clear" w:color="auto" w:fill="FFFFFF"/>
        </w:rPr>
        <w:t>1.1  工程概况</w:t>
      </w:r>
      <w:bookmarkEnd w:id="775"/>
      <w:bookmarkEnd w:id="776"/>
      <w:bookmarkEnd w:id="777"/>
      <w:bookmarkEnd w:id="778"/>
      <w:bookmarkEnd w:id="779"/>
      <w:bookmarkEnd w:id="780"/>
      <w:bookmarkEnd w:id="781"/>
      <w:bookmarkEnd w:id="782"/>
      <w:bookmarkEnd w:id="783"/>
      <w:bookmarkEnd w:id="784"/>
      <w:bookmarkEnd w:id="785"/>
    </w:p>
    <w:p w14:paraId="5D62BD09">
      <w:pPr>
        <w:spacing w:after="0" w:line="360" w:lineRule="auto"/>
        <w:ind w:firstLine="480" w:firstLineChars="200"/>
        <w:rPr>
          <w:rFonts w:hint="eastAsia" w:asciiTheme="minorEastAsia" w:hAnsiTheme="minorEastAsia" w:eastAsiaTheme="minorEastAsia" w:cstheme="minorEastAsia"/>
          <w:bCs/>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1.1.1  本工程基本情况</w:t>
      </w:r>
      <w:r>
        <w:rPr>
          <w:rFonts w:hint="eastAsia" w:asciiTheme="minorEastAsia" w:hAnsiTheme="minorEastAsia" w:eastAsiaTheme="minorEastAsia" w:cstheme="minorEastAsia"/>
          <w:bCs/>
          <w:sz w:val="24"/>
          <w:szCs w:val="24"/>
          <w:highlight w:val="none"/>
          <w:shd w:val="clear" w:color="auto" w:fill="FFFFFF"/>
        </w:rPr>
        <w:t>；</w:t>
      </w:r>
    </w:p>
    <w:p w14:paraId="33ACE512">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lang w:eastAsia="zh-CN"/>
        </w:rPr>
      </w:pPr>
      <w:r>
        <w:rPr>
          <w:rFonts w:hint="eastAsia" w:asciiTheme="minorEastAsia" w:hAnsiTheme="minorEastAsia" w:eastAsiaTheme="minorEastAsia" w:cstheme="minorEastAsia"/>
          <w:bCs/>
          <w:sz w:val="24"/>
          <w:szCs w:val="24"/>
          <w:highlight w:val="none"/>
          <w:shd w:val="clear" w:color="auto" w:fill="FFFFFF"/>
        </w:rPr>
        <w:t>项目名称：</w:t>
      </w:r>
      <w:r>
        <w:rPr>
          <w:rFonts w:hint="eastAsia" w:asciiTheme="minorEastAsia" w:hAnsiTheme="minorEastAsia" w:eastAsiaTheme="minorEastAsia" w:cstheme="minorEastAsia"/>
          <w:sz w:val="24"/>
          <w:szCs w:val="24"/>
          <w:highlight w:val="none"/>
          <w:u w:val="single"/>
          <w:shd w:val="clear" w:color="auto" w:fill="FFFFFF"/>
          <w:lang w:eastAsia="zh-CN"/>
        </w:rPr>
        <w:t>东高地第三小学门前道路及东高地航天第三幼儿园门前道路提升改造项目</w:t>
      </w:r>
    </w:p>
    <w:p w14:paraId="30884466">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建设地点：</w:t>
      </w:r>
      <w:r>
        <w:rPr>
          <w:rFonts w:hint="eastAsia" w:asciiTheme="minorEastAsia" w:hAnsiTheme="minorEastAsia" w:eastAsiaTheme="minorEastAsia" w:cstheme="minorEastAsia"/>
          <w:sz w:val="24"/>
          <w:szCs w:val="24"/>
          <w:highlight w:val="none"/>
          <w:u w:val="single"/>
          <w:shd w:val="clear" w:color="auto" w:fill="FFFFFF"/>
        </w:rPr>
        <w:t>北京市丰台区</w:t>
      </w:r>
      <w:r>
        <w:rPr>
          <w:rFonts w:hint="eastAsia" w:asciiTheme="minorEastAsia" w:hAnsiTheme="minorEastAsia" w:eastAsiaTheme="minorEastAsia" w:cstheme="minorEastAsia"/>
          <w:sz w:val="24"/>
          <w:szCs w:val="24"/>
          <w:highlight w:val="none"/>
          <w:shd w:val="clear" w:color="auto" w:fill="FFFFFF"/>
        </w:rPr>
        <w:t xml:space="preserve">  </w:t>
      </w:r>
    </w:p>
    <w:p w14:paraId="12C357EE">
      <w:pPr>
        <w:spacing w:after="0" w:line="360" w:lineRule="auto"/>
        <w:ind w:right="-82" w:rightChars="-39"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招标范围：</w:t>
      </w:r>
      <w:r>
        <w:rPr>
          <w:rFonts w:hint="eastAsia" w:asciiTheme="minorEastAsia" w:hAnsiTheme="minorEastAsia" w:eastAsiaTheme="minorEastAsia" w:cstheme="minorEastAsia"/>
          <w:sz w:val="24"/>
          <w:szCs w:val="24"/>
          <w:highlight w:val="none"/>
          <w:u w:val="single"/>
          <w:lang w:eastAsia="zh-CN"/>
        </w:rPr>
        <w:t>东高地第三小学门前道路及东高地航天第三幼儿园门前道路提升改造项目</w:t>
      </w:r>
      <w:r>
        <w:rPr>
          <w:rFonts w:hint="eastAsia" w:asciiTheme="minorEastAsia" w:hAnsiTheme="minorEastAsia" w:eastAsiaTheme="minorEastAsia" w:cstheme="minorEastAsia"/>
          <w:sz w:val="24"/>
          <w:szCs w:val="24"/>
          <w:highlight w:val="none"/>
          <w:u w:val="single"/>
        </w:rPr>
        <w:t>施工图纸及工程量清单所示全部工作内容</w:t>
      </w:r>
    </w:p>
    <w:p w14:paraId="34E75961">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1.1.2  本工程施工场地（现场）具体地理位置</w:t>
      </w:r>
      <w:r>
        <w:rPr>
          <w:rFonts w:hint="eastAsia" w:asciiTheme="minorEastAsia" w:hAnsiTheme="minorEastAsia" w:eastAsiaTheme="minorEastAsia" w:cstheme="minorEastAsia"/>
          <w:bCs/>
          <w:sz w:val="24"/>
          <w:szCs w:val="24"/>
          <w:highlight w:val="none"/>
          <w:shd w:val="clear" w:color="auto" w:fill="FFFFFF"/>
        </w:rPr>
        <w:t>；</w:t>
      </w:r>
      <w:r>
        <w:rPr>
          <w:rFonts w:hint="eastAsia" w:asciiTheme="minorEastAsia" w:hAnsiTheme="minorEastAsia" w:eastAsiaTheme="minorEastAsia" w:cstheme="minorEastAsia"/>
          <w:bCs/>
          <w:sz w:val="24"/>
          <w:szCs w:val="24"/>
          <w:highlight w:val="none"/>
          <w:u w:val="single"/>
          <w:shd w:val="clear" w:color="auto" w:fill="FFFFFF"/>
        </w:rPr>
        <w:t>北京市丰台区</w:t>
      </w:r>
      <w:r>
        <w:rPr>
          <w:rFonts w:hint="eastAsia" w:asciiTheme="minorEastAsia" w:hAnsiTheme="minorEastAsia" w:eastAsiaTheme="minorEastAsia" w:cstheme="minorEastAsia"/>
          <w:sz w:val="24"/>
          <w:szCs w:val="24"/>
          <w:highlight w:val="none"/>
          <w:u w:val="single"/>
          <w:shd w:val="clear" w:color="auto" w:fill="FFFFFF"/>
        </w:rPr>
        <w:t xml:space="preserve"> </w:t>
      </w:r>
    </w:p>
    <w:p w14:paraId="51F3622C">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786" w:name="_Toc489280270"/>
      <w:bookmarkStart w:id="787" w:name="_Toc38037923"/>
      <w:bookmarkStart w:id="788" w:name="_Toc96529972"/>
      <w:bookmarkStart w:id="789" w:name="_Toc483581229"/>
      <w:bookmarkStart w:id="790" w:name="_Toc96504961"/>
      <w:bookmarkStart w:id="791" w:name="_Toc497298377"/>
      <w:bookmarkStart w:id="792" w:name="_Toc501055675"/>
      <w:bookmarkStart w:id="793" w:name="_Toc96505350"/>
      <w:bookmarkStart w:id="794" w:name="_Toc10809"/>
      <w:bookmarkStart w:id="795" w:name="_Toc96352146"/>
      <w:bookmarkStart w:id="796" w:name="_Toc486580465"/>
      <w:r>
        <w:rPr>
          <w:rFonts w:hint="eastAsia" w:asciiTheme="minorEastAsia" w:hAnsiTheme="minorEastAsia" w:eastAsiaTheme="minorEastAsia" w:cstheme="minorEastAsia"/>
          <w:sz w:val="24"/>
          <w:szCs w:val="24"/>
          <w:highlight w:val="none"/>
          <w:shd w:val="clear" w:color="auto" w:fill="FFFFFF"/>
        </w:rPr>
        <w:t>1.2  现场条件和周围环境</w:t>
      </w:r>
      <w:bookmarkEnd w:id="786"/>
      <w:bookmarkEnd w:id="787"/>
      <w:bookmarkEnd w:id="788"/>
      <w:bookmarkEnd w:id="789"/>
      <w:bookmarkEnd w:id="790"/>
      <w:bookmarkEnd w:id="791"/>
      <w:bookmarkEnd w:id="792"/>
      <w:bookmarkEnd w:id="793"/>
      <w:bookmarkEnd w:id="794"/>
      <w:bookmarkEnd w:id="795"/>
      <w:bookmarkEnd w:id="796"/>
    </w:p>
    <w:p w14:paraId="0D20A564">
      <w:pPr>
        <w:spacing w:after="0" w:line="360" w:lineRule="auto"/>
        <w:ind w:firstLine="480" w:firstLineChars="200"/>
        <w:rPr>
          <w:rFonts w:hint="eastAsia" w:asciiTheme="minorEastAsia" w:hAnsiTheme="minorEastAsia" w:eastAsiaTheme="minorEastAsia" w:cstheme="minorEastAsia"/>
          <w:bCs/>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 xml:space="preserve">1.2.2  </w:t>
      </w:r>
      <w:r>
        <w:rPr>
          <w:rFonts w:hint="eastAsia" w:asciiTheme="minorEastAsia" w:hAnsiTheme="minorEastAsia" w:eastAsiaTheme="minorEastAsia" w:cstheme="minorEastAsia"/>
          <w:bCs/>
          <w:sz w:val="24"/>
          <w:szCs w:val="24"/>
          <w:highlight w:val="none"/>
          <w:shd w:val="clear" w:color="auto" w:fill="FFFFFF"/>
        </w:rPr>
        <w:t>施工场地（现场）临时供水管径；</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shd w:val="clear" w:color="auto" w:fill="FFFFFF"/>
        </w:rPr>
        <w:t xml:space="preserve"> </w:t>
      </w:r>
    </w:p>
    <w:p w14:paraId="5118BA77">
      <w:pPr>
        <w:spacing w:after="0" w:line="360" w:lineRule="auto"/>
        <w:ind w:firstLine="480" w:firstLineChars="200"/>
        <w:rPr>
          <w:rFonts w:hint="eastAsia" w:asciiTheme="minorEastAsia" w:hAnsiTheme="minorEastAsia" w:eastAsiaTheme="minorEastAsia" w:cstheme="minorEastAsia"/>
          <w:bCs/>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施工</w:t>
      </w:r>
      <w:r>
        <w:rPr>
          <w:rFonts w:hint="eastAsia" w:asciiTheme="minorEastAsia" w:hAnsiTheme="minorEastAsia" w:eastAsiaTheme="minorEastAsia" w:cstheme="minorEastAsia"/>
          <w:bCs/>
          <w:sz w:val="24"/>
          <w:szCs w:val="24"/>
          <w:highlight w:val="none"/>
          <w:shd w:val="clear" w:color="auto" w:fill="FFFFFF"/>
        </w:rPr>
        <w:t>场地（现场）临时排污管径；</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shd w:val="clear" w:color="auto" w:fill="FFFFFF"/>
        </w:rPr>
        <w:t xml:space="preserve"> </w:t>
      </w:r>
    </w:p>
    <w:p w14:paraId="5610B8C0">
      <w:pPr>
        <w:spacing w:after="0" w:line="360" w:lineRule="auto"/>
        <w:ind w:firstLine="480" w:firstLineChars="200"/>
        <w:rPr>
          <w:rFonts w:hint="eastAsia" w:asciiTheme="minorEastAsia" w:hAnsiTheme="minorEastAsia" w:eastAsiaTheme="minorEastAsia" w:cstheme="minorEastAsia"/>
          <w:bCs/>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施工</w:t>
      </w:r>
      <w:r>
        <w:rPr>
          <w:rFonts w:hint="eastAsia" w:asciiTheme="minorEastAsia" w:hAnsiTheme="minorEastAsia" w:eastAsiaTheme="minorEastAsia" w:cstheme="minorEastAsia"/>
          <w:bCs/>
          <w:sz w:val="24"/>
          <w:szCs w:val="24"/>
          <w:highlight w:val="none"/>
          <w:shd w:val="clear" w:color="auto" w:fill="FFFFFF"/>
        </w:rPr>
        <w:t>场地（现场）临时雨水管径；</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shd w:val="clear" w:color="auto" w:fill="FFFFFF"/>
        </w:rPr>
        <w:t xml:space="preserve"> </w:t>
      </w:r>
    </w:p>
    <w:p w14:paraId="0877CFB1">
      <w:pPr>
        <w:spacing w:after="0" w:line="360" w:lineRule="auto"/>
        <w:ind w:firstLine="480" w:firstLineChars="200"/>
        <w:rPr>
          <w:rFonts w:hint="eastAsia" w:asciiTheme="minorEastAsia" w:hAnsiTheme="minorEastAsia" w:eastAsiaTheme="minorEastAsia" w:cstheme="minorEastAsia"/>
          <w:bCs/>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施工</w:t>
      </w:r>
      <w:r>
        <w:rPr>
          <w:rFonts w:hint="eastAsia" w:asciiTheme="minorEastAsia" w:hAnsiTheme="minorEastAsia" w:eastAsiaTheme="minorEastAsia" w:cstheme="minorEastAsia"/>
          <w:bCs/>
          <w:sz w:val="24"/>
          <w:szCs w:val="24"/>
          <w:highlight w:val="none"/>
          <w:shd w:val="clear" w:color="auto" w:fill="FFFFFF"/>
        </w:rPr>
        <w:t>场地（现场）临时供电容量（变压器输出功率）：</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shd w:val="clear" w:color="auto" w:fill="FFFFFF"/>
        </w:rPr>
        <w:t xml:space="preserve"> </w:t>
      </w:r>
    </w:p>
    <w:p w14:paraId="477B8A27">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1.2.3  现场条件和周围环境的其他资料和信息数据；</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shd w:val="clear" w:color="auto" w:fill="FFFFFF"/>
        </w:rPr>
        <w:t xml:space="preserve"> </w:t>
      </w:r>
    </w:p>
    <w:p w14:paraId="0AFFE4EA">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797" w:name="_Toc96529973"/>
      <w:bookmarkStart w:id="798" w:name="_Toc96352147"/>
      <w:bookmarkStart w:id="799" w:name="_Toc483581230"/>
      <w:bookmarkStart w:id="800" w:name="_Toc38037924"/>
      <w:bookmarkStart w:id="801" w:name="_Toc489280271"/>
      <w:bookmarkStart w:id="802" w:name="_Toc497298378"/>
      <w:bookmarkStart w:id="803" w:name="_Toc20601"/>
      <w:bookmarkStart w:id="804" w:name="_Toc96504962"/>
      <w:bookmarkStart w:id="805" w:name="_Toc96505351"/>
      <w:bookmarkStart w:id="806" w:name="_Toc501055676"/>
      <w:r>
        <w:rPr>
          <w:rFonts w:hint="eastAsia" w:asciiTheme="minorEastAsia" w:hAnsiTheme="minorEastAsia" w:eastAsiaTheme="minorEastAsia" w:cstheme="minorEastAsia"/>
          <w:sz w:val="24"/>
          <w:szCs w:val="24"/>
          <w:highlight w:val="none"/>
          <w:shd w:val="clear" w:color="auto" w:fill="FFFFFF"/>
        </w:rPr>
        <w:t>1.3  地质及水文资料</w:t>
      </w:r>
      <w:bookmarkEnd w:id="797"/>
      <w:bookmarkEnd w:id="798"/>
      <w:bookmarkEnd w:id="799"/>
      <w:bookmarkEnd w:id="800"/>
      <w:bookmarkEnd w:id="801"/>
      <w:bookmarkEnd w:id="802"/>
      <w:bookmarkEnd w:id="803"/>
      <w:bookmarkEnd w:id="804"/>
      <w:bookmarkEnd w:id="805"/>
      <w:bookmarkEnd w:id="806"/>
    </w:p>
    <w:p w14:paraId="54D7901B">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现场地质及水文资料和信息数据：</w:t>
      </w:r>
      <w:r>
        <w:rPr>
          <w:rFonts w:hint="eastAsia" w:asciiTheme="minorEastAsia" w:hAnsiTheme="minorEastAsia" w:eastAsiaTheme="minorEastAsia" w:cstheme="minorEastAsia"/>
          <w:sz w:val="24"/>
          <w:szCs w:val="24"/>
          <w:highlight w:val="none"/>
          <w:u w:val="single"/>
          <w:shd w:val="clear" w:color="auto" w:fill="FFFFFF"/>
        </w:rPr>
        <w:t xml:space="preserve">    /   </w:t>
      </w:r>
    </w:p>
    <w:p w14:paraId="1ACF1254">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807" w:name="_Toc96504963"/>
      <w:bookmarkStart w:id="808" w:name="_Toc489280272"/>
      <w:bookmarkStart w:id="809" w:name="_Toc28449"/>
      <w:bookmarkStart w:id="810" w:name="_Toc497298379"/>
      <w:bookmarkStart w:id="811" w:name="_Toc96505352"/>
      <w:bookmarkStart w:id="812" w:name="_Toc490331747"/>
      <w:bookmarkStart w:id="813" w:name="_Toc38037925"/>
      <w:bookmarkStart w:id="814" w:name="_Toc96529974"/>
      <w:bookmarkStart w:id="815" w:name="_Toc483581231"/>
      <w:bookmarkStart w:id="816" w:name="_Toc501055677"/>
      <w:bookmarkStart w:id="817" w:name="_Toc96352148"/>
      <w:bookmarkStart w:id="818" w:name="_Toc486580466"/>
      <w:r>
        <w:rPr>
          <w:rFonts w:hint="eastAsia" w:asciiTheme="minorEastAsia" w:hAnsiTheme="minorEastAsia" w:eastAsiaTheme="minorEastAsia" w:cstheme="minorEastAsia"/>
          <w:sz w:val="24"/>
          <w:szCs w:val="24"/>
          <w:highlight w:val="none"/>
          <w:shd w:val="clear" w:color="auto" w:fill="FFFFFF"/>
        </w:rPr>
        <w:t>2.承包范围</w:t>
      </w:r>
      <w:bookmarkEnd w:id="807"/>
      <w:bookmarkEnd w:id="808"/>
      <w:bookmarkEnd w:id="809"/>
      <w:bookmarkEnd w:id="810"/>
      <w:bookmarkEnd w:id="811"/>
      <w:bookmarkEnd w:id="812"/>
      <w:bookmarkEnd w:id="813"/>
      <w:bookmarkEnd w:id="814"/>
      <w:bookmarkEnd w:id="815"/>
      <w:bookmarkEnd w:id="816"/>
      <w:bookmarkEnd w:id="817"/>
      <w:bookmarkEnd w:id="818"/>
    </w:p>
    <w:p w14:paraId="71C8C74C">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819" w:name="_Toc38037926"/>
      <w:bookmarkStart w:id="820" w:name="_Toc497298380"/>
      <w:bookmarkStart w:id="821" w:name="_Toc96504964"/>
      <w:bookmarkStart w:id="822" w:name="_Toc19806"/>
      <w:bookmarkStart w:id="823" w:name="_Toc96505353"/>
      <w:bookmarkStart w:id="824" w:name="_Toc96529975"/>
      <w:bookmarkStart w:id="825" w:name="_Toc96352149"/>
      <w:bookmarkStart w:id="826" w:name="_Toc501055678"/>
      <w:bookmarkStart w:id="827" w:name="_Toc483581232"/>
      <w:bookmarkStart w:id="828" w:name="_Toc486580467"/>
      <w:bookmarkStart w:id="829" w:name="_Toc489280273"/>
      <w:r>
        <w:rPr>
          <w:rFonts w:hint="eastAsia" w:asciiTheme="minorEastAsia" w:hAnsiTheme="minorEastAsia" w:eastAsiaTheme="minorEastAsia" w:cstheme="minorEastAsia"/>
          <w:sz w:val="24"/>
          <w:szCs w:val="24"/>
          <w:highlight w:val="none"/>
          <w:shd w:val="clear" w:color="auto" w:fill="FFFFFF"/>
        </w:rPr>
        <w:t>2.1  承包范围</w:t>
      </w:r>
      <w:bookmarkEnd w:id="819"/>
      <w:bookmarkEnd w:id="820"/>
      <w:bookmarkEnd w:id="821"/>
      <w:bookmarkEnd w:id="822"/>
      <w:bookmarkEnd w:id="823"/>
      <w:bookmarkEnd w:id="824"/>
      <w:bookmarkEnd w:id="825"/>
      <w:bookmarkEnd w:id="826"/>
      <w:bookmarkEnd w:id="827"/>
      <w:bookmarkEnd w:id="828"/>
      <w:bookmarkEnd w:id="829"/>
    </w:p>
    <w:p w14:paraId="4DEF9E2C">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2.1.1  承包人施工范围</w:t>
      </w:r>
    </w:p>
    <w:p w14:paraId="31F2D6D1">
      <w:pPr>
        <w:spacing w:after="0" w:line="360" w:lineRule="auto"/>
        <w:ind w:firstLine="720" w:firstLineChars="3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2.1.1.1  本工程承包人施工的工程范围：</w:t>
      </w:r>
      <w:r>
        <w:rPr>
          <w:rFonts w:hint="eastAsia" w:asciiTheme="minorEastAsia" w:hAnsiTheme="minorEastAsia" w:eastAsiaTheme="minorEastAsia" w:cstheme="minorEastAsia"/>
          <w:sz w:val="24"/>
          <w:szCs w:val="24"/>
          <w:highlight w:val="none"/>
          <w:u w:val="single"/>
          <w:lang w:eastAsia="zh-CN"/>
        </w:rPr>
        <w:t>东高地第三小学门前道路及东高地航天第三幼儿园门前道路提升改造项目</w:t>
      </w:r>
      <w:r>
        <w:rPr>
          <w:rFonts w:hint="eastAsia" w:asciiTheme="minorEastAsia" w:hAnsiTheme="minorEastAsia" w:eastAsiaTheme="minorEastAsia" w:cstheme="minorEastAsia"/>
          <w:sz w:val="24"/>
          <w:szCs w:val="24"/>
          <w:highlight w:val="none"/>
          <w:u w:val="single"/>
        </w:rPr>
        <w:t>施工图纸及工程量清单所示全部工作内容</w:t>
      </w:r>
      <w:r>
        <w:rPr>
          <w:rFonts w:hint="eastAsia" w:asciiTheme="minorEastAsia" w:hAnsiTheme="minorEastAsia" w:eastAsiaTheme="minorEastAsia" w:cstheme="minorEastAsia"/>
          <w:sz w:val="24"/>
          <w:szCs w:val="24"/>
          <w:highlight w:val="none"/>
          <w:u w:val="single"/>
          <w:shd w:val="clear" w:color="auto" w:fill="FFFFFF"/>
        </w:rPr>
        <w:t xml:space="preserve"> </w:t>
      </w:r>
    </w:p>
    <w:p w14:paraId="41C2018C">
      <w:pPr>
        <w:spacing w:after="0" w:line="360" w:lineRule="auto"/>
        <w:ind w:firstLine="720" w:firstLineChars="300"/>
        <w:rPr>
          <w:rFonts w:hint="eastAsia" w:asciiTheme="minorEastAsia" w:hAnsiTheme="minorEastAsia" w:eastAsiaTheme="minorEastAsia" w:cstheme="minorEastAsia"/>
          <w:sz w:val="24"/>
          <w:szCs w:val="24"/>
          <w:highlight w:val="none"/>
          <w:u w:val="single"/>
          <w:shd w:val="clear" w:color="auto" w:fill="FFFFFF"/>
        </w:rPr>
      </w:pPr>
      <w:bookmarkStart w:id="830" w:name="_Toc501055679"/>
      <w:r>
        <w:rPr>
          <w:rFonts w:hint="eastAsia" w:asciiTheme="minorEastAsia" w:hAnsiTheme="minorEastAsia" w:eastAsiaTheme="minorEastAsia" w:cstheme="minorEastAsia"/>
          <w:sz w:val="24"/>
          <w:szCs w:val="24"/>
          <w:highlight w:val="none"/>
          <w:shd w:val="clear" w:color="auto" w:fill="FFFFFF"/>
        </w:rPr>
        <w:t>2.1.1.2  承包人与其他独立承包人之间的工作界面划分：</w:t>
      </w:r>
      <w:bookmarkEnd w:id="830"/>
      <w:r>
        <w:rPr>
          <w:rFonts w:hint="eastAsia" w:asciiTheme="minorEastAsia" w:hAnsiTheme="minorEastAsia" w:eastAsiaTheme="minorEastAsia" w:cstheme="minorEastAsia"/>
          <w:sz w:val="24"/>
          <w:szCs w:val="24"/>
          <w:highlight w:val="none"/>
          <w:u w:val="single"/>
          <w:shd w:val="clear" w:color="auto" w:fill="FFFFFF"/>
        </w:rPr>
        <w:t xml:space="preserve">      /                </w:t>
      </w:r>
    </w:p>
    <w:p w14:paraId="13C57413">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2.1.2  承包范围内的暂估价材料和工程设备</w:t>
      </w:r>
    </w:p>
    <w:p w14:paraId="6E5C0EB5">
      <w:pPr>
        <w:spacing w:after="0" w:line="360" w:lineRule="auto"/>
        <w:ind w:firstLine="720" w:firstLineChars="3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2.1.2.2  承包人与暂估价材料和工程设备的供应商之间的工作界面划分：</w:t>
      </w:r>
      <w:r>
        <w:rPr>
          <w:rFonts w:hint="eastAsia" w:asciiTheme="minorEastAsia" w:hAnsiTheme="minorEastAsia" w:eastAsiaTheme="minorEastAsia" w:cstheme="minorEastAsia"/>
          <w:sz w:val="24"/>
          <w:szCs w:val="24"/>
          <w:highlight w:val="none"/>
          <w:u w:val="single"/>
          <w:shd w:val="clear" w:color="auto" w:fill="FFFFFF"/>
        </w:rPr>
        <w:t xml:space="preserve">  /      </w:t>
      </w:r>
    </w:p>
    <w:p w14:paraId="22CBF872">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2.1.3  承包范围内的暂列金额项目</w:t>
      </w:r>
    </w:p>
    <w:p w14:paraId="0E20E8AD">
      <w:pPr>
        <w:spacing w:after="0" w:line="360" w:lineRule="auto"/>
        <w:ind w:firstLine="720" w:firstLineChars="3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2.1.3.4  关于暂列金额的其他说明：</w:t>
      </w:r>
      <w:r>
        <w:rPr>
          <w:rFonts w:hint="eastAsia" w:asciiTheme="minorEastAsia" w:hAnsiTheme="minorEastAsia" w:eastAsiaTheme="minorEastAsia" w:cstheme="minorEastAsia"/>
          <w:sz w:val="24"/>
          <w:szCs w:val="24"/>
          <w:highlight w:val="none"/>
          <w:u w:val="single"/>
          <w:shd w:val="clear" w:color="auto" w:fill="FFFFFF"/>
        </w:rPr>
        <w:t xml:space="preserve">      /                                  </w:t>
      </w:r>
    </w:p>
    <w:p w14:paraId="43DFEF9F">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831" w:name="_Toc501055680"/>
      <w:bookmarkStart w:id="832" w:name="_Toc96504965"/>
      <w:bookmarkStart w:id="833" w:name="_Toc30904"/>
      <w:bookmarkStart w:id="834" w:name="_Toc96505354"/>
      <w:bookmarkStart w:id="835" w:name="_Toc489280274"/>
      <w:bookmarkStart w:id="836" w:name="_Toc486580468"/>
      <w:bookmarkStart w:id="837" w:name="_Toc96529976"/>
      <w:bookmarkStart w:id="838" w:name="_Toc483581233"/>
      <w:bookmarkStart w:id="839" w:name="_Toc497298381"/>
      <w:bookmarkStart w:id="840" w:name="_Toc96352150"/>
      <w:bookmarkStart w:id="841" w:name="_Toc38037927"/>
      <w:r>
        <w:rPr>
          <w:rFonts w:hint="eastAsia" w:asciiTheme="minorEastAsia" w:hAnsiTheme="minorEastAsia" w:eastAsiaTheme="minorEastAsia" w:cstheme="minorEastAsia"/>
          <w:sz w:val="24"/>
          <w:szCs w:val="24"/>
          <w:highlight w:val="none"/>
          <w:shd w:val="clear" w:color="auto" w:fill="FFFFFF"/>
        </w:rPr>
        <w:t>2.2  发包人供应的材料和工程设备</w:t>
      </w:r>
      <w:bookmarkEnd w:id="831"/>
      <w:bookmarkEnd w:id="832"/>
      <w:bookmarkEnd w:id="833"/>
      <w:bookmarkEnd w:id="834"/>
      <w:bookmarkEnd w:id="835"/>
      <w:bookmarkEnd w:id="836"/>
      <w:bookmarkEnd w:id="837"/>
      <w:bookmarkEnd w:id="838"/>
      <w:bookmarkEnd w:id="839"/>
      <w:bookmarkEnd w:id="840"/>
      <w:bookmarkEnd w:id="841"/>
    </w:p>
    <w:p w14:paraId="6B53691B">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2.2.2  承包人与发包人供应的材料和工程设备的供应商之间的工作界面划分如下：</w:t>
      </w:r>
      <w:r>
        <w:rPr>
          <w:rFonts w:hint="eastAsia" w:asciiTheme="minorEastAsia" w:hAnsiTheme="minorEastAsia" w:eastAsiaTheme="minorEastAsia" w:cstheme="minorEastAsia"/>
          <w:sz w:val="24"/>
          <w:szCs w:val="24"/>
          <w:highlight w:val="none"/>
          <w:u w:val="single"/>
          <w:shd w:val="clear" w:color="auto" w:fill="FFFFFF"/>
        </w:rPr>
        <w:t xml:space="preserve">  / </w:t>
      </w:r>
    </w:p>
    <w:p w14:paraId="6257B3BB">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842" w:name="_Toc38037928"/>
      <w:bookmarkStart w:id="843" w:name="_Toc501055681"/>
      <w:bookmarkStart w:id="844" w:name="_Toc96504966"/>
      <w:bookmarkStart w:id="845" w:name="_Toc96505355"/>
      <w:bookmarkStart w:id="846" w:name="_Toc1642"/>
      <w:bookmarkStart w:id="847" w:name="_Toc96352151"/>
      <w:bookmarkStart w:id="848" w:name="_Toc483581235"/>
      <w:bookmarkStart w:id="849" w:name="_Toc497298383"/>
      <w:bookmarkStart w:id="850" w:name="_Toc96529977"/>
      <w:bookmarkStart w:id="851" w:name="_Toc489280276"/>
      <w:bookmarkStart w:id="852" w:name="_Toc486580470"/>
      <w:r>
        <w:rPr>
          <w:rFonts w:hint="eastAsia" w:asciiTheme="minorEastAsia" w:hAnsiTheme="minorEastAsia" w:eastAsiaTheme="minorEastAsia" w:cstheme="minorEastAsia"/>
          <w:sz w:val="24"/>
          <w:szCs w:val="24"/>
          <w:highlight w:val="none"/>
          <w:shd w:val="clear" w:color="auto" w:fill="FFFFFF"/>
        </w:rPr>
        <w:t>2.3  承包人需要为发包人和监理人提供的现场办公条件和设施</w:t>
      </w:r>
      <w:bookmarkEnd w:id="842"/>
      <w:bookmarkEnd w:id="843"/>
      <w:bookmarkEnd w:id="844"/>
      <w:bookmarkEnd w:id="845"/>
      <w:bookmarkEnd w:id="846"/>
      <w:bookmarkEnd w:id="847"/>
      <w:bookmarkEnd w:id="848"/>
      <w:bookmarkEnd w:id="849"/>
      <w:bookmarkEnd w:id="850"/>
      <w:bookmarkEnd w:id="851"/>
      <w:bookmarkEnd w:id="852"/>
    </w:p>
    <w:p w14:paraId="4F4C5C81">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承包人需要为发包人和监理人提供的现场办公条件和设施及其详细要求：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3151DB35">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853" w:name="_Toc38037929"/>
      <w:bookmarkStart w:id="854" w:name="_Toc490331748"/>
      <w:bookmarkStart w:id="855" w:name="_Toc501055682"/>
      <w:bookmarkStart w:id="856" w:name="_Toc486580471"/>
      <w:bookmarkStart w:id="857" w:name="_Toc96505356"/>
      <w:bookmarkStart w:id="858" w:name="_Toc483581236"/>
      <w:bookmarkStart w:id="859" w:name="_Toc489280277"/>
      <w:bookmarkStart w:id="860" w:name="_Toc96352152"/>
      <w:bookmarkStart w:id="861" w:name="_Toc18499"/>
      <w:bookmarkStart w:id="862" w:name="_Toc96504967"/>
      <w:bookmarkStart w:id="863" w:name="_Toc497298384"/>
      <w:bookmarkStart w:id="864" w:name="_Toc96529978"/>
      <w:r>
        <w:rPr>
          <w:rFonts w:hint="eastAsia" w:asciiTheme="minorEastAsia" w:hAnsiTheme="minorEastAsia" w:eastAsiaTheme="minorEastAsia" w:cstheme="minorEastAsia"/>
          <w:sz w:val="24"/>
          <w:szCs w:val="24"/>
          <w:highlight w:val="none"/>
          <w:shd w:val="clear" w:color="auto" w:fill="FFFFFF"/>
        </w:rPr>
        <w:t>4.质量要求</w:t>
      </w:r>
      <w:bookmarkEnd w:id="853"/>
      <w:bookmarkEnd w:id="854"/>
      <w:bookmarkEnd w:id="855"/>
      <w:bookmarkEnd w:id="856"/>
      <w:bookmarkEnd w:id="857"/>
      <w:bookmarkEnd w:id="858"/>
      <w:bookmarkEnd w:id="859"/>
      <w:bookmarkEnd w:id="860"/>
      <w:bookmarkEnd w:id="861"/>
      <w:bookmarkEnd w:id="862"/>
      <w:bookmarkEnd w:id="863"/>
      <w:bookmarkEnd w:id="864"/>
    </w:p>
    <w:p w14:paraId="293A2B09">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865" w:name="_Toc96352153"/>
      <w:bookmarkStart w:id="866" w:name="_Toc13149"/>
      <w:bookmarkStart w:id="867" w:name="_Toc486580472"/>
      <w:bookmarkStart w:id="868" w:name="_Toc489280278"/>
      <w:bookmarkStart w:id="869" w:name="_Toc96529979"/>
      <w:bookmarkStart w:id="870" w:name="_Toc96504968"/>
      <w:bookmarkStart w:id="871" w:name="_Toc96505357"/>
      <w:bookmarkStart w:id="872" w:name="_Toc483581237"/>
      <w:bookmarkStart w:id="873" w:name="_Toc501055683"/>
      <w:bookmarkStart w:id="874" w:name="_Toc497298385"/>
      <w:bookmarkStart w:id="875" w:name="_Toc38037930"/>
      <w:r>
        <w:rPr>
          <w:rFonts w:hint="eastAsia" w:asciiTheme="minorEastAsia" w:hAnsiTheme="minorEastAsia" w:eastAsiaTheme="minorEastAsia" w:cstheme="minorEastAsia"/>
          <w:sz w:val="24"/>
          <w:szCs w:val="24"/>
          <w:highlight w:val="none"/>
          <w:shd w:val="clear" w:color="auto" w:fill="FFFFFF"/>
        </w:rPr>
        <w:t>4.2  特殊质量要求</w:t>
      </w:r>
      <w:bookmarkEnd w:id="865"/>
      <w:bookmarkEnd w:id="866"/>
      <w:bookmarkEnd w:id="867"/>
      <w:bookmarkEnd w:id="868"/>
      <w:bookmarkEnd w:id="869"/>
      <w:bookmarkEnd w:id="870"/>
      <w:bookmarkEnd w:id="871"/>
      <w:bookmarkEnd w:id="872"/>
      <w:bookmarkEnd w:id="873"/>
      <w:bookmarkEnd w:id="874"/>
      <w:bookmarkEnd w:id="875"/>
    </w:p>
    <w:p w14:paraId="27823A21">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有关本工程质量方面的特殊要求：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75F2F38B">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876" w:name="_Toc38037931"/>
      <w:bookmarkStart w:id="877" w:name="_Toc486580473"/>
      <w:bookmarkStart w:id="878" w:name="_Toc483581238"/>
      <w:bookmarkStart w:id="879" w:name="_Toc96504969"/>
      <w:bookmarkStart w:id="880" w:name="_Toc501055684"/>
      <w:bookmarkStart w:id="881" w:name="_Toc489280279"/>
      <w:bookmarkStart w:id="882" w:name="_Toc490331749"/>
      <w:bookmarkStart w:id="883" w:name="_Toc96529980"/>
      <w:bookmarkStart w:id="884" w:name="_Toc497298386"/>
      <w:bookmarkStart w:id="885" w:name="_Toc19402"/>
      <w:bookmarkStart w:id="886" w:name="_Toc96352154"/>
      <w:bookmarkStart w:id="887" w:name="_Toc96505358"/>
      <w:r>
        <w:rPr>
          <w:rFonts w:hint="eastAsia" w:asciiTheme="minorEastAsia" w:hAnsiTheme="minorEastAsia" w:eastAsiaTheme="minorEastAsia" w:cstheme="minorEastAsia"/>
          <w:sz w:val="24"/>
          <w:szCs w:val="24"/>
          <w:highlight w:val="none"/>
          <w:shd w:val="clear" w:color="auto" w:fill="FFFFFF"/>
        </w:rPr>
        <w:t>5.适用规范和标准</w:t>
      </w:r>
      <w:bookmarkEnd w:id="876"/>
      <w:bookmarkEnd w:id="877"/>
      <w:bookmarkEnd w:id="878"/>
      <w:bookmarkEnd w:id="879"/>
      <w:bookmarkEnd w:id="880"/>
      <w:bookmarkEnd w:id="881"/>
      <w:bookmarkEnd w:id="882"/>
      <w:bookmarkEnd w:id="883"/>
      <w:bookmarkEnd w:id="884"/>
      <w:bookmarkEnd w:id="885"/>
      <w:bookmarkEnd w:id="886"/>
      <w:bookmarkEnd w:id="887"/>
    </w:p>
    <w:p w14:paraId="424F5885">
      <w:pPr>
        <w:spacing w:after="0" w:line="360" w:lineRule="auto"/>
        <w:ind w:firstLine="720" w:firstLineChars="300"/>
        <w:outlineLvl w:val="5"/>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5.1  适用本工程的国家、行业和地方规范、标准和规程：</w:t>
      </w:r>
      <w:r>
        <w:rPr>
          <w:rFonts w:hint="eastAsia" w:asciiTheme="minorEastAsia" w:hAnsiTheme="minorEastAsia" w:eastAsiaTheme="minorEastAsia" w:cstheme="minorEastAsia"/>
          <w:sz w:val="24"/>
          <w:szCs w:val="24"/>
          <w:highlight w:val="none"/>
          <w:u w:val="single"/>
          <w:shd w:val="clear" w:color="auto" w:fill="FFFFFF"/>
        </w:rPr>
        <w:t xml:space="preserve">   </w:t>
      </w:r>
      <w:r>
        <w:rPr>
          <w:rFonts w:hint="eastAsia" w:asciiTheme="minorEastAsia" w:hAnsiTheme="minorEastAsia" w:eastAsiaTheme="minorEastAsia" w:cstheme="minorEastAsia"/>
          <w:color w:val="000000"/>
          <w:sz w:val="24"/>
          <w:szCs w:val="24"/>
          <w:highlight w:val="none"/>
          <w:u w:val="single"/>
        </w:rPr>
        <w:t xml:space="preserve">按现行有效的规范、标准、和规程及相关性文件等 </w:t>
      </w:r>
      <w:r>
        <w:rPr>
          <w:rFonts w:hint="eastAsia" w:asciiTheme="minorEastAsia" w:hAnsiTheme="minorEastAsia" w:eastAsiaTheme="minorEastAsia" w:cstheme="minorEastAsia"/>
          <w:sz w:val="24"/>
          <w:szCs w:val="24"/>
          <w:highlight w:val="none"/>
          <w:u w:val="single"/>
          <w:shd w:val="clear" w:color="auto" w:fill="FFFFFF"/>
        </w:rPr>
        <w:t xml:space="preserve">      </w:t>
      </w:r>
    </w:p>
    <w:p w14:paraId="27E88B48">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888" w:name="_Toc96352155"/>
      <w:bookmarkStart w:id="889" w:name="_Toc96504970"/>
      <w:bookmarkStart w:id="890" w:name="_Toc501055685"/>
      <w:bookmarkStart w:id="891" w:name="_Toc497298387"/>
      <w:bookmarkStart w:id="892" w:name="_Toc29252"/>
      <w:bookmarkStart w:id="893" w:name="_Toc483581239"/>
      <w:bookmarkStart w:id="894" w:name="_Toc489280280"/>
      <w:bookmarkStart w:id="895" w:name="_Toc38037932"/>
      <w:bookmarkStart w:id="896" w:name="_Toc490331750"/>
      <w:bookmarkStart w:id="897" w:name="_Toc96505359"/>
      <w:bookmarkStart w:id="898" w:name="_Toc96529981"/>
      <w:bookmarkStart w:id="899" w:name="_Toc486580474"/>
      <w:r>
        <w:rPr>
          <w:rFonts w:hint="eastAsia" w:asciiTheme="minorEastAsia" w:hAnsiTheme="minorEastAsia" w:eastAsiaTheme="minorEastAsia" w:cstheme="minorEastAsia"/>
          <w:sz w:val="24"/>
          <w:szCs w:val="24"/>
          <w:highlight w:val="none"/>
          <w:shd w:val="clear" w:color="auto" w:fill="FFFFFF"/>
        </w:rPr>
        <w:t>6.安全文明施工</w:t>
      </w:r>
      <w:bookmarkEnd w:id="888"/>
      <w:bookmarkEnd w:id="889"/>
      <w:bookmarkEnd w:id="890"/>
      <w:bookmarkEnd w:id="891"/>
      <w:bookmarkEnd w:id="892"/>
      <w:bookmarkEnd w:id="893"/>
      <w:bookmarkEnd w:id="894"/>
      <w:bookmarkEnd w:id="895"/>
      <w:bookmarkEnd w:id="896"/>
      <w:bookmarkEnd w:id="897"/>
      <w:bookmarkEnd w:id="898"/>
      <w:bookmarkEnd w:id="899"/>
    </w:p>
    <w:p w14:paraId="3B12A842">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00" w:name="_Toc483581240"/>
      <w:bookmarkStart w:id="901" w:name="_Toc497298388"/>
      <w:bookmarkStart w:id="902" w:name="_Toc489280281"/>
      <w:bookmarkStart w:id="903" w:name="_Toc486580475"/>
      <w:bookmarkStart w:id="904" w:name="_Toc501055686"/>
      <w:bookmarkStart w:id="905" w:name="_Toc38037933"/>
      <w:bookmarkStart w:id="906" w:name="_Toc96529982"/>
      <w:bookmarkStart w:id="907" w:name="_Toc96505360"/>
      <w:bookmarkStart w:id="908" w:name="_Toc30917"/>
      <w:bookmarkStart w:id="909" w:name="_Toc96352156"/>
      <w:bookmarkStart w:id="910" w:name="_Toc96504971"/>
      <w:r>
        <w:rPr>
          <w:rFonts w:hint="eastAsia" w:asciiTheme="minorEastAsia" w:hAnsiTheme="minorEastAsia" w:eastAsiaTheme="minorEastAsia" w:cstheme="minorEastAsia"/>
          <w:sz w:val="24"/>
          <w:szCs w:val="24"/>
          <w:highlight w:val="none"/>
          <w:shd w:val="clear" w:color="auto" w:fill="FFFFFF"/>
        </w:rPr>
        <w:t>6.1  安全防护</w:t>
      </w:r>
      <w:bookmarkEnd w:id="900"/>
      <w:bookmarkEnd w:id="901"/>
      <w:bookmarkEnd w:id="902"/>
      <w:bookmarkEnd w:id="903"/>
      <w:bookmarkEnd w:id="904"/>
      <w:bookmarkEnd w:id="905"/>
      <w:bookmarkEnd w:id="906"/>
      <w:bookmarkEnd w:id="907"/>
      <w:bookmarkEnd w:id="908"/>
      <w:bookmarkEnd w:id="909"/>
      <w:bookmarkEnd w:id="910"/>
    </w:p>
    <w:p w14:paraId="25E26D25">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6.1.2  在整个工程施工期间，承包人应在施工场地（现场）设立、提供和维护并在有关工作完成或竣工后撤除</w:t>
      </w:r>
      <w:bookmarkStart w:id="911" w:name="_Hlk524944452"/>
      <w:r>
        <w:rPr>
          <w:rFonts w:hint="eastAsia" w:asciiTheme="minorEastAsia" w:hAnsiTheme="minorEastAsia" w:eastAsiaTheme="minorEastAsia" w:cstheme="minorEastAsia"/>
          <w:sz w:val="24"/>
          <w:szCs w:val="24"/>
          <w:highlight w:val="none"/>
          <w:shd w:val="clear" w:color="auto" w:fill="FFFFFF"/>
        </w:rPr>
        <w:t>：</w:t>
      </w:r>
      <w:bookmarkEnd w:id="911"/>
    </w:p>
    <w:p w14:paraId="4E68C125">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（11）其他要求：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7CDEC5E3">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6.1.18  安全防护方面的其他要求：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38ABBB78">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12" w:name="_Toc96529983"/>
      <w:bookmarkStart w:id="913" w:name="_Toc483581241"/>
      <w:bookmarkStart w:id="914" w:name="_Toc96352157"/>
      <w:bookmarkStart w:id="915" w:name="_Toc489280282"/>
      <w:bookmarkStart w:id="916" w:name="_Toc96504972"/>
      <w:bookmarkStart w:id="917" w:name="_Toc497298389"/>
      <w:bookmarkStart w:id="918" w:name="_Toc486580476"/>
      <w:bookmarkStart w:id="919" w:name="_Toc38037934"/>
      <w:bookmarkStart w:id="920" w:name="_Toc501055687"/>
      <w:bookmarkStart w:id="921" w:name="_Toc23525"/>
      <w:bookmarkStart w:id="922" w:name="_Toc96505361"/>
      <w:r>
        <w:rPr>
          <w:rFonts w:hint="eastAsia" w:asciiTheme="minorEastAsia" w:hAnsiTheme="minorEastAsia" w:eastAsiaTheme="minorEastAsia" w:cstheme="minorEastAsia"/>
          <w:sz w:val="24"/>
          <w:szCs w:val="24"/>
          <w:highlight w:val="none"/>
          <w:shd w:val="clear" w:color="auto" w:fill="FFFFFF"/>
        </w:rPr>
        <w:t>6.2  临时消防</w:t>
      </w:r>
      <w:bookmarkEnd w:id="912"/>
      <w:bookmarkEnd w:id="913"/>
      <w:bookmarkEnd w:id="914"/>
      <w:bookmarkEnd w:id="915"/>
      <w:bookmarkEnd w:id="916"/>
      <w:bookmarkEnd w:id="917"/>
      <w:bookmarkEnd w:id="918"/>
      <w:bookmarkEnd w:id="919"/>
      <w:bookmarkEnd w:id="920"/>
      <w:bookmarkEnd w:id="921"/>
      <w:bookmarkEnd w:id="922"/>
    </w:p>
    <w:p w14:paraId="4308EF5B">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6.2.5  临时消防方面的其他要求：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6569131D">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23" w:name="_Toc501055688"/>
      <w:bookmarkStart w:id="924" w:name="_Toc96529984"/>
      <w:bookmarkStart w:id="925" w:name="_Toc497298390"/>
      <w:bookmarkStart w:id="926" w:name="_Toc483581242"/>
      <w:bookmarkStart w:id="927" w:name="_Toc24903"/>
      <w:bookmarkStart w:id="928" w:name="_Toc489280283"/>
      <w:bookmarkStart w:id="929" w:name="_Toc96352158"/>
      <w:bookmarkStart w:id="930" w:name="_Toc96504973"/>
      <w:bookmarkStart w:id="931" w:name="_Toc486580477"/>
      <w:bookmarkStart w:id="932" w:name="_Toc96505362"/>
      <w:bookmarkStart w:id="933" w:name="_Toc38037935"/>
      <w:r>
        <w:rPr>
          <w:rFonts w:hint="eastAsia" w:asciiTheme="minorEastAsia" w:hAnsiTheme="minorEastAsia" w:eastAsiaTheme="minorEastAsia" w:cstheme="minorEastAsia"/>
          <w:sz w:val="24"/>
          <w:szCs w:val="24"/>
          <w:highlight w:val="none"/>
          <w:shd w:val="clear" w:color="auto" w:fill="FFFFFF"/>
        </w:rPr>
        <w:t>6.3  临时供电</w:t>
      </w:r>
      <w:bookmarkEnd w:id="923"/>
      <w:bookmarkEnd w:id="924"/>
      <w:bookmarkEnd w:id="925"/>
      <w:bookmarkEnd w:id="926"/>
      <w:bookmarkEnd w:id="927"/>
      <w:bookmarkEnd w:id="928"/>
      <w:bookmarkEnd w:id="929"/>
      <w:bookmarkEnd w:id="930"/>
      <w:bookmarkEnd w:id="931"/>
      <w:bookmarkEnd w:id="932"/>
      <w:bookmarkEnd w:id="933"/>
    </w:p>
    <w:p w14:paraId="16E8146D">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6.3.6  临时用电方面的其他要求：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17903DDA">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34" w:name="_Toc501055689"/>
      <w:bookmarkStart w:id="935" w:name="_Toc96504974"/>
      <w:bookmarkStart w:id="936" w:name="_Toc19663"/>
      <w:bookmarkStart w:id="937" w:name="_Toc483581243"/>
      <w:bookmarkStart w:id="938" w:name="_Toc96352159"/>
      <w:bookmarkStart w:id="939" w:name="_Toc38037936"/>
      <w:bookmarkStart w:id="940" w:name="_Toc96529985"/>
      <w:bookmarkStart w:id="941" w:name="_Toc489280284"/>
      <w:bookmarkStart w:id="942" w:name="_Toc486580478"/>
      <w:bookmarkStart w:id="943" w:name="_Toc497298391"/>
      <w:bookmarkStart w:id="944" w:name="_Toc96505363"/>
      <w:r>
        <w:rPr>
          <w:rFonts w:hint="eastAsia" w:asciiTheme="minorEastAsia" w:hAnsiTheme="minorEastAsia" w:eastAsiaTheme="minorEastAsia" w:cstheme="minorEastAsia"/>
          <w:sz w:val="24"/>
          <w:szCs w:val="24"/>
          <w:highlight w:val="none"/>
          <w:shd w:val="clear" w:color="auto" w:fill="FFFFFF"/>
        </w:rPr>
        <w:t>6.4  劳动保护</w:t>
      </w:r>
      <w:bookmarkEnd w:id="934"/>
      <w:bookmarkEnd w:id="935"/>
      <w:bookmarkEnd w:id="936"/>
      <w:bookmarkEnd w:id="937"/>
      <w:bookmarkEnd w:id="938"/>
      <w:bookmarkEnd w:id="939"/>
      <w:bookmarkEnd w:id="940"/>
      <w:bookmarkEnd w:id="941"/>
      <w:bookmarkEnd w:id="942"/>
      <w:bookmarkEnd w:id="943"/>
      <w:bookmarkEnd w:id="944"/>
    </w:p>
    <w:p w14:paraId="57A0629A">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6.4.6  劳动保护方面的其他要求：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4BAF6BA0">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45" w:name="_Toc483581244"/>
      <w:bookmarkStart w:id="946" w:name="_Toc486580479"/>
      <w:bookmarkStart w:id="947" w:name="_Toc96352160"/>
      <w:bookmarkStart w:id="948" w:name="_Toc96505364"/>
      <w:bookmarkStart w:id="949" w:name="_Toc16227"/>
      <w:bookmarkStart w:id="950" w:name="_Toc497298392"/>
      <w:bookmarkStart w:id="951" w:name="_Toc501055690"/>
      <w:bookmarkStart w:id="952" w:name="_Toc96529986"/>
      <w:bookmarkStart w:id="953" w:name="_Toc38037937"/>
      <w:bookmarkStart w:id="954" w:name="_Toc96504975"/>
      <w:bookmarkStart w:id="955" w:name="_Toc489280285"/>
      <w:r>
        <w:rPr>
          <w:rFonts w:hint="eastAsia" w:asciiTheme="minorEastAsia" w:hAnsiTheme="minorEastAsia" w:eastAsiaTheme="minorEastAsia" w:cstheme="minorEastAsia"/>
          <w:sz w:val="24"/>
          <w:szCs w:val="24"/>
          <w:highlight w:val="none"/>
          <w:shd w:val="clear" w:color="auto" w:fill="FFFFFF"/>
        </w:rPr>
        <w:t>6.5  脚手架</w:t>
      </w:r>
      <w:bookmarkEnd w:id="945"/>
      <w:bookmarkEnd w:id="946"/>
      <w:bookmarkEnd w:id="947"/>
      <w:bookmarkEnd w:id="948"/>
      <w:bookmarkEnd w:id="949"/>
      <w:bookmarkEnd w:id="950"/>
      <w:bookmarkEnd w:id="951"/>
      <w:bookmarkEnd w:id="952"/>
      <w:bookmarkEnd w:id="953"/>
      <w:bookmarkEnd w:id="954"/>
      <w:bookmarkEnd w:id="955"/>
    </w:p>
    <w:p w14:paraId="5C6F06DA">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6.5.6  脚手架的其他要求：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75ACB630">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56" w:name="_Toc489280286"/>
      <w:bookmarkStart w:id="957" w:name="_Toc486580480"/>
      <w:bookmarkStart w:id="958" w:name="_Toc96504976"/>
      <w:bookmarkStart w:id="959" w:name="_Toc38037938"/>
      <w:bookmarkStart w:id="960" w:name="_Toc3989"/>
      <w:bookmarkStart w:id="961" w:name="_Toc96352161"/>
      <w:bookmarkStart w:id="962" w:name="_Toc497298393"/>
      <w:bookmarkStart w:id="963" w:name="_Toc483581245"/>
      <w:bookmarkStart w:id="964" w:name="_Toc96505365"/>
      <w:bookmarkStart w:id="965" w:name="_Toc96529987"/>
      <w:bookmarkStart w:id="966" w:name="_Toc501055691"/>
      <w:r>
        <w:rPr>
          <w:rFonts w:hint="eastAsia" w:asciiTheme="minorEastAsia" w:hAnsiTheme="minorEastAsia" w:eastAsiaTheme="minorEastAsia" w:cstheme="minorEastAsia"/>
          <w:sz w:val="24"/>
          <w:szCs w:val="24"/>
          <w:highlight w:val="none"/>
          <w:shd w:val="clear" w:color="auto" w:fill="FFFFFF"/>
        </w:rPr>
        <w:t>6.6  施工安全措施计划</w:t>
      </w:r>
      <w:bookmarkEnd w:id="956"/>
      <w:bookmarkEnd w:id="957"/>
      <w:bookmarkEnd w:id="958"/>
      <w:bookmarkEnd w:id="959"/>
      <w:bookmarkEnd w:id="960"/>
      <w:bookmarkEnd w:id="961"/>
      <w:bookmarkEnd w:id="962"/>
      <w:bookmarkEnd w:id="963"/>
      <w:bookmarkEnd w:id="964"/>
      <w:bookmarkEnd w:id="965"/>
      <w:bookmarkEnd w:id="966"/>
    </w:p>
    <w:p w14:paraId="5D759184">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6.6.2  施工安全措施计划内容包括：</w:t>
      </w:r>
    </w:p>
    <w:p w14:paraId="14570210">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（9）其他要求：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62371DC9">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67" w:name="_Toc486580481"/>
      <w:bookmarkStart w:id="968" w:name="_Toc483581246"/>
      <w:bookmarkStart w:id="969" w:name="_Toc96352162"/>
      <w:bookmarkStart w:id="970" w:name="_Toc96529988"/>
      <w:bookmarkStart w:id="971" w:name="_Toc96504977"/>
      <w:bookmarkStart w:id="972" w:name="_Toc497298394"/>
      <w:bookmarkStart w:id="973" w:name="_Toc96505366"/>
      <w:bookmarkStart w:id="974" w:name="_Toc501055692"/>
      <w:bookmarkStart w:id="975" w:name="_Toc38037939"/>
      <w:bookmarkStart w:id="976" w:name="_Toc489280287"/>
      <w:bookmarkStart w:id="977" w:name="_Toc4321"/>
      <w:r>
        <w:rPr>
          <w:rFonts w:hint="eastAsia" w:asciiTheme="minorEastAsia" w:hAnsiTheme="minorEastAsia" w:eastAsiaTheme="minorEastAsia" w:cstheme="minorEastAsia"/>
          <w:sz w:val="24"/>
          <w:szCs w:val="24"/>
          <w:highlight w:val="none"/>
          <w:shd w:val="clear" w:color="auto" w:fill="FFFFFF"/>
        </w:rPr>
        <w:t>6.7  文明施工</w:t>
      </w:r>
      <w:bookmarkEnd w:id="967"/>
      <w:bookmarkEnd w:id="968"/>
      <w:bookmarkEnd w:id="969"/>
      <w:bookmarkEnd w:id="970"/>
      <w:bookmarkEnd w:id="971"/>
      <w:bookmarkEnd w:id="972"/>
      <w:bookmarkEnd w:id="973"/>
      <w:bookmarkEnd w:id="974"/>
      <w:bookmarkEnd w:id="975"/>
      <w:bookmarkEnd w:id="976"/>
      <w:bookmarkEnd w:id="977"/>
    </w:p>
    <w:p w14:paraId="77FB0E2F">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6.7.10  成品保护措施计划报监理人审批的时限：</w:t>
      </w:r>
      <w:r>
        <w:rPr>
          <w:rFonts w:hint="eastAsia" w:asciiTheme="minorEastAsia" w:hAnsiTheme="minorEastAsia" w:eastAsiaTheme="minorEastAsia" w:cstheme="minorEastAsia"/>
          <w:sz w:val="24"/>
          <w:szCs w:val="24"/>
          <w:highlight w:val="none"/>
          <w:u w:val="single"/>
          <w:shd w:val="clear" w:color="auto" w:fill="FFFFFF"/>
        </w:rPr>
        <w:t xml:space="preserve">          /                     </w:t>
      </w:r>
    </w:p>
    <w:p w14:paraId="2ADC86FC">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6.7.11  文明施工方面的其他要求：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41825608">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78" w:name="_Toc489280288"/>
      <w:bookmarkStart w:id="979" w:name="_Toc96352163"/>
      <w:bookmarkStart w:id="980" w:name="_Toc483581247"/>
      <w:bookmarkStart w:id="981" w:name="_Toc497298395"/>
      <w:bookmarkStart w:id="982" w:name="_Toc96529989"/>
      <w:bookmarkStart w:id="983" w:name="_Toc38037940"/>
      <w:bookmarkStart w:id="984" w:name="_Toc501055693"/>
      <w:bookmarkStart w:id="985" w:name="_Toc96505367"/>
      <w:bookmarkStart w:id="986" w:name="_Toc96504978"/>
      <w:bookmarkStart w:id="987" w:name="_Toc14914"/>
      <w:bookmarkStart w:id="988" w:name="_Toc486580482"/>
      <w:r>
        <w:rPr>
          <w:rFonts w:hint="eastAsia" w:asciiTheme="minorEastAsia" w:hAnsiTheme="minorEastAsia" w:eastAsiaTheme="minorEastAsia" w:cstheme="minorEastAsia"/>
          <w:sz w:val="24"/>
          <w:szCs w:val="24"/>
          <w:highlight w:val="none"/>
          <w:shd w:val="clear" w:color="auto" w:fill="FFFFFF"/>
        </w:rPr>
        <w:t>6.8  环境保护</w:t>
      </w:r>
      <w:bookmarkEnd w:id="978"/>
      <w:bookmarkEnd w:id="979"/>
      <w:bookmarkEnd w:id="980"/>
      <w:bookmarkEnd w:id="981"/>
      <w:bookmarkEnd w:id="982"/>
      <w:bookmarkEnd w:id="983"/>
      <w:bookmarkEnd w:id="984"/>
      <w:bookmarkEnd w:id="985"/>
      <w:bookmarkEnd w:id="986"/>
      <w:bookmarkEnd w:id="987"/>
      <w:bookmarkEnd w:id="988"/>
    </w:p>
    <w:p w14:paraId="63BF3CDD">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6.8.10  环境保护方面的其他要求：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57D31382">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989" w:name="_Toc497298396"/>
      <w:bookmarkStart w:id="990" w:name="_Toc96529990"/>
      <w:bookmarkStart w:id="991" w:name="_Toc96505368"/>
      <w:bookmarkStart w:id="992" w:name="_Toc489280289"/>
      <w:bookmarkStart w:id="993" w:name="_Toc483581248"/>
      <w:bookmarkStart w:id="994" w:name="_Toc28034"/>
      <w:bookmarkStart w:id="995" w:name="_Toc96352164"/>
      <w:bookmarkStart w:id="996" w:name="_Toc486580483"/>
      <w:bookmarkStart w:id="997" w:name="_Toc38037941"/>
      <w:bookmarkStart w:id="998" w:name="_Toc96504979"/>
      <w:bookmarkStart w:id="999" w:name="_Toc501055694"/>
      <w:r>
        <w:rPr>
          <w:rFonts w:hint="eastAsia" w:asciiTheme="minorEastAsia" w:hAnsiTheme="minorEastAsia" w:eastAsiaTheme="minorEastAsia" w:cstheme="minorEastAsia"/>
          <w:sz w:val="24"/>
          <w:szCs w:val="24"/>
          <w:highlight w:val="none"/>
          <w:shd w:val="clear" w:color="auto" w:fill="FFFFFF"/>
        </w:rPr>
        <w:t>6.9  施工环保措施计划</w:t>
      </w:r>
      <w:bookmarkEnd w:id="989"/>
      <w:bookmarkEnd w:id="990"/>
      <w:bookmarkEnd w:id="991"/>
      <w:bookmarkEnd w:id="992"/>
      <w:bookmarkEnd w:id="993"/>
      <w:bookmarkEnd w:id="994"/>
      <w:bookmarkEnd w:id="995"/>
      <w:bookmarkEnd w:id="996"/>
      <w:bookmarkEnd w:id="997"/>
      <w:bookmarkEnd w:id="998"/>
      <w:bookmarkEnd w:id="999"/>
    </w:p>
    <w:p w14:paraId="4123975D">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6.9.1  施工环保措施计划</w:t>
      </w:r>
      <w:r>
        <w:rPr>
          <w:rStyle w:val="252"/>
          <w:rFonts w:hint="eastAsia" w:asciiTheme="minorEastAsia" w:hAnsiTheme="minorEastAsia" w:eastAsiaTheme="minorEastAsia" w:cstheme="minorEastAsia"/>
          <w:sz w:val="24"/>
          <w:szCs w:val="24"/>
          <w:highlight w:val="none"/>
          <w:shd w:val="clear" w:color="auto" w:fill="FFFFFF"/>
        </w:rPr>
        <w:t>内容应包括：</w:t>
      </w:r>
    </w:p>
    <w:p w14:paraId="70D4A003">
      <w:pPr>
        <w:spacing w:after="0" w:line="360" w:lineRule="auto"/>
        <w:ind w:firstLine="480" w:firstLineChars="200"/>
        <w:rPr>
          <w:rStyle w:val="252"/>
          <w:rFonts w:hint="eastAsia" w:asciiTheme="minorEastAsia" w:hAnsiTheme="minorEastAsia" w:eastAsiaTheme="minorEastAsia" w:cstheme="minorEastAsia"/>
          <w:color w:val="000000"/>
          <w:sz w:val="24"/>
          <w:szCs w:val="24"/>
          <w:highlight w:val="none"/>
          <w:u w:val="single"/>
          <w:shd w:val="clear" w:color="auto" w:fill="FFFFFF"/>
        </w:rPr>
      </w:pPr>
      <w:r>
        <w:rPr>
          <w:rStyle w:val="252"/>
          <w:rFonts w:hint="eastAsia" w:asciiTheme="minorEastAsia" w:hAnsiTheme="minorEastAsia" w:eastAsiaTheme="minorEastAsia" w:cstheme="minorEastAsia"/>
          <w:color w:val="000000"/>
          <w:sz w:val="24"/>
          <w:szCs w:val="24"/>
          <w:highlight w:val="none"/>
          <w:shd w:val="clear" w:color="auto" w:fill="FFFFFF"/>
        </w:rPr>
        <w:t>（15）其他要求：</w:t>
      </w:r>
      <w:r>
        <w:rPr>
          <w:rStyle w:val="252"/>
          <w:rFonts w:hint="eastAsia" w:asciiTheme="minorEastAsia" w:hAnsiTheme="minorEastAsia" w:eastAsiaTheme="minorEastAsia" w:cstheme="minorEastAsia"/>
          <w:color w:val="000000"/>
          <w:sz w:val="24"/>
          <w:szCs w:val="24"/>
          <w:highlight w:val="none"/>
          <w:u w:val="single"/>
          <w:shd w:val="clear" w:color="auto" w:fill="FFFFFF"/>
        </w:rPr>
        <w:t xml:space="preserve">                           /                               </w:t>
      </w:r>
    </w:p>
    <w:p w14:paraId="6BCC6109">
      <w:pPr>
        <w:keepNext/>
        <w:keepLines/>
        <w:spacing w:before="120" w:beforeLines="50" w:after="0" w:line="360" w:lineRule="auto"/>
        <w:outlineLvl w:val="4"/>
        <w:rPr>
          <w:rFonts w:hint="eastAsia" w:asciiTheme="minorEastAsia" w:hAnsiTheme="minorEastAsia" w:eastAsiaTheme="minorEastAsia" w:cstheme="minorEastAsia"/>
          <w:color w:val="000000"/>
          <w:sz w:val="24"/>
          <w:szCs w:val="24"/>
          <w:highlight w:val="none"/>
          <w:shd w:val="clear" w:color="auto" w:fill="FFFFFF"/>
        </w:rPr>
      </w:pPr>
      <w:bookmarkStart w:id="1000" w:name="_Toc38037942"/>
      <w:bookmarkStart w:id="1001" w:name="_Toc96505369"/>
      <w:bookmarkStart w:id="1002" w:name="_Toc96504980"/>
      <w:bookmarkStart w:id="1003" w:name="_Toc24584"/>
      <w:bookmarkStart w:id="1004" w:name="_Toc96352165"/>
      <w:bookmarkStart w:id="1005" w:name="_Toc96529991"/>
      <w:r>
        <w:rPr>
          <w:rFonts w:hint="eastAsia" w:asciiTheme="minorEastAsia" w:hAnsiTheme="minorEastAsia" w:eastAsiaTheme="minorEastAsia" w:cstheme="minorEastAsia"/>
          <w:color w:val="000000"/>
          <w:sz w:val="24"/>
          <w:szCs w:val="24"/>
          <w:highlight w:val="none"/>
          <w:shd w:val="clear" w:color="auto" w:fill="FFFFFF"/>
        </w:rPr>
        <w:t>6.10  施工现场安全生产标准化要求</w:t>
      </w:r>
      <w:bookmarkEnd w:id="1000"/>
      <w:bookmarkEnd w:id="1001"/>
      <w:bookmarkEnd w:id="1002"/>
      <w:bookmarkEnd w:id="1003"/>
      <w:bookmarkEnd w:id="1004"/>
      <w:bookmarkEnd w:id="1005"/>
    </w:p>
    <w:p w14:paraId="07F42E9A">
      <w:pPr>
        <w:spacing w:after="0" w:line="360" w:lineRule="auto"/>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shd w:val="clear" w:color="auto" w:fill="FFFFFF"/>
        </w:rPr>
        <w:t xml:space="preserve">6.10.1  </w:t>
      </w:r>
      <w:r>
        <w:rPr>
          <w:rFonts w:hint="eastAsia" w:asciiTheme="minorEastAsia" w:hAnsiTheme="minorEastAsia" w:eastAsiaTheme="minorEastAsia" w:cstheme="minorEastAsia"/>
          <w:color w:val="000000"/>
          <w:sz w:val="24"/>
          <w:szCs w:val="24"/>
          <w:highlight w:val="none"/>
        </w:rPr>
        <w:t>施工现场安全生产标准化管理目标等级</w:t>
      </w:r>
      <w:r>
        <w:rPr>
          <w:rFonts w:hint="eastAsia" w:asciiTheme="minorEastAsia" w:hAnsiTheme="minorEastAsia" w:eastAsiaTheme="minorEastAsia" w:cstheme="minorEastAsia"/>
          <w:color w:val="000000"/>
          <w:sz w:val="24"/>
          <w:szCs w:val="24"/>
          <w:highlight w:val="none"/>
          <w:u w:val="single"/>
        </w:rPr>
        <w:t xml:space="preserve">     达标   </w:t>
      </w:r>
      <w:r>
        <w:rPr>
          <w:rFonts w:hint="eastAsia" w:asciiTheme="minorEastAsia" w:hAnsiTheme="minorEastAsia" w:eastAsiaTheme="minorEastAsia" w:cstheme="minorEastAsia"/>
          <w:color w:val="000000"/>
          <w:sz w:val="24"/>
          <w:szCs w:val="24"/>
          <w:highlight w:val="none"/>
        </w:rPr>
        <w:t>。</w:t>
      </w:r>
    </w:p>
    <w:p w14:paraId="0BBCB73D">
      <w:pPr>
        <w:spacing w:after="0" w:line="360" w:lineRule="auto"/>
        <w:ind w:firstLine="480" w:firstLineChars="200"/>
        <w:rPr>
          <w:rFonts w:hint="eastAsia" w:asciiTheme="minorEastAsia" w:hAnsiTheme="minorEastAsia" w:eastAsiaTheme="minorEastAsia" w:cstheme="minorEastAsia"/>
          <w:color w:val="000000"/>
          <w:sz w:val="24"/>
          <w:szCs w:val="24"/>
          <w:highlight w:val="none"/>
          <w:shd w:val="clear" w:color="auto" w:fill="FFFFFF"/>
        </w:rPr>
      </w:pPr>
      <w:r>
        <w:rPr>
          <w:rFonts w:hint="eastAsia" w:asciiTheme="minorEastAsia" w:hAnsiTheme="minorEastAsia" w:eastAsiaTheme="minorEastAsia" w:cstheme="minorEastAsia"/>
          <w:color w:val="000000"/>
          <w:sz w:val="24"/>
          <w:szCs w:val="24"/>
          <w:highlight w:val="none"/>
          <w:shd w:val="clear" w:color="auto" w:fill="FFFFFF"/>
        </w:rPr>
        <w:t>6.10.3  现行施工现场安全生产标准化分级管理标准：《北京市建设工程施工现场安全生产标准化管理图集》（2019版）。</w:t>
      </w:r>
    </w:p>
    <w:p w14:paraId="621906F5">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6.10.4  特殊安全文明施工措施要求：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325F587E">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006" w:name="_Toc96352166"/>
      <w:bookmarkStart w:id="1007" w:name="_Toc38037943"/>
      <w:bookmarkStart w:id="1008" w:name="_Toc96529992"/>
      <w:bookmarkStart w:id="1009" w:name="_Toc489280290"/>
      <w:bookmarkStart w:id="1010" w:name="_Toc96504981"/>
      <w:bookmarkStart w:id="1011" w:name="_Toc501055695"/>
      <w:bookmarkStart w:id="1012" w:name="_Toc497298397"/>
      <w:bookmarkStart w:id="1013" w:name="_Toc21593"/>
      <w:bookmarkStart w:id="1014" w:name="_Toc96505370"/>
      <w:bookmarkStart w:id="1015" w:name="_Toc486580484"/>
      <w:bookmarkStart w:id="1016" w:name="_Toc483581249"/>
      <w:bookmarkStart w:id="1017" w:name="_Toc490331751"/>
      <w:r>
        <w:rPr>
          <w:rFonts w:hint="eastAsia" w:asciiTheme="minorEastAsia" w:hAnsiTheme="minorEastAsia" w:eastAsiaTheme="minorEastAsia" w:cstheme="minorEastAsia"/>
          <w:sz w:val="24"/>
          <w:szCs w:val="24"/>
          <w:highlight w:val="none"/>
          <w:shd w:val="clear" w:color="auto" w:fill="FFFFFF"/>
        </w:rPr>
        <w:t>7.治安保卫</w:t>
      </w:r>
      <w:bookmarkEnd w:id="1006"/>
      <w:bookmarkEnd w:id="1007"/>
      <w:bookmarkEnd w:id="1008"/>
      <w:bookmarkEnd w:id="1009"/>
      <w:bookmarkEnd w:id="1010"/>
      <w:bookmarkEnd w:id="1011"/>
      <w:bookmarkEnd w:id="1012"/>
      <w:bookmarkEnd w:id="1013"/>
      <w:bookmarkEnd w:id="1014"/>
      <w:bookmarkEnd w:id="1015"/>
      <w:bookmarkEnd w:id="1016"/>
      <w:bookmarkEnd w:id="1017"/>
    </w:p>
    <w:p w14:paraId="294034B7">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7.7  突发治安事件紧急预案的要求：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4FEB274D">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7.8  治安保卫管理方面的其他要求：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1727705B">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018" w:name="_Toc428"/>
      <w:bookmarkStart w:id="1019" w:name="_Toc96505371"/>
      <w:bookmarkStart w:id="1020" w:name="_Toc38037944"/>
      <w:bookmarkStart w:id="1021" w:name="_Toc489280291"/>
      <w:bookmarkStart w:id="1022" w:name="_Toc490331752"/>
      <w:bookmarkStart w:id="1023" w:name="_Toc96352167"/>
      <w:bookmarkStart w:id="1024" w:name="_Toc483581250"/>
      <w:bookmarkStart w:id="1025" w:name="_Toc497298398"/>
      <w:bookmarkStart w:id="1026" w:name="_Toc96529993"/>
      <w:bookmarkStart w:id="1027" w:name="_Toc96504982"/>
      <w:bookmarkStart w:id="1028" w:name="_Toc486580485"/>
      <w:bookmarkStart w:id="1029" w:name="_Toc501055696"/>
      <w:r>
        <w:rPr>
          <w:rFonts w:hint="eastAsia" w:asciiTheme="minorEastAsia" w:hAnsiTheme="minorEastAsia" w:eastAsiaTheme="minorEastAsia" w:cstheme="minorEastAsia"/>
          <w:sz w:val="24"/>
          <w:szCs w:val="24"/>
          <w:highlight w:val="none"/>
          <w:shd w:val="clear" w:color="auto" w:fill="FFFFFF"/>
        </w:rPr>
        <w:t>8.地上、地下设施和周边建筑物的临时保护</w:t>
      </w:r>
      <w:bookmarkEnd w:id="1018"/>
      <w:bookmarkEnd w:id="1019"/>
      <w:bookmarkEnd w:id="1020"/>
      <w:bookmarkEnd w:id="1021"/>
      <w:bookmarkEnd w:id="1022"/>
      <w:bookmarkEnd w:id="1023"/>
      <w:bookmarkEnd w:id="1024"/>
      <w:bookmarkEnd w:id="1025"/>
      <w:bookmarkEnd w:id="1026"/>
      <w:bookmarkEnd w:id="1027"/>
      <w:bookmarkEnd w:id="1028"/>
      <w:bookmarkEnd w:id="1029"/>
    </w:p>
    <w:p w14:paraId="134C6D56">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8.3  发包人特别提醒承包人注意以下地上、地下设施和周边建筑物的保护：</w:t>
      </w:r>
      <w:r>
        <w:rPr>
          <w:rFonts w:hint="eastAsia" w:asciiTheme="minorEastAsia" w:hAnsiTheme="minorEastAsia" w:eastAsiaTheme="minorEastAsia" w:cstheme="minorEastAsia"/>
          <w:sz w:val="24"/>
          <w:szCs w:val="24"/>
          <w:highlight w:val="none"/>
          <w:u w:val="single"/>
          <w:shd w:val="clear" w:color="auto" w:fill="FFFFFF"/>
        </w:rPr>
        <w:t xml:space="preserve">   /     </w:t>
      </w:r>
    </w:p>
    <w:p w14:paraId="71408D39">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8.4  地上、地下设施和周边建筑物的临时保护的其他要求：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2DB146C2">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030" w:name="_Toc490331753"/>
      <w:bookmarkStart w:id="1031" w:name="_Toc96352168"/>
      <w:bookmarkStart w:id="1032" w:name="_Toc486580486"/>
      <w:bookmarkStart w:id="1033" w:name="_Toc38037945"/>
      <w:bookmarkStart w:id="1034" w:name="_Toc96504983"/>
      <w:bookmarkStart w:id="1035" w:name="_Toc489280292"/>
      <w:bookmarkStart w:id="1036" w:name="_Toc501055697"/>
      <w:bookmarkStart w:id="1037" w:name="_Toc483581251"/>
      <w:bookmarkStart w:id="1038" w:name="_Toc96529994"/>
      <w:bookmarkStart w:id="1039" w:name="_Toc96505372"/>
      <w:bookmarkStart w:id="1040" w:name="_Toc497298399"/>
      <w:bookmarkStart w:id="1041" w:name="_Toc20747"/>
      <w:r>
        <w:rPr>
          <w:rFonts w:hint="eastAsia" w:asciiTheme="minorEastAsia" w:hAnsiTheme="minorEastAsia" w:eastAsiaTheme="minorEastAsia" w:cstheme="minorEastAsia"/>
          <w:sz w:val="24"/>
          <w:szCs w:val="24"/>
          <w:highlight w:val="none"/>
          <w:shd w:val="clear" w:color="auto" w:fill="FFFFFF"/>
        </w:rPr>
        <w:t>9.样品和材料代换</w:t>
      </w:r>
      <w:bookmarkEnd w:id="1030"/>
      <w:bookmarkEnd w:id="1031"/>
      <w:bookmarkEnd w:id="1032"/>
      <w:bookmarkEnd w:id="1033"/>
      <w:bookmarkEnd w:id="1034"/>
      <w:bookmarkEnd w:id="1035"/>
      <w:bookmarkEnd w:id="1036"/>
      <w:bookmarkEnd w:id="1037"/>
      <w:bookmarkEnd w:id="1038"/>
      <w:bookmarkEnd w:id="1039"/>
      <w:bookmarkEnd w:id="1040"/>
      <w:bookmarkEnd w:id="1041"/>
    </w:p>
    <w:p w14:paraId="65C607EE">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042" w:name="_Toc483581252"/>
      <w:bookmarkStart w:id="1043" w:name="_Toc489280293"/>
      <w:bookmarkStart w:id="1044" w:name="_Toc501055698"/>
      <w:bookmarkStart w:id="1045" w:name="_Toc486580487"/>
      <w:bookmarkStart w:id="1046" w:name="_Toc497298400"/>
      <w:bookmarkStart w:id="1047" w:name="_Toc14934"/>
      <w:bookmarkStart w:id="1048" w:name="_Toc96529995"/>
      <w:bookmarkStart w:id="1049" w:name="_Toc96504984"/>
      <w:bookmarkStart w:id="1050" w:name="_Toc38037946"/>
      <w:bookmarkStart w:id="1051" w:name="_Toc96352169"/>
      <w:bookmarkStart w:id="1052" w:name="_Toc96505373"/>
      <w:r>
        <w:rPr>
          <w:rFonts w:hint="eastAsia" w:asciiTheme="minorEastAsia" w:hAnsiTheme="minorEastAsia" w:eastAsiaTheme="minorEastAsia" w:cstheme="minorEastAsia"/>
          <w:sz w:val="24"/>
          <w:szCs w:val="24"/>
          <w:highlight w:val="none"/>
          <w:shd w:val="clear" w:color="auto" w:fill="FFFFFF"/>
        </w:rPr>
        <w:t>9.1  样品</w:t>
      </w:r>
      <w:bookmarkEnd w:id="1042"/>
      <w:bookmarkEnd w:id="1043"/>
      <w:bookmarkEnd w:id="1044"/>
      <w:bookmarkEnd w:id="1045"/>
      <w:bookmarkEnd w:id="1046"/>
      <w:bookmarkEnd w:id="1047"/>
      <w:bookmarkEnd w:id="1048"/>
      <w:bookmarkEnd w:id="1049"/>
      <w:bookmarkEnd w:id="1050"/>
      <w:bookmarkEnd w:id="1051"/>
      <w:bookmarkEnd w:id="1052"/>
    </w:p>
    <w:p w14:paraId="566B4357">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9.1.1  本工程需要承包人提供样品的材料和工程设备：</w:t>
      </w:r>
      <w:r>
        <w:rPr>
          <w:rFonts w:hint="eastAsia" w:asciiTheme="minorEastAsia" w:hAnsiTheme="minorEastAsia" w:eastAsiaTheme="minorEastAsia" w:cstheme="minorEastAsia"/>
          <w:sz w:val="24"/>
          <w:szCs w:val="24"/>
          <w:highlight w:val="none"/>
          <w:u w:val="single"/>
          <w:shd w:val="clear" w:color="auto" w:fill="FFFFFF"/>
        </w:rPr>
        <w:t xml:space="preserve">          /                </w:t>
      </w:r>
    </w:p>
    <w:p w14:paraId="36EF1972">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053" w:name="_Toc96529996"/>
      <w:bookmarkStart w:id="1054" w:name="_Toc497298401"/>
      <w:bookmarkStart w:id="1055" w:name="_Toc486580488"/>
      <w:bookmarkStart w:id="1056" w:name="_Toc96504985"/>
      <w:bookmarkStart w:id="1057" w:name="_Toc96505374"/>
      <w:bookmarkStart w:id="1058" w:name="_Toc501055699"/>
      <w:bookmarkStart w:id="1059" w:name="_Toc38037947"/>
      <w:bookmarkStart w:id="1060" w:name="_Toc489280294"/>
      <w:bookmarkStart w:id="1061" w:name="_Toc490331754"/>
      <w:bookmarkStart w:id="1062" w:name="_Toc8179"/>
      <w:bookmarkStart w:id="1063" w:name="_Toc483581253"/>
      <w:bookmarkStart w:id="1064" w:name="_Toc96352170"/>
      <w:r>
        <w:rPr>
          <w:rFonts w:hint="eastAsia" w:asciiTheme="minorEastAsia" w:hAnsiTheme="minorEastAsia" w:eastAsiaTheme="minorEastAsia" w:cstheme="minorEastAsia"/>
          <w:sz w:val="24"/>
          <w:szCs w:val="24"/>
          <w:highlight w:val="none"/>
          <w:shd w:val="clear" w:color="auto" w:fill="FFFFFF"/>
        </w:rPr>
        <w:t>10.特殊技术标准和要求</w:t>
      </w:r>
      <w:bookmarkEnd w:id="1053"/>
      <w:bookmarkEnd w:id="1054"/>
      <w:bookmarkEnd w:id="1055"/>
      <w:bookmarkEnd w:id="1056"/>
      <w:bookmarkEnd w:id="1057"/>
      <w:bookmarkEnd w:id="1058"/>
      <w:bookmarkEnd w:id="1059"/>
      <w:bookmarkEnd w:id="1060"/>
      <w:bookmarkEnd w:id="1061"/>
      <w:bookmarkEnd w:id="1062"/>
      <w:bookmarkEnd w:id="1063"/>
      <w:bookmarkEnd w:id="1064"/>
    </w:p>
    <w:p w14:paraId="15E3D961">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065" w:name="_Toc497298402"/>
      <w:bookmarkStart w:id="1066" w:name="_Toc483581254"/>
      <w:bookmarkStart w:id="1067" w:name="_Toc38037948"/>
      <w:bookmarkStart w:id="1068" w:name="_Toc501055700"/>
      <w:bookmarkStart w:id="1069" w:name="_Toc96352171"/>
      <w:bookmarkStart w:id="1070" w:name="_Toc96529997"/>
      <w:bookmarkStart w:id="1071" w:name="_Toc96505375"/>
      <w:bookmarkStart w:id="1072" w:name="_Toc486580489"/>
      <w:bookmarkStart w:id="1073" w:name="_Toc21396"/>
      <w:bookmarkStart w:id="1074" w:name="_Toc489280295"/>
      <w:bookmarkStart w:id="1075" w:name="_Toc96504986"/>
      <w:r>
        <w:rPr>
          <w:rFonts w:hint="eastAsia" w:asciiTheme="minorEastAsia" w:hAnsiTheme="minorEastAsia" w:eastAsiaTheme="minorEastAsia" w:cstheme="minorEastAsia"/>
          <w:sz w:val="24"/>
          <w:szCs w:val="24"/>
          <w:highlight w:val="none"/>
          <w:shd w:val="clear" w:color="auto" w:fill="FFFFFF"/>
        </w:rPr>
        <w:t>10.1  部分材料和工程设备特殊技术要求</w:t>
      </w:r>
      <w:bookmarkEnd w:id="1065"/>
      <w:bookmarkEnd w:id="1066"/>
      <w:bookmarkEnd w:id="1067"/>
      <w:bookmarkEnd w:id="1068"/>
      <w:bookmarkEnd w:id="1069"/>
      <w:bookmarkEnd w:id="1070"/>
      <w:bookmarkEnd w:id="1071"/>
      <w:bookmarkEnd w:id="1072"/>
      <w:bookmarkEnd w:id="1073"/>
      <w:bookmarkEnd w:id="1074"/>
      <w:bookmarkEnd w:id="1075"/>
    </w:p>
    <w:p w14:paraId="560D602A">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10.1.1 承包人自行施工范围内的部分材料和工程设备相关技术要求：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773"/>
        <w:gridCol w:w="5517"/>
      </w:tblGrid>
      <w:tr w14:paraId="4D3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481" w:type="pct"/>
            <w:shd w:val="clear" w:color="000000" w:fill="FFFFFF"/>
            <w:vAlign w:val="center"/>
          </w:tcPr>
          <w:p w14:paraId="60E0ED54">
            <w:pPr>
              <w:pStyle w:val="253"/>
              <w:spacing w:after="0"/>
              <w:ind w:left="0" w:leftChars="-1" w:hanging="2" w:hangingChars="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511" w:type="pct"/>
            <w:shd w:val="clear" w:color="000000" w:fill="FFFFFF"/>
            <w:vAlign w:val="center"/>
          </w:tcPr>
          <w:p w14:paraId="2750A326">
            <w:pPr>
              <w:pStyle w:val="253"/>
              <w:spacing w:after="0"/>
              <w:ind w:left="0" w:leftChars="-1" w:hanging="2" w:hangingChars="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材料/设备名称</w:t>
            </w:r>
          </w:p>
        </w:tc>
        <w:tc>
          <w:tcPr>
            <w:tcW w:w="3006" w:type="pct"/>
            <w:shd w:val="clear" w:color="000000" w:fill="FFFFFF"/>
            <w:vAlign w:val="center"/>
          </w:tcPr>
          <w:p w14:paraId="29CC6E0D">
            <w:pPr>
              <w:pStyle w:val="253"/>
              <w:spacing w:after="0"/>
              <w:ind w:left="0" w:leftChars="-1" w:hanging="2" w:hangingChars="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参考材料/设备品牌</w:t>
            </w:r>
          </w:p>
        </w:tc>
      </w:tr>
      <w:tr w14:paraId="6BDC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81" w:type="pct"/>
            <w:tcBorders>
              <w:bottom w:val="single" w:color="auto" w:sz="4" w:space="0"/>
            </w:tcBorders>
            <w:shd w:val="clear" w:color="000000" w:fill="FFFFFF"/>
            <w:vAlign w:val="center"/>
          </w:tcPr>
          <w:p w14:paraId="7E3C7B71">
            <w:pPr>
              <w:pStyle w:val="253"/>
              <w:spacing w:after="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511" w:type="pct"/>
            <w:tcBorders>
              <w:bottom w:val="single" w:color="auto" w:sz="4" w:space="0"/>
            </w:tcBorders>
            <w:shd w:val="clear" w:color="000000" w:fill="FFFFFF"/>
            <w:vAlign w:val="center"/>
          </w:tcPr>
          <w:p w14:paraId="36E71D3F">
            <w:pPr>
              <w:pStyle w:val="253"/>
              <w:spacing w:after="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p>
        </w:tc>
        <w:tc>
          <w:tcPr>
            <w:tcW w:w="3006" w:type="pct"/>
            <w:tcBorders>
              <w:bottom w:val="single" w:color="auto" w:sz="4" w:space="0"/>
            </w:tcBorders>
            <w:shd w:val="clear" w:color="000000" w:fill="FFFFFF"/>
            <w:vAlign w:val="center"/>
          </w:tcPr>
          <w:p w14:paraId="6EE34023">
            <w:pPr>
              <w:pStyle w:val="253"/>
              <w:spacing w:after="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p>
        </w:tc>
      </w:tr>
    </w:tbl>
    <w:p w14:paraId="4726626B">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u w:val="single"/>
          <w:shd w:val="clear" w:color="auto" w:fill="FFFFFF"/>
        </w:rPr>
        <w:t>备注：1、上述品牌只作为投标参考品牌，供应商响应产品品牌不得低于上述标准。</w:t>
      </w:r>
    </w:p>
    <w:p w14:paraId="4938C218">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10.1.2  承包人自行施工范围内的材料和工程设备选型允许的偏离：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1"/>
        <w:gridCol w:w="1704"/>
        <w:gridCol w:w="1705"/>
        <w:gridCol w:w="1705"/>
      </w:tblGrid>
      <w:tr w14:paraId="19BE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C697AB4">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序号</w:t>
            </w:r>
          </w:p>
        </w:tc>
        <w:tc>
          <w:tcPr>
            <w:tcW w:w="2591" w:type="dxa"/>
            <w:vAlign w:val="center"/>
          </w:tcPr>
          <w:p w14:paraId="79005260">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材料和工程设备名称</w:t>
            </w:r>
          </w:p>
        </w:tc>
        <w:tc>
          <w:tcPr>
            <w:tcW w:w="1704" w:type="dxa"/>
            <w:vAlign w:val="center"/>
          </w:tcPr>
          <w:p w14:paraId="44414C06">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技术指标</w:t>
            </w:r>
          </w:p>
        </w:tc>
        <w:tc>
          <w:tcPr>
            <w:tcW w:w="1705" w:type="dxa"/>
            <w:vAlign w:val="center"/>
          </w:tcPr>
          <w:p w14:paraId="1D1786F3">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允许偏离范围</w:t>
            </w:r>
          </w:p>
        </w:tc>
        <w:tc>
          <w:tcPr>
            <w:tcW w:w="1705" w:type="dxa"/>
            <w:vAlign w:val="center"/>
          </w:tcPr>
          <w:p w14:paraId="356B730A">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备  注</w:t>
            </w:r>
          </w:p>
        </w:tc>
      </w:tr>
      <w:tr w14:paraId="0987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5613E3">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w:t>
            </w:r>
          </w:p>
        </w:tc>
        <w:tc>
          <w:tcPr>
            <w:tcW w:w="2591" w:type="dxa"/>
            <w:vAlign w:val="center"/>
          </w:tcPr>
          <w:p w14:paraId="25E29415">
            <w:pPr>
              <w:spacing w:after="0" w:line="360" w:lineRule="auto"/>
              <w:jc w:val="center"/>
              <w:rPr>
                <w:rFonts w:hint="eastAsia" w:asciiTheme="minorEastAsia" w:hAnsiTheme="minorEastAsia" w:eastAsiaTheme="minorEastAsia" w:cstheme="minorEastAsia"/>
                <w:b/>
                <w:sz w:val="24"/>
                <w:szCs w:val="24"/>
                <w:highlight w:val="none"/>
                <w:shd w:val="clear" w:color="auto" w:fill="FFFFFF"/>
              </w:rPr>
            </w:pPr>
            <w:r>
              <w:rPr>
                <w:rFonts w:hint="eastAsia" w:asciiTheme="minorEastAsia" w:hAnsiTheme="minorEastAsia" w:eastAsiaTheme="minorEastAsia" w:cstheme="minorEastAsia"/>
                <w:b/>
                <w:sz w:val="24"/>
                <w:szCs w:val="24"/>
                <w:highlight w:val="none"/>
                <w:shd w:val="clear" w:color="auto" w:fill="FFFFFF"/>
              </w:rPr>
              <w:t>/</w:t>
            </w:r>
          </w:p>
        </w:tc>
        <w:tc>
          <w:tcPr>
            <w:tcW w:w="1704" w:type="dxa"/>
            <w:vAlign w:val="center"/>
          </w:tcPr>
          <w:p w14:paraId="443EC176">
            <w:pPr>
              <w:spacing w:after="0" w:line="360" w:lineRule="auto"/>
              <w:jc w:val="center"/>
              <w:rPr>
                <w:rFonts w:hint="eastAsia" w:asciiTheme="minorEastAsia" w:hAnsiTheme="minorEastAsia" w:eastAsiaTheme="minorEastAsia" w:cstheme="minorEastAsia"/>
                <w:b/>
                <w:sz w:val="24"/>
                <w:szCs w:val="24"/>
                <w:highlight w:val="none"/>
                <w:shd w:val="clear" w:color="auto" w:fill="FFFFFF"/>
              </w:rPr>
            </w:pPr>
            <w:r>
              <w:rPr>
                <w:rFonts w:hint="eastAsia" w:asciiTheme="minorEastAsia" w:hAnsiTheme="minorEastAsia" w:eastAsiaTheme="minorEastAsia" w:cstheme="minorEastAsia"/>
                <w:b/>
                <w:sz w:val="24"/>
                <w:szCs w:val="24"/>
                <w:highlight w:val="none"/>
                <w:shd w:val="clear" w:color="auto" w:fill="FFFFFF"/>
              </w:rPr>
              <w:t>/</w:t>
            </w:r>
          </w:p>
        </w:tc>
        <w:tc>
          <w:tcPr>
            <w:tcW w:w="1705" w:type="dxa"/>
            <w:vAlign w:val="center"/>
          </w:tcPr>
          <w:p w14:paraId="3E76997C">
            <w:pPr>
              <w:spacing w:after="0" w:line="360" w:lineRule="auto"/>
              <w:jc w:val="center"/>
              <w:rPr>
                <w:rFonts w:hint="eastAsia" w:asciiTheme="minorEastAsia" w:hAnsiTheme="minorEastAsia" w:eastAsiaTheme="minorEastAsia" w:cstheme="minorEastAsia"/>
                <w:b/>
                <w:sz w:val="24"/>
                <w:szCs w:val="24"/>
                <w:highlight w:val="none"/>
                <w:shd w:val="clear" w:color="auto" w:fill="FFFFFF"/>
              </w:rPr>
            </w:pPr>
            <w:r>
              <w:rPr>
                <w:rFonts w:hint="eastAsia" w:asciiTheme="minorEastAsia" w:hAnsiTheme="minorEastAsia" w:eastAsiaTheme="minorEastAsia" w:cstheme="minorEastAsia"/>
                <w:b/>
                <w:sz w:val="24"/>
                <w:szCs w:val="24"/>
                <w:highlight w:val="none"/>
                <w:shd w:val="clear" w:color="auto" w:fill="FFFFFF"/>
              </w:rPr>
              <w:t>/</w:t>
            </w:r>
          </w:p>
        </w:tc>
        <w:tc>
          <w:tcPr>
            <w:tcW w:w="1705" w:type="dxa"/>
            <w:vAlign w:val="center"/>
          </w:tcPr>
          <w:p w14:paraId="42C6104F">
            <w:pPr>
              <w:spacing w:after="0" w:line="360" w:lineRule="auto"/>
              <w:jc w:val="center"/>
              <w:rPr>
                <w:rFonts w:hint="eastAsia" w:asciiTheme="minorEastAsia" w:hAnsiTheme="minorEastAsia" w:eastAsiaTheme="minorEastAsia" w:cstheme="minorEastAsia"/>
                <w:b/>
                <w:sz w:val="24"/>
                <w:szCs w:val="24"/>
                <w:highlight w:val="none"/>
                <w:shd w:val="clear" w:color="auto" w:fill="FFFFFF"/>
              </w:rPr>
            </w:pPr>
            <w:r>
              <w:rPr>
                <w:rFonts w:hint="eastAsia" w:asciiTheme="minorEastAsia" w:hAnsiTheme="minorEastAsia" w:eastAsiaTheme="minorEastAsia" w:cstheme="minorEastAsia"/>
                <w:b/>
                <w:sz w:val="24"/>
                <w:szCs w:val="24"/>
                <w:highlight w:val="none"/>
                <w:shd w:val="clear" w:color="auto" w:fill="FFFFFF"/>
              </w:rPr>
              <w:t>/</w:t>
            </w:r>
          </w:p>
        </w:tc>
      </w:tr>
      <w:tr w14:paraId="035D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0DB56F">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2</w:t>
            </w:r>
          </w:p>
        </w:tc>
        <w:tc>
          <w:tcPr>
            <w:tcW w:w="2591" w:type="dxa"/>
            <w:vAlign w:val="center"/>
          </w:tcPr>
          <w:p w14:paraId="06092A34">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4" w:type="dxa"/>
            <w:vAlign w:val="center"/>
          </w:tcPr>
          <w:p w14:paraId="313E5139">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5" w:type="dxa"/>
            <w:vAlign w:val="center"/>
          </w:tcPr>
          <w:p w14:paraId="469F9CC2">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5" w:type="dxa"/>
            <w:vAlign w:val="center"/>
          </w:tcPr>
          <w:p w14:paraId="15DF714C">
            <w:pPr>
              <w:spacing w:after="0" w:line="360" w:lineRule="auto"/>
              <w:rPr>
                <w:rFonts w:hint="eastAsia" w:asciiTheme="minorEastAsia" w:hAnsiTheme="minorEastAsia" w:eastAsiaTheme="minorEastAsia" w:cstheme="minorEastAsia"/>
                <w:b/>
                <w:sz w:val="24"/>
                <w:szCs w:val="24"/>
                <w:highlight w:val="none"/>
                <w:shd w:val="clear" w:color="auto" w:fill="FFFFFF"/>
              </w:rPr>
            </w:pPr>
          </w:p>
        </w:tc>
      </w:tr>
      <w:tr w14:paraId="0AEA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00E849">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w:t>
            </w:r>
          </w:p>
        </w:tc>
        <w:tc>
          <w:tcPr>
            <w:tcW w:w="2591" w:type="dxa"/>
            <w:vAlign w:val="center"/>
          </w:tcPr>
          <w:p w14:paraId="7DC867F2">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4" w:type="dxa"/>
            <w:vAlign w:val="center"/>
          </w:tcPr>
          <w:p w14:paraId="7CF3C8A7">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5" w:type="dxa"/>
            <w:vAlign w:val="center"/>
          </w:tcPr>
          <w:p w14:paraId="414472B9">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5" w:type="dxa"/>
            <w:vAlign w:val="center"/>
          </w:tcPr>
          <w:p w14:paraId="0C11840A">
            <w:pPr>
              <w:spacing w:after="0" w:line="360" w:lineRule="auto"/>
              <w:rPr>
                <w:rFonts w:hint="eastAsia" w:asciiTheme="minorEastAsia" w:hAnsiTheme="minorEastAsia" w:eastAsiaTheme="minorEastAsia" w:cstheme="minorEastAsia"/>
                <w:b/>
                <w:sz w:val="24"/>
                <w:szCs w:val="24"/>
                <w:highlight w:val="none"/>
                <w:shd w:val="clear" w:color="auto" w:fill="FFFFFF"/>
              </w:rPr>
            </w:pPr>
          </w:p>
        </w:tc>
      </w:tr>
      <w:tr w14:paraId="2361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F7480D1">
            <w:pPr>
              <w:spacing w:after="0" w:line="360" w:lineRule="auto"/>
              <w:jc w:val="center"/>
              <w:rPr>
                <w:rFonts w:hint="eastAsia" w:asciiTheme="minorEastAsia" w:hAnsiTheme="minorEastAsia" w:eastAsiaTheme="minorEastAsia" w:cstheme="minorEastAsia"/>
                <w:sz w:val="24"/>
                <w:szCs w:val="24"/>
                <w:highlight w:val="none"/>
                <w:shd w:val="clear" w:color="auto" w:fill="FFFFFF"/>
              </w:rPr>
            </w:pPr>
          </w:p>
        </w:tc>
        <w:tc>
          <w:tcPr>
            <w:tcW w:w="2591" w:type="dxa"/>
            <w:vAlign w:val="center"/>
          </w:tcPr>
          <w:p w14:paraId="627C7C16">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4" w:type="dxa"/>
            <w:vAlign w:val="center"/>
          </w:tcPr>
          <w:p w14:paraId="356ACED7">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5" w:type="dxa"/>
            <w:vAlign w:val="center"/>
          </w:tcPr>
          <w:p w14:paraId="0F66D5BD">
            <w:pPr>
              <w:spacing w:after="0" w:line="360" w:lineRule="auto"/>
              <w:rPr>
                <w:rFonts w:hint="eastAsia" w:asciiTheme="minorEastAsia" w:hAnsiTheme="minorEastAsia" w:eastAsiaTheme="minorEastAsia" w:cstheme="minorEastAsia"/>
                <w:b/>
                <w:sz w:val="24"/>
                <w:szCs w:val="24"/>
                <w:highlight w:val="none"/>
                <w:shd w:val="clear" w:color="auto" w:fill="FFFFFF"/>
              </w:rPr>
            </w:pPr>
          </w:p>
        </w:tc>
        <w:tc>
          <w:tcPr>
            <w:tcW w:w="1705" w:type="dxa"/>
            <w:vAlign w:val="center"/>
          </w:tcPr>
          <w:p w14:paraId="32F1D34E">
            <w:pPr>
              <w:spacing w:after="0" w:line="360" w:lineRule="auto"/>
              <w:rPr>
                <w:rFonts w:hint="eastAsia" w:asciiTheme="minorEastAsia" w:hAnsiTheme="minorEastAsia" w:eastAsiaTheme="minorEastAsia" w:cstheme="minorEastAsia"/>
                <w:b/>
                <w:sz w:val="24"/>
                <w:szCs w:val="24"/>
                <w:highlight w:val="none"/>
                <w:shd w:val="clear" w:color="auto" w:fill="FFFFFF"/>
              </w:rPr>
            </w:pPr>
          </w:p>
        </w:tc>
      </w:tr>
    </w:tbl>
    <w:p w14:paraId="32199767">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10.1.3  本工程施工现场所用混凝土或砂浆的供应方式为</w:t>
      </w:r>
      <w:r>
        <w:rPr>
          <w:rFonts w:hint="eastAsia" w:asciiTheme="minorEastAsia" w:hAnsiTheme="minorEastAsia" w:eastAsiaTheme="minorEastAsia" w:cstheme="minorEastAsia"/>
          <w:sz w:val="24"/>
          <w:szCs w:val="24"/>
          <w:highlight w:val="none"/>
          <w:u w:val="single"/>
          <w:shd w:val="clear" w:color="auto" w:fill="FFFFFF"/>
        </w:rPr>
        <w:t xml:space="preserve">  </w:t>
      </w:r>
      <w:r>
        <w:rPr>
          <w:rFonts w:hint="eastAsia" w:asciiTheme="minorEastAsia" w:hAnsiTheme="minorEastAsia" w:eastAsiaTheme="minorEastAsia" w:cstheme="minorEastAsia"/>
          <w:color w:val="000000"/>
          <w:sz w:val="24"/>
          <w:szCs w:val="24"/>
          <w:highlight w:val="none"/>
          <w:u w:val="single"/>
        </w:rPr>
        <w:t>预拌混凝土、预拌砂浆</w:t>
      </w:r>
      <w:r>
        <w:rPr>
          <w:rFonts w:hint="eastAsia" w:asciiTheme="minorEastAsia" w:hAnsiTheme="minorEastAsia" w:eastAsiaTheme="minorEastAsia" w:cstheme="minorEastAsia"/>
          <w:sz w:val="24"/>
          <w:szCs w:val="24"/>
          <w:highlight w:val="none"/>
          <w:u w:val="single"/>
          <w:shd w:val="clear" w:color="auto" w:fill="FFFFFF"/>
        </w:rPr>
        <w:t xml:space="preserve">       </w:t>
      </w:r>
    </w:p>
    <w:p w14:paraId="170C9C2F">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076" w:name="_Toc96505376"/>
      <w:bookmarkStart w:id="1077" w:name="_Toc38037949"/>
      <w:bookmarkStart w:id="1078" w:name="_Toc501055701"/>
      <w:bookmarkStart w:id="1079" w:name="_Toc96529998"/>
      <w:bookmarkStart w:id="1080" w:name="_Toc28793"/>
      <w:bookmarkStart w:id="1081" w:name="_Toc483581255"/>
      <w:bookmarkStart w:id="1082" w:name="_Toc486580490"/>
      <w:bookmarkStart w:id="1083" w:name="_Toc96352172"/>
      <w:bookmarkStart w:id="1084" w:name="_Toc489280296"/>
      <w:bookmarkStart w:id="1085" w:name="_Toc96504987"/>
      <w:bookmarkStart w:id="1086" w:name="_Toc497298403"/>
      <w:r>
        <w:rPr>
          <w:rFonts w:hint="eastAsia" w:asciiTheme="minorEastAsia" w:hAnsiTheme="minorEastAsia" w:eastAsiaTheme="minorEastAsia" w:cstheme="minorEastAsia"/>
          <w:sz w:val="24"/>
          <w:szCs w:val="24"/>
          <w:highlight w:val="none"/>
          <w:shd w:val="clear" w:color="auto" w:fill="FFFFFF"/>
        </w:rPr>
        <w:t>10.2  进口材料和工程设备</w:t>
      </w:r>
      <w:bookmarkEnd w:id="1076"/>
      <w:bookmarkEnd w:id="1077"/>
      <w:bookmarkEnd w:id="1078"/>
      <w:bookmarkEnd w:id="1079"/>
      <w:bookmarkEnd w:id="1080"/>
      <w:bookmarkEnd w:id="1081"/>
      <w:bookmarkEnd w:id="1082"/>
      <w:bookmarkEnd w:id="1083"/>
      <w:bookmarkEnd w:id="1084"/>
      <w:bookmarkEnd w:id="1085"/>
      <w:bookmarkEnd w:id="1086"/>
    </w:p>
    <w:p w14:paraId="1539DA5F">
      <w:pPr>
        <w:spacing w:after="0" w:line="360" w:lineRule="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10.2.1  本工程需要进口的材料和工程设备：</w:t>
      </w:r>
      <w:r>
        <w:rPr>
          <w:rFonts w:hint="eastAsia" w:asciiTheme="minorEastAsia" w:hAnsiTheme="minorEastAsia" w:eastAsiaTheme="minorEastAsia" w:cstheme="minorEastAsia"/>
          <w:sz w:val="24"/>
          <w:szCs w:val="24"/>
          <w:highlight w:val="none"/>
          <w:u w:val="single"/>
          <w:shd w:val="clear" w:color="auto" w:fill="FFFFFF"/>
        </w:rPr>
        <w:t xml:space="preserve">           /                       </w:t>
      </w:r>
    </w:p>
    <w:p w14:paraId="4C4804E2">
      <w:pPr>
        <w:spacing w:after="0" w:line="360" w:lineRule="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10.2.2  上述进口材料和工程设备采购、进口、报关、清关、商检、境内运输（包括保险）、保管的责任以及费用承担方式划分：</w:t>
      </w:r>
      <w:r>
        <w:rPr>
          <w:rFonts w:hint="eastAsia" w:asciiTheme="minorEastAsia" w:hAnsiTheme="minorEastAsia" w:eastAsiaTheme="minorEastAsia" w:cstheme="minorEastAsia"/>
          <w:sz w:val="24"/>
          <w:szCs w:val="24"/>
          <w:highlight w:val="none"/>
          <w:u w:val="single"/>
          <w:shd w:val="clear" w:color="auto" w:fill="FFFFFF"/>
        </w:rPr>
        <w:t xml:space="preserve">              /                               </w:t>
      </w:r>
    </w:p>
    <w:p w14:paraId="56A383AF">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087" w:name="_Toc38037950"/>
      <w:bookmarkStart w:id="1088" w:name="_Toc96529999"/>
      <w:bookmarkStart w:id="1089" w:name="_Toc7975"/>
      <w:bookmarkStart w:id="1090" w:name="_Toc497298404"/>
      <w:bookmarkStart w:id="1091" w:name="_Toc486580491"/>
      <w:bookmarkStart w:id="1092" w:name="_Toc96504988"/>
      <w:bookmarkStart w:id="1093" w:name="_Toc501055702"/>
      <w:bookmarkStart w:id="1094" w:name="_Toc96352173"/>
      <w:bookmarkStart w:id="1095" w:name="_Toc489280297"/>
      <w:bookmarkStart w:id="1096" w:name="_Toc483581256"/>
      <w:bookmarkStart w:id="1097" w:name="_Toc96505377"/>
      <w:r>
        <w:rPr>
          <w:rFonts w:hint="eastAsia" w:asciiTheme="minorEastAsia" w:hAnsiTheme="minorEastAsia" w:eastAsiaTheme="minorEastAsia" w:cstheme="minorEastAsia"/>
          <w:sz w:val="24"/>
          <w:szCs w:val="24"/>
          <w:highlight w:val="none"/>
          <w:shd w:val="clear" w:color="auto" w:fill="FFFFFF"/>
        </w:rPr>
        <w:t>10.3  新技术、新工艺和新材料</w:t>
      </w:r>
      <w:bookmarkEnd w:id="1087"/>
      <w:bookmarkEnd w:id="1088"/>
      <w:bookmarkEnd w:id="1089"/>
      <w:bookmarkEnd w:id="1090"/>
      <w:bookmarkEnd w:id="1091"/>
      <w:bookmarkEnd w:id="1092"/>
      <w:bookmarkEnd w:id="1093"/>
      <w:bookmarkEnd w:id="1094"/>
      <w:bookmarkEnd w:id="1095"/>
      <w:bookmarkEnd w:id="1096"/>
      <w:bookmarkEnd w:id="1097"/>
    </w:p>
    <w:p w14:paraId="782E8857">
      <w:pPr>
        <w:spacing w:after="0" w:line="360" w:lineRule="auto"/>
        <w:ind w:firstLine="480" w:firstLineChars="200"/>
        <w:outlineLvl w:val="5"/>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本工程涉及的新技术、新工艺和新材料及相应使用和操作说明：</w:t>
      </w:r>
      <w:r>
        <w:rPr>
          <w:rFonts w:hint="eastAsia" w:asciiTheme="minorEastAsia" w:hAnsiTheme="minorEastAsia" w:eastAsiaTheme="minorEastAsia" w:cstheme="minorEastAsia"/>
          <w:sz w:val="24"/>
          <w:szCs w:val="24"/>
          <w:highlight w:val="none"/>
          <w:u w:val="single"/>
          <w:shd w:val="clear" w:color="auto" w:fill="FFFFFF"/>
        </w:rPr>
        <w:t xml:space="preserve">     /              </w:t>
      </w:r>
    </w:p>
    <w:p w14:paraId="2DA7B1E7">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098" w:name="_Toc25564"/>
      <w:bookmarkStart w:id="1099" w:name="_Toc483581257"/>
      <w:bookmarkStart w:id="1100" w:name="_Toc486580492"/>
      <w:bookmarkStart w:id="1101" w:name="_Toc96530000"/>
      <w:bookmarkStart w:id="1102" w:name="_Toc497298405"/>
      <w:bookmarkStart w:id="1103" w:name="_Toc38037951"/>
      <w:bookmarkStart w:id="1104" w:name="_Toc96352174"/>
      <w:bookmarkStart w:id="1105" w:name="_Toc501055703"/>
      <w:bookmarkStart w:id="1106" w:name="_Toc96504989"/>
      <w:bookmarkStart w:id="1107" w:name="_Toc96505378"/>
      <w:bookmarkStart w:id="1108" w:name="_Toc489280298"/>
      <w:r>
        <w:rPr>
          <w:rFonts w:hint="eastAsia" w:asciiTheme="minorEastAsia" w:hAnsiTheme="minorEastAsia" w:eastAsiaTheme="minorEastAsia" w:cstheme="minorEastAsia"/>
          <w:sz w:val="24"/>
          <w:szCs w:val="24"/>
          <w:highlight w:val="none"/>
          <w:shd w:val="clear" w:color="auto" w:fill="FFFFFF"/>
        </w:rPr>
        <w:t>10.4  其他特殊技术要求</w:t>
      </w:r>
      <w:bookmarkEnd w:id="1098"/>
      <w:bookmarkEnd w:id="1099"/>
      <w:bookmarkEnd w:id="1100"/>
      <w:bookmarkEnd w:id="1101"/>
      <w:bookmarkEnd w:id="1102"/>
      <w:bookmarkEnd w:id="1103"/>
      <w:bookmarkEnd w:id="1104"/>
      <w:bookmarkEnd w:id="1105"/>
      <w:bookmarkEnd w:id="1106"/>
      <w:bookmarkEnd w:id="1107"/>
      <w:bookmarkEnd w:id="1108"/>
    </w:p>
    <w:p w14:paraId="7C0A6E3A">
      <w:pPr>
        <w:spacing w:after="0" w:line="360" w:lineRule="auto"/>
        <w:ind w:firstLine="480" w:firstLineChars="200"/>
        <w:outlineLvl w:val="5"/>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本工程的特殊技术要求：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6D526ACA">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109" w:name="_Toc96352175"/>
      <w:bookmarkStart w:id="1110" w:name="_Toc96505379"/>
      <w:bookmarkStart w:id="1111" w:name="_Toc501055704"/>
      <w:bookmarkStart w:id="1112" w:name="_Toc486580493"/>
      <w:bookmarkStart w:id="1113" w:name="_Toc490331755"/>
      <w:bookmarkStart w:id="1114" w:name="_Toc38037952"/>
      <w:bookmarkStart w:id="1115" w:name="_Toc96530001"/>
      <w:bookmarkStart w:id="1116" w:name="_Toc19761"/>
      <w:bookmarkStart w:id="1117" w:name="_Toc489280299"/>
      <w:bookmarkStart w:id="1118" w:name="_Toc96504990"/>
      <w:bookmarkStart w:id="1119" w:name="_Toc497298406"/>
      <w:bookmarkStart w:id="1120" w:name="_Toc483581258"/>
      <w:r>
        <w:rPr>
          <w:rFonts w:hint="eastAsia" w:asciiTheme="minorEastAsia" w:hAnsiTheme="minorEastAsia" w:eastAsiaTheme="minorEastAsia" w:cstheme="minorEastAsia"/>
          <w:sz w:val="24"/>
          <w:szCs w:val="24"/>
          <w:highlight w:val="none"/>
          <w:shd w:val="clear" w:color="auto" w:fill="FFFFFF"/>
        </w:rPr>
        <w:t>11.进度报告和进度例会</w:t>
      </w:r>
      <w:bookmarkEnd w:id="1109"/>
      <w:bookmarkEnd w:id="1110"/>
      <w:bookmarkEnd w:id="1111"/>
      <w:bookmarkEnd w:id="1112"/>
      <w:bookmarkEnd w:id="1113"/>
      <w:bookmarkEnd w:id="1114"/>
      <w:bookmarkEnd w:id="1115"/>
      <w:bookmarkEnd w:id="1116"/>
      <w:bookmarkEnd w:id="1117"/>
      <w:bookmarkEnd w:id="1118"/>
      <w:bookmarkEnd w:id="1119"/>
      <w:bookmarkEnd w:id="1120"/>
    </w:p>
    <w:p w14:paraId="53F85C39">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121" w:name="_Toc497298407"/>
      <w:bookmarkStart w:id="1122" w:name="_Toc96504991"/>
      <w:bookmarkStart w:id="1123" w:name="_Toc96352176"/>
      <w:bookmarkStart w:id="1124" w:name="_Toc38037953"/>
      <w:bookmarkStart w:id="1125" w:name="_Toc486580494"/>
      <w:bookmarkStart w:id="1126" w:name="_Toc96505380"/>
      <w:bookmarkStart w:id="1127" w:name="_Toc489280300"/>
      <w:bookmarkStart w:id="1128" w:name="_Toc7745"/>
      <w:bookmarkStart w:id="1129" w:name="_Toc501055705"/>
      <w:bookmarkStart w:id="1130" w:name="_Toc483581259"/>
      <w:bookmarkStart w:id="1131" w:name="_Toc96530002"/>
      <w:r>
        <w:rPr>
          <w:rFonts w:hint="eastAsia" w:asciiTheme="minorEastAsia" w:hAnsiTheme="minorEastAsia" w:eastAsiaTheme="minorEastAsia" w:cstheme="minorEastAsia"/>
          <w:sz w:val="24"/>
          <w:szCs w:val="24"/>
          <w:highlight w:val="none"/>
          <w:shd w:val="clear" w:color="auto" w:fill="FFFFFF"/>
        </w:rPr>
        <w:t>11.1  进度报告</w:t>
      </w:r>
      <w:bookmarkEnd w:id="1121"/>
      <w:bookmarkEnd w:id="1122"/>
      <w:bookmarkEnd w:id="1123"/>
      <w:bookmarkEnd w:id="1124"/>
      <w:bookmarkEnd w:id="1125"/>
      <w:bookmarkEnd w:id="1126"/>
      <w:bookmarkEnd w:id="1127"/>
      <w:bookmarkEnd w:id="1128"/>
      <w:bookmarkEnd w:id="1129"/>
      <w:bookmarkEnd w:id="1130"/>
      <w:bookmarkEnd w:id="1131"/>
    </w:p>
    <w:p w14:paraId="12A60A47">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11.1.7  有关进度报告的其他要求：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6765C3BC">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132" w:name="_Toc96530003"/>
      <w:bookmarkStart w:id="1133" w:name="_Toc96504992"/>
      <w:bookmarkStart w:id="1134" w:name="_Toc486580495"/>
      <w:bookmarkStart w:id="1135" w:name="_Toc96352177"/>
      <w:bookmarkStart w:id="1136" w:name="_Toc38037954"/>
      <w:bookmarkStart w:id="1137" w:name="_Toc501055706"/>
      <w:bookmarkStart w:id="1138" w:name="_Toc497298408"/>
      <w:bookmarkStart w:id="1139" w:name="_Toc96505381"/>
      <w:bookmarkStart w:id="1140" w:name="_Toc483581260"/>
      <w:bookmarkStart w:id="1141" w:name="_Toc489280301"/>
      <w:bookmarkStart w:id="1142" w:name="_Toc10649"/>
      <w:r>
        <w:rPr>
          <w:rFonts w:hint="eastAsia" w:asciiTheme="minorEastAsia" w:hAnsiTheme="minorEastAsia" w:eastAsiaTheme="minorEastAsia" w:cstheme="minorEastAsia"/>
          <w:sz w:val="24"/>
          <w:szCs w:val="24"/>
          <w:highlight w:val="none"/>
          <w:shd w:val="clear" w:color="auto" w:fill="FFFFFF"/>
        </w:rPr>
        <w:t>11.2  进度例会</w:t>
      </w:r>
      <w:bookmarkEnd w:id="1132"/>
      <w:bookmarkEnd w:id="1133"/>
      <w:bookmarkEnd w:id="1134"/>
      <w:bookmarkEnd w:id="1135"/>
      <w:bookmarkEnd w:id="1136"/>
      <w:bookmarkEnd w:id="1137"/>
      <w:bookmarkEnd w:id="1138"/>
      <w:bookmarkEnd w:id="1139"/>
      <w:bookmarkEnd w:id="1140"/>
      <w:bookmarkEnd w:id="1141"/>
      <w:bookmarkEnd w:id="1142"/>
    </w:p>
    <w:p w14:paraId="4C17A94C">
      <w:pPr>
        <w:spacing w:after="0" w:line="360" w:lineRule="auto"/>
        <w:ind w:firstLine="480" w:firstLineChars="200"/>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11.2.4  有关进度例会的其他要求：</w:t>
      </w:r>
      <w:r>
        <w:rPr>
          <w:rFonts w:hint="eastAsia" w:asciiTheme="minorEastAsia" w:hAnsiTheme="minorEastAsia" w:eastAsiaTheme="minorEastAsia" w:cstheme="minorEastAsia"/>
          <w:sz w:val="24"/>
          <w:szCs w:val="24"/>
          <w:highlight w:val="none"/>
          <w:u w:val="single"/>
          <w:shd w:val="clear" w:color="auto" w:fill="FFFFFF"/>
        </w:rPr>
        <w:t xml:space="preserve">               /                            </w:t>
      </w:r>
    </w:p>
    <w:p w14:paraId="162FF9E0">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143" w:name="_Toc489280302"/>
      <w:bookmarkStart w:id="1144" w:name="_Toc486580496"/>
      <w:bookmarkStart w:id="1145" w:name="_Toc483581261"/>
      <w:bookmarkStart w:id="1146" w:name="_Toc497298409"/>
      <w:bookmarkStart w:id="1147" w:name="_Toc96530004"/>
      <w:bookmarkStart w:id="1148" w:name="_Toc490331756"/>
      <w:bookmarkStart w:id="1149" w:name="_Toc96352178"/>
      <w:bookmarkStart w:id="1150" w:name="_Toc501055707"/>
      <w:bookmarkStart w:id="1151" w:name="_Toc96505382"/>
      <w:bookmarkStart w:id="1152" w:name="_Toc38037955"/>
      <w:bookmarkStart w:id="1153" w:name="_Toc23276"/>
      <w:bookmarkStart w:id="1154" w:name="_Toc96504993"/>
      <w:r>
        <w:rPr>
          <w:rFonts w:hint="eastAsia" w:asciiTheme="minorEastAsia" w:hAnsiTheme="minorEastAsia" w:eastAsiaTheme="minorEastAsia" w:cstheme="minorEastAsia"/>
          <w:sz w:val="24"/>
          <w:szCs w:val="24"/>
          <w:highlight w:val="none"/>
          <w:shd w:val="clear" w:color="auto" w:fill="FFFFFF"/>
        </w:rPr>
        <w:t>12.试验和检验</w:t>
      </w:r>
      <w:bookmarkEnd w:id="1143"/>
      <w:bookmarkEnd w:id="1144"/>
      <w:bookmarkEnd w:id="1145"/>
      <w:bookmarkEnd w:id="1146"/>
      <w:bookmarkEnd w:id="1147"/>
      <w:bookmarkEnd w:id="1148"/>
      <w:bookmarkEnd w:id="1149"/>
      <w:bookmarkEnd w:id="1150"/>
      <w:bookmarkEnd w:id="1151"/>
      <w:bookmarkEnd w:id="1152"/>
      <w:bookmarkEnd w:id="1153"/>
      <w:bookmarkEnd w:id="1154"/>
    </w:p>
    <w:p w14:paraId="581532F9">
      <w:pPr>
        <w:snapToGrid w:val="0"/>
        <w:spacing w:after="0" w:line="360" w:lineRule="auto"/>
        <w:rPr>
          <w:rFonts w:hint="eastAsia" w:asciiTheme="minorEastAsia" w:hAnsiTheme="minorEastAsia" w:eastAsiaTheme="minorEastAsia" w:cstheme="minorEastAsia"/>
          <w:sz w:val="24"/>
          <w:szCs w:val="24"/>
          <w:highlight w:val="none"/>
          <w:shd w:val="clear" w:color="auto" w:fill="FFFFFF"/>
        </w:rPr>
      </w:pPr>
      <w:bookmarkStart w:id="1155" w:name="_Toc486580497"/>
      <w:bookmarkStart w:id="1156" w:name="_Toc483581262"/>
      <w:r>
        <w:rPr>
          <w:rFonts w:hint="eastAsia" w:asciiTheme="minorEastAsia" w:hAnsiTheme="minorEastAsia" w:eastAsiaTheme="minorEastAsia" w:cstheme="minorEastAsia"/>
          <w:sz w:val="24"/>
          <w:szCs w:val="24"/>
          <w:highlight w:val="none"/>
          <w:shd w:val="clear" w:color="auto" w:fill="FFFFFF"/>
        </w:rPr>
        <w:t>12.1  本工程发包人委托检测单位进行试验和检验的其他材料、工程设备和工艺：</w:t>
      </w:r>
      <w:r>
        <w:rPr>
          <w:rFonts w:hint="eastAsia" w:asciiTheme="minorEastAsia" w:hAnsiTheme="minorEastAsia" w:eastAsiaTheme="minorEastAsia" w:cstheme="minorEastAsia"/>
          <w:sz w:val="24"/>
          <w:szCs w:val="24"/>
          <w:highlight w:val="none"/>
          <w:u w:val="single"/>
          <w:shd w:val="clear" w:color="auto" w:fill="FFFFFF"/>
        </w:rPr>
        <w:t xml:space="preserve">  /       </w:t>
      </w:r>
    </w:p>
    <w:p w14:paraId="0862D828">
      <w:pPr>
        <w:snapToGrid w:val="0"/>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12.3  本工程需要承包人进行试验和检验的材料、工程设备和工艺：</w:t>
      </w:r>
      <w:r>
        <w:rPr>
          <w:rFonts w:hint="eastAsia" w:asciiTheme="minorEastAsia" w:hAnsiTheme="minorEastAsia" w:eastAsiaTheme="minorEastAsia" w:cstheme="minorEastAsia"/>
          <w:sz w:val="24"/>
          <w:szCs w:val="24"/>
          <w:highlight w:val="none"/>
          <w:u w:val="single"/>
          <w:shd w:val="clear" w:color="auto" w:fill="FFFFFF"/>
        </w:rPr>
        <w:t xml:space="preserve">  </w:t>
      </w:r>
      <w:r>
        <w:rPr>
          <w:rFonts w:hint="eastAsia" w:asciiTheme="minorEastAsia" w:hAnsiTheme="minorEastAsia" w:eastAsiaTheme="minorEastAsia" w:cstheme="minorEastAsia"/>
          <w:color w:val="000000"/>
          <w:sz w:val="24"/>
          <w:szCs w:val="24"/>
          <w:highlight w:val="none"/>
          <w:u w:val="single"/>
        </w:rPr>
        <w:t>国家和北京市现行规范标准规定必须进行试验和检验的材料、工程设备和工艺。</w:t>
      </w:r>
      <w:r>
        <w:rPr>
          <w:rFonts w:hint="eastAsia" w:asciiTheme="minorEastAsia" w:hAnsiTheme="minorEastAsia" w:eastAsiaTheme="minorEastAsia" w:cstheme="minorEastAsia"/>
          <w:sz w:val="24"/>
          <w:szCs w:val="24"/>
          <w:highlight w:val="none"/>
          <w:u w:val="single"/>
          <w:shd w:val="clear" w:color="auto" w:fill="FFFFFF"/>
        </w:rPr>
        <w:t xml:space="preserve">      </w:t>
      </w:r>
    </w:p>
    <w:p w14:paraId="7FEC5798">
      <w:pPr>
        <w:pStyle w:val="26"/>
        <w:snapToGrid w:val="0"/>
        <w:spacing w:after="0" w:line="360" w:lineRule="auto"/>
        <w:ind w:left="426" w:leftChars="203"/>
        <w:jc w:val="left"/>
        <w:rPr>
          <w:rFonts w:hint="eastAsia" w:asciiTheme="minorEastAsia" w:hAnsiTheme="minorEastAsia" w:eastAsiaTheme="minorEastAsia" w:cstheme="minorEastAsia"/>
          <w:sz w:val="24"/>
          <w:szCs w:val="24"/>
          <w:highlight w:val="none"/>
          <w:u w:val="single"/>
          <w:shd w:val="clear" w:color="auto" w:fill="FFFFFF"/>
        </w:rPr>
      </w:pPr>
      <w:r>
        <w:rPr>
          <w:rFonts w:hint="eastAsia" w:asciiTheme="minorEastAsia" w:hAnsiTheme="minorEastAsia" w:eastAsiaTheme="minorEastAsia" w:cstheme="minorEastAsia"/>
          <w:sz w:val="24"/>
          <w:szCs w:val="24"/>
          <w:highlight w:val="none"/>
          <w:shd w:val="clear" w:color="auto" w:fill="FFFFFF"/>
        </w:rPr>
        <w:t>12.4  本工程需要由监理人和承包人共同进行试验和检验的材料、工程设备和工艺：</w:t>
      </w:r>
      <w:r>
        <w:rPr>
          <w:rFonts w:hint="eastAsia" w:asciiTheme="minorEastAsia" w:hAnsiTheme="minorEastAsia" w:eastAsiaTheme="minorEastAsia" w:cstheme="minorEastAsia"/>
          <w:sz w:val="24"/>
          <w:szCs w:val="24"/>
          <w:highlight w:val="none"/>
          <w:u w:val="single"/>
          <w:shd w:val="clear" w:color="auto" w:fill="FFFFFF"/>
        </w:rPr>
        <w:t xml:space="preserve">   /   </w:t>
      </w:r>
    </w:p>
    <w:p w14:paraId="4EF09114">
      <w:pPr>
        <w:snapToGrid w:val="0"/>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12.8  涉及结构安全的试块、试件以及有关材料检测的质量检测单位：</w:t>
      </w:r>
      <w:r>
        <w:rPr>
          <w:rFonts w:hint="eastAsia" w:asciiTheme="minorEastAsia" w:hAnsiTheme="minorEastAsia" w:eastAsiaTheme="minorEastAsia" w:cstheme="minorEastAsia"/>
          <w:sz w:val="24"/>
          <w:szCs w:val="24"/>
          <w:highlight w:val="none"/>
          <w:u w:val="single"/>
          <w:shd w:val="clear" w:color="auto" w:fill="FFFFFF"/>
        </w:rPr>
        <w:t xml:space="preserve">   </w:t>
      </w:r>
      <w:r>
        <w:rPr>
          <w:rFonts w:hint="eastAsia" w:asciiTheme="minorEastAsia" w:hAnsiTheme="minorEastAsia" w:eastAsiaTheme="minorEastAsia" w:cstheme="minorEastAsia"/>
          <w:color w:val="000000"/>
          <w:sz w:val="24"/>
          <w:szCs w:val="24"/>
          <w:highlight w:val="none"/>
          <w:u w:val="single"/>
        </w:rPr>
        <w:t xml:space="preserve">建设单位所在地              </w:t>
      </w:r>
      <w:r>
        <w:rPr>
          <w:rFonts w:hint="eastAsia" w:asciiTheme="minorEastAsia" w:hAnsiTheme="minorEastAsia" w:eastAsiaTheme="minorEastAsia" w:cstheme="minorEastAsia"/>
          <w:sz w:val="24"/>
          <w:szCs w:val="24"/>
          <w:highlight w:val="none"/>
          <w:u w:val="single"/>
          <w:shd w:val="clear" w:color="auto" w:fill="FFFFFF"/>
        </w:rPr>
        <w:t xml:space="preserve">         </w:t>
      </w:r>
    </w:p>
    <w:p w14:paraId="07A564EC">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157" w:name="_Toc96352179"/>
      <w:bookmarkStart w:id="1158" w:name="_Toc96505383"/>
      <w:bookmarkStart w:id="1159" w:name="_Toc490331757"/>
      <w:bookmarkStart w:id="1160" w:name="_Toc497298410"/>
      <w:bookmarkStart w:id="1161" w:name="_Toc96504994"/>
      <w:bookmarkStart w:id="1162" w:name="_Toc96530005"/>
      <w:bookmarkStart w:id="1163" w:name="_Toc38037956"/>
      <w:bookmarkStart w:id="1164" w:name="_Toc489280303"/>
      <w:bookmarkStart w:id="1165" w:name="_Toc501055708"/>
      <w:bookmarkStart w:id="1166" w:name="_Toc8210"/>
      <w:r>
        <w:rPr>
          <w:rFonts w:hint="eastAsia" w:asciiTheme="minorEastAsia" w:hAnsiTheme="minorEastAsia" w:eastAsiaTheme="minorEastAsia" w:cstheme="minorEastAsia"/>
          <w:sz w:val="24"/>
          <w:szCs w:val="24"/>
          <w:highlight w:val="none"/>
          <w:shd w:val="clear" w:color="auto" w:fill="FFFFFF"/>
        </w:rPr>
        <w:t>13.计日工</w:t>
      </w:r>
      <w:bookmarkEnd w:id="1155"/>
      <w:bookmarkEnd w:id="1156"/>
      <w:bookmarkEnd w:id="1157"/>
      <w:bookmarkEnd w:id="1158"/>
      <w:bookmarkEnd w:id="1159"/>
      <w:bookmarkEnd w:id="1160"/>
      <w:bookmarkEnd w:id="1161"/>
      <w:bookmarkEnd w:id="1162"/>
      <w:bookmarkEnd w:id="1163"/>
      <w:bookmarkEnd w:id="1164"/>
      <w:bookmarkEnd w:id="1165"/>
      <w:bookmarkEnd w:id="1166"/>
    </w:p>
    <w:p w14:paraId="631554FA">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13.7  关于计日工的其他约定：</w:t>
      </w:r>
      <w:r>
        <w:rPr>
          <w:rFonts w:hint="eastAsia" w:asciiTheme="minorEastAsia" w:hAnsiTheme="minorEastAsia" w:eastAsiaTheme="minorEastAsia" w:cstheme="minorEastAsia"/>
          <w:sz w:val="24"/>
          <w:szCs w:val="24"/>
          <w:highlight w:val="none"/>
          <w:u w:val="single"/>
          <w:shd w:val="clear" w:color="auto" w:fill="FFFFFF"/>
        </w:rPr>
        <w:t xml:space="preserve">            /                                   </w:t>
      </w:r>
    </w:p>
    <w:p w14:paraId="62DA124A">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167" w:name="_Toc96352180"/>
      <w:bookmarkStart w:id="1168" w:name="_Toc497298411"/>
      <w:bookmarkStart w:id="1169" w:name="_Toc96505384"/>
      <w:bookmarkStart w:id="1170" w:name="_Toc2993"/>
      <w:bookmarkStart w:id="1171" w:name="_Toc490331758"/>
      <w:bookmarkStart w:id="1172" w:name="_Toc483581263"/>
      <w:bookmarkStart w:id="1173" w:name="_Toc38037957"/>
      <w:bookmarkStart w:id="1174" w:name="_Toc96530006"/>
      <w:bookmarkStart w:id="1175" w:name="_Toc486580498"/>
      <w:bookmarkStart w:id="1176" w:name="_Toc96504995"/>
      <w:bookmarkStart w:id="1177" w:name="_Toc489280304"/>
      <w:bookmarkStart w:id="1178" w:name="_Toc501055709"/>
      <w:r>
        <w:rPr>
          <w:rFonts w:hint="eastAsia" w:asciiTheme="minorEastAsia" w:hAnsiTheme="minorEastAsia" w:eastAsiaTheme="minorEastAsia" w:cstheme="minorEastAsia"/>
          <w:sz w:val="24"/>
          <w:szCs w:val="24"/>
          <w:highlight w:val="none"/>
          <w:shd w:val="clear" w:color="auto" w:fill="FFFFFF"/>
        </w:rPr>
        <w:t>14.计量与支付</w:t>
      </w:r>
      <w:bookmarkEnd w:id="1167"/>
      <w:bookmarkEnd w:id="1168"/>
      <w:bookmarkEnd w:id="1169"/>
      <w:bookmarkEnd w:id="1170"/>
      <w:bookmarkEnd w:id="1171"/>
      <w:bookmarkEnd w:id="1172"/>
      <w:bookmarkEnd w:id="1173"/>
      <w:bookmarkEnd w:id="1174"/>
      <w:bookmarkEnd w:id="1175"/>
      <w:bookmarkEnd w:id="1176"/>
      <w:bookmarkEnd w:id="1177"/>
      <w:bookmarkEnd w:id="1178"/>
    </w:p>
    <w:p w14:paraId="4BE03419">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179" w:name="_Toc501055710"/>
      <w:bookmarkStart w:id="1180" w:name="_Toc96504996"/>
      <w:bookmarkStart w:id="1181" w:name="_Toc489280305"/>
      <w:bookmarkStart w:id="1182" w:name="_Toc38037958"/>
      <w:bookmarkStart w:id="1183" w:name="_Toc96530007"/>
      <w:bookmarkStart w:id="1184" w:name="_Toc1099"/>
      <w:bookmarkStart w:id="1185" w:name="_Toc483581264"/>
      <w:bookmarkStart w:id="1186" w:name="_Toc96505385"/>
      <w:bookmarkStart w:id="1187" w:name="_Toc96352181"/>
      <w:bookmarkStart w:id="1188" w:name="_Toc486580499"/>
      <w:bookmarkStart w:id="1189" w:name="_Toc497298412"/>
      <w:r>
        <w:rPr>
          <w:rFonts w:hint="eastAsia" w:asciiTheme="minorEastAsia" w:hAnsiTheme="minorEastAsia" w:eastAsiaTheme="minorEastAsia" w:cstheme="minorEastAsia"/>
          <w:sz w:val="24"/>
          <w:szCs w:val="24"/>
          <w:highlight w:val="none"/>
          <w:shd w:val="clear" w:color="auto" w:fill="FFFFFF"/>
        </w:rPr>
        <w:t>14.2  其他约定</w:t>
      </w:r>
      <w:bookmarkEnd w:id="1179"/>
      <w:bookmarkEnd w:id="1180"/>
      <w:bookmarkEnd w:id="1181"/>
      <w:bookmarkEnd w:id="1182"/>
      <w:bookmarkEnd w:id="1183"/>
      <w:bookmarkEnd w:id="1184"/>
      <w:bookmarkEnd w:id="1185"/>
      <w:bookmarkEnd w:id="1186"/>
      <w:bookmarkEnd w:id="1187"/>
      <w:bookmarkEnd w:id="1188"/>
      <w:bookmarkEnd w:id="1189"/>
    </w:p>
    <w:p w14:paraId="111AA320">
      <w:pPr>
        <w:spacing w:after="0" w:line="360" w:lineRule="auto"/>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其他约定内容：</w:t>
      </w:r>
      <w:r>
        <w:rPr>
          <w:rFonts w:hint="eastAsia" w:asciiTheme="minorEastAsia" w:hAnsiTheme="minorEastAsia" w:eastAsiaTheme="minorEastAsia" w:cstheme="minorEastAsia"/>
          <w:sz w:val="24"/>
          <w:szCs w:val="24"/>
          <w:highlight w:val="none"/>
          <w:u w:val="single"/>
          <w:shd w:val="clear" w:color="auto" w:fill="FFFFFF"/>
        </w:rPr>
        <w:t xml:space="preserve">              /                                              </w:t>
      </w:r>
    </w:p>
    <w:p w14:paraId="0801C18F">
      <w:pPr>
        <w:pStyle w:val="250"/>
        <w:spacing w:before="120" w:after="0"/>
        <w:outlineLvl w:val="3"/>
        <w:rPr>
          <w:rFonts w:hint="eastAsia" w:asciiTheme="minorEastAsia" w:hAnsiTheme="minorEastAsia" w:eastAsiaTheme="minorEastAsia" w:cstheme="minorEastAsia"/>
          <w:sz w:val="24"/>
          <w:szCs w:val="24"/>
          <w:highlight w:val="none"/>
          <w:shd w:val="clear" w:color="auto" w:fill="FFFFFF"/>
        </w:rPr>
      </w:pPr>
      <w:bookmarkStart w:id="1190" w:name="_Toc96352182"/>
      <w:bookmarkStart w:id="1191" w:name="_Toc497298413"/>
      <w:bookmarkStart w:id="1192" w:name="_Toc501055711"/>
      <w:bookmarkStart w:id="1193" w:name="_Toc96505386"/>
      <w:bookmarkStart w:id="1194" w:name="_Toc490331759"/>
      <w:bookmarkStart w:id="1195" w:name="_Toc96504997"/>
      <w:bookmarkStart w:id="1196" w:name="_Toc489280306"/>
      <w:bookmarkStart w:id="1197" w:name="_Toc25100"/>
      <w:bookmarkStart w:id="1198" w:name="_Toc96530008"/>
      <w:bookmarkStart w:id="1199" w:name="_Toc38037959"/>
      <w:bookmarkStart w:id="1200" w:name="_Toc483581265"/>
      <w:bookmarkStart w:id="1201" w:name="_Toc486580500"/>
      <w:r>
        <w:rPr>
          <w:rFonts w:hint="eastAsia" w:asciiTheme="minorEastAsia" w:hAnsiTheme="minorEastAsia" w:eastAsiaTheme="minorEastAsia" w:cstheme="minorEastAsia"/>
          <w:sz w:val="24"/>
          <w:szCs w:val="24"/>
          <w:highlight w:val="none"/>
          <w:shd w:val="clear" w:color="auto" w:fill="FFFFFF"/>
        </w:rPr>
        <w:t>15.竣工验收和工程移交</w:t>
      </w:r>
      <w:bookmarkEnd w:id="1190"/>
      <w:bookmarkEnd w:id="1191"/>
      <w:bookmarkEnd w:id="1192"/>
      <w:bookmarkEnd w:id="1193"/>
      <w:bookmarkEnd w:id="1194"/>
      <w:bookmarkEnd w:id="1195"/>
      <w:bookmarkEnd w:id="1196"/>
      <w:bookmarkEnd w:id="1197"/>
      <w:bookmarkEnd w:id="1198"/>
      <w:bookmarkEnd w:id="1199"/>
      <w:bookmarkEnd w:id="1200"/>
      <w:bookmarkEnd w:id="1201"/>
    </w:p>
    <w:p w14:paraId="01001037">
      <w:pPr>
        <w:pStyle w:val="251"/>
        <w:spacing w:before="120" w:after="0"/>
        <w:outlineLvl w:val="4"/>
        <w:rPr>
          <w:rFonts w:hint="eastAsia" w:asciiTheme="minorEastAsia" w:hAnsiTheme="minorEastAsia" w:eastAsiaTheme="minorEastAsia" w:cstheme="minorEastAsia"/>
          <w:sz w:val="24"/>
          <w:szCs w:val="24"/>
          <w:highlight w:val="none"/>
          <w:shd w:val="clear" w:color="auto" w:fill="FFFFFF"/>
        </w:rPr>
      </w:pPr>
      <w:bookmarkStart w:id="1202" w:name="_Toc17486"/>
      <w:bookmarkStart w:id="1203" w:name="_Toc96505387"/>
      <w:bookmarkStart w:id="1204" w:name="_Toc96504998"/>
      <w:bookmarkStart w:id="1205" w:name="_Toc486580501"/>
      <w:bookmarkStart w:id="1206" w:name="_Toc497298414"/>
      <w:bookmarkStart w:id="1207" w:name="_Toc96530009"/>
      <w:bookmarkStart w:id="1208" w:name="_Toc501055712"/>
      <w:bookmarkStart w:id="1209" w:name="_Toc96352183"/>
      <w:bookmarkStart w:id="1210" w:name="_Toc489280307"/>
      <w:bookmarkStart w:id="1211" w:name="_Toc483581266"/>
      <w:bookmarkStart w:id="1212" w:name="_Toc38037960"/>
      <w:r>
        <w:rPr>
          <w:rFonts w:hint="eastAsia" w:asciiTheme="minorEastAsia" w:hAnsiTheme="minorEastAsia" w:eastAsiaTheme="minorEastAsia" w:cstheme="minorEastAsia"/>
          <w:sz w:val="24"/>
          <w:szCs w:val="24"/>
          <w:highlight w:val="none"/>
          <w:shd w:val="clear" w:color="auto" w:fill="FFFFFF"/>
        </w:rPr>
        <w:t>15.2  竣工验收申请报告</w:t>
      </w:r>
      <w:bookmarkEnd w:id="1202"/>
      <w:bookmarkEnd w:id="1203"/>
      <w:bookmarkEnd w:id="1204"/>
      <w:bookmarkEnd w:id="1205"/>
      <w:bookmarkEnd w:id="1206"/>
      <w:bookmarkEnd w:id="1207"/>
      <w:bookmarkEnd w:id="1208"/>
      <w:bookmarkEnd w:id="1209"/>
      <w:bookmarkEnd w:id="1210"/>
      <w:bookmarkEnd w:id="1211"/>
      <w:bookmarkEnd w:id="1212"/>
    </w:p>
    <w:p w14:paraId="3E657FF7">
      <w:pPr>
        <w:spacing w:after="0" w:line="360" w:lineRule="auto"/>
        <w:ind w:firstLine="480" w:firstLineChars="200"/>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15.2.3  竣工验收申请报告应当按合同条款第18.2款附上下列内容：</w:t>
      </w:r>
    </w:p>
    <w:p w14:paraId="0EFB5F06">
      <w:pPr>
        <w:spacing w:after="0" w:line="360" w:lineRule="auto"/>
        <w:ind w:firstLine="480" w:firstLineChars="200"/>
        <w:rPr>
          <w:rFonts w:hint="eastAsia" w:ascii="宋体" w:hAnsi="宋体" w:eastAsia="宋体"/>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（7）其他要求：</w:t>
      </w:r>
      <w:r>
        <w:rPr>
          <w:rFonts w:hint="eastAsia" w:asciiTheme="minorEastAsia" w:hAnsiTheme="minorEastAsia" w:eastAsiaTheme="minorEastAsia" w:cstheme="minorEastAsia"/>
          <w:sz w:val="24"/>
          <w:szCs w:val="24"/>
          <w:highlight w:val="none"/>
          <w:u w:val="single"/>
          <w:shd w:val="clear" w:color="auto" w:fill="FFFFFF"/>
        </w:rPr>
        <w:t xml:space="preserve">              /                                         </w:t>
      </w:r>
      <w:bookmarkStart w:id="1213" w:name="_Toc96505388"/>
      <w:bookmarkStart w:id="1214" w:name="_Toc497298415"/>
      <w:bookmarkStart w:id="1215" w:name="_Toc489280308"/>
      <w:bookmarkStart w:id="1216" w:name="_Toc96530010"/>
      <w:bookmarkStart w:id="1217" w:name="_Toc486580502"/>
      <w:bookmarkStart w:id="1218" w:name="_Toc38037961"/>
      <w:bookmarkStart w:id="1219" w:name="_Toc96504999"/>
      <w:bookmarkStart w:id="1220" w:name="_Toc96352184"/>
      <w:bookmarkStart w:id="1221" w:name="_Toc483581267"/>
      <w:bookmarkStart w:id="1222" w:name="_Toc29804"/>
      <w:bookmarkStart w:id="1223" w:name="_Toc501055713"/>
      <w:bookmarkStart w:id="1224" w:name="_Toc490331760"/>
      <w:r>
        <w:rPr>
          <w:rFonts w:hint="eastAsia" w:asciiTheme="minorEastAsia" w:hAnsiTheme="minorEastAsia" w:eastAsiaTheme="minorEastAsia" w:cstheme="minorEastAsia"/>
          <w:sz w:val="24"/>
          <w:szCs w:val="24"/>
          <w:highlight w:val="none"/>
          <w:shd w:val="clear" w:color="auto" w:fill="FFFFFF"/>
        </w:rPr>
        <w:t>16.需要补充的其他要求</w:t>
      </w:r>
      <w:bookmarkEnd w:id="768"/>
      <w:bookmarkEnd w:id="769"/>
      <w:bookmarkEnd w:id="1213"/>
      <w:bookmarkEnd w:id="1214"/>
      <w:bookmarkEnd w:id="1215"/>
      <w:bookmarkEnd w:id="1216"/>
      <w:bookmarkEnd w:id="1217"/>
      <w:bookmarkEnd w:id="1218"/>
      <w:bookmarkEnd w:id="1219"/>
      <w:bookmarkEnd w:id="1220"/>
      <w:bookmarkEnd w:id="1221"/>
      <w:bookmarkEnd w:id="1222"/>
      <w:bookmarkEnd w:id="1223"/>
      <w:bookmarkEnd w:id="1224"/>
    </w:p>
    <w:p w14:paraId="7A588B24">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31DEDF30">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sectPr>
          <w:headerReference r:id="rId10" w:type="default"/>
          <w:footerReference r:id="rId11" w:type="default"/>
          <w:pgSz w:w="11905" w:h="16838"/>
          <w:pgMar w:top="1474" w:right="1474" w:bottom="1474" w:left="1474" w:header="850" w:footer="992" w:gutter="0"/>
          <w:pgNumType w:fmt="decimal"/>
          <w:cols w:space="0" w:num="1"/>
          <w:rtlGutter w:val="0"/>
          <w:docGrid w:linePitch="462" w:charSpace="0"/>
        </w:sectPr>
      </w:pPr>
    </w:p>
    <w:p w14:paraId="4E24F8B2">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1225" w:name="_Toc22125"/>
      <w:bookmarkStart w:id="1226" w:name="_Toc22308"/>
      <w:r>
        <w:rPr>
          <w:rFonts w:hint="eastAsia" w:ascii="宋体" w:hAnsi="宋体" w:cs="宋体"/>
          <w:b/>
          <w:sz w:val="36"/>
          <w:szCs w:val="36"/>
          <w:highlight w:val="none"/>
        </w:rPr>
        <w:t>第五章   合同草案条款</w:t>
      </w:r>
      <w:bookmarkEnd w:id="1225"/>
      <w:bookmarkEnd w:id="1226"/>
    </w:p>
    <w:p w14:paraId="0DF6FBCF">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（此合同仅供参考。以最终采购人与中标供应商签定的合同条款为准进行公示，</w:t>
      </w:r>
    </w:p>
    <w:p w14:paraId="5726F8E8">
      <w:pPr>
        <w:wordWrap w:val="0"/>
        <w:spacing w:after="0"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最终签定合同的主要条款不能与招标文件有冲突）</w:t>
      </w:r>
    </w:p>
    <w:p w14:paraId="0D27CBC7">
      <w:pPr>
        <w:spacing w:after="0" w:line="360" w:lineRule="auto"/>
        <w:jc w:val="center"/>
        <w:rPr>
          <w:rFonts w:hint="eastAsia" w:ascii="宋体" w:hAnsi="宋体" w:eastAsia="宋体" w:cs="宋体"/>
          <w:b/>
          <w:sz w:val="24"/>
          <w:szCs w:val="24"/>
          <w:highlight w:val="none"/>
        </w:rPr>
      </w:pPr>
    </w:p>
    <w:p w14:paraId="08BFC9C1">
      <w:pPr>
        <w:spacing w:after="0" w:line="360" w:lineRule="auto"/>
        <w:rPr>
          <w:rFonts w:hint="eastAsia" w:ascii="宋体" w:hAnsi="宋体" w:cs="宋体"/>
          <w:color w:val="auto"/>
          <w:szCs w:val="21"/>
        </w:rPr>
      </w:pPr>
      <w:r>
        <w:rPr>
          <w:rFonts w:hint="eastAsia" w:ascii="宋体" w:hAnsi="宋体" w:eastAsia="宋体" w:cs="宋体"/>
          <w:b/>
          <w:sz w:val="24"/>
          <w:szCs w:val="24"/>
          <w:highlight w:val="none"/>
        </w:rPr>
        <w:t xml:space="preserve">                </w:t>
      </w:r>
    </w:p>
    <w:p w14:paraId="66689971">
      <w:pPr>
        <w:spacing w:after="0" w:line="360" w:lineRule="auto"/>
        <w:jc w:val="center"/>
        <w:rPr>
          <w:rFonts w:hint="eastAsia" w:ascii="宋体" w:hAnsi="宋体" w:cs="宋体"/>
          <w:b/>
          <w:color w:val="auto"/>
          <w:szCs w:val="21"/>
        </w:rPr>
      </w:pPr>
      <w:r>
        <w:rPr>
          <w:rFonts w:hint="eastAsia" w:ascii="宋体" w:hAnsi="宋体" w:cs="宋体"/>
          <w:b/>
          <w:color w:val="auto"/>
          <w:szCs w:val="21"/>
        </w:rPr>
        <w:t xml:space="preserve">                   编号：</w:t>
      </w:r>
    </w:p>
    <w:p w14:paraId="271A5621">
      <w:pPr>
        <w:spacing w:after="0" w:line="360" w:lineRule="auto"/>
        <w:ind w:firstLine="3698" w:firstLineChars="1754"/>
        <w:rPr>
          <w:rFonts w:hint="eastAsia" w:ascii="宋体" w:hAnsi="宋体" w:cs="宋体"/>
          <w:b/>
          <w:color w:val="auto"/>
          <w:szCs w:val="21"/>
        </w:rPr>
      </w:pPr>
    </w:p>
    <w:p w14:paraId="361A8345">
      <w:pPr>
        <w:spacing w:after="0" w:line="360" w:lineRule="auto"/>
        <w:jc w:val="center"/>
        <w:rPr>
          <w:rFonts w:hint="eastAsia" w:ascii="宋体" w:hAnsi="宋体" w:cs="宋体"/>
          <w:b/>
          <w:color w:val="auto"/>
          <w:spacing w:val="7"/>
          <w:kern w:val="0"/>
          <w:sz w:val="44"/>
          <w:szCs w:val="44"/>
        </w:rPr>
      </w:pPr>
      <w:r>
        <w:rPr>
          <w:rFonts w:hint="eastAsia" w:ascii="宋体" w:hAnsi="宋体" w:cs="宋体"/>
          <w:b/>
          <w:color w:val="auto"/>
          <w:spacing w:val="110"/>
          <w:kern w:val="0"/>
          <w:sz w:val="44"/>
          <w:szCs w:val="44"/>
        </w:rPr>
        <w:t>北京市建设工程施工合</w:t>
      </w:r>
      <w:r>
        <w:rPr>
          <w:rFonts w:hint="eastAsia" w:ascii="宋体" w:hAnsi="宋体" w:cs="宋体"/>
          <w:b/>
          <w:color w:val="auto"/>
          <w:spacing w:val="7"/>
          <w:kern w:val="0"/>
          <w:sz w:val="44"/>
          <w:szCs w:val="44"/>
        </w:rPr>
        <w:t>同</w:t>
      </w:r>
    </w:p>
    <w:p w14:paraId="6CF65D20">
      <w:pPr>
        <w:pStyle w:val="20"/>
        <w:spacing w:after="0" w:line="360" w:lineRule="auto"/>
        <w:ind w:left="840" w:hanging="420"/>
        <w:rPr>
          <w:rFonts w:hint="eastAsia" w:ascii="宋体" w:hAnsi="宋体" w:cs="宋体"/>
          <w:color w:val="auto"/>
          <w:szCs w:val="21"/>
        </w:rPr>
      </w:pPr>
    </w:p>
    <w:p w14:paraId="66038032">
      <w:pPr>
        <w:pStyle w:val="20"/>
        <w:spacing w:after="0" w:line="360" w:lineRule="auto"/>
        <w:ind w:left="840" w:hanging="420"/>
        <w:rPr>
          <w:rFonts w:hint="eastAsia" w:ascii="宋体" w:hAnsi="宋体" w:cs="宋体"/>
          <w:color w:val="auto"/>
          <w:szCs w:val="21"/>
        </w:rPr>
      </w:pPr>
    </w:p>
    <w:p w14:paraId="458760A8">
      <w:pPr>
        <w:pStyle w:val="20"/>
        <w:spacing w:after="0" w:line="360" w:lineRule="auto"/>
        <w:ind w:left="840" w:hanging="420"/>
        <w:rPr>
          <w:rFonts w:hint="eastAsia" w:ascii="宋体" w:hAnsi="宋体" w:cs="宋体"/>
          <w:color w:val="auto"/>
          <w:szCs w:val="21"/>
        </w:rPr>
      </w:pPr>
    </w:p>
    <w:p w14:paraId="007CFFFD">
      <w:pPr>
        <w:spacing w:after="0" w:line="360" w:lineRule="auto"/>
        <w:rPr>
          <w:rFonts w:hint="eastAsia" w:ascii="宋体" w:hAnsi="宋体" w:cs="宋体"/>
          <w:b/>
          <w:color w:val="auto"/>
          <w:szCs w:val="21"/>
          <w:u w:val="single"/>
        </w:rPr>
      </w:pPr>
      <w:r>
        <w:rPr>
          <w:rFonts w:hint="eastAsia" w:ascii="宋体" w:hAnsi="宋体" w:cs="宋体"/>
          <w:b/>
          <w:color w:val="auto"/>
          <w:kern w:val="0"/>
          <w:szCs w:val="21"/>
        </w:rPr>
        <w:t>发包方</w:t>
      </w:r>
      <w:r>
        <w:rPr>
          <w:rFonts w:hint="eastAsia" w:ascii="宋体" w:hAnsi="宋体" w:cs="宋体"/>
          <w:b/>
          <w:color w:val="auto"/>
          <w:szCs w:val="21"/>
        </w:rPr>
        <w:t>：</w:t>
      </w:r>
      <w:r>
        <w:rPr>
          <w:rFonts w:hint="eastAsia" w:ascii="宋体" w:hAnsi="宋体" w:cs="宋体"/>
          <w:b/>
          <w:color w:val="auto"/>
          <w:szCs w:val="21"/>
          <w:u w:val="single"/>
        </w:rPr>
        <w:t>北京市丰台区人民政府东高地街道办事处</w:t>
      </w:r>
    </w:p>
    <w:p w14:paraId="340D3045">
      <w:pPr>
        <w:spacing w:after="0" w:line="360" w:lineRule="auto"/>
        <w:rPr>
          <w:rFonts w:hint="eastAsia" w:ascii="宋体" w:hAnsi="宋体" w:cs="宋体"/>
          <w:b/>
          <w:color w:val="auto"/>
          <w:szCs w:val="21"/>
        </w:rPr>
      </w:pPr>
      <w:r>
        <w:rPr>
          <w:rFonts w:hint="eastAsia" w:ascii="宋体" w:hAnsi="宋体" w:cs="宋体"/>
          <w:b/>
          <w:color w:val="auto"/>
          <w:kern w:val="0"/>
          <w:szCs w:val="21"/>
        </w:rPr>
        <w:t>承包方</w:t>
      </w:r>
      <w:r>
        <w:rPr>
          <w:rFonts w:hint="eastAsia" w:ascii="宋体" w:hAnsi="宋体" w:cs="宋体"/>
          <w:b/>
          <w:color w:val="auto"/>
          <w:szCs w:val="21"/>
        </w:rPr>
        <w:t>：</w:t>
      </w:r>
      <w:r>
        <w:rPr>
          <w:rFonts w:hint="eastAsia" w:ascii="宋体" w:hAnsi="宋体" w:cs="宋体"/>
          <w:b/>
          <w:color w:val="auto"/>
          <w:szCs w:val="21"/>
          <w:u w:val="single"/>
        </w:rPr>
        <w:t xml:space="preserve">                                    </w:t>
      </w:r>
      <w:r>
        <w:rPr>
          <w:rFonts w:hint="eastAsia" w:ascii="宋体" w:hAnsi="宋体" w:cs="宋体"/>
          <w:b/>
          <w:color w:val="auto"/>
          <w:szCs w:val="21"/>
        </w:rPr>
        <w:t xml:space="preserve"> </w:t>
      </w:r>
    </w:p>
    <w:p w14:paraId="315E1021">
      <w:pPr>
        <w:spacing w:after="0" w:line="360" w:lineRule="auto"/>
        <w:rPr>
          <w:rFonts w:hint="eastAsia" w:ascii="宋体" w:hAnsi="宋体" w:cs="宋体"/>
          <w:b/>
          <w:color w:val="auto"/>
          <w:szCs w:val="21"/>
          <w:u w:val="single"/>
        </w:rPr>
      </w:pPr>
    </w:p>
    <w:p w14:paraId="559543EB">
      <w:pPr>
        <w:spacing w:after="0" w:line="360" w:lineRule="auto"/>
        <w:rPr>
          <w:rFonts w:hint="eastAsia" w:ascii="宋体" w:hAnsi="宋体" w:eastAsia="宋体" w:cs="宋体"/>
          <w:b/>
          <w:color w:val="auto"/>
          <w:szCs w:val="21"/>
          <w:u w:val="single"/>
          <w:lang w:eastAsia="zh-CN"/>
        </w:rPr>
      </w:pPr>
      <w:r>
        <w:rPr>
          <w:rFonts w:hint="eastAsia" w:ascii="宋体" w:hAnsi="宋体" w:cs="宋体"/>
          <w:b/>
          <w:color w:val="auto"/>
          <w:kern w:val="0"/>
          <w:szCs w:val="21"/>
        </w:rPr>
        <w:t>工程名称</w:t>
      </w:r>
      <w:r>
        <w:rPr>
          <w:rFonts w:hint="eastAsia" w:ascii="宋体" w:hAnsi="宋体" w:cs="宋体"/>
          <w:b/>
          <w:color w:val="auto"/>
          <w:szCs w:val="21"/>
        </w:rPr>
        <w:t>：</w:t>
      </w:r>
      <w:r>
        <w:rPr>
          <w:rFonts w:hint="eastAsia" w:ascii="宋体" w:hAnsi="宋体" w:cs="宋体"/>
          <w:b/>
          <w:color w:val="auto"/>
          <w:szCs w:val="21"/>
          <w:lang w:eastAsia="zh-CN"/>
        </w:rPr>
        <w:t>桃源里24、25栋外墙加固改造工程</w:t>
      </w:r>
    </w:p>
    <w:p w14:paraId="114E5458">
      <w:pPr>
        <w:spacing w:after="0" w:line="360" w:lineRule="auto"/>
        <w:rPr>
          <w:rFonts w:hint="eastAsia" w:ascii="宋体" w:hAnsi="宋体" w:cs="宋体"/>
          <w:b/>
          <w:color w:val="auto"/>
          <w:szCs w:val="21"/>
          <w:u w:val="single"/>
        </w:rPr>
      </w:pPr>
      <w:r>
        <w:rPr>
          <w:rFonts w:hint="eastAsia" w:ascii="宋体" w:hAnsi="宋体" w:cs="宋体"/>
          <w:b/>
          <w:color w:val="auto"/>
          <w:kern w:val="0"/>
          <w:szCs w:val="21"/>
        </w:rPr>
        <w:t>工程地点</w:t>
      </w:r>
      <w:r>
        <w:rPr>
          <w:rFonts w:hint="eastAsia" w:ascii="宋体" w:hAnsi="宋体" w:cs="宋体"/>
          <w:b/>
          <w:color w:val="auto"/>
          <w:szCs w:val="21"/>
        </w:rPr>
        <w:t>：北京市丰台区东高地街道</w:t>
      </w:r>
    </w:p>
    <w:p w14:paraId="5A7F68BE">
      <w:pPr>
        <w:spacing w:after="0" w:line="360" w:lineRule="auto"/>
        <w:rPr>
          <w:rFonts w:hint="eastAsia" w:ascii="宋体" w:hAnsi="宋体" w:cs="宋体"/>
          <w:b/>
          <w:color w:val="auto"/>
          <w:szCs w:val="21"/>
          <w:u w:val="single"/>
        </w:rPr>
      </w:pPr>
      <w:r>
        <w:rPr>
          <w:rFonts w:hint="eastAsia" w:ascii="宋体" w:hAnsi="宋体" w:cs="宋体"/>
          <w:b/>
          <w:color w:val="auto"/>
          <w:kern w:val="0"/>
          <w:szCs w:val="21"/>
        </w:rPr>
        <w:t>建筑面积</w:t>
      </w:r>
      <w:r>
        <w:rPr>
          <w:rFonts w:hint="eastAsia" w:ascii="宋体" w:hAnsi="宋体" w:cs="宋体"/>
          <w:b/>
          <w:color w:val="auto"/>
          <w:szCs w:val="21"/>
        </w:rPr>
        <w:t xml:space="preserve">： 7993平方米；层数：6层  </w:t>
      </w:r>
    </w:p>
    <w:p w14:paraId="4F1B4E46">
      <w:pPr>
        <w:spacing w:after="0" w:line="360" w:lineRule="auto"/>
        <w:rPr>
          <w:rFonts w:hint="eastAsia" w:ascii="宋体" w:hAnsi="宋体" w:cs="宋体"/>
          <w:b/>
          <w:color w:val="auto"/>
          <w:szCs w:val="21"/>
        </w:rPr>
      </w:pPr>
      <w:r>
        <w:rPr>
          <w:rFonts w:hint="eastAsia" w:ascii="宋体" w:hAnsi="宋体" w:cs="宋体"/>
          <w:b/>
          <w:color w:val="auto"/>
          <w:kern w:val="0"/>
          <w:szCs w:val="21"/>
        </w:rPr>
        <w:t>结构类型</w:t>
      </w:r>
      <w:r>
        <w:rPr>
          <w:rFonts w:hint="eastAsia" w:ascii="宋体" w:hAnsi="宋体" w:cs="宋体"/>
          <w:b/>
          <w:color w:val="auto"/>
          <w:szCs w:val="21"/>
        </w:rPr>
        <w:t>：砖混结构；檐高/跨度：18米</w:t>
      </w:r>
    </w:p>
    <w:p w14:paraId="48D71E58">
      <w:pPr>
        <w:spacing w:after="0" w:line="360" w:lineRule="auto"/>
        <w:rPr>
          <w:rFonts w:hint="eastAsia" w:ascii="宋体" w:hAnsi="宋体" w:cs="宋体"/>
          <w:b/>
          <w:color w:val="auto"/>
          <w:kern w:val="0"/>
          <w:szCs w:val="21"/>
          <w:u w:val="single"/>
        </w:rPr>
      </w:pPr>
      <w:r>
        <w:rPr>
          <w:rFonts w:hint="eastAsia" w:ascii="宋体" w:hAnsi="宋体" w:cs="宋体"/>
          <w:b/>
          <w:color w:val="auto"/>
          <w:kern w:val="0"/>
          <w:szCs w:val="21"/>
        </w:rPr>
        <w:t>批准文号：（有权机关批准工程立项的文号）：/</w:t>
      </w:r>
    </w:p>
    <w:p w14:paraId="636DF924">
      <w:pPr>
        <w:spacing w:after="0" w:line="360" w:lineRule="auto"/>
        <w:rPr>
          <w:rFonts w:hint="eastAsia" w:ascii="宋体" w:hAnsi="宋体" w:cs="宋体"/>
          <w:b/>
          <w:color w:val="auto"/>
          <w:kern w:val="0"/>
          <w:szCs w:val="21"/>
          <w:u w:val="single"/>
        </w:rPr>
      </w:pPr>
      <w:r>
        <w:rPr>
          <w:rFonts w:hint="eastAsia" w:ascii="宋体" w:hAnsi="宋体" w:cs="宋体"/>
          <w:b/>
          <w:color w:val="auto"/>
          <w:kern w:val="0"/>
          <w:szCs w:val="21"/>
        </w:rPr>
        <w:t>工程性质（指基建、技改、合资等）：技改</w:t>
      </w:r>
    </w:p>
    <w:p w14:paraId="6F61BFF5">
      <w:pPr>
        <w:spacing w:after="0" w:line="360" w:lineRule="auto"/>
        <w:rPr>
          <w:rFonts w:hint="eastAsia" w:ascii="宋体" w:hAnsi="宋体" w:cs="宋体"/>
          <w:b/>
          <w:color w:val="auto"/>
          <w:szCs w:val="21"/>
          <w:u w:val="single"/>
        </w:rPr>
      </w:pPr>
      <w:r>
        <w:rPr>
          <w:rFonts w:hint="eastAsia" w:ascii="宋体" w:hAnsi="宋体" w:cs="宋体"/>
          <w:b/>
          <w:color w:val="auto"/>
          <w:kern w:val="0"/>
          <w:szCs w:val="21"/>
        </w:rPr>
        <w:t>承包范围：本工程对现有建筑外墙进行加固，改造内容为外墙加固、散水和周边路面拆除及恢复、防雷接地拆除及重做、外窗防盜护栏(整樘金属窗护栏)拆除待外墙施工完成后恢复、空调外机拆除待外墙施工完成按规整位置重做(含外机、支架)、雨水漏斗和雨落管拆除重做、窗口新增防水做法(新旧墙体缝隙上方)、女儿墙原做法拆除重做。</w:t>
      </w:r>
    </w:p>
    <w:p w14:paraId="0C8039D3">
      <w:pPr>
        <w:spacing w:after="0" w:line="360" w:lineRule="auto"/>
        <w:rPr>
          <w:rFonts w:hint="eastAsia" w:ascii="宋体" w:hAnsi="宋体" w:cs="宋体"/>
          <w:b/>
          <w:color w:val="auto"/>
          <w:kern w:val="0"/>
          <w:szCs w:val="21"/>
          <w:u w:val="single"/>
        </w:rPr>
      </w:pPr>
      <w:r>
        <w:rPr>
          <w:rFonts w:hint="eastAsia" w:ascii="宋体" w:hAnsi="宋体" w:cs="宋体"/>
          <w:b/>
          <w:color w:val="auto"/>
          <w:kern w:val="0"/>
          <w:szCs w:val="21"/>
        </w:rPr>
        <w:t>承包方式：独立承包</w:t>
      </w:r>
    </w:p>
    <w:p w14:paraId="12E3A3BC">
      <w:pPr>
        <w:spacing w:after="0" w:line="360" w:lineRule="auto"/>
        <w:rPr>
          <w:rFonts w:hint="eastAsia" w:ascii="宋体" w:hAnsi="宋体" w:cs="宋体"/>
          <w:b/>
          <w:color w:val="auto"/>
          <w:kern w:val="0"/>
          <w:szCs w:val="21"/>
          <w:u w:val="single"/>
        </w:rPr>
      </w:pPr>
      <w:r>
        <w:rPr>
          <w:rFonts w:hint="eastAsia" w:ascii="宋体" w:hAnsi="宋体" w:cs="宋体"/>
          <w:b/>
          <w:color w:val="auto"/>
          <w:kern w:val="0"/>
          <w:szCs w:val="21"/>
        </w:rPr>
        <w:t>质量等级（优良或合格）：合格</w:t>
      </w:r>
    </w:p>
    <w:p w14:paraId="5CA769FC">
      <w:pPr>
        <w:widowControl/>
        <w:spacing w:after="0" w:line="360" w:lineRule="auto"/>
        <w:jc w:val="left"/>
        <w:rPr>
          <w:rFonts w:hint="eastAsia" w:ascii="宋体" w:hAnsi="宋体" w:cs="宋体"/>
          <w:b/>
          <w:color w:val="auto"/>
          <w:szCs w:val="21"/>
        </w:rPr>
      </w:pPr>
      <w:r>
        <w:rPr>
          <w:rFonts w:hint="eastAsia" w:ascii="宋体" w:hAnsi="宋体" w:cs="宋体"/>
          <w:b/>
          <w:color w:val="auto"/>
          <w:kern w:val="0"/>
          <w:szCs w:val="21"/>
        </w:rPr>
        <w:t>工程承包中标金额</w:t>
      </w:r>
      <w:r>
        <w:rPr>
          <w:rFonts w:hint="eastAsia" w:ascii="宋体" w:hAnsi="宋体" w:cs="宋体"/>
          <w:b/>
          <w:color w:val="auto"/>
          <w:szCs w:val="21"/>
        </w:rPr>
        <w:t>（大写）：人民币</w:t>
      </w:r>
      <w:r>
        <w:rPr>
          <w:rFonts w:hint="eastAsia" w:ascii="宋体" w:hAnsi="宋体" w:cs="宋体"/>
          <w:b/>
          <w:color w:val="auto"/>
          <w:szCs w:val="21"/>
          <w:u w:val="single"/>
        </w:rPr>
        <w:t xml:space="preserve">                     </w:t>
      </w:r>
      <w:r>
        <w:rPr>
          <w:rFonts w:hint="eastAsia" w:ascii="宋体" w:hAnsi="宋体" w:cs="宋体"/>
          <w:b/>
          <w:color w:val="auto"/>
          <w:szCs w:val="21"/>
        </w:rPr>
        <w:t>（小写）￥</w:t>
      </w:r>
      <w:r>
        <w:rPr>
          <w:rFonts w:hint="eastAsia" w:ascii="宋体" w:hAnsi="宋体" w:cs="宋体"/>
          <w:b/>
          <w:color w:val="auto"/>
          <w:szCs w:val="21"/>
          <w:u w:val="single"/>
        </w:rPr>
        <w:t xml:space="preserve">              </w:t>
      </w:r>
      <w:r>
        <w:rPr>
          <w:rFonts w:hint="eastAsia" w:ascii="宋体" w:hAnsi="宋体" w:cs="宋体"/>
          <w:b/>
          <w:color w:val="auto"/>
          <w:szCs w:val="21"/>
        </w:rPr>
        <w:t>元</w:t>
      </w:r>
    </w:p>
    <w:p w14:paraId="266F4152">
      <w:pPr>
        <w:widowControl/>
        <w:spacing w:after="0" w:line="360" w:lineRule="auto"/>
        <w:ind w:left="2520" w:leftChars="0" w:firstLine="420" w:firstLineChars="0"/>
        <w:jc w:val="both"/>
        <w:rPr>
          <w:rFonts w:hint="eastAsia" w:ascii="宋体" w:hAnsi="宋体" w:eastAsia="宋体" w:cs="宋体"/>
          <w:b/>
          <w:color w:val="auto"/>
          <w:szCs w:val="21"/>
        </w:rPr>
      </w:pPr>
      <w:r>
        <w:rPr>
          <w:rFonts w:hint="eastAsia" w:ascii="宋体" w:hAnsi="宋体" w:eastAsia="宋体" w:cs="宋体"/>
          <w:b/>
          <w:color w:val="auto"/>
          <w:szCs w:val="21"/>
        </w:rPr>
        <w:t>税率为：</w:t>
      </w:r>
      <w:r>
        <w:rPr>
          <w:rFonts w:hint="eastAsia" w:ascii="宋体" w:hAnsi="宋体" w:eastAsia="宋体" w:cs="宋体"/>
          <w:b/>
          <w:color w:val="auto"/>
          <w:szCs w:val="21"/>
          <w:u w:val="single"/>
          <w:lang w:val="en-US" w:eastAsia="zh-CN"/>
        </w:rPr>
        <w:t xml:space="preserve">      </w:t>
      </w:r>
      <w:r>
        <w:rPr>
          <w:rFonts w:hint="eastAsia" w:ascii="宋体" w:hAnsi="宋体" w:eastAsia="宋体" w:cs="宋体"/>
          <w:b/>
          <w:color w:val="auto"/>
          <w:szCs w:val="21"/>
        </w:rPr>
        <w:t>%</w:t>
      </w:r>
    </w:p>
    <w:p w14:paraId="3B68B0AB">
      <w:pPr>
        <w:spacing w:after="0" w:line="360" w:lineRule="auto"/>
        <w:rPr>
          <w:rFonts w:hint="eastAsia" w:ascii="宋体" w:hAnsi="宋体" w:cs="宋体"/>
          <w:b/>
          <w:color w:val="auto"/>
          <w:szCs w:val="21"/>
        </w:rPr>
      </w:pPr>
      <w:r>
        <w:rPr>
          <w:rFonts w:hint="eastAsia" w:ascii="宋体" w:hAnsi="宋体" w:cs="宋体"/>
          <w:b/>
          <w:color w:val="auto"/>
          <w:szCs w:val="21"/>
        </w:rPr>
        <w:t>签订日期：     年     月     日</w:t>
      </w:r>
    </w:p>
    <w:p w14:paraId="46EB4015">
      <w:pPr>
        <w:spacing w:after="0" w:line="500" w:lineRule="exact"/>
        <w:jc w:val="center"/>
        <w:rPr>
          <w:rFonts w:hint="eastAsia" w:ascii="宋体" w:hAnsi="宋体" w:cs="宋体"/>
          <w:b/>
          <w:bCs/>
          <w:color w:val="auto"/>
          <w:szCs w:val="21"/>
        </w:rPr>
      </w:pPr>
      <w:r>
        <w:rPr>
          <w:rFonts w:hint="eastAsia" w:ascii="宋体" w:hAnsi="宋体" w:cs="宋体"/>
          <w:b/>
          <w:bCs/>
          <w:color w:val="auto"/>
          <w:szCs w:val="21"/>
        </w:rPr>
        <w:br w:type="page"/>
      </w:r>
      <w:r>
        <w:rPr>
          <w:rFonts w:hint="eastAsia" w:ascii="宋体" w:hAnsi="宋体" w:cs="宋体"/>
          <w:b/>
          <w:bCs/>
          <w:color w:val="auto"/>
          <w:szCs w:val="21"/>
        </w:rPr>
        <w:t>北京市建设工程施工合同</w:t>
      </w:r>
    </w:p>
    <w:p w14:paraId="5A0D9B6E">
      <w:pPr>
        <w:spacing w:after="0" w:line="500" w:lineRule="exact"/>
        <w:ind w:firstLine="420" w:firstLineChars="200"/>
        <w:rPr>
          <w:rFonts w:hint="eastAsia" w:ascii="宋体" w:hAnsi="宋体" w:cs="宋体"/>
          <w:color w:val="auto"/>
          <w:szCs w:val="21"/>
        </w:rPr>
      </w:pPr>
      <w:r>
        <w:rPr>
          <w:rFonts w:hint="eastAsia" w:ascii="宋体" w:hAnsi="宋体" w:cs="宋体"/>
          <w:color w:val="auto"/>
          <w:szCs w:val="21"/>
        </w:rPr>
        <w:t>依照《中华人民共和国民法典》、《中华人民共和国建筑法》及其他有关法律、行政法规等规定，就承包方承包工程事宜，发包方与承包方遵循平等、自愿、公平和诚实信用的原则，经双方协商一致达成如下协议：</w:t>
      </w:r>
    </w:p>
    <w:p w14:paraId="3619CBFC">
      <w:pPr>
        <w:tabs>
          <w:tab w:val="left" w:pos="567"/>
          <w:tab w:val="left" w:pos="709"/>
          <w:tab w:val="left" w:pos="1276"/>
        </w:tabs>
        <w:spacing w:after="0" w:line="500" w:lineRule="exact"/>
        <w:rPr>
          <w:rFonts w:hint="eastAsia" w:ascii="宋体" w:hAnsi="宋体" w:cs="宋体"/>
          <w:b/>
          <w:color w:val="auto"/>
          <w:szCs w:val="21"/>
        </w:rPr>
      </w:pPr>
      <w:r>
        <w:rPr>
          <w:rFonts w:hint="eastAsia" w:ascii="宋体" w:hAnsi="宋体" w:cs="宋体"/>
          <w:b/>
          <w:color w:val="auto"/>
          <w:szCs w:val="21"/>
        </w:rPr>
        <w:t>第1条 工期</w:t>
      </w:r>
    </w:p>
    <w:p w14:paraId="26A837E9">
      <w:pPr>
        <w:spacing w:after="0" w:line="500" w:lineRule="exact"/>
        <w:rPr>
          <w:rFonts w:hint="eastAsia" w:ascii="宋体" w:hAnsi="宋体" w:cs="宋体"/>
          <w:color w:val="auto"/>
          <w:szCs w:val="21"/>
        </w:rPr>
      </w:pPr>
      <w:r>
        <w:rPr>
          <w:rFonts w:hint="eastAsia" w:ascii="宋体" w:hAnsi="宋体" w:cs="宋体"/>
          <w:color w:val="auto"/>
          <w:szCs w:val="21"/>
        </w:rPr>
        <w:t xml:space="preserve">1.1本合同工程计划开工日期：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DACE908">
      <w:pPr>
        <w:spacing w:after="0" w:line="500" w:lineRule="exact"/>
        <w:ind w:firstLine="1480"/>
        <w:rPr>
          <w:rFonts w:hint="eastAsia" w:ascii="宋体" w:hAnsi="宋体" w:cs="宋体"/>
          <w:color w:val="auto"/>
          <w:szCs w:val="21"/>
        </w:rPr>
      </w:pPr>
      <w:r>
        <w:rPr>
          <w:rFonts w:hint="eastAsia" w:ascii="宋体" w:hAnsi="宋体" w:cs="宋体"/>
          <w:color w:val="auto"/>
          <w:szCs w:val="21"/>
        </w:rPr>
        <w:t>计划竣工日期：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5DB1C74">
      <w:pPr>
        <w:spacing w:after="0" w:line="500" w:lineRule="exact"/>
        <w:ind w:firstLine="1480"/>
        <w:rPr>
          <w:rFonts w:hint="eastAsia" w:ascii="宋体" w:hAnsi="宋体" w:cs="宋体"/>
          <w:color w:val="auto"/>
          <w:szCs w:val="21"/>
        </w:rPr>
      </w:pPr>
      <w:r>
        <w:rPr>
          <w:rFonts w:hint="eastAsia" w:ascii="宋体" w:hAnsi="宋体" w:cs="宋体"/>
          <w:color w:val="auto"/>
          <w:szCs w:val="21"/>
        </w:rPr>
        <w:t>合同工期总日历天数为</w:t>
      </w:r>
      <w:r>
        <w:rPr>
          <w:rFonts w:hint="eastAsia" w:ascii="宋体" w:hAnsi="宋体" w:cs="宋体"/>
          <w:color w:val="auto"/>
          <w:szCs w:val="21"/>
          <w:u w:val="single"/>
        </w:rPr>
        <w:t xml:space="preserve">       </w:t>
      </w:r>
      <w:r>
        <w:rPr>
          <w:rFonts w:hint="eastAsia" w:ascii="宋体" w:hAnsi="宋体" w:cs="宋体"/>
          <w:color w:val="auto"/>
          <w:szCs w:val="21"/>
        </w:rPr>
        <w:t>日。</w:t>
      </w:r>
    </w:p>
    <w:p w14:paraId="0D1083CA">
      <w:pPr>
        <w:spacing w:after="0" w:line="500" w:lineRule="exact"/>
        <w:ind w:firstLine="420"/>
        <w:rPr>
          <w:rFonts w:hint="eastAsia" w:ascii="宋体" w:hAnsi="宋体" w:cs="宋体"/>
          <w:color w:val="auto"/>
          <w:szCs w:val="21"/>
        </w:rPr>
      </w:pPr>
      <w:r>
        <w:rPr>
          <w:rFonts w:hint="eastAsia" w:ascii="宋体" w:hAnsi="宋体" w:cs="宋体"/>
          <w:color w:val="auto"/>
          <w:szCs w:val="21"/>
        </w:rPr>
        <w:t>工期如需提前或迟延，以最终进场、撤场时间为准。承包方应根据发包方通知的时间开工。承包方于本合同工程实施完毕后，无条件退场。</w:t>
      </w:r>
    </w:p>
    <w:p w14:paraId="2F2D450A">
      <w:pPr>
        <w:tabs>
          <w:tab w:val="left" w:pos="567"/>
        </w:tabs>
        <w:spacing w:after="0" w:line="500" w:lineRule="exact"/>
        <w:ind w:firstLine="420"/>
        <w:rPr>
          <w:rFonts w:hint="eastAsia" w:ascii="宋体" w:hAnsi="宋体" w:cs="宋体"/>
          <w:color w:val="auto"/>
          <w:szCs w:val="21"/>
          <w:u w:val="single"/>
        </w:rPr>
      </w:pPr>
      <w:r>
        <w:rPr>
          <w:rFonts w:hint="eastAsia" w:ascii="宋体" w:hAnsi="宋体" w:cs="宋体"/>
          <w:color w:val="auto"/>
          <w:szCs w:val="21"/>
        </w:rPr>
        <w:t>1.2承包方为提前工期采取的相应措施及因此增加的经济支出：</w:t>
      </w:r>
    </w:p>
    <w:p w14:paraId="021BF180">
      <w:pPr>
        <w:spacing w:after="0" w:line="500" w:lineRule="exact"/>
        <w:ind w:firstLine="420"/>
        <w:rPr>
          <w:rFonts w:hint="eastAsia" w:ascii="宋体" w:hAnsi="宋体" w:cs="宋体"/>
          <w:color w:val="auto"/>
          <w:szCs w:val="21"/>
          <w:u w:val="single"/>
        </w:rPr>
      </w:pPr>
      <w:r>
        <w:rPr>
          <w:rFonts w:hint="eastAsia" w:ascii="宋体" w:hAnsi="宋体" w:cs="宋体"/>
          <w:color w:val="auto"/>
          <w:szCs w:val="21"/>
        </w:rPr>
        <w:t>1.3工期提前或延误的奖罚，由双方协商后在合同中约定。</w:t>
      </w:r>
    </w:p>
    <w:p w14:paraId="57CCFDA9">
      <w:pPr>
        <w:spacing w:after="0" w:line="500" w:lineRule="exact"/>
        <w:rPr>
          <w:rFonts w:hint="eastAsia" w:ascii="宋体" w:hAnsi="宋体" w:cs="宋体"/>
          <w:b/>
          <w:color w:val="auto"/>
          <w:szCs w:val="21"/>
        </w:rPr>
      </w:pPr>
      <w:r>
        <w:rPr>
          <w:rFonts w:hint="eastAsia" w:ascii="宋体" w:hAnsi="宋体" w:cs="宋体"/>
          <w:b/>
          <w:color w:val="auto"/>
          <w:szCs w:val="21"/>
        </w:rPr>
        <w:t>第2条 图纸</w:t>
      </w:r>
    </w:p>
    <w:p w14:paraId="02A5DE49">
      <w:pPr>
        <w:spacing w:after="0" w:line="500" w:lineRule="exact"/>
        <w:ind w:firstLine="420"/>
        <w:rPr>
          <w:rFonts w:hint="eastAsia" w:ascii="宋体" w:hAnsi="宋体" w:cs="宋体"/>
          <w:color w:val="auto"/>
          <w:szCs w:val="21"/>
          <w:u w:val="single"/>
        </w:rPr>
      </w:pPr>
      <w:r>
        <w:rPr>
          <w:rFonts w:hint="eastAsia" w:ascii="宋体" w:hAnsi="宋体" w:cs="宋体"/>
          <w:color w:val="auto"/>
          <w:szCs w:val="21"/>
        </w:rPr>
        <w:t>承包方于</w:t>
      </w:r>
      <w:r>
        <w:rPr>
          <w:rFonts w:hint="eastAsia" w:ascii="宋体" w:hAnsi="宋体" w:cs="宋体"/>
          <w:color w:val="auto"/>
          <w:szCs w:val="21"/>
          <w:u w:val="single"/>
        </w:rPr>
        <w:t xml:space="preserve">  /   </w:t>
      </w:r>
      <w:r>
        <w:rPr>
          <w:rFonts w:hint="eastAsia" w:ascii="宋体" w:hAnsi="宋体" w:cs="宋体"/>
          <w:color w:val="auto"/>
          <w:szCs w:val="21"/>
        </w:rPr>
        <w:t>年</w:t>
      </w:r>
      <w:r>
        <w:rPr>
          <w:rFonts w:hint="eastAsia" w:ascii="宋体" w:hAnsi="宋体" w:cs="宋体"/>
          <w:color w:val="auto"/>
          <w:szCs w:val="21"/>
          <w:u w:val="single"/>
        </w:rPr>
        <w:t xml:space="preserve">  /   </w:t>
      </w:r>
      <w:r>
        <w:rPr>
          <w:rFonts w:hint="eastAsia" w:ascii="宋体" w:hAnsi="宋体" w:cs="宋体"/>
          <w:color w:val="auto"/>
          <w:szCs w:val="21"/>
        </w:rPr>
        <w:t>月</w:t>
      </w:r>
      <w:r>
        <w:rPr>
          <w:rFonts w:hint="eastAsia" w:ascii="宋体" w:hAnsi="宋体" w:cs="宋体"/>
          <w:color w:val="auto"/>
          <w:szCs w:val="21"/>
          <w:u w:val="single"/>
        </w:rPr>
        <w:t xml:space="preserve">   /  </w:t>
      </w:r>
      <w:r>
        <w:rPr>
          <w:rFonts w:hint="eastAsia" w:ascii="宋体" w:hAnsi="宋体" w:cs="宋体"/>
          <w:color w:val="auto"/>
          <w:szCs w:val="21"/>
        </w:rPr>
        <w:t>日向发包方提供施工图纸套，开工前双方应对施工图纸进行签章确认，承包方应严格按照图纸开始施工。</w:t>
      </w:r>
    </w:p>
    <w:p w14:paraId="1313750F">
      <w:pPr>
        <w:spacing w:after="0" w:line="500" w:lineRule="exact"/>
        <w:rPr>
          <w:rFonts w:hint="eastAsia" w:ascii="宋体" w:hAnsi="宋体" w:cs="宋体"/>
          <w:b/>
          <w:color w:val="auto"/>
          <w:szCs w:val="21"/>
        </w:rPr>
      </w:pPr>
      <w:r>
        <w:rPr>
          <w:rFonts w:hint="eastAsia" w:ascii="宋体" w:hAnsi="宋体" w:cs="宋体"/>
          <w:b/>
          <w:color w:val="auto"/>
          <w:szCs w:val="21"/>
        </w:rPr>
        <w:t>第3条 驻工地代表</w:t>
      </w:r>
    </w:p>
    <w:p w14:paraId="05A5A687">
      <w:pPr>
        <w:spacing w:after="0" w:line="500" w:lineRule="exact"/>
        <w:ind w:firstLine="420"/>
        <w:rPr>
          <w:rFonts w:hint="eastAsia" w:ascii="宋体" w:hAnsi="宋体" w:cs="宋体"/>
          <w:color w:val="auto"/>
          <w:szCs w:val="21"/>
        </w:rPr>
      </w:pPr>
      <w:r>
        <w:rPr>
          <w:rFonts w:hint="eastAsia" w:ascii="宋体" w:hAnsi="宋体" w:cs="宋体"/>
          <w:color w:val="auto"/>
          <w:szCs w:val="21"/>
        </w:rPr>
        <w:t>发包方联系人姓名：</w:t>
      </w:r>
      <w:r>
        <w:rPr>
          <w:rFonts w:hint="eastAsia" w:ascii="宋体" w:hAnsi="宋体" w:cs="宋体"/>
          <w:color w:val="auto"/>
          <w:szCs w:val="21"/>
          <w:u w:val="single"/>
        </w:rPr>
        <w:t xml:space="preserve">         </w:t>
      </w:r>
      <w:r>
        <w:rPr>
          <w:rFonts w:hint="eastAsia" w:ascii="宋体" w:hAnsi="宋体" w:cs="宋体"/>
          <w:color w:val="auto"/>
          <w:szCs w:val="21"/>
        </w:rPr>
        <w:t>；项目经理：</w:t>
      </w:r>
      <w:r>
        <w:rPr>
          <w:rFonts w:hint="eastAsia" w:ascii="宋体" w:hAnsi="宋体" w:cs="宋体"/>
          <w:color w:val="auto"/>
          <w:szCs w:val="21"/>
          <w:u w:val="single"/>
        </w:rPr>
        <w:t xml:space="preserve">         </w:t>
      </w:r>
      <w:r>
        <w:rPr>
          <w:rFonts w:hint="eastAsia" w:ascii="宋体" w:hAnsi="宋体" w:cs="宋体"/>
          <w:color w:val="auto"/>
          <w:szCs w:val="21"/>
        </w:rPr>
        <w:t>。</w:t>
      </w:r>
    </w:p>
    <w:p w14:paraId="237EE074">
      <w:pPr>
        <w:widowControl/>
        <w:spacing w:after="0" w:line="500" w:lineRule="exact"/>
        <w:ind w:firstLine="420"/>
        <w:jc w:val="left"/>
        <w:rPr>
          <w:rFonts w:hint="eastAsia" w:ascii="宋体" w:hAnsi="宋体" w:cs="宋体"/>
          <w:color w:val="auto"/>
          <w:szCs w:val="21"/>
        </w:rPr>
      </w:pPr>
      <w:r>
        <w:rPr>
          <w:rFonts w:hint="eastAsia" w:ascii="宋体" w:hAnsi="宋体" w:cs="宋体"/>
          <w:color w:val="auto"/>
          <w:szCs w:val="21"/>
        </w:rPr>
        <w:t>承包方联系人姓名：</w:t>
      </w:r>
      <w:r>
        <w:rPr>
          <w:rFonts w:hint="eastAsia" w:ascii="宋体" w:hAnsi="宋体" w:cs="宋体"/>
          <w:color w:val="auto"/>
          <w:szCs w:val="21"/>
          <w:u w:val="single"/>
        </w:rPr>
        <w:t xml:space="preserve">         </w:t>
      </w:r>
      <w:r>
        <w:rPr>
          <w:rFonts w:hint="eastAsia" w:ascii="宋体" w:hAnsi="宋体" w:cs="宋体"/>
          <w:color w:val="auto"/>
          <w:szCs w:val="21"/>
        </w:rPr>
        <w:t>；项目经理：</w:t>
      </w:r>
      <w:r>
        <w:rPr>
          <w:rFonts w:hint="eastAsia" w:ascii="宋体" w:hAnsi="宋体" w:cs="宋体"/>
          <w:color w:val="auto"/>
          <w:szCs w:val="21"/>
          <w:u w:val="single"/>
        </w:rPr>
        <w:t xml:space="preserve">         </w:t>
      </w:r>
      <w:r>
        <w:rPr>
          <w:rFonts w:hint="eastAsia" w:ascii="宋体" w:hAnsi="宋体" w:cs="宋体"/>
          <w:color w:val="auto"/>
          <w:szCs w:val="21"/>
        </w:rPr>
        <w:t>。</w:t>
      </w:r>
    </w:p>
    <w:p w14:paraId="1A88D24C">
      <w:pPr>
        <w:spacing w:after="0" w:line="500" w:lineRule="exact"/>
        <w:ind w:firstLine="420"/>
        <w:rPr>
          <w:rFonts w:hint="eastAsia" w:ascii="宋体" w:hAnsi="宋体" w:cs="宋体"/>
          <w:color w:val="auto"/>
          <w:szCs w:val="21"/>
        </w:rPr>
      </w:pPr>
      <w:r>
        <w:rPr>
          <w:rFonts w:hint="eastAsia" w:ascii="宋体" w:hAnsi="宋体" w:cs="宋体"/>
          <w:color w:val="auto"/>
          <w:szCs w:val="21"/>
        </w:rPr>
        <w:t>监理人：</w:t>
      </w:r>
      <w:r>
        <w:rPr>
          <w:rFonts w:hint="eastAsia" w:ascii="宋体" w:hAnsi="宋体" w:cs="宋体"/>
          <w:color w:val="auto"/>
          <w:szCs w:val="21"/>
          <w:u w:val="single"/>
        </w:rPr>
        <w:t xml:space="preserve">         </w:t>
      </w:r>
      <w:r>
        <w:rPr>
          <w:rFonts w:hint="eastAsia" w:ascii="宋体" w:hAnsi="宋体" w:cs="宋体"/>
          <w:color w:val="auto"/>
          <w:szCs w:val="21"/>
        </w:rPr>
        <w:t>。</w:t>
      </w:r>
    </w:p>
    <w:p w14:paraId="42AB4AC0">
      <w:pPr>
        <w:tabs>
          <w:tab w:val="left" w:pos="426"/>
        </w:tabs>
        <w:spacing w:after="0" w:line="500" w:lineRule="exact"/>
        <w:rPr>
          <w:rFonts w:hint="eastAsia" w:ascii="宋体" w:hAnsi="宋体" w:cs="宋体"/>
          <w:b/>
          <w:color w:val="auto"/>
          <w:szCs w:val="21"/>
        </w:rPr>
      </w:pPr>
      <w:r>
        <w:rPr>
          <w:rFonts w:hint="eastAsia" w:ascii="宋体" w:hAnsi="宋体" w:cs="宋体"/>
          <w:b/>
          <w:color w:val="auto"/>
          <w:szCs w:val="21"/>
        </w:rPr>
        <w:t>第4条 发包方工作</w:t>
      </w:r>
    </w:p>
    <w:p w14:paraId="1F774D6C">
      <w:pPr>
        <w:spacing w:after="0" w:line="500" w:lineRule="exact"/>
        <w:ind w:firstLine="420"/>
        <w:rPr>
          <w:rFonts w:hint="eastAsia" w:ascii="宋体" w:hAnsi="宋体" w:cs="宋体"/>
          <w:color w:val="auto"/>
          <w:szCs w:val="21"/>
        </w:rPr>
      </w:pPr>
      <w:r>
        <w:rPr>
          <w:rFonts w:hint="eastAsia" w:ascii="宋体" w:hAnsi="宋体" w:cs="宋体"/>
          <w:color w:val="auto"/>
          <w:szCs w:val="21"/>
        </w:rPr>
        <w:t>4.1发包方或发包方委托监理人按照合同约定的期限向承包方发出开工通知。</w:t>
      </w:r>
    </w:p>
    <w:p w14:paraId="62018612">
      <w:pPr>
        <w:spacing w:after="0" w:line="500" w:lineRule="exact"/>
        <w:ind w:firstLine="420"/>
        <w:rPr>
          <w:rFonts w:hint="eastAsia" w:ascii="宋体" w:hAnsi="宋体" w:cs="宋体"/>
          <w:color w:val="auto"/>
          <w:szCs w:val="21"/>
        </w:rPr>
      </w:pPr>
      <w:r>
        <w:rPr>
          <w:rFonts w:hint="eastAsia" w:ascii="宋体" w:hAnsi="宋体" w:cs="宋体"/>
          <w:color w:val="auto"/>
          <w:szCs w:val="21"/>
        </w:rPr>
        <w:t>4.2 协助承包方将施工所需水、电线路、道路接通至施工现场，并于施工期间配合承包方的工作，向承包方提供施工现场资料。将水准点与座标控制点位置提交给承包方，并于现场交验，协调、处理施工现场周围建筑物、构筑物（含文物保护建筑）、古树名木和地下管线的保护及施工扰民问题。</w:t>
      </w:r>
    </w:p>
    <w:p w14:paraId="71BA3FC2">
      <w:pPr>
        <w:spacing w:after="0" w:line="500" w:lineRule="exact"/>
        <w:ind w:firstLine="420"/>
        <w:rPr>
          <w:rFonts w:hint="eastAsia" w:ascii="宋体" w:hAnsi="宋体" w:cs="宋体"/>
          <w:color w:val="auto"/>
          <w:szCs w:val="21"/>
        </w:rPr>
      </w:pPr>
      <w:r>
        <w:rPr>
          <w:rFonts w:hint="eastAsia" w:ascii="宋体" w:hAnsi="宋体" w:cs="宋体"/>
          <w:color w:val="auto"/>
          <w:szCs w:val="21"/>
        </w:rPr>
        <w:t>4.3合同签订后日内组织会审图纸和设计交底，在收到承包方提供的施工组织设计（或施工方案）和进度计划后日内予以确认。</w:t>
      </w:r>
    </w:p>
    <w:p w14:paraId="30E04DE2">
      <w:pPr>
        <w:spacing w:after="0" w:line="500" w:lineRule="exact"/>
        <w:rPr>
          <w:rFonts w:hint="eastAsia" w:ascii="宋体" w:hAnsi="宋体" w:cs="宋体"/>
          <w:b/>
          <w:color w:val="auto"/>
          <w:szCs w:val="21"/>
        </w:rPr>
      </w:pPr>
      <w:r>
        <w:rPr>
          <w:rFonts w:hint="eastAsia" w:ascii="宋体" w:hAnsi="宋体" w:cs="宋体"/>
          <w:b/>
          <w:color w:val="auto"/>
          <w:szCs w:val="21"/>
        </w:rPr>
        <w:t>第5条 承包方工作</w:t>
      </w:r>
    </w:p>
    <w:p w14:paraId="5D4303BF">
      <w:pPr>
        <w:spacing w:after="0" w:line="500" w:lineRule="exact"/>
        <w:ind w:firstLine="420"/>
        <w:rPr>
          <w:rFonts w:hint="eastAsia" w:ascii="宋体" w:hAnsi="宋体" w:cs="宋体"/>
          <w:color w:val="auto"/>
          <w:szCs w:val="21"/>
        </w:rPr>
      </w:pPr>
      <w:r>
        <w:rPr>
          <w:rFonts w:hint="eastAsia" w:ascii="宋体" w:hAnsi="宋体" w:cs="宋体"/>
          <w:color w:val="auto"/>
          <w:szCs w:val="21"/>
        </w:rPr>
        <w:t>5.1承包方应保证其具有承接本合同项下工程的相关资质，并将加盖公章的资质复印件交付发包方备案，并保证其所派员工具备上岗资格。</w:t>
      </w:r>
    </w:p>
    <w:p w14:paraId="36FF8E44">
      <w:pPr>
        <w:spacing w:after="0" w:line="500" w:lineRule="exact"/>
        <w:ind w:firstLine="420"/>
        <w:rPr>
          <w:rFonts w:hint="eastAsia" w:ascii="宋体" w:hAnsi="宋体" w:cs="宋体"/>
          <w:color w:val="auto"/>
          <w:szCs w:val="21"/>
        </w:rPr>
      </w:pPr>
      <w:r>
        <w:rPr>
          <w:rFonts w:hint="eastAsia" w:ascii="宋体" w:hAnsi="宋体" w:cs="宋体"/>
          <w:color w:val="auto"/>
          <w:szCs w:val="21"/>
        </w:rPr>
        <w:t>5.2开工后日向发包方报送施工计划和已完工程进度统计报表。</w:t>
      </w:r>
    </w:p>
    <w:p w14:paraId="401FFDA6">
      <w:pPr>
        <w:tabs>
          <w:tab w:val="left" w:pos="709"/>
        </w:tabs>
        <w:spacing w:after="0" w:line="500" w:lineRule="exact"/>
        <w:ind w:firstLine="420"/>
        <w:rPr>
          <w:rFonts w:hint="eastAsia" w:ascii="宋体" w:hAnsi="宋体" w:cs="宋体"/>
          <w:color w:val="auto"/>
          <w:szCs w:val="21"/>
        </w:rPr>
      </w:pPr>
      <w:r>
        <w:rPr>
          <w:rFonts w:hint="eastAsia" w:ascii="宋体" w:hAnsi="宋体" w:cs="宋体"/>
          <w:color w:val="auto"/>
          <w:szCs w:val="21"/>
        </w:rPr>
        <w:t>5.3本合同项下工程由承包方包工包料。承包方负责本合同项下工程所需的全部施工材料及工具、零部件、设备的采购，所支出的费用由承包方自行负担。</w:t>
      </w:r>
    </w:p>
    <w:p w14:paraId="43DF5A75">
      <w:pPr>
        <w:spacing w:after="0" w:line="500" w:lineRule="exact"/>
        <w:ind w:firstLine="420"/>
        <w:rPr>
          <w:rFonts w:hint="eastAsia" w:ascii="宋体" w:hAnsi="宋体" w:cs="宋体"/>
          <w:color w:val="auto"/>
          <w:szCs w:val="21"/>
        </w:rPr>
      </w:pPr>
      <w:r>
        <w:rPr>
          <w:rFonts w:hint="eastAsia" w:ascii="宋体" w:hAnsi="宋体" w:cs="宋体"/>
          <w:color w:val="auto"/>
          <w:szCs w:val="21"/>
        </w:rPr>
        <w:t>5.4承包方负责将施工材料、设备等运送至施工场地，向发包方提交合格证、检测报告等证明施工材料、设备符合国家相关质量标准的证明文件。</w:t>
      </w:r>
    </w:p>
    <w:p w14:paraId="06CA676F">
      <w:pPr>
        <w:spacing w:after="0" w:line="500" w:lineRule="exact"/>
        <w:ind w:firstLine="420"/>
        <w:rPr>
          <w:rFonts w:hint="eastAsia" w:ascii="宋体" w:hAnsi="宋体" w:cs="宋体"/>
          <w:color w:val="auto"/>
          <w:szCs w:val="21"/>
        </w:rPr>
      </w:pPr>
      <w:r>
        <w:rPr>
          <w:rFonts w:hint="eastAsia" w:ascii="宋体" w:hAnsi="宋体" w:cs="宋体"/>
          <w:color w:val="auto"/>
          <w:szCs w:val="21"/>
        </w:rPr>
        <w:t>5.5承包方应对本合同项下工程项目采取安全措施，确保工程及其人员、材料、设备的安全，避免造成财产、人员的损害。</w:t>
      </w:r>
    </w:p>
    <w:p w14:paraId="0BB2FD43">
      <w:pPr>
        <w:spacing w:after="0" w:line="500" w:lineRule="exact"/>
        <w:ind w:firstLine="420"/>
        <w:rPr>
          <w:rFonts w:hint="eastAsia" w:ascii="宋体" w:hAnsi="宋体" w:cs="宋体"/>
          <w:color w:val="auto"/>
          <w:szCs w:val="21"/>
        </w:rPr>
      </w:pPr>
      <w:r>
        <w:rPr>
          <w:rFonts w:hint="eastAsia" w:ascii="宋体" w:hAnsi="宋体" w:cs="宋体"/>
          <w:color w:val="auto"/>
          <w:szCs w:val="21"/>
        </w:rPr>
        <w:t>5.6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此项费用已包含在本合同总价款内，延误的工期相应顺延。</w:t>
      </w:r>
    </w:p>
    <w:p w14:paraId="0E93F8FB">
      <w:pPr>
        <w:spacing w:after="0" w:line="500" w:lineRule="exact"/>
        <w:ind w:firstLine="420"/>
        <w:rPr>
          <w:rFonts w:hint="eastAsia" w:ascii="宋体" w:hAnsi="宋体" w:cs="宋体"/>
          <w:color w:val="auto"/>
          <w:szCs w:val="21"/>
        </w:rPr>
      </w:pPr>
      <w:r>
        <w:rPr>
          <w:rFonts w:hint="eastAsia" w:ascii="宋体" w:hAnsi="宋体" w:cs="宋体"/>
          <w:color w:val="auto"/>
          <w:szCs w:val="21"/>
        </w:rPr>
        <w:t>5.7 在图纸会审和设计交底后日内向发包方提交施工组织设计（或施工方案）和进度计划。</w:t>
      </w:r>
    </w:p>
    <w:p w14:paraId="05F147CC">
      <w:pPr>
        <w:tabs>
          <w:tab w:val="left" w:pos="1134"/>
        </w:tabs>
        <w:spacing w:after="0" w:line="500" w:lineRule="exact"/>
        <w:ind w:firstLine="420"/>
        <w:rPr>
          <w:rFonts w:hint="eastAsia" w:ascii="宋体" w:hAnsi="宋体" w:cs="宋体"/>
          <w:color w:val="auto"/>
          <w:szCs w:val="21"/>
        </w:rPr>
      </w:pPr>
      <w:r>
        <w:rPr>
          <w:rFonts w:hint="eastAsia" w:ascii="宋体" w:hAnsi="宋体" w:cs="宋体"/>
          <w:color w:val="auto"/>
          <w:szCs w:val="21"/>
        </w:rPr>
        <w:t>5.8承包方应严格遵守本合同的约定及工程质量相关标准。按照本合同约定及发包方的要求进行施工，具体施工内容详见施工方案，施工方案作为本合同附件。</w:t>
      </w:r>
    </w:p>
    <w:p w14:paraId="5D08C651">
      <w:pPr>
        <w:spacing w:after="0" w:line="500" w:lineRule="exact"/>
        <w:ind w:firstLine="420"/>
        <w:rPr>
          <w:rFonts w:hint="eastAsia" w:ascii="宋体" w:hAnsi="宋体" w:cs="宋体"/>
          <w:color w:val="auto"/>
          <w:szCs w:val="21"/>
        </w:rPr>
      </w:pPr>
      <w:r>
        <w:rPr>
          <w:rFonts w:hint="eastAsia" w:ascii="宋体" w:hAnsi="宋体" w:cs="宋体"/>
          <w:color w:val="auto"/>
          <w:szCs w:val="21"/>
        </w:rPr>
        <w:t>5.9工程接收证书颁发前，承包方应负责照管和维护工程。工程接收证书颁发时尚有部分未竣工工程的，承包方还应负责该未竣工工程的照管和维护工作，直至竣工后移交给发包方为止。</w:t>
      </w:r>
    </w:p>
    <w:p w14:paraId="22909702">
      <w:pPr>
        <w:spacing w:after="0" w:line="500" w:lineRule="exact"/>
        <w:ind w:firstLine="420"/>
        <w:rPr>
          <w:rFonts w:hint="eastAsia" w:ascii="宋体" w:hAnsi="宋体" w:cs="宋体"/>
          <w:color w:val="auto"/>
          <w:szCs w:val="21"/>
        </w:rPr>
      </w:pPr>
      <w:r>
        <w:rPr>
          <w:rFonts w:hint="eastAsia" w:ascii="宋体" w:hAnsi="宋体" w:cs="宋体"/>
          <w:color w:val="auto"/>
          <w:szCs w:val="21"/>
        </w:rPr>
        <w:t>5.10承包方应为其工作人员办理意外保险并将保险材料复印件提交发包方留存审查，费用由承包方自行负担。</w:t>
      </w:r>
    </w:p>
    <w:p w14:paraId="3B71E2CE">
      <w:pPr>
        <w:spacing w:after="0" w:line="500" w:lineRule="exact"/>
        <w:ind w:firstLine="420"/>
        <w:rPr>
          <w:rFonts w:hint="eastAsia" w:ascii="宋体" w:hAnsi="宋体" w:cs="宋体"/>
          <w:color w:val="auto"/>
          <w:szCs w:val="21"/>
        </w:rPr>
      </w:pPr>
      <w:r>
        <w:rPr>
          <w:rFonts w:hint="eastAsia" w:ascii="宋体" w:hAnsi="宋体" w:cs="宋体"/>
          <w:color w:val="auto"/>
          <w:szCs w:val="21"/>
        </w:rPr>
        <w:t>5.11凡在有毒有害环境中施工时，承包方应按有关规定提供相应的防护措施。</w:t>
      </w:r>
    </w:p>
    <w:p w14:paraId="7242E2C5">
      <w:pPr>
        <w:spacing w:after="0" w:line="500" w:lineRule="exact"/>
        <w:ind w:firstLine="420"/>
        <w:rPr>
          <w:rFonts w:hint="eastAsia" w:ascii="宋体" w:hAnsi="宋体" w:cs="宋体"/>
          <w:color w:val="auto"/>
          <w:szCs w:val="21"/>
        </w:rPr>
      </w:pPr>
      <w:r>
        <w:rPr>
          <w:rFonts w:hint="eastAsia" w:ascii="宋体" w:hAnsi="宋体" w:cs="宋体"/>
          <w:color w:val="auto"/>
          <w:szCs w:val="21"/>
        </w:rPr>
        <w:t>5.12承包方不按合同约定完成各项工作时，应承担由此给发包方造成的全部经济损失，工期不予顺延。</w:t>
      </w:r>
    </w:p>
    <w:p w14:paraId="19FF7C42">
      <w:pPr>
        <w:spacing w:after="0" w:line="500" w:lineRule="exact"/>
        <w:ind w:firstLine="420"/>
        <w:rPr>
          <w:rFonts w:hint="eastAsia" w:ascii="宋体" w:hAnsi="宋体" w:cs="宋体"/>
          <w:color w:val="auto"/>
          <w:szCs w:val="21"/>
        </w:rPr>
      </w:pPr>
      <w:r>
        <w:rPr>
          <w:rFonts w:hint="eastAsia" w:ascii="宋体" w:hAnsi="宋体" w:cs="宋体"/>
          <w:color w:val="auto"/>
          <w:szCs w:val="21"/>
        </w:rPr>
        <w:t>5.13承包方施工完毕后应对施工改造的工程房屋室内进行甲醛等有毒有害气体检测，并将检测报告交付发包方。若室内空气污染物浓度不符合有关标准的，应采取有效措施去除室内有毒有害气体直至符合室内办公或居住环境止。</w:t>
      </w:r>
    </w:p>
    <w:p w14:paraId="3D907821">
      <w:pPr>
        <w:spacing w:after="0" w:line="500" w:lineRule="exact"/>
        <w:ind w:firstLine="420"/>
        <w:rPr>
          <w:rFonts w:hint="eastAsia" w:ascii="宋体" w:hAnsi="宋体" w:cs="宋体"/>
          <w:color w:val="auto"/>
          <w:szCs w:val="21"/>
        </w:rPr>
      </w:pPr>
      <w:r>
        <w:rPr>
          <w:rFonts w:hint="eastAsia" w:ascii="宋体" w:hAnsi="宋体" w:cs="宋体"/>
          <w:color w:val="auto"/>
          <w:szCs w:val="21"/>
        </w:rPr>
        <w:t>5.14如由于发包方无正当理由影响正常施工的工期，承包方须向监理人申请工期顺延，若承包方在3日内未申请工期顺延的，视为承包方放弃申请工期顺延的权利，工期不予以顺延。</w:t>
      </w:r>
    </w:p>
    <w:p w14:paraId="122777FC">
      <w:pPr>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color w:val="auto"/>
        </w:rPr>
      </w:pPr>
      <w:r>
        <w:rPr>
          <w:rFonts w:hint="eastAsia" w:ascii="宋体" w:hAnsi="宋体" w:eastAsia="宋体" w:cs="宋体"/>
          <w:color w:val="auto"/>
          <w:szCs w:val="21"/>
          <w:lang w:val="en-US" w:eastAsia="zh-CN"/>
        </w:rPr>
        <w:t>5.15承包方需按相关规定自行妥善处置施工过程中产生的全部建筑垃圾及渣土，规范开展清运及消纳工作，并向发包方提供相应的电子运单及其他记录。</w:t>
      </w:r>
    </w:p>
    <w:p w14:paraId="6FCBBCD7">
      <w:pPr>
        <w:spacing w:after="0" w:line="500" w:lineRule="exact"/>
        <w:rPr>
          <w:rFonts w:hint="eastAsia" w:ascii="宋体" w:hAnsi="宋体" w:cs="宋体"/>
          <w:b/>
          <w:color w:val="auto"/>
          <w:szCs w:val="21"/>
        </w:rPr>
      </w:pPr>
      <w:r>
        <w:rPr>
          <w:rFonts w:hint="eastAsia" w:ascii="宋体" w:hAnsi="宋体" w:cs="宋体"/>
          <w:b/>
          <w:color w:val="auto"/>
          <w:szCs w:val="21"/>
        </w:rPr>
        <w:t>第6条 隐蔽工程验收</w:t>
      </w:r>
    </w:p>
    <w:p w14:paraId="5D092B3F">
      <w:pPr>
        <w:spacing w:after="0" w:line="500" w:lineRule="exact"/>
        <w:ind w:firstLine="420"/>
        <w:rPr>
          <w:rFonts w:hint="eastAsia" w:ascii="宋体" w:hAnsi="宋体" w:cs="宋体"/>
          <w:color w:val="auto"/>
          <w:szCs w:val="21"/>
        </w:rPr>
      </w:pPr>
      <w:r>
        <w:rPr>
          <w:rFonts w:hint="eastAsia" w:ascii="宋体" w:hAnsi="宋体" w:cs="宋体"/>
          <w:color w:val="auto"/>
          <w:szCs w:val="21"/>
        </w:rPr>
        <w:t>6.1当工程具备覆盖、掩盖条件或达到中间验收部位以前，由承包方自检，并于自检后48小时内通知发包方、监理人参加验收，验收合格且发包方在验收记录上签字后，方可进行隐蔽和继续施工，工程质量符合规范要求，但发包方未在验收记录签字，视为未经发包方批准，承包方不可进行隐蔽或继续施工。验收不合格的，承包方应在发包方限定时间内修复后重新申请验收，工期不予以顺延。</w:t>
      </w:r>
    </w:p>
    <w:p w14:paraId="3B22E3AB">
      <w:pPr>
        <w:spacing w:after="0" w:line="500" w:lineRule="exact"/>
        <w:ind w:firstLine="420"/>
        <w:rPr>
          <w:rFonts w:hint="eastAsia" w:ascii="宋体" w:hAnsi="宋体" w:cs="宋体"/>
          <w:color w:val="auto"/>
          <w:szCs w:val="21"/>
        </w:rPr>
      </w:pPr>
      <w:r>
        <w:rPr>
          <w:rFonts w:hint="eastAsia" w:ascii="宋体" w:hAnsi="宋体" w:cs="宋体"/>
          <w:color w:val="auto"/>
          <w:szCs w:val="21"/>
        </w:rPr>
        <w:t>6.2本项检验不应影响施工正常进行，如影响施工正常进行，因此造成的损失及工期延误由承包方承担。</w:t>
      </w:r>
    </w:p>
    <w:p w14:paraId="42C5FB83">
      <w:pPr>
        <w:spacing w:after="0" w:line="500" w:lineRule="exact"/>
        <w:rPr>
          <w:rFonts w:hint="eastAsia" w:ascii="宋体" w:hAnsi="宋体" w:cs="宋体"/>
          <w:b/>
          <w:color w:val="auto"/>
          <w:szCs w:val="21"/>
        </w:rPr>
      </w:pPr>
      <w:r>
        <w:rPr>
          <w:rFonts w:hint="eastAsia" w:ascii="宋体" w:hAnsi="宋体" w:cs="宋体"/>
          <w:b/>
          <w:color w:val="auto"/>
          <w:szCs w:val="21"/>
        </w:rPr>
        <w:t>第7条 工程质量</w:t>
      </w:r>
    </w:p>
    <w:p w14:paraId="25BCFCC2">
      <w:pPr>
        <w:spacing w:after="0" w:line="500" w:lineRule="exact"/>
        <w:ind w:firstLine="420"/>
        <w:rPr>
          <w:rFonts w:hint="eastAsia" w:ascii="宋体" w:hAnsi="宋体" w:cs="宋体"/>
          <w:color w:val="auto"/>
          <w:szCs w:val="21"/>
        </w:rPr>
      </w:pPr>
      <w:r>
        <w:rPr>
          <w:rFonts w:hint="eastAsia" w:ascii="宋体" w:hAnsi="宋体" w:cs="宋体"/>
          <w:color w:val="auto"/>
          <w:szCs w:val="21"/>
        </w:rPr>
        <w:t>7.1本合同项目工程质量，承包方应严格按照现行国家有关标准、行业标准、企业标准及相关文件中有关标准中最严格标准执行，工程施工完毕后满足发包方的使用需求。</w:t>
      </w:r>
    </w:p>
    <w:p w14:paraId="3150E6DE">
      <w:pPr>
        <w:spacing w:after="0" w:line="500" w:lineRule="exact"/>
        <w:ind w:firstLine="420"/>
        <w:rPr>
          <w:rFonts w:hint="eastAsia" w:ascii="宋体" w:hAnsi="宋体" w:cs="宋体"/>
          <w:color w:val="auto"/>
          <w:szCs w:val="21"/>
        </w:rPr>
      </w:pPr>
      <w:r>
        <w:rPr>
          <w:rFonts w:hint="eastAsia" w:ascii="宋体" w:hAnsi="宋体" w:cs="宋体"/>
          <w:color w:val="auto"/>
          <w:szCs w:val="21"/>
        </w:rPr>
        <w:t>7.2本合同项下工程应符合建筑物工程室内环境质量要求，室内环境污染浓度经施工后不得超过国家、地方等最严格标准，若国外标准严于我国标准的，应执行国外标准。</w:t>
      </w:r>
    </w:p>
    <w:p w14:paraId="5D09BEED">
      <w:pPr>
        <w:spacing w:after="0" w:line="500" w:lineRule="exact"/>
        <w:ind w:firstLine="420"/>
        <w:rPr>
          <w:rFonts w:hint="eastAsia" w:ascii="宋体" w:hAnsi="宋体" w:cs="宋体"/>
          <w:color w:val="auto"/>
          <w:szCs w:val="21"/>
        </w:rPr>
      </w:pPr>
      <w:r>
        <w:rPr>
          <w:rFonts w:hint="eastAsia" w:ascii="宋体" w:hAnsi="宋体" w:cs="宋体"/>
          <w:color w:val="auto"/>
          <w:szCs w:val="21"/>
        </w:rPr>
        <w:t>7.3发包方、承包方办理竣工验收手续后，发包方于日内按有关规定向质量监督机构申报竣工工程质量备案。承包方应按法律、行政法规或国家关于工程质量保修的有关规定，对交付发包方使用的工程在质量保修期内承担质量保修责任。本合同项目工程验收合格，不免除承包方对工程质量应承担的相关责任。</w:t>
      </w:r>
    </w:p>
    <w:p w14:paraId="0B49EEB7">
      <w:pPr>
        <w:tabs>
          <w:tab w:val="left" w:pos="426"/>
        </w:tabs>
        <w:spacing w:after="0" w:line="500" w:lineRule="exact"/>
        <w:rPr>
          <w:rFonts w:hint="eastAsia" w:ascii="宋体" w:hAnsi="宋体" w:cs="宋体"/>
          <w:b/>
          <w:color w:val="auto"/>
          <w:szCs w:val="21"/>
        </w:rPr>
      </w:pPr>
      <w:r>
        <w:rPr>
          <w:rFonts w:hint="eastAsia" w:ascii="宋体" w:hAnsi="宋体" w:cs="宋体"/>
          <w:b/>
          <w:color w:val="auto"/>
          <w:szCs w:val="21"/>
        </w:rPr>
        <w:t>第8条 设计变更及合同价款的调整</w:t>
      </w:r>
    </w:p>
    <w:p w14:paraId="0652D4EB">
      <w:pPr>
        <w:spacing w:after="0" w:line="500" w:lineRule="exact"/>
        <w:ind w:firstLine="420"/>
        <w:rPr>
          <w:rFonts w:hint="eastAsia" w:ascii="宋体" w:hAnsi="宋体" w:cs="宋体"/>
          <w:color w:val="auto"/>
          <w:szCs w:val="21"/>
        </w:rPr>
      </w:pPr>
      <w:r>
        <w:rPr>
          <w:rFonts w:hint="eastAsia" w:ascii="宋体" w:hAnsi="宋体" w:cs="宋体"/>
          <w:color w:val="auto"/>
          <w:szCs w:val="21"/>
        </w:rPr>
        <w:t>8.1施工中发包方有权对原设计进行变更，但发包方应及时向承包方发出书面变更通知，否则，承包方有权拒绝变更。承包方应按通知进行变更，并于3日内根据发包方要求调整承包方式，提供变更后的完整资料，因变更导致的合理经济支出，由发包方承担。发包方收到变更价款报告之日起5日内予以签章确认。</w:t>
      </w:r>
    </w:p>
    <w:p w14:paraId="7427A4B3">
      <w:pPr>
        <w:pStyle w:val="181"/>
        <w:spacing w:after="0" w:line="500" w:lineRule="exact"/>
        <w:ind w:firstLineChars="0"/>
        <w:rPr>
          <w:rFonts w:hint="eastAsia" w:ascii="宋体" w:hAnsi="宋体" w:cs="宋体"/>
          <w:color w:val="auto"/>
          <w:szCs w:val="21"/>
        </w:rPr>
      </w:pPr>
      <w:r>
        <w:rPr>
          <w:rFonts w:hint="eastAsia" w:ascii="宋体" w:hAnsi="宋体" w:cs="宋体"/>
          <w:color w:val="auto"/>
          <w:szCs w:val="21"/>
        </w:rPr>
        <w:t>8.2本工程按可调整的承包方式对承包造价作如下调整：/</w:t>
      </w:r>
    </w:p>
    <w:p w14:paraId="0420230B">
      <w:pPr>
        <w:spacing w:after="0" w:line="500" w:lineRule="exact"/>
        <w:rPr>
          <w:rFonts w:hint="eastAsia" w:ascii="宋体" w:hAnsi="宋体" w:cs="宋体"/>
          <w:b/>
          <w:color w:val="auto"/>
          <w:szCs w:val="21"/>
        </w:rPr>
      </w:pPr>
      <w:r>
        <w:rPr>
          <w:rFonts w:hint="eastAsia" w:ascii="宋体" w:hAnsi="宋体" w:cs="宋体"/>
          <w:b/>
          <w:color w:val="auto"/>
          <w:szCs w:val="21"/>
        </w:rPr>
        <w:t>第9 条 竣工验收</w:t>
      </w:r>
    </w:p>
    <w:p w14:paraId="7AE43CB6">
      <w:pPr>
        <w:spacing w:after="0" w:line="500" w:lineRule="exact"/>
        <w:rPr>
          <w:rFonts w:hint="eastAsia" w:ascii="宋体" w:hAnsi="宋体" w:cs="宋体"/>
          <w:color w:val="auto"/>
          <w:szCs w:val="21"/>
        </w:rPr>
      </w:pPr>
      <w:bookmarkStart w:id="1227" w:name="_Toc450142789"/>
      <w:bookmarkStart w:id="1228" w:name="_Toc152042505"/>
      <w:bookmarkStart w:id="1229" w:name="_Toc342296377"/>
      <w:bookmarkStart w:id="1230" w:name="_Toc450141310"/>
      <w:bookmarkStart w:id="1231" w:name="_Toc152045726"/>
      <w:bookmarkStart w:id="1232" w:name="_Toc338944819"/>
      <w:bookmarkStart w:id="1233" w:name="_Toc179632744"/>
      <w:bookmarkStart w:id="1234" w:name="_Toc144974697"/>
      <w:r>
        <w:rPr>
          <w:rFonts w:hint="eastAsia" w:ascii="宋体" w:hAnsi="宋体" w:cs="宋体"/>
          <w:color w:val="auto"/>
          <w:szCs w:val="21"/>
        </w:rPr>
        <w:t>9.1竣工验收的含义</w:t>
      </w:r>
      <w:bookmarkEnd w:id="1227"/>
      <w:bookmarkEnd w:id="1228"/>
      <w:bookmarkEnd w:id="1229"/>
      <w:bookmarkEnd w:id="1230"/>
      <w:bookmarkEnd w:id="1231"/>
      <w:bookmarkEnd w:id="1232"/>
      <w:bookmarkEnd w:id="1233"/>
      <w:bookmarkEnd w:id="1234"/>
    </w:p>
    <w:p w14:paraId="7D0A334C">
      <w:pPr>
        <w:spacing w:after="0" w:line="500" w:lineRule="exact"/>
        <w:ind w:firstLine="420"/>
        <w:rPr>
          <w:rFonts w:hint="eastAsia" w:ascii="宋体" w:hAnsi="宋体" w:cs="宋体"/>
          <w:color w:val="auto"/>
          <w:szCs w:val="21"/>
        </w:rPr>
      </w:pPr>
      <w:r>
        <w:rPr>
          <w:rFonts w:hint="eastAsia" w:ascii="宋体" w:hAnsi="宋体" w:cs="宋体"/>
          <w:color w:val="auto"/>
          <w:szCs w:val="21"/>
        </w:rPr>
        <w:t>9.1.1竣工验收指承包方完成了全部合同工作后，发包方按合同要求进行的验收。</w:t>
      </w:r>
    </w:p>
    <w:p w14:paraId="00229736">
      <w:pPr>
        <w:spacing w:after="0" w:line="500" w:lineRule="exact"/>
        <w:ind w:firstLine="420"/>
        <w:rPr>
          <w:rFonts w:hint="eastAsia" w:ascii="宋体" w:hAnsi="宋体" w:cs="宋体"/>
          <w:color w:val="auto"/>
          <w:szCs w:val="21"/>
        </w:rPr>
      </w:pPr>
      <w:r>
        <w:rPr>
          <w:rFonts w:hint="eastAsia" w:ascii="宋体" w:hAnsi="宋体" w:cs="宋体"/>
          <w:color w:val="auto"/>
          <w:szCs w:val="21"/>
        </w:rPr>
        <w:t>9.1.2竣工验收所采用的各项验收和评定标准应符合改造工程国家最新现行验收标准。发包方和承包方为竣工验收提供的各项竣工验收资料应符合国家验收的要求。</w:t>
      </w:r>
    </w:p>
    <w:p w14:paraId="2CBB05DF">
      <w:pPr>
        <w:spacing w:after="0" w:line="500" w:lineRule="exact"/>
        <w:rPr>
          <w:rFonts w:hint="eastAsia" w:ascii="宋体" w:hAnsi="宋体" w:cs="宋体"/>
          <w:color w:val="auto"/>
          <w:szCs w:val="21"/>
        </w:rPr>
      </w:pPr>
      <w:bookmarkStart w:id="1235" w:name="_Toc450142790"/>
      <w:bookmarkStart w:id="1236" w:name="_Toc450141311"/>
      <w:bookmarkStart w:id="1237" w:name="_Toc338944820"/>
      <w:bookmarkStart w:id="1238" w:name="_Toc342296378"/>
      <w:r>
        <w:rPr>
          <w:rFonts w:hint="eastAsia" w:ascii="宋体" w:hAnsi="宋体" w:cs="宋体"/>
          <w:color w:val="auto"/>
          <w:szCs w:val="21"/>
        </w:rPr>
        <w:t>9.2竣工验收申请报告</w:t>
      </w:r>
      <w:bookmarkEnd w:id="1235"/>
      <w:bookmarkEnd w:id="1236"/>
      <w:bookmarkEnd w:id="1237"/>
      <w:bookmarkEnd w:id="1238"/>
    </w:p>
    <w:p w14:paraId="0942B4F1">
      <w:pPr>
        <w:spacing w:after="0" w:line="500" w:lineRule="exact"/>
        <w:ind w:firstLine="420"/>
        <w:rPr>
          <w:rFonts w:hint="eastAsia" w:ascii="宋体" w:hAnsi="宋体" w:cs="宋体"/>
          <w:color w:val="auto"/>
          <w:szCs w:val="21"/>
        </w:rPr>
      </w:pPr>
      <w:r>
        <w:rPr>
          <w:rFonts w:hint="eastAsia" w:ascii="宋体" w:hAnsi="宋体" w:cs="宋体"/>
          <w:color w:val="auto"/>
          <w:szCs w:val="21"/>
        </w:rPr>
        <w:t>当工程同时具备以下条件时，承包方即可向发包方或发包方委托的监理人报送竣工验收申请报告：</w:t>
      </w:r>
    </w:p>
    <w:p w14:paraId="46A18C1B">
      <w:pPr>
        <w:spacing w:after="0" w:line="500" w:lineRule="exact"/>
        <w:ind w:left="53" w:leftChars="25" w:firstLine="420"/>
        <w:rPr>
          <w:rFonts w:hint="eastAsia" w:ascii="宋体" w:hAnsi="宋体" w:cs="宋体"/>
          <w:color w:val="auto"/>
          <w:szCs w:val="21"/>
        </w:rPr>
      </w:pPr>
      <w:r>
        <w:rPr>
          <w:rFonts w:hint="eastAsia" w:ascii="宋体" w:hAnsi="宋体" w:cs="宋体"/>
          <w:color w:val="auto"/>
          <w:szCs w:val="21"/>
        </w:rPr>
        <w:t>（1）除发包方或监理人同意列入缺陷责任期内完成的尾工（甩项）工程和缺陷修补工作外，合同范围内的全部单位工程以及有关工作，包括合同要求的试验、试运行以及检验和验收均已完成，并符合合同要求；</w:t>
      </w:r>
    </w:p>
    <w:p w14:paraId="3D4449A8">
      <w:pPr>
        <w:spacing w:after="0" w:line="500" w:lineRule="exact"/>
        <w:ind w:firstLine="420"/>
        <w:rPr>
          <w:rFonts w:hint="eastAsia" w:ascii="宋体" w:hAnsi="宋体" w:cs="宋体"/>
          <w:color w:val="auto"/>
          <w:szCs w:val="21"/>
        </w:rPr>
      </w:pPr>
      <w:r>
        <w:rPr>
          <w:rFonts w:hint="eastAsia" w:ascii="宋体" w:hAnsi="宋体" w:cs="宋体"/>
          <w:color w:val="auto"/>
          <w:szCs w:val="21"/>
        </w:rPr>
        <w:t>（2）已按合同约定的内容和份数备齐了符合要求的竣工资料；</w:t>
      </w:r>
    </w:p>
    <w:p w14:paraId="08868E35">
      <w:pPr>
        <w:spacing w:after="0" w:line="500" w:lineRule="exact"/>
        <w:ind w:firstLine="420"/>
        <w:rPr>
          <w:rFonts w:hint="eastAsia" w:ascii="宋体" w:hAnsi="宋体" w:cs="宋体"/>
          <w:color w:val="auto"/>
          <w:szCs w:val="21"/>
        </w:rPr>
      </w:pPr>
      <w:r>
        <w:rPr>
          <w:rFonts w:hint="eastAsia" w:ascii="宋体" w:hAnsi="宋体" w:cs="宋体"/>
          <w:color w:val="auto"/>
          <w:szCs w:val="21"/>
        </w:rPr>
        <w:t>（3）已按发包方或监理人的要求编制了在缺陷责任期内完成的尾工（甩项）工程和缺陷修补工作清单以及相应施工计划；</w:t>
      </w:r>
    </w:p>
    <w:p w14:paraId="1518D5DB">
      <w:pPr>
        <w:spacing w:after="0" w:line="500" w:lineRule="exact"/>
        <w:ind w:firstLine="420"/>
        <w:rPr>
          <w:rFonts w:hint="eastAsia" w:ascii="宋体" w:hAnsi="宋体" w:cs="宋体"/>
          <w:color w:val="auto"/>
          <w:szCs w:val="21"/>
        </w:rPr>
      </w:pPr>
      <w:r>
        <w:rPr>
          <w:rFonts w:hint="eastAsia" w:ascii="宋体" w:hAnsi="宋体" w:cs="宋体"/>
          <w:color w:val="auto"/>
          <w:szCs w:val="21"/>
        </w:rPr>
        <w:t>（4）已按发包方或监理人要求在竣工验收前完成了应完成的其他工作；</w:t>
      </w:r>
    </w:p>
    <w:p w14:paraId="40474787">
      <w:pPr>
        <w:spacing w:after="0" w:line="500" w:lineRule="exact"/>
        <w:ind w:firstLine="420"/>
        <w:rPr>
          <w:rFonts w:hint="eastAsia" w:ascii="宋体" w:hAnsi="宋体" w:cs="宋体"/>
          <w:color w:val="auto"/>
          <w:szCs w:val="21"/>
        </w:rPr>
      </w:pPr>
      <w:r>
        <w:rPr>
          <w:rFonts w:hint="eastAsia" w:ascii="宋体" w:hAnsi="宋体" w:cs="宋体"/>
          <w:color w:val="auto"/>
          <w:szCs w:val="21"/>
        </w:rPr>
        <w:t>（5）已按发包方或监理人要求提交了竣工验收资料清单。</w:t>
      </w:r>
    </w:p>
    <w:p w14:paraId="2CE252B0">
      <w:pPr>
        <w:spacing w:after="0" w:line="500" w:lineRule="exact"/>
        <w:rPr>
          <w:rFonts w:hint="eastAsia" w:ascii="宋体" w:hAnsi="宋体" w:cs="宋体"/>
          <w:color w:val="auto"/>
          <w:szCs w:val="21"/>
        </w:rPr>
      </w:pPr>
      <w:bookmarkStart w:id="1239" w:name="_Toc342296379"/>
      <w:bookmarkStart w:id="1240" w:name="_Toc450141312"/>
      <w:bookmarkStart w:id="1241" w:name="_Toc338944821"/>
      <w:bookmarkStart w:id="1242" w:name="_Toc450142791"/>
      <w:r>
        <w:rPr>
          <w:rFonts w:hint="eastAsia" w:ascii="宋体" w:hAnsi="宋体" w:cs="宋体"/>
          <w:color w:val="auto"/>
          <w:szCs w:val="21"/>
        </w:rPr>
        <w:t>9.3验收</w:t>
      </w:r>
      <w:bookmarkEnd w:id="1239"/>
      <w:bookmarkEnd w:id="1240"/>
      <w:bookmarkEnd w:id="1241"/>
      <w:bookmarkEnd w:id="1242"/>
    </w:p>
    <w:p w14:paraId="65415C84">
      <w:pPr>
        <w:spacing w:after="0" w:line="500" w:lineRule="exact"/>
        <w:ind w:firstLine="420"/>
        <w:rPr>
          <w:rFonts w:hint="eastAsia" w:ascii="宋体" w:hAnsi="宋体" w:cs="宋体"/>
          <w:color w:val="auto"/>
          <w:szCs w:val="21"/>
        </w:rPr>
      </w:pPr>
      <w:r>
        <w:rPr>
          <w:rFonts w:hint="eastAsia" w:ascii="宋体" w:hAnsi="宋体" w:cs="宋体"/>
          <w:color w:val="auto"/>
          <w:szCs w:val="21"/>
        </w:rPr>
        <w:t>工程具备验收条件的，承包方按照国家改造工程竣工验收的有关标准向发包方或监理人提供完整的竣工资料及竣工验收报告，发包方或监理人收到承包方按合同约定提交的竣工验收申请报告后，应审查申请报告的各项内容，并按以下不同情况进行处理。</w:t>
      </w:r>
    </w:p>
    <w:p w14:paraId="065D9E26">
      <w:pPr>
        <w:spacing w:after="0" w:line="500" w:lineRule="exact"/>
        <w:ind w:firstLine="420"/>
        <w:rPr>
          <w:rFonts w:hint="eastAsia" w:ascii="宋体" w:hAnsi="宋体" w:cs="宋体"/>
          <w:color w:val="auto"/>
          <w:szCs w:val="21"/>
        </w:rPr>
      </w:pPr>
      <w:r>
        <w:rPr>
          <w:rFonts w:hint="eastAsia" w:ascii="宋体" w:hAnsi="宋体" w:cs="宋体"/>
          <w:color w:val="auto"/>
          <w:szCs w:val="21"/>
        </w:rPr>
        <w:t>9.3.1发包方或监理人审查后认为尚不具备竣工验收条件的，应在收到竣工验收申请报告后的2日内通知承包方，指出在颁发接收证书前承包方还需进行的工作内容。承包方完成发包方或监理人通知的全部工作内容后，应再次提交竣工验收申请报告，直至发包方或监理人认为符合竣工验收条件为止，工期不因申请验收予以顺延。</w:t>
      </w:r>
    </w:p>
    <w:p w14:paraId="5B0AD4FA">
      <w:pPr>
        <w:spacing w:after="0" w:line="500" w:lineRule="exact"/>
        <w:ind w:firstLine="420"/>
        <w:rPr>
          <w:rFonts w:hint="eastAsia" w:ascii="宋体" w:hAnsi="宋体" w:cs="宋体"/>
          <w:color w:val="auto"/>
          <w:szCs w:val="21"/>
        </w:rPr>
      </w:pPr>
      <w:r>
        <w:rPr>
          <w:rFonts w:hint="eastAsia" w:ascii="宋体" w:hAnsi="宋体" w:cs="宋体"/>
          <w:color w:val="auto"/>
          <w:szCs w:val="21"/>
        </w:rPr>
        <w:t>9.3.2监理人审查后认为已具备竣工验收条件的，应在收到竣工验收申请报告后的2日内提请发包方进行工程验收。</w:t>
      </w:r>
    </w:p>
    <w:p w14:paraId="3999D2EE">
      <w:pPr>
        <w:spacing w:after="0" w:line="500" w:lineRule="exact"/>
        <w:ind w:firstLine="420"/>
        <w:rPr>
          <w:rFonts w:hint="eastAsia" w:ascii="宋体" w:hAnsi="宋体" w:cs="宋体"/>
          <w:color w:val="auto"/>
          <w:szCs w:val="21"/>
        </w:rPr>
      </w:pPr>
      <w:r>
        <w:rPr>
          <w:rFonts w:hint="eastAsia" w:ascii="宋体" w:hAnsi="宋体" w:cs="宋体"/>
          <w:color w:val="auto"/>
          <w:szCs w:val="21"/>
        </w:rPr>
        <w:t>9.3.3发包方经过验收后同意接收工程的，应在收到竣工验收申请报告后向承包方出具经发包方签字确认的工程接收证书。发包方验收后同意接收工程但提出整修和完善要求的，有权缓发工程接收证书，并要求承包方予以返工。承包方在发包方要求的期限内整改完成后再次向发包方或监理人申请验收，经复查后承包方达到要求的，经发包方同意后，向承包方出具工程接收证书。</w:t>
      </w:r>
    </w:p>
    <w:p w14:paraId="2F73E439">
      <w:pPr>
        <w:spacing w:after="0" w:line="500" w:lineRule="exact"/>
        <w:ind w:firstLine="420"/>
        <w:rPr>
          <w:rFonts w:hint="eastAsia" w:ascii="宋体" w:hAnsi="宋体" w:cs="宋体"/>
          <w:color w:val="auto"/>
          <w:szCs w:val="21"/>
        </w:rPr>
      </w:pPr>
      <w:r>
        <w:rPr>
          <w:rFonts w:hint="eastAsia" w:ascii="宋体" w:hAnsi="宋体" w:cs="宋体"/>
          <w:color w:val="auto"/>
          <w:szCs w:val="21"/>
        </w:rPr>
        <w:t>9.3.4发包方验收后发现工程质量存在瑕疵或不合格，不同意接收工程的，发包方或监理人应按照发包方的验收意见发出指示，要求承包方对不合格工程认真返工重作或进行补救处理，由承包方承担由此产生的费用。承包方在完成不合格工程的返工重作或补救工作后，应重新提交竣工验收申请报告，按第9.3.1项、第9.3.2项和第9.3.3项的约定进行，工期不予以顺延。如工程经验收后再次不合格的，发包方有权选择解除合同，发包方解除合同的，有权要求承包方退还已支付的所有工程款项，并要求承包方按照合同总工程款的30%向发包方支付违约金。违约金难以弥补发包方损失的，发包方有权向承包方进行追偿；发包方不解除合同的，承包方对本合同项下工程须返工至验收合格止，工期不予以顺延。</w:t>
      </w:r>
    </w:p>
    <w:p w14:paraId="631BC48C">
      <w:pPr>
        <w:spacing w:after="0" w:line="500" w:lineRule="exact"/>
        <w:ind w:firstLine="420"/>
        <w:rPr>
          <w:rFonts w:hint="eastAsia" w:ascii="宋体" w:hAnsi="宋体" w:cs="宋体"/>
          <w:color w:val="auto"/>
          <w:szCs w:val="21"/>
        </w:rPr>
      </w:pPr>
      <w:r>
        <w:rPr>
          <w:rFonts w:hint="eastAsia" w:ascii="宋体" w:hAnsi="宋体" w:cs="宋体"/>
          <w:color w:val="auto"/>
          <w:szCs w:val="21"/>
        </w:rPr>
        <w:t>9.3.5经验收合格工程的实际竣工日期，以竣工验收合格之日为准，并在工程接收证书中写明。</w:t>
      </w:r>
    </w:p>
    <w:p w14:paraId="2AAFC9A7">
      <w:pPr>
        <w:spacing w:after="0" w:line="500" w:lineRule="exact"/>
        <w:ind w:firstLine="420"/>
        <w:rPr>
          <w:rFonts w:hint="eastAsia" w:ascii="宋体" w:hAnsi="宋体" w:cs="宋体"/>
          <w:color w:val="auto"/>
          <w:szCs w:val="21"/>
        </w:rPr>
      </w:pPr>
      <w:r>
        <w:rPr>
          <w:rFonts w:hint="eastAsia" w:ascii="宋体" w:hAnsi="宋体" w:cs="宋体"/>
          <w:color w:val="auto"/>
          <w:szCs w:val="21"/>
        </w:rPr>
        <w:t>9.3.6发包方在收到承包方竣工验收申请报告7日后无正当理由未进行验收的，实际竣工日期以提交竣工验收申请报告的日期为准，但发包方由于不可抗力或法律、法规、政策性变更不能进行验收的除外。</w:t>
      </w:r>
    </w:p>
    <w:p w14:paraId="2728EDCB">
      <w:pPr>
        <w:spacing w:after="0" w:line="500" w:lineRule="exact"/>
        <w:rPr>
          <w:rFonts w:hint="eastAsia" w:ascii="宋体" w:hAnsi="宋体" w:cs="宋体"/>
          <w:color w:val="auto"/>
          <w:szCs w:val="21"/>
        </w:rPr>
      </w:pPr>
      <w:bookmarkStart w:id="1243" w:name="_Toc450141316"/>
      <w:bookmarkStart w:id="1244" w:name="_Toc338944825"/>
      <w:bookmarkStart w:id="1245" w:name="_Toc342296383"/>
      <w:bookmarkStart w:id="1246" w:name="_Toc450142795"/>
      <w:r>
        <w:rPr>
          <w:rFonts w:hint="eastAsia" w:ascii="宋体" w:hAnsi="宋体" w:cs="宋体"/>
          <w:color w:val="auto"/>
          <w:szCs w:val="21"/>
        </w:rPr>
        <w:t>9.4竣工清场</w:t>
      </w:r>
      <w:bookmarkEnd w:id="1243"/>
      <w:bookmarkEnd w:id="1244"/>
      <w:bookmarkEnd w:id="1245"/>
      <w:bookmarkEnd w:id="1246"/>
    </w:p>
    <w:p w14:paraId="42324785">
      <w:pPr>
        <w:spacing w:after="0" w:line="500" w:lineRule="exact"/>
        <w:ind w:firstLine="420"/>
        <w:rPr>
          <w:rFonts w:hint="eastAsia" w:ascii="宋体" w:hAnsi="宋体" w:cs="宋体"/>
          <w:color w:val="auto"/>
          <w:szCs w:val="21"/>
        </w:rPr>
      </w:pPr>
      <w:r>
        <w:rPr>
          <w:rFonts w:hint="eastAsia" w:ascii="宋体" w:hAnsi="宋体" w:cs="宋体"/>
          <w:color w:val="auto"/>
          <w:szCs w:val="21"/>
        </w:rPr>
        <w:t>9.4.1除合同另有约定外，工程接收证书颁发后，承包方应按以下要求对施工场地进行清理，直至发包方或监理人检验合格为止。竣工清场费用由承包方承担。</w:t>
      </w:r>
    </w:p>
    <w:p w14:paraId="29B76F29">
      <w:pPr>
        <w:spacing w:after="0" w:line="500" w:lineRule="exact"/>
        <w:ind w:firstLine="420"/>
        <w:rPr>
          <w:rFonts w:hint="eastAsia" w:ascii="宋体" w:hAnsi="宋体" w:cs="宋体"/>
          <w:color w:val="auto"/>
          <w:szCs w:val="21"/>
        </w:rPr>
      </w:pPr>
      <w:r>
        <w:rPr>
          <w:rFonts w:hint="eastAsia" w:ascii="宋体" w:hAnsi="宋体" w:cs="宋体"/>
          <w:color w:val="auto"/>
          <w:szCs w:val="21"/>
        </w:rPr>
        <w:t>（1）施工场地内残留的垃圾已全部清除出场；</w:t>
      </w:r>
    </w:p>
    <w:p w14:paraId="087C4DC4">
      <w:pPr>
        <w:spacing w:after="0" w:line="500" w:lineRule="exact"/>
        <w:ind w:firstLine="420"/>
        <w:rPr>
          <w:rFonts w:hint="eastAsia" w:ascii="宋体" w:hAnsi="宋体" w:cs="宋体"/>
          <w:color w:val="auto"/>
          <w:szCs w:val="21"/>
        </w:rPr>
      </w:pPr>
      <w:r>
        <w:rPr>
          <w:rFonts w:hint="eastAsia" w:ascii="宋体" w:hAnsi="宋体" w:cs="宋体"/>
          <w:color w:val="auto"/>
          <w:szCs w:val="21"/>
        </w:rPr>
        <w:t>（2）临时工程已拆除，场地已按合同要求进行清理、平整或复原；</w:t>
      </w:r>
    </w:p>
    <w:p w14:paraId="415DD671">
      <w:pPr>
        <w:spacing w:after="0" w:line="500" w:lineRule="exact"/>
        <w:ind w:firstLine="420"/>
        <w:rPr>
          <w:rFonts w:hint="eastAsia" w:ascii="宋体" w:hAnsi="宋体" w:cs="宋体"/>
          <w:color w:val="auto"/>
          <w:szCs w:val="21"/>
        </w:rPr>
      </w:pPr>
      <w:r>
        <w:rPr>
          <w:rFonts w:hint="eastAsia" w:ascii="宋体" w:hAnsi="宋体" w:cs="宋体"/>
          <w:color w:val="auto"/>
          <w:szCs w:val="21"/>
        </w:rPr>
        <w:t>（3）按合同约定应撤离的承包方设备和剩余的材料，包括废弃的施工设备和材料，已按计划撤离施工场地；</w:t>
      </w:r>
    </w:p>
    <w:p w14:paraId="5C89A235">
      <w:pPr>
        <w:spacing w:after="0" w:line="500" w:lineRule="exact"/>
        <w:ind w:firstLine="420"/>
        <w:rPr>
          <w:rFonts w:hint="eastAsia" w:ascii="宋体" w:hAnsi="宋体" w:cs="宋体"/>
          <w:color w:val="auto"/>
          <w:szCs w:val="21"/>
        </w:rPr>
      </w:pPr>
      <w:r>
        <w:rPr>
          <w:rFonts w:hint="eastAsia" w:ascii="宋体" w:hAnsi="宋体" w:cs="宋体"/>
          <w:color w:val="auto"/>
          <w:szCs w:val="21"/>
        </w:rPr>
        <w:t>（4）工程建筑物周边及其附近道路、河道的施工堆积物，已按发包方或监理人指示全部清理；</w:t>
      </w:r>
    </w:p>
    <w:p w14:paraId="6437F011">
      <w:pPr>
        <w:spacing w:after="0" w:line="500" w:lineRule="exact"/>
        <w:ind w:firstLine="420"/>
        <w:rPr>
          <w:rFonts w:hint="eastAsia" w:ascii="宋体" w:hAnsi="宋体" w:cs="宋体"/>
          <w:color w:val="auto"/>
          <w:szCs w:val="21"/>
        </w:rPr>
      </w:pPr>
      <w:r>
        <w:rPr>
          <w:rFonts w:hint="eastAsia" w:ascii="宋体" w:hAnsi="宋体" w:cs="宋体"/>
          <w:color w:val="auto"/>
          <w:szCs w:val="21"/>
        </w:rPr>
        <w:t>（5）发包方或监理人指示的其他场地清理工作已全部完成。</w:t>
      </w:r>
    </w:p>
    <w:p w14:paraId="3AF0ACE0">
      <w:pPr>
        <w:spacing w:after="0" w:line="500" w:lineRule="exact"/>
        <w:rPr>
          <w:rFonts w:hint="eastAsia" w:ascii="宋体" w:hAnsi="宋体" w:cs="宋体"/>
          <w:color w:val="auto"/>
          <w:szCs w:val="21"/>
        </w:rPr>
      </w:pPr>
      <w:bookmarkStart w:id="1247" w:name="_Toc338944826"/>
      <w:bookmarkStart w:id="1248" w:name="_Toc450142796"/>
      <w:bookmarkStart w:id="1249" w:name="_Toc450141317"/>
      <w:bookmarkStart w:id="1250" w:name="_Toc342296384"/>
      <w:r>
        <w:rPr>
          <w:rFonts w:hint="eastAsia" w:ascii="宋体" w:hAnsi="宋体" w:cs="宋体"/>
          <w:color w:val="auto"/>
          <w:szCs w:val="21"/>
        </w:rPr>
        <w:t>9.5施工队伍的撤离</w:t>
      </w:r>
      <w:bookmarkEnd w:id="1247"/>
      <w:bookmarkEnd w:id="1248"/>
      <w:bookmarkEnd w:id="1249"/>
      <w:bookmarkEnd w:id="1250"/>
    </w:p>
    <w:p w14:paraId="6178EA37">
      <w:pPr>
        <w:spacing w:after="0" w:line="500" w:lineRule="exact"/>
        <w:ind w:firstLine="420"/>
        <w:rPr>
          <w:rFonts w:hint="eastAsia" w:ascii="宋体" w:hAnsi="宋体" w:cs="宋体"/>
          <w:color w:val="auto"/>
          <w:szCs w:val="21"/>
        </w:rPr>
      </w:pPr>
      <w:r>
        <w:rPr>
          <w:rFonts w:hint="eastAsia" w:ascii="宋体" w:hAnsi="宋体" w:cs="宋体"/>
          <w:color w:val="auto"/>
          <w:szCs w:val="21"/>
        </w:rPr>
        <w:t>工程接收证书颁发后的7日内，除了经发包方或监理人同意需在工程质保期内继续工作和使用的人员、施工设备和临时工程外，其余的人员、施工设备和临时工程均应撤离施工场地或拆除。除合同另有约定外，缺陷责任期满时，承包方的人员和施工设备应全部撤离施工场地，临时工程应予以全部拆除。</w:t>
      </w:r>
    </w:p>
    <w:p w14:paraId="7A6D2153">
      <w:pPr>
        <w:spacing w:after="0" w:line="470" w:lineRule="exact"/>
        <w:rPr>
          <w:rFonts w:hint="eastAsia" w:ascii="宋体" w:hAnsi="宋体" w:cs="宋体"/>
          <w:b/>
          <w:color w:val="auto"/>
          <w:szCs w:val="21"/>
        </w:rPr>
      </w:pPr>
      <w:r>
        <w:rPr>
          <w:rFonts w:hint="eastAsia" w:ascii="宋体" w:hAnsi="宋体" w:cs="宋体"/>
          <w:color w:val="auto"/>
          <w:szCs w:val="21"/>
        </w:rPr>
        <w:t>9.6本工程竣工验收仅是对工程外观的验收，本合同工程验收合格并不导致免除承包方承担相应责任。因工程质量问题或缺陷给发包方造成的损失由承包方承担。</w:t>
      </w:r>
    </w:p>
    <w:p w14:paraId="6BC7AE6A">
      <w:pPr>
        <w:spacing w:after="0" w:line="470" w:lineRule="exact"/>
        <w:rPr>
          <w:rFonts w:hint="eastAsia" w:ascii="宋体" w:hAnsi="宋体" w:cs="宋体"/>
          <w:b/>
          <w:color w:val="auto"/>
          <w:szCs w:val="21"/>
        </w:rPr>
      </w:pPr>
      <w:r>
        <w:rPr>
          <w:rFonts w:hint="eastAsia" w:ascii="宋体" w:hAnsi="宋体" w:cs="宋体"/>
          <w:b/>
          <w:color w:val="auto"/>
          <w:szCs w:val="21"/>
        </w:rPr>
        <w:t>第10条 工程质量保修责任</w:t>
      </w:r>
    </w:p>
    <w:p w14:paraId="1D687C49">
      <w:pPr>
        <w:spacing w:after="0" w:line="470" w:lineRule="exact"/>
        <w:ind w:firstLine="420"/>
        <w:rPr>
          <w:rFonts w:hint="eastAsia" w:ascii="宋体" w:hAnsi="宋体" w:cs="宋体"/>
          <w:color w:val="auto"/>
          <w:szCs w:val="21"/>
        </w:rPr>
      </w:pPr>
      <w:r>
        <w:rPr>
          <w:rFonts w:hint="eastAsia" w:ascii="宋体" w:hAnsi="宋体" w:cs="宋体"/>
          <w:color w:val="auto"/>
          <w:szCs w:val="21"/>
        </w:rPr>
        <w:t>10.1本合同项目工程质量保修期从本合同工程实际竣工验收合格之日起开始计算。分单项竣工验收的工程项目按单项工程分别计算质量保修期。</w:t>
      </w:r>
      <w:r>
        <w:rPr>
          <w:rFonts w:hint="eastAsia" w:ascii="宋体" w:hAnsi="宋体" w:cs="宋体"/>
          <w:b/>
          <w:color w:val="auto"/>
          <w:szCs w:val="21"/>
        </w:rPr>
        <w:t>承包方须对质保期进行承诺。</w:t>
      </w:r>
    </w:p>
    <w:p w14:paraId="5E8FF2B1">
      <w:pPr>
        <w:spacing w:after="0" w:line="470" w:lineRule="exact"/>
        <w:ind w:firstLine="420"/>
        <w:rPr>
          <w:rFonts w:hint="eastAsia" w:ascii="宋体" w:hAnsi="宋体" w:cs="宋体"/>
          <w:color w:val="auto"/>
          <w:szCs w:val="21"/>
        </w:rPr>
      </w:pPr>
      <w:r>
        <w:rPr>
          <w:rFonts w:hint="eastAsia" w:ascii="宋体" w:hAnsi="宋体" w:cs="宋体"/>
          <w:color w:val="auto"/>
          <w:szCs w:val="21"/>
        </w:rPr>
        <w:t>10.2本合同项下工程质量保修应严格遵守《房屋建筑工程质量保修办法》，双方根据有关规定，结合本合同具体工程约定质量保修期如下：装修装饰工程为2年；</w:t>
      </w:r>
    </w:p>
    <w:p w14:paraId="1A074080">
      <w:pPr>
        <w:spacing w:after="0" w:line="470" w:lineRule="exact"/>
        <w:ind w:firstLine="420"/>
        <w:rPr>
          <w:rFonts w:hint="eastAsia" w:ascii="宋体" w:hAnsi="宋体" w:cs="宋体"/>
          <w:color w:val="auto"/>
          <w:szCs w:val="21"/>
        </w:rPr>
      </w:pPr>
      <w:r>
        <w:rPr>
          <w:rFonts w:hint="eastAsia" w:ascii="宋体" w:hAnsi="宋体" w:cs="宋体"/>
          <w:color w:val="auto"/>
          <w:szCs w:val="21"/>
        </w:rPr>
        <w:t>10.3根据有关法律规定，承包方应在保修期内承担工程质量责任，若保修期间出现工程质量瑕疵，承包方应及时修复，保证发包方的正常使用。如因承包方使用不符合约定或国家标准的建筑材料或未按照施工图纸及发包方要求进行施工的，保修期不受上述任何条款的限制，所产生的损失及违约责任由承包方承担。</w:t>
      </w:r>
    </w:p>
    <w:p w14:paraId="4AB91FE1">
      <w:pPr>
        <w:spacing w:after="0" w:line="470" w:lineRule="exact"/>
        <w:rPr>
          <w:rFonts w:hint="eastAsia" w:ascii="宋体" w:hAnsi="宋体" w:cs="宋体"/>
          <w:b/>
          <w:color w:val="auto"/>
          <w:szCs w:val="21"/>
        </w:rPr>
      </w:pPr>
      <w:r>
        <w:rPr>
          <w:rFonts w:hint="eastAsia" w:ascii="宋体" w:hAnsi="宋体" w:cs="宋体"/>
          <w:b/>
          <w:color w:val="auto"/>
          <w:szCs w:val="21"/>
        </w:rPr>
        <w:t>第11条 工程价款及结算</w:t>
      </w:r>
    </w:p>
    <w:p w14:paraId="6F1695A3">
      <w:pPr>
        <w:spacing w:after="0" w:line="470" w:lineRule="exact"/>
        <w:ind w:firstLine="420"/>
        <w:rPr>
          <w:rFonts w:hint="eastAsia" w:ascii="宋体" w:hAnsi="宋体" w:cs="宋体"/>
          <w:color w:val="auto"/>
          <w:szCs w:val="21"/>
        </w:rPr>
      </w:pPr>
      <w:r>
        <w:rPr>
          <w:rFonts w:hint="eastAsia" w:ascii="宋体" w:hAnsi="宋体" w:cs="宋体"/>
          <w:color w:val="auto"/>
          <w:szCs w:val="21"/>
        </w:rPr>
        <w:t>11.1本合同签订完成后，发包方在10个工作日内向承包方支付合同额的100%作为预付款，</w:t>
      </w:r>
      <w:r>
        <w:rPr>
          <w:rFonts w:ascii="宋体" w:hAnsi="宋体" w:cs="宋体"/>
          <w:color w:val="auto"/>
          <w:szCs w:val="21"/>
        </w:rPr>
        <w:t>承包方在收到</w:t>
      </w:r>
      <w:r>
        <w:rPr>
          <w:rFonts w:hint="eastAsia" w:ascii="宋体" w:hAnsi="宋体" w:cs="宋体"/>
          <w:color w:val="auto"/>
          <w:szCs w:val="21"/>
        </w:rPr>
        <w:t>全部预付款之日起20个工作日内，向发包方提交由发包方认可的等额银行预付款保函，担保期至2026年3月30日。</w:t>
      </w:r>
      <w:r>
        <w:rPr>
          <w:rFonts w:ascii="宋体" w:hAnsi="宋体" w:cs="宋体"/>
          <w:color w:val="auto"/>
          <w:szCs w:val="21"/>
        </w:rPr>
        <w:t>承包方在</w:t>
      </w:r>
      <w:r>
        <w:rPr>
          <w:rFonts w:hint="eastAsia" w:ascii="宋体" w:hAnsi="宋体" w:cs="宋体"/>
          <w:color w:val="auto"/>
          <w:szCs w:val="21"/>
        </w:rPr>
        <w:t>2026年3月30日前向发包方提交由发包方认可的银行履约保函，担保金额为合同额的50%，担保期至2026年9月30日。</w:t>
      </w:r>
      <w:r>
        <w:rPr>
          <w:rFonts w:ascii="宋体" w:hAnsi="宋体" w:cs="宋体"/>
          <w:color w:val="auto"/>
          <w:szCs w:val="21"/>
        </w:rPr>
        <w:t>承包方在</w:t>
      </w:r>
      <w:r>
        <w:rPr>
          <w:rFonts w:hint="eastAsia" w:ascii="宋体" w:hAnsi="宋体" w:cs="宋体"/>
          <w:color w:val="auto"/>
          <w:szCs w:val="21"/>
        </w:rPr>
        <w:t>竣工结算后20个工作日内前向发包方提交由发包方认可的银行质保金保函，担保金额为总结算金额的3%，担保期至质保期到期。但在发包方支付前，承包方须向发包方提供等额、有效发票，</w:t>
      </w:r>
      <w:r>
        <w:rPr>
          <w:rFonts w:hint="eastAsia" w:ascii="宋体" w:hAnsi="宋体" w:cs="宋体"/>
          <w:color w:val="auto"/>
          <w:kern w:val="0"/>
          <w:szCs w:val="21"/>
        </w:rPr>
        <w:t>否则发包方不予付款，延期付款结果由承包方承担</w:t>
      </w:r>
      <w:r>
        <w:rPr>
          <w:rFonts w:hint="eastAsia" w:ascii="宋体" w:hAnsi="宋体" w:cs="宋体"/>
          <w:color w:val="auto"/>
          <w:szCs w:val="21"/>
        </w:rPr>
        <w:t>。本合同为</w:t>
      </w:r>
      <w:r>
        <w:rPr>
          <w:rFonts w:hint="eastAsia" w:ascii="宋体" w:hAnsi="宋体" w:cs="宋体"/>
          <w:color w:val="auto"/>
          <w:szCs w:val="21"/>
          <w:u w:val="single"/>
        </w:rPr>
        <w:t xml:space="preserve">  综合总价  </w:t>
      </w:r>
      <w:r>
        <w:rPr>
          <w:rFonts w:hint="eastAsia" w:ascii="宋体" w:hAnsi="宋体" w:cs="宋体"/>
          <w:color w:val="auto"/>
          <w:szCs w:val="21"/>
        </w:rPr>
        <w:t xml:space="preserve"> 合同。</w:t>
      </w:r>
    </w:p>
    <w:p w14:paraId="6FC238C9">
      <w:pPr>
        <w:spacing w:after="0" w:line="470" w:lineRule="exact"/>
        <w:ind w:firstLine="420"/>
        <w:rPr>
          <w:rFonts w:hint="eastAsia" w:ascii="宋体" w:hAnsi="宋体" w:cs="宋体"/>
          <w:color w:val="auto"/>
          <w:szCs w:val="21"/>
        </w:rPr>
      </w:pPr>
      <w:r>
        <w:rPr>
          <w:rFonts w:hint="eastAsia" w:ascii="宋体" w:hAnsi="宋体" w:cs="宋体"/>
          <w:color w:val="auto"/>
          <w:szCs w:val="21"/>
        </w:rPr>
        <w:t>11.2承包方指定收款账户信息如下：</w:t>
      </w:r>
    </w:p>
    <w:p w14:paraId="411D7CB3">
      <w:pPr>
        <w:spacing w:after="0" w:line="470" w:lineRule="exact"/>
        <w:ind w:firstLine="420"/>
        <w:rPr>
          <w:rFonts w:hint="eastAsia" w:ascii="宋体" w:hAnsi="宋体" w:cs="宋体"/>
          <w:b/>
          <w:color w:val="auto"/>
          <w:szCs w:val="21"/>
        </w:rPr>
      </w:pPr>
      <w:r>
        <w:rPr>
          <w:rFonts w:hint="eastAsia" w:ascii="宋体" w:hAnsi="宋体" w:cs="宋体"/>
          <w:b/>
          <w:color w:val="auto"/>
          <w:szCs w:val="21"/>
        </w:rPr>
        <w:t xml:space="preserve">账户名：                                   账  号：      </w:t>
      </w:r>
    </w:p>
    <w:p w14:paraId="2FDD2A51">
      <w:pPr>
        <w:spacing w:after="0" w:line="470" w:lineRule="exact"/>
        <w:ind w:firstLine="420"/>
        <w:rPr>
          <w:rFonts w:hint="eastAsia" w:ascii="宋体" w:hAnsi="宋体" w:cs="宋体"/>
          <w:b/>
          <w:color w:val="auto"/>
          <w:szCs w:val="21"/>
        </w:rPr>
      </w:pPr>
      <w:r>
        <w:rPr>
          <w:rFonts w:hint="eastAsia" w:ascii="宋体" w:hAnsi="宋体" w:cs="宋体"/>
          <w:b/>
          <w:color w:val="auto"/>
          <w:szCs w:val="21"/>
        </w:rPr>
        <w:t xml:space="preserve">开户行：                                   联行号：                                </w:t>
      </w:r>
    </w:p>
    <w:p w14:paraId="6D69531C">
      <w:pPr>
        <w:spacing w:after="0" w:line="470" w:lineRule="exact"/>
        <w:ind w:firstLine="420"/>
        <w:rPr>
          <w:rFonts w:hint="eastAsia" w:ascii="宋体" w:hAnsi="宋体" w:cs="宋体"/>
          <w:color w:val="auto"/>
          <w:szCs w:val="21"/>
        </w:rPr>
      </w:pPr>
      <w:r>
        <w:rPr>
          <w:rFonts w:hint="eastAsia" w:ascii="宋体" w:hAnsi="宋体" w:cs="宋体"/>
          <w:color w:val="auto"/>
          <w:szCs w:val="21"/>
        </w:rPr>
        <w:t>上述账户信息为经承包方核实、确认后所提供的账户信息，如承包方账号变更，应书面方式提前三日向发包方告知。如未告知的，由承包方承担相应责任，发包方向上述账户付款视为已履行完毕付款义务。</w:t>
      </w:r>
    </w:p>
    <w:p w14:paraId="3A27EC37">
      <w:pPr>
        <w:spacing w:after="0" w:line="470" w:lineRule="exact"/>
        <w:rPr>
          <w:rFonts w:hint="eastAsia" w:ascii="宋体" w:hAnsi="宋体" w:cs="宋体"/>
          <w:b/>
          <w:color w:val="auto"/>
          <w:szCs w:val="21"/>
        </w:rPr>
      </w:pPr>
      <w:r>
        <w:rPr>
          <w:rFonts w:hint="eastAsia" w:ascii="宋体" w:hAnsi="宋体" w:cs="宋体"/>
          <w:b/>
          <w:color w:val="auto"/>
          <w:szCs w:val="21"/>
        </w:rPr>
        <w:t>11.3质保金</w:t>
      </w:r>
    </w:p>
    <w:p w14:paraId="791104AB">
      <w:pPr>
        <w:spacing w:after="0" w:line="470" w:lineRule="exact"/>
        <w:ind w:firstLine="420"/>
        <w:rPr>
          <w:rFonts w:hint="eastAsia" w:ascii="宋体" w:hAnsi="宋体" w:cs="宋体"/>
          <w:color w:val="auto"/>
          <w:szCs w:val="21"/>
        </w:rPr>
      </w:pPr>
      <w:r>
        <w:rPr>
          <w:rFonts w:hint="eastAsia" w:ascii="宋体" w:hAnsi="宋体" w:cs="宋体"/>
          <w:color w:val="auto"/>
          <w:szCs w:val="21"/>
        </w:rPr>
        <w:t>本合同质保金为竣工结算金额的3%，承包方在竣工结算后20个工作日内前向发包方提交由发包方认可的银行质保金保函，担保金额为总结算金额的3%，担保期至质保期到期。</w:t>
      </w:r>
    </w:p>
    <w:p w14:paraId="387802A7">
      <w:pPr>
        <w:spacing w:after="0" w:line="500" w:lineRule="exact"/>
        <w:rPr>
          <w:rFonts w:hint="eastAsia" w:ascii="宋体" w:hAnsi="宋体" w:cs="宋体"/>
          <w:b/>
          <w:color w:val="auto"/>
          <w:szCs w:val="21"/>
        </w:rPr>
      </w:pPr>
      <w:r>
        <w:rPr>
          <w:rFonts w:hint="eastAsia" w:ascii="宋体" w:hAnsi="宋体" w:cs="宋体"/>
          <w:b/>
          <w:color w:val="auto"/>
          <w:szCs w:val="21"/>
        </w:rPr>
        <w:t>第12条材料设备的供应</w:t>
      </w:r>
    </w:p>
    <w:p w14:paraId="216F6C1B">
      <w:pPr>
        <w:spacing w:after="0" w:line="500" w:lineRule="exact"/>
        <w:ind w:firstLine="420"/>
        <w:rPr>
          <w:rFonts w:hint="eastAsia" w:ascii="宋体" w:hAnsi="宋体" w:cs="宋体"/>
          <w:color w:val="auto"/>
          <w:szCs w:val="21"/>
        </w:rPr>
      </w:pPr>
      <w:r>
        <w:rPr>
          <w:rFonts w:hint="eastAsia" w:ascii="宋体" w:hAnsi="宋体" w:cs="宋体"/>
          <w:color w:val="auto"/>
          <w:szCs w:val="21"/>
        </w:rPr>
        <w:t>12.1承包方应对其负责供应的材料设备，提供产品合格证明；如提供与设计和规范要求不符的产品，应重新采购符合要求的产品，并承担由此发生的费用。</w:t>
      </w:r>
    </w:p>
    <w:p w14:paraId="04490414">
      <w:pPr>
        <w:spacing w:after="0" w:line="500" w:lineRule="exact"/>
        <w:ind w:firstLine="420"/>
        <w:rPr>
          <w:rFonts w:hint="eastAsia" w:ascii="宋体" w:hAnsi="宋体" w:cs="宋体"/>
          <w:color w:val="auto"/>
          <w:szCs w:val="21"/>
        </w:rPr>
      </w:pPr>
      <w:r>
        <w:rPr>
          <w:rFonts w:hint="eastAsia" w:ascii="宋体" w:hAnsi="宋体" w:cs="宋体"/>
          <w:color w:val="auto"/>
          <w:szCs w:val="21"/>
        </w:rPr>
        <w:t>12.2承包方需使用代用材料时，须经发包方授权代表书面批准方可使用，由此产生的相关费用由承包方负担。</w:t>
      </w:r>
    </w:p>
    <w:p w14:paraId="646ABA77">
      <w:pPr>
        <w:spacing w:after="0" w:line="500" w:lineRule="exact"/>
        <w:ind w:firstLine="420"/>
        <w:rPr>
          <w:rFonts w:hint="eastAsia" w:ascii="宋体" w:hAnsi="宋体" w:cs="宋体"/>
          <w:color w:val="auto"/>
          <w:szCs w:val="21"/>
        </w:rPr>
      </w:pPr>
      <w:r>
        <w:rPr>
          <w:rFonts w:hint="eastAsia" w:ascii="宋体" w:hAnsi="宋体" w:cs="宋体"/>
          <w:color w:val="auto"/>
          <w:szCs w:val="21"/>
        </w:rPr>
        <w:t>12.3承包方应对所提供的材料质量负责，不得使用含有甲醛等有毒有害材料、家具。对于瑕疵质量产品，承包方有义务免费及时进行更换直至整体工程验收合格。</w:t>
      </w:r>
    </w:p>
    <w:p w14:paraId="0E6FE98A">
      <w:pPr>
        <w:spacing w:after="0" w:line="500" w:lineRule="exact"/>
        <w:rPr>
          <w:rFonts w:hint="eastAsia" w:ascii="宋体" w:hAnsi="宋体" w:cs="宋体"/>
          <w:b/>
          <w:color w:val="auto"/>
          <w:szCs w:val="21"/>
        </w:rPr>
      </w:pPr>
      <w:r>
        <w:rPr>
          <w:rFonts w:hint="eastAsia" w:ascii="宋体" w:hAnsi="宋体" w:cs="宋体"/>
          <w:b/>
          <w:color w:val="auto"/>
          <w:szCs w:val="21"/>
        </w:rPr>
        <w:t>第13条违约责任</w:t>
      </w:r>
    </w:p>
    <w:p w14:paraId="682BA1B8">
      <w:pPr>
        <w:spacing w:after="0" w:line="500" w:lineRule="exact"/>
        <w:ind w:firstLine="420"/>
        <w:rPr>
          <w:rFonts w:hint="eastAsia" w:ascii="宋体" w:hAnsi="宋体" w:cs="宋体"/>
          <w:color w:val="auto"/>
          <w:szCs w:val="21"/>
        </w:rPr>
      </w:pPr>
      <w:r>
        <w:rPr>
          <w:rFonts w:hint="eastAsia" w:ascii="宋体" w:hAnsi="宋体" w:cs="宋体"/>
          <w:color w:val="auto"/>
          <w:szCs w:val="21"/>
        </w:rPr>
        <w:t>13.1承包方不得将其承包的全部或部分工程转包给第三人，或将其承包的全部或部分工程肢解后以分包的名义转包给第三人。一经发包方发现，发包方有权解除合同并要求承包方赔偿发包方所遭受的全部经济损失。</w:t>
      </w:r>
    </w:p>
    <w:p w14:paraId="088E075A">
      <w:pPr>
        <w:spacing w:after="0" w:line="500" w:lineRule="exact"/>
        <w:ind w:firstLine="420"/>
        <w:rPr>
          <w:rFonts w:hint="eastAsia" w:ascii="宋体" w:hAnsi="宋体" w:cs="宋体"/>
          <w:color w:val="auto"/>
          <w:szCs w:val="21"/>
        </w:rPr>
      </w:pPr>
      <w:r>
        <w:rPr>
          <w:rFonts w:hint="eastAsia" w:ascii="宋体" w:hAnsi="宋体" w:cs="宋体"/>
          <w:color w:val="auto"/>
          <w:szCs w:val="21"/>
        </w:rPr>
        <w:t>13.2承包方采购、使用不合格材料或工程设备，或工程质量不符合验收标准的，经返工后仍无法符合相关质量标准的，发包方有权解除合同并拒绝支付工程款项，同时有权要求承包方支付本合同总工程款30%的违约金，违约金无法弥补损失的，发包方有权向承包方进行追偿。</w:t>
      </w:r>
    </w:p>
    <w:p w14:paraId="42B7FC96">
      <w:pPr>
        <w:spacing w:after="0" w:line="500" w:lineRule="exact"/>
        <w:ind w:firstLine="420"/>
        <w:rPr>
          <w:rFonts w:hint="eastAsia" w:ascii="宋体" w:hAnsi="宋体" w:cs="宋体"/>
          <w:color w:val="auto"/>
          <w:szCs w:val="21"/>
        </w:rPr>
      </w:pPr>
      <w:r>
        <w:rPr>
          <w:rFonts w:hint="eastAsia" w:ascii="宋体" w:hAnsi="宋体" w:cs="宋体"/>
          <w:color w:val="auto"/>
          <w:szCs w:val="21"/>
        </w:rPr>
        <w:t>13.3承包方未按照进度计划及时完成本合同约定的工程项目的，每逾期一日，承包方须向发包方支付总工程款千分之三的迟延违约金。逾期5日，发包方有权解除合同，并要求承包方支付本合同总工程款30%的违约金，因发包方原因除外。</w:t>
      </w:r>
    </w:p>
    <w:p w14:paraId="0A0CAC55">
      <w:pPr>
        <w:spacing w:after="0" w:line="500" w:lineRule="exact"/>
        <w:ind w:firstLine="420"/>
        <w:rPr>
          <w:rFonts w:hint="eastAsia" w:ascii="宋体" w:hAnsi="宋体" w:cs="宋体"/>
          <w:color w:val="auto"/>
          <w:szCs w:val="21"/>
        </w:rPr>
      </w:pPr>
      <w:r>
        <w:rPr>
          <w:rFonts w:hint="eastAsia" w:ascii="宋体" w:hAnsi="宋体" w:cs="宋体"/>
          <w:color w:val="auto"/>
          <w:szCs w:val="21"/>
        </w:rPr>
        <w:t>13.4承包方未尽安全保障义务，造成承包方或发包方工作人员或第三方人身或财产损害的，由此所产生的全部经济损失应当由承包方全部承担，并由承包方承担相应法律责任。</w:t>
      </w:r>
    </w:p>
    <w:p w14:paraId="78EFC320">
      <w:pPr>
        <w:spacing w:after="0" w:line="500" w:lineRule="exact"/>
        <w:ind w:firstLine="420"/>
        <w:rPr>
          <w:rFonts w:hint="eastAsia" w:ascii="宋体" w:hAnsi="宋体" w:cs="宋体"/>
          <w:color w:val="auto"/>
          <w:szCs w:val="21"/>
        </w:rPr>
      </w:pPr>
      <w:r>
        <w:rPr>
          <w:rFonts w:hint="eastAsia" w:ascii="宋体" w:hAnsi="宋体" w:cs="宋体"/>
          <w:color w:val="auto"/>
          <w:szCs w:val="21"/>
        </w:rPr>
        <w:t>13.5发包方或承包方不能按本合同约定内容履行自己的各项义务及发生使合同无法履行的行为，应承担相应的违约责任，包括支付违约金，赔偿因其违约给对方造成的全部经济损失。</w:t>
      </w:r>
    </w:p>
    <w:p w14:paraId="0594695F">
      <w:pPr>
        <w:spacing w:after="0" w:line="500" w:lineRule="exact"/>
        <w:ind w:firstLine="420"/>
        <w:rPr>
          <w:rFonts w:hint="eastAsia" w:ascii="宋体" w:hAnsi="宋体" w:cs="宋体"/>
          <w:color w:val="auto"/>
          <w:szCs w:val="21"/>
        </w:rPr>
      </w:pPr>
      <w:r>
        <w:rPr>
          <w:rFonts w:hint="eastAsia" w:ascii="宋体" w:hAnsi="宋体" w:cs="宋体"/>
          <w:color w:val="auto"/>
          <w:szCs w:val="21"/>
        </w:rPr>
        <w:t>13.6除非双方协议将合同终止，或因一方违约使合同无法履行，违约方承担违约责任后仍应继续履行合同。</w:t>
      </w:r>
    </w:p>
    <w:p w14:paraId="30DB3A59">
      <w:pPr>
        <w:spacing w:after="0" w:line="500" w:lineRule="exact"/>
        <w:rPr>
          <w:rFonts w:hint="eastAsia" w:ascii="宋体" w:hAnsi="宋体" w:cs="宋体"/>
          <w:b/>
          <w:color w:val="auto"/>
          <w:szCs w:val="21"/>
        </w:rPr>
      </w:pPr>
      <w:r>
        <w:rPr>
          <w:rFonts w:hint="eastAsia" w:ascii="宋体" w:hAnsi="宋体" w:cs="宋体"/>
          <w:b/>
          <w:color w:val="auto"/>
          <w:szCs w:val="21"/>
        </w:rPr>
        <w:t>第14条争议解决方式</w:t>
      </w:r>
    </w:p>
    <w:p w14:paraId="44E9916E">
      <w:pPr>
        <w:spacing w:after="0" w:line="500" w:lineRule="exact"/>
        <w:ind w:firstLine="420"/>
        <w:rPr>
          <w:rFonts w:hint="eastAsia" w:ascii="宋体" w:hAnsi="宋体" w:cs="宋体"/>
          <w:color w:val="auto"/>
          <w:szCs w:val="21"/>
        </w:rPr>
      </w:pPr>
      <w:r>
        <w:rPr>
          <w:rFonts w:hint="eastAsia" w:ascii="宋体" w:hAnsi="宋体" w:cs="宋体"/>
          <w:color w:val="auto"/>
          <w:szCs w:val="21"/>
        </w:rPr>
        <w:t>发包方、承包方双方发生争议时，可以通过协商或者申请施工合同管理机构会同有关部门调解解决争议。不愿调解或调解不成的，任何一方均可向工程所在地有管辖权的人民法院提起诉讼。</w:t>
      </w:r>
    </w:p>
    <w:p w14:paraId="6FD194D1">
      <w:pPr>
        <w:spacing w:after="0" w:line="500" w:lineRule="exact"/>
        <w:rPr>
          <w:rFonts w:hint="eastAsia" w:ascii="宋体" w:hAnsi="宋体" w:cs="宋体"/>
          <w:b/>
          <w:color w:val="auto"/>
          <w:szCs w:val="21"/>
        </w:rPr>
      </w:pPr>
      <w:r>
        <w:rPr>
          <w:rFonts w:hint="eastAsia" w:ascii="宋体" w:hAnsi="宋体" w:cs="宋体"/>
          <w:b/>
          <w:color w:val="auto"/>
          <w:szCs w:val="21"/>
        </w:rPr>
        <w:t>第15条合同份数</w:t>
      </w:r>
    </w:p>
    <w:p w14:paraId="5929ED2F">
      <w:pPr>
        <w:spacing w:after="0" w:line="500" w:lineRule="exact"/>
        <w:ind w:firstLine="420"/>
        <w:rPr>
          <w:rFonts w:hint="eastAsia" w:ascii="宋体" w:hAnsi="宋体" w:cs="宋体"/>
          <w:color w:val="auto"/>
          <w:szCs w:val="21"/>
        </w:rPr>
      </w:pPr>
      <w:r>
        <w:rPr>
          <w:rFonts w:hint="eastAsia" w:ascii="宋体" w:hAnsi="宋体" w:cs="宋体"/>
          <w:color w:val="auto"/>
          <w:szCs w:val="21"/>
        </w:rPr>
        <w:t>本合同一式</w:t>
      </w:r>
      <w:r>
        <w:rPr>
          <w:rFonts w:hint="eastAsia" w:ascii="宋体" w:hAnsi="宋体" w:cs="宋体"/>
          <w:color w:val="auto"/>
          <w:szCs w:val="21"/>
          <w:u w:val="single"/>
        </w:rPr>
        <w:t>陆</w:t>
      </w:r>
      <w:r>
        <w:rPr>
          <w:rFonts w:hint="eastAsia" w:ascii="宋体" w:hAnsi="宋体" w:cs="宋体"/>
          <w:color w:val="auto"/>
          <w:szCs w:val="21"/>
        </w:rPr>
        <w:t>份，发包方执</w:t>
      </w:r>
      <w:r>
        <w:rPr>
          <w:rFonts w:hint="eastAsia" w:ascii="宋体" w:hAnsi="宋体" w:cs="宋体"/>
          <w:color w:val="auto"/>
          <w:szCs w:val="21"/>
          <w:u w:val="single"/>
        </w:rPr>
        <w:t>叁</w:t>
      </w:r>
      <w:r>
        <w:rPr>
          <w:rFonts w:hint="eastAsia" w:ascii="宋体" w:hAnsi="宋体" w:cs="宋体"/>
          <w:color w:val="auto"/>
          <w:szCs w:val="21"/>
        </w:rPr>
        <w:t>份，承包方执</w:t>
      </w:r>
      <w:r>
        <w:rPr>
          <w:rFonts w:hint="eastAsia" w:ascii="宋体" w:hAnsi="宋体" w:cs="宋体"/>
          <w:color w:val="auto"/>
          <w:szCs w:val="21"/>
          <w:u w:val="single"/>
        </w:rPr>
        <w:t>叁</w:t>
      </w:r>
      <w:r>
        <w:rPr>
          <w:rFonts w:hint="eastAsia" w:ascii="宋体" w:hAnsi="宋体" w:cs="宋体"/>
          <w:color w:val="auto"/>
          <w:szCs w:val="21"/>
        </w:rPr>
        <w:t>份，每份具有同等法律效力。</w:t>
      </w:r>
    </w:p>
    <w:p w14:paraId="26A4511D">
      <w:pPr>
        <w:spacing w:after="0" w:line="500" w:lineRule="exact"/>
        <w:rPr>
          <w:rFonts w:hint="eastAsia" w:ascii="宋体" w:hAnsi="宋体" w:cs="宋体"/>
          <w:b/>
          <w:color w:val="auto"/>
          <w:szCs w:val="21"/>
        </w:rPr>
      </w:pPr>
      <w:r>
        <w:rPr>
          <w:rFonts w:hint="eastAsia" w:ascii="宋体" w:hAnsi="宋体" w:cs="宋体"/>
          <w:b/>
          <w:color w:val="auto"/>
          <w:szCs w:val="21"/>
        </w:rPr>
        <w:t>第16条其他</w:t>
      </w:r>
    </w:p>
    <w:p w14:paraId="329CC75F">
      <w:pPr>
        <w:spacing w:after="0" w:line="500" w:lineRule="exact"/>
        <w:ind w:firstLine="420" w:firstLineChars="200"/>
        <w:rPr>
          <w:rFonts w:hint="eastAsia" w:ascii="宋体" w:hAnsi="宋体" w:cs="宋体"/>
          <w:color w:val="auto"/>
          <w:szCs w:val="21"/>
        </w:rPr>
      </w:pPr>
      <w:r>
        <w:rPr>
          <w:rFonts w:hint="eastAsia" w:ascii="宋体" w:hAnsi="宋体" w:cs="宋体"/>
          <w:color w:val="auto"/>
          <w:szCs w:val="21"/>
        </w:rPr>
        <w:t>16.1本合同自双方法定代表人(负责人)或其授权代表人签字并加盖公章后发生法律效力。</w:t>
      </w:r>
    </w:p>
    <w:p w14:paraId="74B44EF0">
      <w:pPr>
        <w:spacing w:after="0" w:line="500" w:lineRule="exact"/>
        <w:ind w:firstLine="420"/>
        <w:rPr>
          <w:rFonts w:hint="eastAsia" w:ascii="宋体" w:hAnsi="宋体" w:cs="宋体"/>
          <w:color w:val="auto"/>
          <w:szCs w:val="21"/>
        </w:rPr>
      </w:pPr>
      <w:r>
        <w:rPr>
          <w:rFonts w:hint="eastAsia" w:ascii="宋体" w:hAnsi="宋体" w:cs="宋体"/>
          <w:color w:val="auto"/>
          <w:szCs w:val="21"/>
        </w:rPr>
        <w:t>16.2合同未尽事宜，双方另行签订补充协议，但不得背离本合同的实质性内容。补充协议是合同文件的组成部分，与本合同具有同等法律效力，不一致处以补充协议为准。</w:t>
      </w:r>
    </w:p>
    <w:p w14:paraId="3A5CD6D7">
      <w:pPr>
        <w:spacing w:after="0" w:line="500" w:lineRule="exact"/>
        <w:ind w:firstLine="420"/>
        <w:rPr>
          <w:rFonts w:hint="eastAsia" w:ascii="宋体" w:hAnsi="宋体" w:cs="宋体"/>
          <w:color w:val="auto"/>
          <w:szCs w:val="21"/>
        </w:rPr>
      </w:pPr>
      <w:r>
        <w:rPr>
          <w:rFonts w:hint="eastAsia" w:ascii="宋体" w:hAnsi="宋体" w:cs="宋体"/>
          <w:color w:val="auto"/>
          <w:szCs w:val="21"/>
        </w:rPr>
        <w:t>16.3本合同地址系真实、有效地址，作为接收司法通知及相关文书的有效地址。如一方联系人及地址发生变更的，应在变更前3日内通知相对方，未进行通知的，送达拒收或查无此址的，视为已送达。</w:t>
      </w:r>
    </w:p>
    <w:p w14:paraId="55579A75">
      <w:pPr>
        <w:spacing w:after="0" w:line="500" w:lineRule="exact"/>
        <w:ind w:firstLine="420"/>
        <w:rPr>
          <w:rFonts w:hint="eastAsia" w:ascii="宋体" w:hAnsi="宋体" w:cs="宋体"/>
          <w:color w:val="auto"/>
          <w:szCs w:val="21"/>
        </w:rPr>
      </w:pPr>
      <w:r>
        <w:rPr>
          <w:rFonts w:hint="eastAsia" w:ascii="宋体" w:hAnsi="宋体" w:cs="宋体"/>
          <w:color w:val="auto"/>
          <w:szCs w:val="21"/>
        </w:rPr>
        <w:t>16.4附件：</w:t>
      </w:r>
    </w:p>
    <w:p w14:paraId="70A3F59E">
      <w:pPr>
        <w:spacing w:after="0" w:line="500" w:lineRule="exact"/>
        <w:ind w:firstLine="420"/>
        <w:rPr>
          <w:rFonts w:hint="eastAsia" w:ascii="宋体" w:hAnsi="宋体" w:cs="宋体"/>
          <w:color w:val="auto"/>
          <w:szCs w:val="21"/>
        </w:rPr>
      </w:pPr>
      <w:r>
        <w:rPr>
          <w:rFonts w:hint="eastAsia" w:ascii="宋体" w:hAnsi="宋体" w:cs="宋体"/>
          <w:color w:val="auto"/>
          <w:szCs w:val="21"/>
        </w:rPr>
        <w:t>本合同附件与本合同具有同等法律效力，本合同约定与附件不一致的，以本合同约定为准。</w:t>
      </w:r>
    </w:p>
    <w:p w14:paraId="156C8F91">
      <w:pPr>
        <w:spacing w:after="0" w:line="500" w:lineRule="exact"/>
        <w:ind w:firstLine="420"/>
        <w:rPr>
          <w:rFonts w:hint="eastAsia" w:ascii="宋体" w:hAnsi="宋体" w:cs="宋体"/>
          <w:color w:val="auto"/>
          <w:szCs w:val="21"/>
        </w:rPr>
      </w:pPr>
      <w:r>
        <w:rPr>
          <w:rFonts w:hint="eastAsia" w:ascii="宋体" w:hAnsi="宋体" w:cs="宋体"/>
          <w:color w:val="auto"/>
          <w:szCs w:val="21"/>
        </w:rPr>
        <w:br w:type="page"/>
      </w:r>
    </w:p>
    <w:p w14:paraId="5B138E27">
      <w:pPr>
        <w:spacing w:after="0" w:line="360" w:lineRule="auto"/>
        <w:jc w:val="center"/>
        <w:rPr>
          <w:rFonts w:hint="eastAsia" w:ascii="宋体" w:hAnsi="宋体" w:cs="宋体"/>
          <w:b/>
          <w:bCs/>
          <w:color w:val="auto"/>
          <w:spacing w:val="20"/>
          <w:szCs w:val="21"/>
        </w:rPr>
      </w:pPr>
      <w:r>
        <w:rPr>
          <w:rFonts w:hint="eastAsia" w:ascii="宋体" w:hAnsi="宋体" w:cs="宋体"/>
          <w:b/>
          <w:bCs/>
          <w:color w:val="auto"/>
          <w:szCs w:val="21"/>
        </w:rPr>
        <w:t>以下为合同签署页</w:t>
      </w:r>
    </w:p>
    <w:tbl>
      <w:tblPr>
        <w:tblStyle w:val="43"/>
        <w:tblW w:w="8577" w:type="dxa"/>
        <w:jc w:val="center"/>
        <w:tblLayout w:type="fixed"/>
        <w:tblCellMar>
          <w:top w:w="0" w:type="dxa"/>
          <w:left w:w="108" w:type="dxa"/>
          <w:bottom w:w="0" w:type="dxa"/>
          <w:right w:w="108" w:type="dxa"/>
        </w:tblCellMar>
      </w:tblPr>
      <w:tblGrid>
        <w:gridCol w:w="4329"/>
        <w:gridCol w:w="4248"/>
      </w:tblGrid>
      <w:tr w14:paraId="7D3E66DF">
        <w:tblPrEx>
          <w:tblCellMar>
            <w:top w:w="0" w:type="dxa"/>
            <w:left w:w="108" w:type="dxa"/>
            <w:bottom w:w="0" w:type="dxa"/>
            <w:right w:w="108" w:type="dxa"/>
          </w:tblCellMar>
        </w:tblPrEx>
        <w:trPr>
          <w:cantSplit/>
          <w:trHeight w:val="1620" w:hRule="exact"/>
          <w:jc w:val="center"/>
        </w:trPr>
        <w:tc>
          <w:tcPr>
            <w:tcW w:w="4329" w:type="dxa"/>
            <w:noWrap w:val="0"/>
            <w:vAlign w:val="center"/>
          </w:tcPr>
          <w:p w14:paraId="5612F373">
            <w:pPr>
              <w:spacing w:after="0" w:line="360" w:lineRule="auto"/>
              <w:rPr>
                <w:rFonts w:hint="eastAsia" w:ascii="宋体" w:hAnsi="宋体" w:cs="宋体"/>
                <w:color w:val="auto"/>
                <w:szCs w:val="21"/>
              </w:rPr>
            </w:pPr>
            <w:r>
              <w:rPr>
                <w:rFonts w:hint="eastAsia" w:ascii="宋体" w:hAnsi="宋体" w:cs="宋体"/>
                <w:color w:val="auto"/>
                <w:szCs w:val="21"/>
              </w:rPr>
              <w:t xml:space="preserve">发包方：北京市丰台区人民政府东高地街道办事处（盖章）     </w:t>
            </w:r>
          </w:p>
        </w:tc>
        <w:tc>
          <w:tcPr>
            <w:tcW w:w="4248" w:type="dxa"/>
            <w:noWrap w:val="0"/>
            <w:vAlign w:val="center"/>
          </w:tcPr>
          <w:p w14:paraId="465CAFCB">
            <w:pPr>
              <w:spacing w:after="0" w:line="360" w:lineRule="auto"/>
              <w:rPr>
                <w:rFonts w:hint="eastAsia" w:ascii="宋体" w:hAnsi="宋体" w:cs="宋体"/>
                <w:color w:val="auto"/>
                <w:szCs w:val="21"/>
              </w:rPr>
            </w:pPr>
            <w:r>
              <w:rPr>
                <w:rFonts w:hint="eastAsia" w:ascii="宋体" w:hAnsi="宋体" w:cs="宋体"/>
                <w:color w:val="auto"/>
                <w:szCs w:val="21"/>
              </w:rPr>
              <w:t xml:space="preserve">承包方： </w:t>
            </w:r>
          </w:p>
          <w:p w14:paraId="4EB8B85B">
            <w:pPr>
              <w:spacing w:after="0" w:line="360" w:lineRule="auto"/>
              <w:rPr>
                <w:rFonts w:hint="eastAsia" w:ascii="宋体" w:hAnsi="宋体" w:cs="宋体"/>
                <w:color w:val="auto"/>
                <w:szCs w:val="21"/>
              </w:rPr>
            </w:pPr>
            <w:r>
              <w:rPr>
                <w:rFonts w:hint="eastAsia" w:ascii="宋体" w:hAnsi="宋体" w:cs="宋体"/>
                <w:color w:val="auto"/>
                <w:szCs w:val="21"/>
              </w:rPr>
              <w:t>（盖章）</w:t>
            </w:r>
          </w:p>
        </w:tc>
      </w:tr>
      <w:tr w14:paraId="4C5916AB">
        <w:tblPrEx>
          <w:tblCellMar>
            <w:top w:w="0" w:type="dxa"/>
            <w:left w:w="108" w:type="dxa"/>
            <w:bottom w:w="0" w:type="dxa"/>
            <w:right w:w="108" w:type="dxa"/>
          </w:tblCellMar>
        </w:tblPrEx>
        <w:trPr>
          <w:cantSplit/>
          <w:trHeight w:val="1059" w:hRule="exact"/>
          <w:jc w:val="center"/>
        </w:trPr>
        <w:tc>
          <w:tcPr>
            <w:tcW w:w="4329" w:type="dxa"/>
            <w:noWrap w:val="0"/>
            <w:vAlign w:val="center"/>
          </w:tcPr>
          <w:p w14:paraId="0129DF8A">
            <w:pPr>
              <w:spacing w:after="0" w:line="360" w:lineRule="auto"/>
              <w:rPr>
                <w:rFonts w:hint="eastAsia" w:ascii="宋体" w:hAnsi="宋体" w:cs="宋体"/>
                <w:color w:val="auto"/>
                <w:szCs w:val="21"/>
              </w:rPr>
            </w:pPr>
            <w:r>
              <w:rPr>
                <w:rFonts w:hint="eastAsia" w:ascii="宋体" w:hAnsi="宋体" w:cs="宋体"/>
                <w:color w:val="auto"/>
                <w:szCs w:val="21"/>
              </w:rPr>
              <w:t>法定代表人：</w:t>
            </w:r>
          </w:p>
          <w:p w14:paraId="4E80A553">
            <w:pPr>
              <w:spacing w:after="0" w:line="360" w:lineRule="auto"/>
              <w:rPr>
                <w:rFonts w:hint="eastAsia" w:ascii="宋体" w:hAnsi="宋体" w:cs="宋体"/>
                <w:color w:val="auto"/>
                <w:szCs w:val="21"/>
              </w:rPr>
            </w:pPr>
            <w:r>
              <w:rPr>
                <w:rFonts w:hint="eastAsia" w:ascii="宋体" w:hAnsi="宋体" w:cs="宋体"/>
                <w:color w:val="auto"/>
                <w:szCs w:val="21"/>
              </w:rPr>
              <w:t>委托代理人：</w:t>
            </w:r>
          </w:p>
        </w:tc>
        <w:tc>
          <w:tcPr>
            <w:tcW w:w="4248" w:type="dxa"/>
            <w:noWrap w:val="0"/>
            <w:vAlign w:val="center"/>
          </w:tcPr>
          <w:p w14:paraId="044DE7AC">
            <w:pPr>
              <w:spacing w:after="0" w:line="360" w:lineRule="auto"/>
              <w:rPr>
                <w:rFonts w:hint="eastAsia" w:ascii="宋体" w:hAnsi="宋体" w:cs="宋体"/>
                <w:color w:val="auto"/>
                <w:szCs w:val="21"/>
              </w:rPr>
            </w:pPr>
            <w:r>
              <w:rPr>
                <w:rFonts w:hint="eastAsia" w:ascii="宋体" w:hAnsi="宋体" w:cs="宋体"/>
                <w:color w:val="auto"/>
                <w:szCs w:val="21"/>
              </w:rPr>
              <w:t>法定代表人：</w:t>
            </w:r>
          </w:p>
          <w:p w14:paraId="73D45DAA">
            <w:pPr>
              <w:spacing w:after="0" w:line="360" w:lineRule="auto"/>
              <w:rPr>
                <w:rFonts w:hint="eastAsia" w:ascii="宋体" w:hAnsi="宋体" w:cs="宋体"/>
                <w:color w:val="auto"/>
                <w:szCs w:val="21"/>
              </w:rPr>
            </w:pPr>
            <w:r>
              <w:rPr>
                <w:rFonts w:hint="eastAsia" w:ascii="宋体" w:hAnsi="宋体" w:cs="宋体"/>
                <w:color w:val="auto"/>
                <w:szCs w:val="21"/>
              </w:rPr>
              <w:t>委托代理人：</w:t>
            </w:r>
          </w:p>
        </w:tc>
      </w:tr>
      <w:tr w14:paraId="3AE25684">
        <w:tblPrEx>
          <w:tblCellMar>
            <w:top w:w="0" w:type="dxa"/>
            <w:left w:w="108" w:type="dxa"/>
            <w:bottom w:w="0" w:type="dxa"/>
            <w:right w:w="108" w:type="dxa"/>
          </w:tblCellMar>
        </w:tblPrEx>
        <w:trPr>
          <w:cantSplit/>
          <w:trHeight w:val="526" w:hRule="exact"/>
          <w:jc w:val="center"/>
        </w:trPr>
        <w:tc>
          <w:tcPr>
            <w:tcW w:w="4329" w:type="dxa"/>
            <w:noWrap w:val="0"/>
            <w:vAlign w:val="center"/>
          </w:tcPr>
          <w:p w14:paraId="121E553A">
            <w:pPr>
              <w:spacing w:after="0" w:line="360" w:lineRule="auto"/>
              <w:rPr>
                <w:rFonts w:hint="eastAsia" w:ascii="宋体" w:hAnsi="宋体" w:cs="宋体"/>
                <w:color w:val="auto"/>
                <w:szCs w:val="21"/>
              </w:rPr>
            </w:pPr>
            <w:r>
              <w:rPr>
                <w:rFonts w:hint="eastAsia" w:ascii="宋体" w:hAnsi="宋体" w:cs="宋体"/>
                <w:color w:val="auto"/>
                <w:szCs w:val="21"/>
              </w:rPr>
              <w:t>住所：北京市丰台区东高地斜街2号</w:t>
            </w:r>
          </w:p>
          <w:p w14:paraId="027D537D">
            <w:pPr>
              <w:spacing w:after="0" w:line="360" w:lineRule="auto"/>
              <w:rPr>
                <w:rFonts w:hint="eastAsia" w:ascii="宋体" w:hAnsi="宋体" w:cs="宋体"/>
                <w:color w:val="auto"/>
                <w:szCs w:val="21"/>
              </w:rPr>
            </w:pPr>
          </w:p>
        </w:tc>
        <w:tc>
          <w:tcPr>
            <w:tcW w:w="4248" w:type="dxa"/>
            <w:noWrap w:val="0"/>
            <w:vAlign w:val="center"/>
          </w:tcPr>
          <w:p w14:paraId="24EFB75D">
            <w:pPr>
              <w:spacing w:after="0" w:line="360" w:lineRule="auto"/>
              <w:rPr>
                <w:rFonts w:ascii="宋体" w:hAnsi="宋体" w:cs="宋体"/>
                <w:color w:val="auto"/>
                <w:szCs w:val="21"/>
              </w:rPr>
            </w:pPr>
            <w:r>
              <w:rPr>
                <w:rFonts w:hint="eastAsia" w:ascii="宋体" w:hAnsi="宋体" w:cs="宋体"/>
                <w:color w:val="auto"/>
                <w:szCs w:val="21"/>
              </w:rPr>
              <w:t>住所：</w:t>
            </w:r>
            <w:r>
              <w:rPr>
                <w:rFonts w:ascii="宋体" w:hAnsi="宋体" w:cs="宋体"/>
                <w:color w:val="auto"/>
                <w:szCs w:val="21"/>
              </w:rPr>
              <w:t xml:space="preserve"> </w:t>
            </w:r>
          </w:p>
          <w:p w14:paraId="661A0D89">
            <w:pPr>
              <w:spacing w:after="0" w:line="360" w:lineRule="auto"/>
              <w:rPr>
                <w:rFonts w:hint="eastAsia" w:ascii="宋体" w:hAnsi="宋体" w:cs="宋体"/>
                <w:color w:val="auto"/>
                <w:szCs w:val="21"/>
              </w:rPr>
            </w:pPr>
          </w:p>
        </w:tc>
      </w:tr>
      <w:tr w14:paraId="41F0A794">
        <w:tblPrEx>
          <w:tblCellMar>
            <w:top w:w="0" w:type="dxa"/>
            <w:left w:w="108" w:type="dxa"/>
            <w:bottom w:w="0" w:type="dxa"/>
            <w:right w:w="108" w:type="dxa"/>
          </w:tblCellMar>
        </w:tblPrEx>
        <w:trPr>
          <w:cantSplit/>
          <w:trHeight w:val="676" w:hRule="exact"/>
          <w:jc w:val="center"/>
        </w:trPr>
        <w:tc>
          <w:tcPr>
            <w:tcW w:w="4329" w:type="dxa"/>
            <w:noWrap w:val="0"/>
            <w:vAlign w:val="center"/>
          </w:tcPr>
          <w:p w14:paraId="41AB0987">
            <w:pPr>
              <w:spacing w:after="0" w:line="360" w:lineRule="auto"/>
              <w:rPr>
                <w:rFonts w:ascii="宋体" w:hAnsi="宋体" w:cs="宋体"/>
                <w:color w:val="auto"/>
                <w:szCs w:val="21"/>
              </w:rPr>
            </w:pPr>
            <w:r>
              <w:rPr>
                <w:rFonts w:hint="eastAsia" w:ascii="宋体" w:hAnsi="宋体" w:cs="宋体"/>
                <w:color w:val="auto"/>
                <w:szCs w:val="21"/>
              </w:rPr>
              <w:t>电话：010-68753499</w:t>
            </w:r>
          </w:p>
        </w:tc>
        <w:tc>
          <w:tcPr>
            <w:tcW w:w="4248" w:type="dxa"/>
            <w:noWrap w:val="0"/>
            <w:vAlign w:val="center"/>
          </w:tcPr>
          <w:p w14:paraId="279F1A7C">
            <w:pPr>
              <w:spacing w:after="0" w:line="360" w:lineRule="auto"/>
              <w:rPr>
                <w:rFonts w:ascii="宋体" w:hAnsi="宋体" w:cs="宋体"/>
                <w:color w:val="auto"/>
                <w:szCs w:val="21"/>
              </w:rPr>
            </w:pPr>
            <w:r>
              <w:rPr>
                <w:rFonts w:hint="eastAsia" w:ascii="宋体" w:hAnsi="宋体" w:cs="宋体"/>
                <w:color w:val="auto"/>
                <w:szCs w:val="21"/>
              </w:rPr>
              <w:t>电话：</w:t>
            </w:r>
          </w:p>
        </w:tc>
      </w:tr>
      <w:tr w14:paraId="73406F1A">
        <w:tblPrEx>
          <w:tblCellMar>
            <w:top w:w="0" w:type="dxa"/>
            <w:left w:w="108" w:type="dxa"/>
            <w:bottom w:w="0" w:type="dxa"/>
            <w:right w:w="108" w:type="dxa"/>
          </w:tblCellMar>
        </w:tblPrEx>
        <w:trPr>
          <w:cantSplit/>
          <w:trHeight w:val="1046" w:hRule="exact"/>
          <w:jc w:val="center"/>
        </w:trPr>
        <w:tc>
          <w:tcPr>
            <w:tcW w:w="4329" w:type="dxa"/>
            <w:noWrap w:val="0"/>
            <w:vAlign w:val="center"/>
          </w:tcPr>
          <w:p w14:paraId="792E51B2">
            <w:pPr>
              <w:spacing w:after="0" w:line="360" w:lineRule="auto"/>
              <w:rPr>
                <w:rFonts w:hint="eastAsia" w:ascii="宋体" w:hAnsi="宋体" w:cs="宋体"/>
                <w:color w:val="auto"/>
                <w:szCs w:val="21"/>
              </w:rPr>
            </w:pPr>
            <w:r>
              <w:rPr>
                <w:rFonts w:hint="eastAsia" w:ascii="宋体" w:hAnsi="宋体" w:cs="宋体"/>
                <w:color w:val="auto"/>
                <w:szCs w:val="21"/>
              </w:rPr>
              <w:t>开户银行：农业银行南苑支行</w:t>
            </w:r>
          </w:p>
        </w:tc>
        <w:tc>
          <w:tcPr>
            <w:tcW w:w="4248" w:type="dxa"/>
            <w:noWrap w:val="0"/>
            <w:vAlign w:val="center"/>
          </w:tcPr>
          <w:p w14:paraId="7B298EB8">
            <w:pPr>
              <w:spacing w:after="0" w:line="360" w:lineRule="auto"/>
              <w:rPr>
                <w:rFonts w:hint="eastAsia" w:ascii="宋体" w:hAnsi="宋体" w:cs="宋体"/>
                <w:color w:val="auto"/>
                <w:szCs w:val="21"/>
              </w:rPr>
            </w:pPr>
            <w:r>
              <w:rPr>
                <w:rFonts w:hint="eastAsia" w:ascii="宋体" w:hAnsi="宋体" w:cs="宋体"/>
                <w:color w:val="auto"/>
                <w:szCs w:val="21"/>
              </w:rPr>
              <w:t xml:space="preserve">开户银行： </w:t>
            </w:r>
          </w:p>
        </w:tc>
      </w:tr>
      <w:tr w14:paraId="6743B0E2">
        <w:tblPrEx>
          <w:tblCellMar>
            <w:top w:w="0" w:type="dxa"/>
            <w:left w:w="108" w:type="dxa"/>
            <w:bottom w:w="0" w:type="dxa"/>
            <w:right w:w="108" w:type="dxa"/>
          </w:tblCellMar>
        </w:tblPrEx>
        <w:trPr>
          <w:cantSplit/>
          <w:trHeight w:val="646" w:hRule="exact"/>
          <w:jc w:val="center"/>
        </w:trPr>
        <w:tc>
          <w:tcPr>
            <w:tcW w:w="4329" w:type="dxa"/>
            <w:noWrap w:val="0"/>
            <w:vAlign w:val="center"/>
          </w:tcPr>
          <w:p w14:paraId="3F72B972">
            <w:pPr>
              <w:spacing w:after="0" w:line="360" w:lineRule="auto"/>
              <w:rPr>
                <w:rFonts w:hint="eastAsia" w:ascii="宋体" w:hAnsi="宋体" w:cs="宋体"/>
                <w:color w:val="auto"/>
                <w:szCs w:val="21"/>
              </w:rPr>
            </w:pPr>
            <w:r>
              <w:rPr>
                <w:rFonts w:hint="eastAsia" w:ascii="宋体" w:hAnsi="宋体" w:cs="宋体"/>
                <w:color w:val="auto"/>
                <w:szCs w:val="21"/>
              </w:rPr>
              <w:t>账号：</w:t>
            </w:r>
            <w:r>
              <w:rPr>
                <w:rFonts w:ascii="宋体" w:hAnsi="宋体" w:cs="宋体"/>
                <w:color w:val="auto"/>
                <w:szCs w:val="21"/>
              </w:rPr>
              <w:t>11060701040010712</w:t>
            </w:r>
          </w:p>
        </w:tc>
        <w:tc>
          <w:tcPr>
            <w:tcW w:w="4248" w:type="dxa"/>
            <w:noWrap w:val="0"/>
            <w:vAlign w:val="center"/>
          </w:tcPr>
          <w:p w14:paraId="02EA1D54">
            <w:pPr>
              <w:spacing w:after="0" w:line="360" w:lineRule="auto"/>
              <w:rPr>
                <w:rFonts w:ascii="宋体" w:hAnsi="宋体" w:cs="宋体"/>
                <w:color w:val="auto"/>
                <w:szCs w:val="21"/>
              </w:rPr>
            </w:pPr>
            <w:r>
              <w:rPr>
                <w:rFonts w:hint="eastAsia" w:ascii="宋体" w:hAnsi="宋体" w:cs="宋体"/>
                <w:color w:val="auto"/>
                <w:szCs w:val="21"/>
              </w:rPr>
              <w:t>账号：</w:t>
            </w:r>
          </w:p>
          <w:p w14:paraId="25C530C6">
            <w:pPr>
              <w:spacing w:after="0" w:line="360" w:lineRule="auto"/>
              <w:rPr>
                <w:rFonts w:hint="eastAsia" w:ascii="宋体" w:hAnsi="宋体" w:cs="宋体"/>
                <w:color w:val="auto"/>
                <w:szCs w:val="21"/>
              </w:rPr>
            </w:pPr>
          </w:p>
        </w:tc>
      </w:tr>
    </w:tbl>
    <w:p w14:paraId="40400C34">
      <w:pPr>
        <w:snapToGrid w:val="0"/>
        <w:spacing w:after="0" w:line="360" w:lineRule="auto"/>
        <w:ind w:firstLine="413" w:firstLineChars="196"/>
        <w:rPr>
          <w:rFonts w:hint="eastAsia" w:ascii="宋体" w:hAnsi="宋体" w:cs="宋体"/>
          <w:b/>
          <w:color w:val="auto"/>
          <w:szCs w:val="21"/>
        </w:rPr>
      </w:pPr>
    </w:p>
    <w:p w14:paraId="72F9E2CF">
      <w:pPr>
        <w:spacing w:after="0"/>
        <w:rPr>
          <w:rFonts w:hint="eastAsia" w:ascii="宋体" w:hAnsi="宋体" w:cs="宋体"/>
          <w:color w:val="auto"/>
          <w:szCs w:val="21"/>
        </w:rPr>
      </w:pPr>
      <w:r>
        <w:rPr>
          <w:rFonts w:hint="eastAsia" w:ascii="宋体" w:hAnsi="宋体" w:cs="宋体"/>
          <w:color w:val="auto"/>
          <w:szCs w:val="21"/>
        </w:rPr>
        <w:br w:type="page"/>
      </w:r>
    </w:p>
    <w:p w14:paraId="5E93CA14">
      <w:pPr>
        <w:spacing w:after="0" w:line="360" w:lineRule="auto"/>
        <w:rPr>
          <w:rFonts w:hint="eastAsia" w:ascii="宋体" w:hAnsi="宋体" w:cs="宋体"/>
          <w:b/>
          <w:bCs/>
          <w:color w:val="auto"/>
          <w:szCs w:val="21"/>
        </w:rPr>
      </w:pPr>
      <w:r>
        <w:rPr>
          <w:rFonts w:hint="eastAsia" w:ascii="宋体" w:hAnsi="宋体" w:cs="宋体"/>
          <w:color w:val="auto"/>
          <w:szCs w:val="21"/>
        </w:rPr>
        <w:t>附件一：</w:t>
      </w:r>
    </w:p>
    <w:p w14:paraId="1F9E57F0">
      <w:pPr>
        <w:spacing w:after="0" w:line="288" w:lineRule="auto"/>
        <w:jc w:val="center"/>
        <w:rPr>
          <w:rFonts w:hint="eastAsia" w:ascii="宋体" w:hAnsi="宋体" w:cs="宋体"/>
          <w:b/>
          <w:bCs/>
          <w:color w:val="auto"/>
          <w:szCs w:val="21"/>
        </w:rPr>
      </w:pPr>
      <w:r>
        <w:rPr>
          <w:rFonts w:hint="eastAsia" w:ascii="宋体" w:hAnsi="宋体" w:cs="宋体"/>
          <w:color w:val="auto"/>
          <w:szCs w:val="21"/>
        </w:rPr>
        <w:t>工程质量保修书</w:t>
      </w:r>
    </w:p>
    <w:p w14:paraId="1C815FD7">
      <w:pPr>
        <w:spacing w:after="0" w:line="288" w:lineRule="auto"/>
        <w:rPr>
          <w:rFonts w:hint="eastAsia" w:ascii="宋体" w:hAnsi="宋体" w:cs="宋体"/>
          <w:bCs/>
          <w:color w:val="auto"/>
          <w:szCs w:val="21"/>
          <w:u w:val="single"/>
        </w:rPr>
      </w:pPr>
      <w:r>
        <w:rPr>
          <w:rFonts w:hint="eastAsia" w:ascii="宋体" w:hAnsi="宋体" w:cs="宋体"/>
          <w:color w:val="auto"/>
          <w:szCs w:val="21"/>
        </w:rPr>
        <w:t>发包方（全称）：</w:t>
      </w:r>
      <w:r>
        <w:rPr>
          <w:rFonts w:hint="eastAsia" w:ascii="宋体" w:hAnsi="宋体" w:cs="宋体"/>
          <w:color w:val="auto"/>
          <w:szCs w:val="21"/>
          <w:u w:val="single"/>
        </w:rPr>
        <w:t>北京市丰台区人民政府东高地街道办事处</w:t>
      </w:r>
    </w:p>
    <w:p w14:paraId="70FA6E24">
      <w:pPr>
        <w:spacing w:after="0" w:line="288" w:lineRule="auto"/>
        <w:rPr>
          <w:rFonts w:hint="eastAsia" w:ascii="宋体" w:hAnsi="宋体" w:cs="宋体"/>
          <w:bCs/>
          <w:color w:val="auto"/>
          <w:szCs w:val="21"/>
          <w:u w:val="single"/>
        </w:rPr>
      </w:pPr>
      <w:r>
        <w:rPr>
          <w:rFonts w:hint="eastAsia" w:ascii="宋体" w:hAnsi="宋体" w:cs="宋体"/>
          <w:color w:val="auto"/>
          <w:szCs w:val="21"/>
        </w:rPr>
        <w:t>承包方（全称）：</w:t>
      </w:r>
      <w:r>
        <w:rPr>
          <w:rFonts w:hint="eastAsia" w:ascii="宋体" w:hAnsi="宋体" w:cs="宋体"/>
          <w:color w:val="auto"/>
          <w:szCs w:val="21"/>
          <w:u w:val="single"/>
        </w:rPr>
        <w:t xml:space="preserve">                                    </w:t>
      </w:r>
    </w:p>
    <w:p w14:paraId="3D240AE5">
      <w:pPr>
        <w:spacing w:after="0" w:line="288" w:lineRule="auto"/>
        <w:ind w:firstLine="420"/>
        <w:rPr>
          <w:rFonts w:hint="eastAsia" w:ascii="宋体" w:hAnsi="宋体" w:cs="宋体"/>
          <w:bCs/>
          <w:color w:val="auto"/>
          <w:szCs w:val="21"/>
        </w:rPr>
      </w:pPr>
      <w:r>
        <w:rPr>
          <w:rFonts w:hint="eastAsia" w:ascii="宋体" w:hAnsi="宋体" w:cs="宋体"/>
          <w:color w:val="auto"/>
          <w:szCs w:val="21"/>
        </w:rPr>
        <w:t>为保证本合同项下项目在合理使用期限内项目工程正常使用，双方协商一致签订工程质量保修书，承包方在质量保修期内按照有关管理规定及双方约定承担工程质量保修责任。</w:t>
      </w:r>
    </w:p>
    <w:p w14:paraId="3E50B6AB">
      <w:pPr>
        <w:spacing w:after="0" w:line="288" w:lineRule="auto"/>
        <w:ind w:firstLine="420"/>
        <w:rPr>
          <w:rFonts w:hint="eastAsia" w:ascii="宋体" w:hAnsi="宋体" w:cs="宋体"/>
          <w:bCs/>
          <w:color w:val="auto"/>
          <w:szCs w:val="21"/>
        </w:rPr>
      </w:pPr>
      <w:r>
        <w:rPr>
          <w:rFonts w:hint="eastAsia" w:ascii="宋体" w:hAnsi="宋体" w:cs="宋体"/>
          <w:color w:val="auto"/>
          <w:szCs w:val="21"/>
        </w:rPr>
        <w:t>一、工程质量保修规范和内容：</w:t>
      </w:r>
    </w:p>
    <w:p w14:paraId="5BFEF56E">
      <w:pPr>
        <w:spacing w:after="0" w:line="288" w:lineRule="auto"/>
        <w:ind w:firstLine="420"/>
        <w:rPr>
          <w:rFonts w:hint="eastAsia" w:ascii="宋体" w:hAnsi="宋体" w:cs="宋体"/>
          <w:bCs/>
          <w:color w:val="auto"/>
          <w:szCs w:val="21"/>
        </w:rPr>
      </w:pPr>
      <w:r>
        <w:rPr>
          <w:rFonts w:hint="eastAsia" w:ascii="宋体" w:hAnsi="宋体" w:cs="宋体"/>
          <w:color w:val="auto"/>
          <w:szCs w:val="21"/>
        </w:rPr>
        <w:t>质量保修规范包括主体结构工程和双方约定的其他项目。具体质量保修内容双方约定如下：</w:t>
      </w:r>
    </w:p>
    <w:p w14:paraId="227B0560">
      <w:pPr>
        <w:spacing w:after="0" w:line="288" w:lineRule="auto"/>
        <w:ind w:firstLine="420"/>
        <w:rPr>
          <w:rFonts w:hint="eastAsia" w:ascii="宋体" w:hAnsi="宋体" w:cs="宋体"/>
          <w:bCs/>
          <w:color w:val="auto"/>
          <w:szCs w:val="21"/>
          <w:u w:val="single"/>
        </w:rPr>
      </w:pPr>
      <w:r>
        <w:rPr>
          <w:rFonts w:hint="eastAsia" w:ascii="宋体" w:hAnsi="宋体" w:cs="宋体"/>
          <w:color w:val="auto"/>
          <w:szCs w:val="21"/>
          <w:u w:val="single"/>
        </w:rPr>
        <w:t>合同约定的全部内容。</w:t>
      </w:r>
    </w:p>
    <w:p w14:paraId="043DDCFF">
      <w:pPr>
        <w:spacing w:after="0" w:line="288" w:lineRule="auto"/>
        <w:ind w:firstLine="420"/>
        <w:rPr>
          <w:rFonts w:hint="eastAsia" w:ascii="宋体" w:hAnsi="宋体" w:cs="宋体"/>
          <w:bCs/>
          <w:color w:val="auto"/>
          <w:szCs w:val="21"/>
        </w:rPr>
      </w:pPr>
      <w:r>
        <w:rPr>
          <w:rFonts w:hint="eastAsia" w:ascii="宋体" w:hAnsi="宋体" w:cs="宋体"/>
          <w:color w:val="auto"/>
          <w:szCs w:val="21"/>
        </w:rPr>
        <w:t>二、质量保修期：</w:t>
      </w:r>
    </w:p>
    <w:p w14:paraId="5C032856">
      <w:pPr>
        <w:spacing w:after="0" w:line="288" w:lineRule="auto"/>
        <w:ind w:firstLine="420"/>
        <w:rPr>
          <w:rFonts w:hint="eastAsia" w:ascii="宋体" w:hAnsi="宋体" w:cs="宋体"/>
          <w:bCs/>
          <w:color w:val="auto"/>
          <w:szCs w:val="21"/>
        </w:rPr>
      </w:pPr>
      <w:r>
        <w:rPr>
          <w:rFonts w:hint="eastAsia" w:ascii="宋体" w:hAnsi="宋体" w:cs="宋体"/>
          <w:color w:val="auto"/>
          <w:szCs w:val="21"/>
        </w:rPr>
        <w:t>质量保修期从工程实际竣工验收合格之日起开始计算，分单项竣工验收的工程，按单项工程分别计算质量保修期。</w:t>
      </w:r>
    </w:p>
    <w:p w14:paraId="510EB447">
      <w:pPr>
        <w:spacing w:after="0" w:line="288" w:lineRule="auto"/>
        <w:ind w:firstLine="420"/>
        <w:rPr>
          <w:rFonts w:hint="eastAsia" w:ascii="宋体" w:hAnsi="宋体" w:cs="宋体"/>
          <w:color w:val="auto"/>
          <w:szCs w:val="21"/>
        </w:rPr>
      </w:pPr>
      <w:r>
        <w:rPr>
          <w:rFonts w:hint="eastAsia" w:ascii="宋体" w:hAnsi="宋体" w:cs="宋体"/>
          <w:color w:val="auto"/>
          <w:szCs w:val="21"/>
        </w:rPr>
        <w:t>双方根据国家有关规定，结合具体工程约定质量保修期如下：</w:t>
      </w:r>
      <w:r>
        <w:rPr>
          <w:rFonts w:hint="eastAsia" w:hAnsi="宋体" w:cs="宋体"/>
          <w:b/>
          <w:color w:val="auto"/>
          <w:szCs w:val="21"/>
        </w:rPr>
        <w:t>装修装饰工程为2年；</w:t>
      </w:r>
    </w:p>
    <w:p w14:paraId="1FCE4879">
      <w:pPr>
        <w:spacing w:after="0" w:line="288" w:lineRule="auto"/>
        <w:ind w:firstLine="420"/>
        <w:rPr>
          <w:rFonts w:hint="eastAsia" w:ascii="宋体" w:hAnsi="宋体" w:cs="宋体"/>
          <w:bCs/>
          <w:color w:val="auto"/>
          <w:szCs w:val="21"/>
          <w:u w:val="single"/>
        </w:rPr>
      </w:pPr>
      <w:r>
        <w:rPr>
          <w:rFonts w:hint="eastAsia" w:ascii="宋体" w:hAnsi="宋体" w:cs="宋体"/>
          <w:color w:val="auto"/>
          <w:szCs w:val="21"/>
        </w:rPr>
        <w:t>质量保修期间，承包方应负责维修，并承担鉴定及维修费用。</w:t>
      </w:r>
    </w:p>
    <w:p w14:paraId="69FA9B74">
      <w:pPr>
        <w:spacing w:after="0" w:line="288" w:lineRule="auto"/>
        <w:ind w:firstLine="420"/>
        <w:rPr>
          <w:rFonts w:hint="eastAsia" w:ascii="宋体" w:hAnsi="宋体" w:cs="宋体"/>
          <w:bCs/>
          <w:color w:val="auto"/>
          <w:szCs w:val="21"/>
        </w:rPr>
      </w:pPr>
      <w:r>
        <w:rPr>
          <w:rFonts w:hint="eastAsia" w:ascii="宋体" w:hAnsi="宋体" w:cs="宋体"/>
          <w:color w:val="auto"/>
          <w:szCs w:val="21"/>
        </w:rPr>
        <w:t>三、质量保修责任：</w:t>
      </w:r>
    </w:p>
    <w:p w14:paraId="4037F88A">
      <w:pPr>
        <w:spacing w:after="0" w:line="288" w:lineRule="auto"/>
        <w:ind w:firstLine="420"/>
        <w:rPr>
          <w:rFonts w:hint="eastAsia" w:ascii="宋体" w:hAnsi="宋体" w:cs="宋体"/>
          <w:bCs/>
          <w:color w:val="auto"/>
          <w:szCs w:val="21"/>
        </w:rPr>
      </w:pPr>
      <w:r>
        <w:rPr>
          <w:rFonts w:hint="eastAsia" w:ascii="宋体" w:hAnsi="宋体" w:cs="宋体"/>
          <w:color w:val="auto"/>
          <w:szCs w:val="21"/>
        </w:rPr>
        <w:t>属于保修范围和内容的项目，承包应在接到修理通知之日后7日内派人修理。承包方不在约定期限内派人修理，发包方可委托其他人员修理，费用由承包方支付。</w:t>
      </w:r>
    </w:p>
    <w:p w14:paraId="0F1ED74E">
      <w:pPr>
        <w:spacing w:after="0" w:line="288" w:lineRule="auto"/>
        <w:ind w:firstLine="420"/>
        <w:rPr>
          <w:rFonts w:hint="eastAsia" w:ascii="宋体" w:hAnsi="宋体" w:cs="宋体"/>
          <w:bCs/>
          <w:color w:val="auto"/>
          <w:szCs w:val="21"/>
        </w:rPr>
      </w:pPr>
      <w:r>
        <w:rPr>
          <w:rFonts w:hint="eastAsia" w:ascii="宋体" w:hAnsi="宋体" w:cs="宋体"/>
          <w:color w:val="auto"/>
          <w:szCs w:val="21"/>
        </w:rPr>
        <w:t>发生须紧急抢修事故，承包方接到事故通知后，应立即到达事故现场抢修。非承包方施工质量引起的事故，抢修费用由发包方承担。</w:t>
      </w:r>
    </w:p>
    <w:p w14:paraId="662A5B6A">
      <w:pPr>
        <w:spacing w:after="0" w:line="288" w:lineRule="auto"/>
        <w:ind w:firstLine="420"/>
        <w:rPr>
          <w:rFonts w:hint="eastAsia" w:ascii="宋体" w:hAnsi="宋体" w:cs="宋体"/>
          <w:bCs/>
          <w:color w:val="auto"/>
          <w:szCs w:val="21"/>
        </w:rPr>
      </w:pPr>
      <w:r>
        <w:rPr>
          <w:rFonts w:hint="eastAsia" w:ascii="宋体" w:hAnsi="宋体" w:cs="宋体"/>
          <w:color w:val="auto"/>
          <w:szCs w:val="21"/>
        </w:rPr>
        <w:t>在国家规定的工程合理使用期限内，承包方承担主体结构的质量保修责任。因承包方原因致使工程在合理使用期限内造成人身和财产损害的，承包方应承担损害赔偿责任。</w:t>
      </w:r>
    </w:p>
    <w:p w14:paraId="3FB4A75C">
      <w:pPr>
        <w:spacing w:after="0" w:line="288" w:lineRule="auto"/>
        <w:ind w:firstLine="420"/>
        <w:rPr>
          <w:rFonts w:hint="eastAsia" w:ascii="宋体" w:hAnsi="宋体" w:cs="宋体"/>
          <w:bCs/>
          <w:color w:val="auto"/>
          <w:szCs w:val="21"/>
        </w:rPr>
      </w:pPr>
      <w:r>
        <w:rPr>
          <w:rFonts w:hint="eastAsia" w:ascii="宋体" w:hAnsi="宋体" w:cs="宋体"/>
          <w:color w:val="auto"/>
          <w:szCs w:val="21"/>
        </w:rPr>
        <w:t>四、其他：</w:t>
      </w:r>
    </w:p>
    <w:p w14:paraId="70AE805B">
      <w:pPr>
        <w:spacing w:after="0" w:line="288" w:lineRule="auto"/>
        <w:ind w:firstLine="420"/>
        <w:rPr>
          <w:rFonts w:hint="eastAsia" w:ascii="宋体" w:hAnsi="宋体" w:cs="宋体"/>
          <w:bCs/>
          <w:color w:val="auto"/>
          <w:szCs w:val="21"/>
          <w:u w:val="single"/>
        </w:rPr>
      </w:pPr>
      <w:r>
        <w:rPr>
          <w:rFonts w:hint="eastAsia" w:ascii="宋体" w:hAnsi="宋体" w:cs="宋体"/>
          <w:color w:val="auto"/>
          <w:szCs w:val="21"/>
        </w:rPr>
        <w:t>双方约定的其他工程质量保修事项：</w:t>
      </w:r>
      <w:r>
        <w:rPr>
          <w:rFonts w:hint="eastAsia" w:ascii="宋体" w:hAnsi="宋体" w:cs="宋体"/>
          <w:color w:val="auto"/>
          <w:szCs w:val="21"/>
          <w:u w:val="single"/>
        </w:rPr>
        <w:t>属于基本和重大使用功能，不受上述保修期限制，保修期为该工程的合理使用年限。</w:t>
      </w:r>
    </w:p>
    <w:p w14:paraId="77B89DD8">
      <w:pPr>
        <w:spacing w:after="0" w:line="288" w:lineRule="auto"/>
        <w:ind w:firstLine="420"/>
        <w:rPr>
          <w:rFonts w:hint="eastAsia" w:ascii="宋体" w:hAnsi="宋体" w:cs="宋体"/>
          <w:color w:val="auto"/>
          <w:szCs w:val="21"/>
        </w:rPr>
      </w:pPr>
      <w:r>
        <w:rPr>
          <w:rFonts w:hint="eastAsia" w:ascii="宋体" w:hAnsi="宋体" w:cs="宋体"/>
          <w:color w:val="auto"/>
          <w:szCs w:val="21"/>
        </w:rPr>
        <w:t>本工程质量保修书作为施工合同附件，由施工合同双方共同签署。</w:t>
      </w:r>
    </w:p>
    <w:p w14:paraId="003AD01C">
      <w:pPr>
        <w:spacing w:after="0" w:line="288" w:lineRule="auto"/>
        <w:ind w:firstLine="420"/>
        <w:rPr>
          <w:rFonts w:hint="eastAsia" w:ascii="宋体" w:hAnsi="宋体" w:cs="宋体"/>
          <w:color w:val="auto"/>
          <w:szCs w:val="21"/>
        </w:rPr>
      </w:pPr>
    </w:p>
    <w:p w14:paraId="23867A64">
      <w:pPr>
        <w:tabs>
          <w:tab w:val="left" w:pos="105"/>
        </w:tabs>
        <w:adjustRightInd w:val="0"/>
        <w:snapToGrid w:val="0"/>
        <w:spacing w:after="0" w:line="360" w:lineRule="auto"/>
        <w:jc w:val="left"/>
        <w:rPr>
          <w:rFonts w:hint="eastAsia"/>
          <w:color w:val="auto"/>
        </w:rPr>
      </w:pPr>
      <w:r>
        <w:rPr>
          <w:rFonts w:hint="eastAsia"/>
          <w:color w:val="auto"/>
        </w:rPr>
        <w:t>发包方(公章)：北京市丰台区人民政府         承包方(公章)：</w:t>
      </w:r>
    </w:p>
    <w:p w14:paraId="3AC5FA7A">
      <w:pPr>
        <w:tabs>
          <w:tab w:val="left" w:pos="105"/>
        </w:tabs>
        <w:adjustRightInd w:val="0"/>
        <w:snapToGrid w:val="0"/>
        <w:spacing w:after="0" w:line="360" w:lineRule="auto"/>
        <w:ind w:firstLine="1470" w:firstLineChars="700"/>
        <w:jc w:val="left"/>
        <w:rPr>
          <w:color w:val="auto"/>
        </w:rPr>
      </w:pPr>
      <w:r>
        <w:rPr>
          <w:rFonts w:hint="eastAsia"/>
          <w:color w:val="auto"/>
        </w:rPr>
        <w:t xml:space="preserve">东高地街道办事处                          </w:t>
      </w:r>
    </w:p>
    <w:p w14:paraId="6E931190">
      <w:pPr>
        <w:spacing w:after="0" w:line="360" w:lineRule="auto"/>
        <w:rPr>
          <w:rFonts w:hint="eastAsia" w:ascii="宋体" w:hAnsi="宋体" w:cs="宋体"/>
          <w:bCs/>
          <w:color w:val="auto"/>
          <w:szCs w:val="21"/>
        </w:rPr>
      </w:pPr>
      <w:r>
        <w:rPr>
          <w:rFonts w:hint="eastAsia" w:ascii="宋体" w:hAnsi="宋体" w:cs="宋体"/>
          <w:color w:val="auto"/>
          <w:szCs w:val="21"/>
        </w:rPr>
        <w:t>负责人或授权代表人：                          法定代表人或授权代表人：</w:t>
      </w:r>
    </w:p>
    <w:p w14:paraId="060C49A1">
      <w:pPr>
        <w:spacing w:after="0" w:line="360" w:lineRule="auto"/>
        <w:ind w:firstLine="1050" w:firstLineChars="500"/>
        <w:rPr>
          <w:rFonts w:hint="eastAsia" w:ascii="宋体" w:hAnsi="宋体" w:cs="宋体"/>
          <w:bCs/>
          <w:color w:val="auto"/>
          <w:szCs w:val="21"/>
        </w:rPr>
      </w:pPr>
      <w:r>
        <w:rPr>
          <w:rFonts w:hint="eastAsia" w:ascii="宋体" w:hAnsi="宋体" w:cs="宋体"/>
          <w:color w:val="auto"/>
          <w:szCs w:val="21"/>
        </w:rPr>
        <w:t>年    月    日                                      年    月    日</w:t>
      </w:r>
      <w:r>
        <w:rPr>
          <w:rFonts w:hint="eastAsia" w:ascii="宋体" w:hAnsi="宋体" w:cs="宋体"/>
          <w:color w:val="auto"/>
          <w:szCs w:val="21"/>
        </w:rPr>
        <w:br w:type="page"/>
      </w:r>
      <w:r>
        <w:rPr>
          <w:rFonts w:hint="eastAsia" w:ascii="宋体" w:hAnsi="宋体" w:cs="宋体"/>
          <w:color w:val="auto"/>
          <w:szCs w:val="21"/>
        </w:rPr>
        <w:t>附件二：</w:t>
      </w:r>
    </w:p>
    <w:p w14:paraId="3F130B8D">
      <w:pPr>
        <w:spacing w:after="0" w:line="360" w:lineRule="auto"/>
        <w:jc w:val="center"/>
        <w:rPr>
          <w:rFonts w:hint="eastAsia" w:ascii="宋体" w:hAnsi="宋体" w:cs="宋体"/>
          <w:bCs/>
          <w:color w:val="auto"/>
          <w:szCs w:val="21"/>
        </w:rPr>
      </w:pPr>
      <w:r>
        <w:rPr>
          <w:rFonts w:hint="eastAsia" w:ascii="宋体" w:hAnsi="宋体" w:cs="宋体"/>
          <w:color w:val="auto"/>
          <w:szCs w:val="21"/>
        </w:rPr>
        <w:t>安全生产承诺书</w:t>
      </w:r>
    </w:p>
    <w:p w14:paraId="1FCFA467">
      <w:pPr>
        <w:spacing w:after="0" w:line="360" w:lineRule="auto"/>
        <w:ind w:firstLine="420"/>
        <w:rPr>
          <w:rFonts w:hint="eastAsia" w:ascii="宋体" w:hAnsi="宋体" w:cs="宋体"/>
          <w:bCs/>
          <w:color w:val="auto"/>
          <w:szCs w:val="21"/>
        </w:rPr>
      </w:pPr>
      <w:r>
        <w:rPr>
          <w:rFonts w:hint="eastAsia" w:ascii="宋体" w:hAnsi="宋体" w:cs="宋体"/>
          <w:color w:val="auto"/>
          <w:szCs w:val="21"/>
        </w:rPr>
        <w:t>为确保顺利进行，确保施工期间安全生产，不发生各类生产事故，我公司郑重承诺如下：</w:t>
      </w:r>
    </w:p>
    <w:p w14:paraId="70A7AD37">
      <w:pPr>
        <w:spacing w:after="0" w:line="360" w:lineRule="auto"/>
        <w:ind w:firstLine="420"/>
        <w:rPr>
          <w:rFonts w:hint="eastAsia" w:ascii="宋体" w:hAnsi="宋体" w:cs="宋体"/>
          <w:bCs/>
          <w:color w:val="auto"/>
          <w:szCs w:val="21"/>
        </w:rPr>
      </w:pPr>
      <w:r>
        <w:rPr>
          <w:rFonts w:hint="eastAsia" w:ascii="宋体" w:hAnsi="宋体" w:cs="宋体"/>
          <w:color w:val="auto"/>
          <w:szCs w:val="21"/>
        </w:rPr>
        <w:t>一、认真落实安全生产主体责任，建立健全安全生产责任制，认真落实“一岗双责”。</w:t>
      </w:r>
    </w:p>
    <w:p w14:paraId="7933C3A8">
      <w:pPr>
        <w:spacing w:after="0" w:line="360" w:lineRule="auto"/>
        <w:ind w:firstLine="420"/>
        <w:rPr>
          <w:rFonts w:hint="eastAsia" w:ascii="宋体" w:hAnsi="宋体" w:cs="宋体"/>
          <w:bCs/>
          <w:color w:val="auto"/>
          <w:szCs w:val="21"/>
        </w:rPr>
      </w:pPr>
      <w:r>
        <w:rPr>
          <w:rFonts w:hint="eastAsia" w:ascii="宋体" w:hAnsi="宋体" w:cs="宋体"/>
          <w:color w:val="auto"/>
          <w:szCs w:val="21"/>
        </w:rPr>
        <w:t>二、建立健全各项规章制度，严格执行重大危险源管理、隐患排查治理、高处作业、动火作业、临时用电等制度。</w:t>
      </w:r>
    </w:p>
    <w:p w14:paraId="765CC68E">
      <w:pPr>
        <w:spacing w:after="0" w:line="360" w:lineRule="auto"/>
        <w:ind w:firstLine="420"/>
        <w:rPr>
          <w:rFonts w:hint="eastAsia" w:ascii="宋体" w:hAnsi="宋体" w:cs="宋体"/>
          <w:bCs/>
          <w:color w:val="auto"/>
          <w:szCs w:val="21"/>
        </w:rPr>
      </w:pPr>
      <w:r>
        <w:rPr>
          <w:rFonts w:hint="eastAsia" w:ascii="宋体" w:hAnsi="宋体" w:cs="宋体"/>
          <w:color w:val="auto"/>
          <w:szCs w:val="21"/>
        </w:rPr>
        <w:t>三、做好安全检查。建立检查制度、巡查制度，及时纠正安全隐患。</w:t>
      </w:r>
    </w:p>
    <w:p w14:paraId="73CA50FE">
      <w:pPr>
        <w:spacing w:after="0" w:line="360" w:lineRule="auto"/>
        <w:ind w:firstLine="420"/>
        <w:rPr>
          <w:rFonts w:hint="eastAsia" w:ascii="宋体" w:hAnsi="宋体" w:cs="宋体"/>
          <w:bCs/>
          <w:color w:val="auto"/>
          <w:szCs w:val="21"/>
        </w:rPr>
      </w:pPr>
      <w:r>
        <w:rPr>
          <w:rFonts w:hint="eastAsia" w:ascii="宋体" w:hAnsi="宋体" w:cs="宋体"/>
          <w:color w:val="auto"/>
          <w:szCs w:val="21"/>
        </w:rPr>
        <w:t>四、提高从业人员安全素质，定期培训员工，加强特种作业人员管理，做到持证上岗。</w:t>
      </w:r>
    </w:p>
    <w:p w14:paraId="5CFF341D">
      <w:pPr>
        <w:spacing w:after="0" w:line="360" w:lineRule="auto"/>
        <w:ind w:firstLine="420"/>
        <w:rPr>
          <w:rFonts w:hint="eastAsia" w:ascii="宋体" w:hAnsi="宋体" w:cs="宋体"/>
          <w:bCs/>
          <w:color w:val="auto"/>
          <w:szCs w:val="21"/>
        </w:rPr>
      </w:pPr>
      <w:r>
        <w:rPr>
          <w:rFonts w:hint="eastAsia" w:ascii="宋体" w:hAnsi="宋体" w:cs="宋体"/>
          <w:color w:val="auto"/>
          <w:szCs w:val="21"/>
        </w:rPr>
        <w:t>五、提高企业安全投入，采用新工艺，淘汰旧工艺。</w:t>
      </w:r>
    </w:p>
    <w:p w14:paraId="0EB9180C">
      <w:pPr>
        <w:spacing w:after="0" w:line="360" w:lineRule="auto"/>
        <w:ind w:firstLine="420"/>
        <w:rPr>
          <w:rFonts w:hint="eastAsia" w:ascii="宋体" w:hAnsi="宋体" w:cs="宋体"/>
          <w:bCs/>
          <w:color w:val="auto"/>
          <w:szCs w:val="21"/>
        </w:rPr>
      </w:pPr>
      <w:r>
        <w:rPr>
          <w:rFonts w:hint="eastAsia" w:ascii="宋体" w:hAnsi="宋体" w:cs="宋体"/>
          <w:color w:val="auto"/>
          <w:szCs w:val="21"/>
        </w:rPr>
        <w:t>六、建立应急预案，加强日常演练。</w:t>
      </w:r>
    </w:p>
    <w:p w14:paraId="40879430">
      <w:pPr>
        <w:spacing w:after="0" w:line="360" w:lineRule="auto"/>
        <w:ind w:firstLine="420"/>
        <w:rPr>
          <w:rFonts w:hint="eastAsia" w:ascii="宋体" w:hAnsi="宋体" w:cs="宋体"/>
          <w:bCs/>
          <w:color w:val="auto"/>
          <w:szCs w:val="21"/>
        </w:rPr>
      </w:pPr>
      <w:r>
        <w:rPr>
          <w:rFonts w:hint="eastAsia" w:ascii="宋体" w:hAnsi="宋体" w:cs="宋体"/>
          <w:color w:val="auto"/>
          <w:szCs w:val="21"/>
        </w:rPr>
        <w:t>七、严格执行项目安全许可。</w:t>
      </w:r>
    </w:p>
    <w:p w14:paraId="4ECBDAC0">
      <w:pPr>
        <w:spacing w:after="0" w:line="360" w:lineRule="auto"/>
        <w:ind w:firstLine="420"/>
        <w:rPr>
          <w:rFonts w:hint="eastAsia" w:ascii="宋体" w:hAnsi="宋体" w:cs="宋体"/>
          <w:bCs/>
          <w:color w:val="auto"/>
          <w:szCs w:val="21"/>
        </w:rPr>
      </w:pPr>
      <w:r>
        <w:rPr>
          <w:rFonts w:hint="eastAsia" w:ascii="宋体" w:hAnsi="宋体" w:cs="宋体"/>
          <w:color w:val="auto"/>
          <w:szCs w:val="21"/>
        </w:rPr>
        <w:t>八、积极推行安全标准化管理，提高安全管理水平。</w:t>
      </w:r>
    </w:p>
    <w:p w14:paraId="7E95EABF">
      <w:pPr>
        <w:spacing w:after="0" w:line="360" w:lineRule="auto"/>
        <w:ind w:firstLine="420"/>
        <w:rPr>
          <w:rFonts w:hint="eastAsia" w:ascii="宋体" w:hAnsi="宋体" w:cs="宋体"/>
          <w:bCs/>
          <w:color w:val="auto"/>
          <w:szCs w:val="21"/>
        </w:rPr>
      </w:pPr>
      <w:r>
        <w:rPr>
          <w:rFonts w:hint="eastAsia" w:ascii="宋体" w:hAnsi="宋体" w:cs="宋体"/>
          <w:color w:val="auto"/>
          <w:szCs w:val="21"/>
        </w:rPr>
        <w:t>九、因施工过程中产生的重大责任事故或者其他人身、财产损害，均由本公司承担。</w:t>
      </w:r>
    </w:p>
    <w:p w14:paraId="69148E5F">
      <w:pPr>
        <w:spacing w:after="0" w:line="360" w:lineRule="auto"/>
        <w:rPr>
          <w:rFonts w:hint="eastAsia" w:ascii="宋体" w:hAnsi="宋体" w:cs="宋体"/>
          <w:bCs/>
          <w:color w:val="auto"/>
          <w:szCs w:val="21"/>
        </w:rPr>
      </w:pPr>
    </w:p>
    <w:p w14:paraId="4948F812">
      <w:pPr>
        <w:spacing w:after="0" w:line="360" w:lineRule="auto"/>
        <w:rPr>
          <w:rFonts w:hint="eastAsia" w:ascii="宋体" w:hAnsi="宋体" w:cs="宋体"/>
          <w:color w:val="auto"/>
          <w:szCs w:val="21"/>
          <w:u w:val="single"/>
        </w:rPr>
      </w:pPr>
      <w:r>
        <w:rPr>
          <w:rFonts w:hint="eastAsia" w:ascii="宋体" w:hAnsi="宋体" w:cs="宋体"/>
          <w:color w:val="auto"/>
          <w:szCs w:val="21"/>
        </w:rPr>
        <w:t>公司（盖章）：</w:t>
      </w:r>
      <w:r>
        <w:rPr>
          <w:rFonts w:hint="eastAsia" w:ascii="宋体" w:hAnsi="宋体" w:cs="宋体"/>
          <w:color w:val="auto"/>
          <w:szCs w:val="21"/>
          <w:u w:val="single"/>
        </w:rPr>
        <w:t xml:space="preserve">                       </w:t>
      </w:r>
    </w:p>
    <w:p w14:paraId="0519C5EE">
      <w:pPr>
        <w:spacing w:after="0" w:line="360" w:lineRule="auto"/>
        <w:rPr>
          <w:rFonts w:hint="eastAsia" w:ascii="宋体" w:hAnsi="宋体" w:cs="宋体"/>
          <w:bCs/>
          <w:color w:val="auto"/>
          <w:szCs w:val="21"/>
        </w:rPr>
      </w:pPr>
      <w:r>
        <w:rPr>
          <w:rFonts w:hint="eastAsia" w:ascii="宋体" w:hAnsi="宋体" w:cs="宋体"/>
          <w:color w:val="auto"/>
          <w:szCs w:val="21"/>
        </w:rPr>
        <w:t>法定代表人或授权代表人（签字）：</w:t>
      </w:r>
    </w:p>
    <w:p w14:paraId="16472A2F">
      <w:pPr>
        <w:spacing w:after="0" w:line="360" w:lineRule="auto"/>
        <w:ind w:firstLine="840" w:firstLineChars="400"/>
        <w:rPr>
          <w:rFonts w:hint="eastAsia" w:ascii="宋体" w:hAnsi="宋体" w:cs="宋体"/>
          <w:b/>
          <w:color w:val="auto"/>
          <w:szCs w:val="21"/>
          <w:u w:val="single"/>
        </w:rPr>
      </w:pPr>
      <w:r>
        <w:rPr>
          <w:rFonts w:hint="eastAsia" w:ascii="宋体" w:hAnsi="宋体" w:cs="宋体"/>
          <w:color w:val="auto"/>
          <w:szCs w:val="21"/>
        </w:rPr>
        <w:t>年    月    日</w:t>
      </w:r>
    </w:p>
    <w:p w14:paraId="08AEC280">
      <w:pPr>
        <w:spacing w:after="0" w:line="360" w:lineRule="auto"/>
        <w:rPr>
          <w:rFonts w:hint="eastAsia" w:ascii="宋体" w:hAnsi="宋体" w:cs="宋体"/>
          <w:b/>
          <w:color w:val="auto"/>
          <w:szCs w:val="21"/>
          <w:u w:val="single"/>
        </w:rPr>
      </w:pPr>
    </w:p>
    <w:p w14:paraId="5EAA8814">
      <w:pPr>
        <w:spacing w:after="0" w:line="360" w:lineRule="auto"/>
        <w:rPr>
          <w:rFonts w:hint="eastAsia" w:ascii="宋体" w:hAnsi="宋体" w:cs="宋体"/>
          <w:b/>
          <w:color w:val="auto"/>
          <w:szCs w:val="21"/>
        </w:rPr>
      </w:pPr>
    </w:p>
    <w:p w14:paraId="1E98D27A">
      <w:pPr>
        <w:spacing w:after="0" w:line="360" w:lineRule="auto"/>
        <w:rPr>
          <w:rFonts w:hint="eastAsia" w:ascii="宋体" w:hAnsi="宋体" w:cs="宋体"/>
          <w:b/>
          <w:color w:val="auto"/>
          <w:szCs w:val="21"/>
        </w:rPr>
      </w:pPr>
    </w:p>
    <w:p w14:paraId="648CF367">
      <w:pPr>
        <w:spacing w:after="0" w:line="360" w:lineRule="auto"/>
        <w:rPr>
          <w:rFonts w:hint="eastAsia" w:ascii="宋体" w:hAnsi="宋体" w:cs="宋体"/>
          <w:color w:val="auto"/>
          <w:szCs w:val="21"/>
        </w:rPr>
      </w:pPr>
      <w:r>
        <w:rPr>
          <w:rFonts w:hint="eastAsia" w:ascii="宋体" w:hAnsi="宋体" w:cs="宋体"/>
          <w:color w:val="auto"/>
          <w:szCs w:val="21"/>
        </w:rPr>
        <w:br w:type="page"/>
      </w:r>
      <w:r>
        <w:rPr>
          <w:rFonts w:hint="eastAsia" w:ascii="宋体" w:hAnsi="宋体" w:cs="宋体"/>
          <w:color w:val="auto"/>
          <w:szCs w:val="21"/>
        </w:rPr>
        <w:t>附件三：</w:t>
      </w:r>
    </w:p>
    <w:p w14:paraId="23ED55B7">
      <w:pPr>
        <w:spacing w:after="0" w:line="360" w:lineRule="auto"/>
        <w:jc w:val="center"/>
        <w:rPr>
          <w:rFonts w:hint="eastAsia" w:ascii="宋体" w:hAnsi="宋体" w:cs="宋体"/>
          <w:color w:val="auto"/>
          <w:szCs w:val="21"/>
        </w:rPr>
      </w:pPr>
      <w:r>
        <w:rPr>
          <w:rFonts w:hint="eastAsia" w:ascii="宋体" w:hAnsi="宋体" w:cs="宋体"/>
          <w:color w:val="auto"/>
          <w:szCs w:val="21"/>
        </w:rPr>
        <w:t>北京市丰台区人民政府东高地街道办事处</w:t>
      </w:r>
    </w:p>
    <w:p w14:paraId="41AEA106">
      <w:pPr>
        <w:spacing w:after="0" w:line="360" w:lineRule="auto"/>
        <w:jc w:val="center"/>
        <w:rPr>
          <w:rFonts w:hint="eastAsia" w:ascii="宋体" w:hAnsi="宋体" w:cs="宋体"/>
          <w:color w:val="auto"/>
          <w:szCs w:val="21"/>
        </w:rPr>
      </w:pPr>
      <w:r>
        <w:rPr>
          <w:rFonts w:hint="eastAsia" w:ascii="宋体" w:hAnsi="宋体" w:cs="宋体"/>
          <w:color w:val="auto"/>
          <w:szCs w:val="21"/>
        </w:rPr>
        <w:t>保密责任书</w:t>
      </w:r>
    </w:p>
    <w:p w14:paraId="6F623B13">
      <w:pPr>
        <w:spacing w:after="0" w:line="360" w:lineRule="auto"/>
        <w:ind w:firstLine="420"/>
        <w:rPr>
          <w:rFonts w:hint="eastAsia" w:ascii="宋体" w:hAnsi="宋体" w:cs="宋体"/>
          <w:color w:val="auto"/>
          <w:szCs w:val="21"/>
        </w:rPr>
      </w:pPr>
      <w:r>
        <w:rPr>
          <w:rFonts w:hint="eastAsia" w:ascii="宋体" w:hAnsi="宋体" w:cs="宋体"/>
          <w:color w:val="auto"/>
          <w:szCs w:val="21"/>
        </w:rPr>
        <w:t>鉴于（承包方）为北京市丰台区人民政府东高地街道办事处项目提供服务，为保证在服务过程中所涉秘密安全，承包方依据《中华人民共和国保守国家秘密法》的有关规定，自愿遵守以下保密条款：</w:t>
      </w:r>
    </w:p>
    <w:p w14:paraId="7A474E9E">
      <w:pPr>
        <w:spacing w:after="0" w:line="360" w:lineRule="auto"/>
        <w:ind w:firstLine="420"/>
        <w:rPr>
          <w:rFonts w:hint="eastAsia" w:ascii="宋体" w:hAnsi="宋体" w:cs="宋体"/>
          <w:color w:val="auto"/>
          <w:szCs w:val="21"/>
        </w:rPr>
      </w:pPr>
      <w:r>
        <w:rPr>
          <w:rFonts w:hint="eastAsia" w:ascii="宋体" w:hAnsi="宋体" w:cs="宋体"/>
          <w:color w:val="auto"/>
          <w:szCs w:val="21"/>
        </w:rPr>
        <w:t>1. 本项目及履行合同过程中的下列信息属于保密信息：</w:t>
      </w:r>
    </w:p>
    <w:p w14:paraId="0EE60635">
      <w:pPr>
        <w:spacing w:after="0" w:line="360" w:lineRule="auto"/>
        <w:ind w:firstLine="420"/>
        <w:rPr>
          <w:rFonts w:hint="eastAsia" w:ascii="宋体" w:hAnsi="宋体" w:cs="宋体"/>
          <w:color w:val="auto"/>
          <w:szCs w:val="21"/>
        </w:rPr>
      </w:pPr>
      <w:r>
        <w:rPr>
          <w:rFonts w:hint="eastAsia" w:ascii="宋体" w:hAnsi="宋体" w:cs="宋体"/>
          <w:color w:val="auto"/>
          <w:szCs w:val="21"/>
        </w:rPr>
        <w:t>（1）发包方向承包方提供的所有资料，以及承包方编制的所有与本项目相关的信息、文档、资料，</w:t>
      </w:r>
    </w:p>
    <w:p w14:paraId="00689A20">
      <w:pPr>
        <w:spacing w:after="0" w:line="360" w:lineRule="auto"/>
        <w:ind w:firstLine="420"/>
        <w:rPr>
          <w:rFonts w:hint="eastAsia" w:ascii="宋体" w:hAnsi="宋体" w:cs="宋体"/>
          <w:color w:val="auto"/>
          <w:szCs w:val="21"/>
        </w:rPr>
      </w:pPr>
      <w:r>
        <w:rPr>
          <w:rFonts w:hint="eastAsia" w:ascii="宋体" w:hAnsi="宋体" w:cs="宋体"/>
          <w:color w:val="auto"/>
          <w:szCs w:val="21"/>
        </w:rPr>
        <w:t>（2）发包方通过注明“保密”、“涉密”字样等方式或其他技术手段采取保密措施的其他信息或资料。</w:t>
      </w:r>
    </w:p>
    <w:p w14:paraId="4A8EFDBF">
      <w:pPr>
        <w:spacing w:after="0" w:line="360" w:lineRule="auto"/>
        <w:ind w:firstLine="420"/>
        <w:rPr>
          <w:rFonts w:hint="eastAsia" w:ascii="宋体" w:hAnsi="宋体" w:cs="宋体"/>
          <w:color w:val="auto"/>
          <w:szCs w:val="21"/>
        </w:rPr>
      </w:pPr>
      <w:r>
        <w:rPr>
          <w:rFonts w:hint="eastAsia" w:ascii="宋体" w:hAnsi="宋体" w:cs="宋体"/>
          <w:color w:val="auto"/>
          <w:szCs w:val="21"/>
        </w:rPr>
        <w:t>2. 本合同保密信息及资料仅供承包方本项目小组人员参考使用，承包方须严守资料中所涉秘密、妥善保管，不得遗失、转借、复印，未经发包方书面同意不得以任何方式使用、销售、或向第三方披露、泄漏。不得以任何形式进行模仿、抄袭或自身或许可第三方使用。</w:t>
      </w:r>
    </w:p>
    <w:p w14:paraId="70A10911">
      <w:pPr>
        <w:spacing w:after="0" w:line="360" w:lineRule="auto"/>
        <w:ind w:firstLine="420"/>
        <w:rPr>
          <w:rFonts w:hint="eastAsia" w:ascii="宋体" w:hAnsi="宋体" w:cs="宋体"/>
          <w:color w:val="auto"/>
          <w:szCs w:val="21"/>
        </w:rPr>
      </w:pPr>
      <w:r>
        <w:rPr>
          <w:rFonts w:hint="eastAsia" w:ascii="宋体" w:hAnsi="宋体" w:cs="宋体"/>
          <w:color w:val="auto"/>
          <w:szCs w:val="21"/>
        </w:rPr>
        <w:t>3.本项目完成后15天内，承包方应向发包方提交本项目全部合同资料及数据。承包方不得擅自复制、备份或用于其他项目。</w:t>
      </w:r>
    </w:p>
    <w:p w14:paraId="1545ACF3">
      <w:pPr>
        <w:spacing w:after="0" w:line="360" w:lineRule="auto"/>
        <w:ind w:firstLine="420"/>
        <w:rPr>
          <w:rFonts w:hint="eastAsia" w:ascii="宋体" w:hAnsi="宋体" w:cs="宋体"/>
          <w:color w:val="auto"/>
          <w:szCs w:val="21"/>
        </w:rPr>
      </w:pPr>
      <w:r>
        <w:rPr>
          <w:rFonts w:hint="eastAsia" w:ascii="宋体" w:hAnsi="宋体" w:cs="宋体"/>
          <w:color w:val="auto"/>
          <w:szCs w:val="21"/>
        </w:rPr>
        <w:t>4.承包方在接受和退还涉密内容的资料时必须建立登记制度。</w:t>
      </w:r>
    </w:p>
    <w:p w14:paraId="111964FC">
      <w:pPr>
        <w:spacing w:after="0" w:line="360" w:lineRule="auto"/>
        <w:ind w:firstLine="420"/>
        <w:rPr>
          <w:rFonts w:hint="eastAsia" w:ascii="宋体" w:hAnsi="宋体" w:cs="宋体"/>
          <w:color w:val="auto"/>
          <w:szCs w:val="21"/>
        </w:rPr>
      </w:pPr>
      <w:r>
        <w:rPr>
          <w:rFonts w:hint="eastAsia" w:ascii="宋体" w:hAnsi="宋体" w:cs="宋体"/>
          <w:color w:val="auto"/>
          <w:szCs w:val="21"/>
        </w:rPr>
        <w:t>5.在项目执行期间，承包方应保证承包方项目队伍人员严格遵守发包方的保密规定。</w:t>
      </w:r>
    </w:p>
    <w:p w14:paraId="30CF5805">
      <w:pPr>
        <w:spacing w:after="0" w:line="360" w:lineRule="auto"/>
        <w:ind w:firstLine="420"/>
        <w:rPr>
          <w:rFonts w:hint="eastAsia" w:ascii="宋体" w:hAnsi="宋体" w:cs="宋体"/>
          <w:color w:val="auto"/>
          <w:szCs w:val="21"/>
        </w:rPr>
      </w:pPr>
      <w:r>
        <w:rPr>
          <w:rFonts w:hint="eastAsia" w:ascii="宋体" w:hAnsi="宋体" w:cs="宋体"/>
          <w:color w:val="auto"/>
          <w:szCs w:val="21"/>
        </w:rPr>
        <w:t>6.承包方发现发包方的保密事项已经泄露或可能泄露时，应当立即采取补救措施，并及时报告发包方。如承包方造成的泄失密事件，承包方须承担有关法律责任。发包方解除合同的，承包方应退还本合同款项，按照合同金额30%标准支付违约金。</w:t>
      </w:r>
    </w:p>
    <w:p w14:paraId="11CA99D1">
      <w:pPr>
        <w:spacing w:after="0" w:line="360" w:lineRule="auto"/>
        <w:ind w:firstLine="420"/>
        <w:rPr>
          <w:rFonts w:hint="eastAsia" w:ascii="宋体" w:hAnsi="宋体" w:cs="宋体"/>
          <w:color w:val="auto"/>
          <w:szCs w:val="21"/>
        </w:rPr>
      </w:pPr>
      <w:r>
        <w:rPr>
          <w:rFonts w:hint="eastAsia" w:ascii="宋体" w:hAnsi="宋体" w:cs="宋体"/>
          <w:color w:val="auto"/>
          <w:szCs w:val="21"/>
        </w:rPr>
        <w:t>7.本项目保密期限为永久。</w:t>
      </w:r>
    </w:p>
    <w:p w14:paraId="13873E44">
      <w:pPr>
        <w:spacing w:after="0" w:line="360" w:lineRule="auto"/>
        <w:rPr>
          <w:rFonts w:hint="eastAsia" w:ascii="宋体" w:hAnsi="宋体" w:cs="宋体"/>
          <w:color w:val="auto"/>
          <w:szCs w:val="21"/>
        </w:rPr>
      </w:pPr>
    </w:p>
    <w:p w14:paraId="31B75451">
      <w:pPr>
        <w:spacing w:after="0" w:line="360" w:lineRule="auto"/>
        <w:rPr>
          <w:rFonts w:hint="eastAsia" w:ascii="宋体" w:hAnsi="宋体" w:cs="宋体"/>
          <w:color w:val="auto"/>
          <w:szCs w:val="21"/>
        </w:rPr>
      </w:pPr>
    </w:p>
    <w:p w14:paraId="6DA6B999">
      <w:pPr>
        <w:spacing w:after="0" w:line="360" w:lineRule="auto"/>
        <w:rPr>
          <w:rFonts w:hint="eastAsia" w:ascii="宋体" w:hAnsi="宋体" w:cs="宋体"/>
          <w:color w:val="auto"/>
          <w:szCs w:val="21"/>
        </w:rPr>
      </w:pPr>
      <w:r>
        <w:rPr>
          <w:rFonts w:hint="eastAsia" w:ascii="宋体" w:hAnsi="宋体" w:cs="宋体"/>
          <w:color w:val="auto"/>
          <w:szCs w:val="21"/>
        </w:rPr>
        <w:t xml:space="preserve">承诺公司名称： </w:t>
      </w:r>
    </w:p>
    <w:p w14:paraId="2AF644E8">
      <w:pPr>
        <w:spacing w:after="0" w:line="360" w:lineRule="auto"/>
        <w:rPr>
          <w:rFonts w:hint="eastAsia" w:ascii="宋体" w:hAnsi="宋体" w:cs="宋体"/>
          <w:color w:val="auto"/>
          <w:szCs w:val="21"/>
        </w:rPr>
      </w:pPr>
      <w:r>
        <w:rPr>
          <w:rFonts w:hint="eastAsia" w:ascii="宋体" w:hAnsi="宋体" w:cs="宋体"/>
          <w:color w:val="auto"/>
          <w:szCs w:val="21"/>
        </w:rPr>
        <w:t>法定代表人：</w:t>
      </w:r>
    </w:p>
    <w:p w14:paraId="65B7C56C">
      <w:pPr>
        <w:spacing w:after="0" w:line="360" w:lineRule="auto"/>
        <w:rPr>
          <w:rFonts w:hint="eastAsia" w:ascii="宋体" w:hAnsi="宋体" w:cs="宋体"/>
          <w:color w:val="auto"/>
          <w:szCs w:val="21"/>
        </w:rPr>
      </w:pPr>
      <w:r>
        <w:rPr>
          <w:rFonts w:hint="eastAsia" w:ascii="宋体" w:hAnsi="宋体" w:cs="宋体"/>
          <w:color w:val="auto"/>
          <w:szCs w:val="21"/>
        </w:rPr>
        <w:t>签字日期：     年    月    日</w:t>
      </w:r>
    </w:p>
    <w:p w14:paraId="5C1203A2">
      <w:pPr>
        <w:spacing w:after="0" w:line="360" w:lineRule="auto"/>
        <w:rPr>
          <w:rFonts w:hint="eastAsia" w:ascii="宋体" w:hAnsi="宋体" w:cs="宋体"/>
          <w:color w:val="auto"/>
          <w:szCs w:val="21"/>
        </w:rPr>
      </w:pPr>
      <w:r>
        <w:rPr>
          <w:rFonts w:hint="eastAsia" w:ascii="宋体" w:hAnsi="宋体" w:cs="宋体"/>
          <w:color w:val="auto"/>
          <w:szCs w:val="21"/>
        </w:rPr>
        <w:br w:type="page"/>
      </w:r>
      <w:r>
        <w:rPr>
          <w:rFonts w:hint="eastAsia" w:ascii="宋体" w:hAnsi="宋体" w:cs="宋体"/>
          <w:color w:val="auto"/>
          <w:szCs w:val="21"/>
        </w:rPr>
        <w:t>附件四：</w:t>
      </w:r>
    </w:p>
    <w:p w14:paraId="4A2CFD0B">
      <w:pPr>
        <w:spacing w:after="0" w:line="360" w:lineRule="auto"/>
        <w:jc w:val="center"/>
        <w:rPr>
          <w:rFonts w:hint="eastAsia" w:ascii="宋体" w:hAnsi="宋体" w:cs="宋体"/>
          <w:color w:val="auto"/>
          <w:szCs w:val="21"/>
        </w:rPr>
      </w:pPr>
      <w:r>
        <w:rPr>
          <w:rFonts w:hint="eastAsia" w:ascii="宋体" w:hAnsi="宋体" w:cs="宋体"/>
          <w:color w:val="auto"/>
          <w:szCs w:val="21"/>
        </w:rPr>
        <w:t>廉政承诺书</w:t>
      </w:r>
    </w:p>
    <w:p w14:paraId="27BAB94C">
      <w:pPr>
        <w:spacing w:after="0" w:line="360" w:lineRule="auto"/>
        <w:ind w:firstLine="420"/>
        <w:rPr>
          <w:rFonts w:hint="eastAsia" w:ascii="宋体" w:hAnsi="宋体" w:cs="宋体"/>
          <w:color w:val="auto"/>
          <w:szCs w:val="21"/>
        </w:rPr>
      </w:pPr>
      <w:r>
        <w:rPr>
          <w:rFonts w:hint="eastAsia" w:ascii="宋体" w:hAnsi="宋体" w:cs="宋体"/>
          <w:color w:val="auto"/>
          <w:szCs w:val="21"/>
        </w:rPr>
        <w:t>我单位所承接的北京市丰台区人民政府东高地街道办事处项目。为确保项目廉洁、高效实施，我单位作出如下承诺：</w:t>
      </w:r>
    </w:p>
    <w:p w14:paraId="39D4E6FE">
      <w:pPr>
        <w:spacing w:after="0" w:line="360" w:lineRule="auto"/>
        <w:ind w:firstLine="420"/>
        <w:rPr>
          <w:rFonts w:hint="eastAsia" w:ascii="宋体" w:hAnsi="宋体" w:cs="宋体"/>
          <w:color w:val="auto"/>
          <w:szCs w:val="21"/>
        </w:rPr>
      </w:pPr>
      <w:r>
        <w:rPr>
          <w:rFonts w:hint="eastAsia" w:ascii="宋体" w:hAnsi="宋体" w:cs="宋体"/>
          <w:color w:val="auto"/>
          <w:szCs w:val="21"/>
        </w:rPr>
        <w:t>1.严格遵守工程项目实施的有关规定，保证项目资金管理使用安全、规范。</w:t>
      </w:r>
    </w:p>
    <w:p w14:paraId="187E0984">
      <w:pPr>
        <w:spacing w:after="0" w:line="360" w:lineRule="auto"/>
        <w:ind w:firstLine="420"/>
        <w:rPr>
          <w:rFonts w:hint="eastAsia" w:ascii="宋体" w:hAnsi="宋体" w:cs="宋体"/>
          <w:color w:val="auto"/>
          <w:szCs w:val="21"/>
        </w:rPr>
      </w:pPr>
      <w:r>
        <w:rPr>
          <w:rFonts w:hint="eastAsia" w:ascii="宋体" w:hAnsi="宋体" w:cs="宋体"/>
          <w:color w:val="auto"/>
          <w:szCs w:val="21"/>
        </w:rPr>
        <w:t>2.严格遵守商业规范和商业道德，依法合规推进项目工作，努力推进诚信建设，绝不从事任何不正当竞争和任何违法违纪行为。</w:t>
      </w:r>
    </w:p>
    <w:p w14:paraId="5EADCFC4">
      <w:pPr>
        <w:spacing w:after="0" w:line="360" w:lineRule="auto"/>
        <w:ind w:firstLine="420"/>
        <w:rPr>
          <w:rFonts w:hint="eastAsia" w:ascii="宋体" w:hAnsi="宋体" w:cs="宋体"/>
          <w:color w:val="auto"/>
          <w:szCs w:val="21"/>
        </w:rPr>
      </w:pPr>
      <w:r>
        <w:rPr>
          <w:rFonts w:hint="eastAsia" w:ascii="宋体" w:hAnsi="宋体" w:cs="宋体"/>
          <w:color w:val="auto"/>
          <w:szCs w:val="21"/>
        </w:rPr>
        <w:t>3.严格落实建设项目质量监管保证体系，严格按照国家相关法规和技术规范实施项目服务，争创优质工程。</w:t>
      </w:r>
    </w:p>
    <w:p w14:paraId="2C58A65F">
      <w:pPr>
        <w:spacing w:after="0" w:line="360" w:lineRule="auto"/>
        <w:ind w:firstLine="420"/>
        <w:rPr>
          <w:rFonts w:hint="eastAsia" w:ascii="宋体" w:hAnsi="宋体" w:cs="宋体"/>
          <w:color w:val="auto"/>
          <w:szCs w:val="21"/>
        </w:rPr>
      </w:pPr>
      <w:r>
        <w:rPr>
          <w:rFonts w:hint="eastAsia" w:ascii="宋体" w:hAnsi="宋体" w:cs="宋体"/>
          <w:color w:val="auto"/>
          <w:szCs w:val="21"/>
        </w:rPr>
        <w:t>4.定期对项目实施过程中的廉政建设和廉洁从业情况进行内部监督检查，及时发现和整改存在各类问题。</w:t>
      </w:r>
    </w:p>
    <w:p w14:paraId="57F27B07">
      <w:pPr>
        <w:spacing w:after="0" w:line="360" w:lineRule="auto"/>
        <w:ind w:firstLine="420"/>
        <w:rPr>
          <w:rFonts w:hint="eastAsia" w:ascii="宋体" w:hAnsi="宋体" w:cs="宋体"/>
          <w:color w:val="auto"/>
          <w:szCs w:val="21"/>
        </w:rPr>
      </w:pPr>
      <w:r>
        <w:rPr>
          <w:rFonts w:hint="eastAsia" w:ascii="宋体" w:hAnsi="宋体" w:cs="宋体"/>
          <w:color w:val="auto"/>
          <w:szCs w:val="21"/>
        </w:rPr>
        <w:t>5.如在项目实施中发现违法违纪行为和腐败问题，承诺配合发包方进行相应的调查，并提供相关材料。</w:t>
      </w:r>
    </w:p>
    <w:p w14:paraId="3E0B9AAA">
      <w:pPr>
        <w:spacing w:after="0" w:line="360" w:lineRule="auto"/>
        <w:ind w:firstLine="420"/>
        <w:rPr>
          <w:rFonts w:hint="eastAsia" w:ascii="宋体" w:hAnsi="宋体" w:cs="宋体"/>
          <w:color w:val="auto"/>
          <w:szCs w:val="21"/>
        </w:rPr>
      </w:pPr>
      <w:r>
        <w:rPr>
          <w:rFonts w:hint="eastAsia" w:ascii="宋体" w:hAnsi="宋体" w:cs="宋体"/>
          <w:color w:val="auto"/>
          <w:szCs w:val="21"/>
        </w:rPr>
        <w:t>6.如在项目实施中发现违法违纪行为和腐败问题，自愿接受发包方要求支付违约金、解除合同、赔偿经济损失直至追究其他法律责任。</w:t>
      </w:r>
    </w:p>
    <w:p w14:paraId="79631FDC">
      <w:pPr>
        <w:spacing w:after="0" w:line="360" w:lineRule="auto"/>
        <w:rPr>
          <w:rFonts w:hint="eastAsia" w:ascii="宋体" w:hAnsi="宋体" w:cs="宋体"/>
          <w:color w:val="auto"/>
          <w:szCs w:val="21"/>
        </w:rPr>
      </w:pPr>
    </w:p>
    <w:p w14:paraId="3B5593F9">
      <w:pPr>
        <w:spacing w:after="0" w:line="360" w:lineRule="auto"/>
        <w:rPr>
          <w:rFonts w:hint="eastAsia" w:ascii="宋体" w:hAnsi="宋体" w:cs="宋体"/>
          <w:color w:val="auto"/>
          <w:szCs w:val="21"/>
        </w:rPr>
      </w:pPr>
    </w:p>
    <w:p w14:paraId="3AB1E4F0">
      <w:pPr>
        <w:spacing w:after="0" w:line="360" w:lineRule="auto"/>
        <w:rPr>
          <w:rFonts w:hint="eastAsia" w:ascii="宋体" w:hAnsi="宋体" w:cs="宋体"/>
          <w:color w:val="auto"/>
          <w:szCs w:val="21"/>
        </w:rPr>
      </w:pPr>
    </w:p>
    <w:p w14:paraId="3E626084">
      <w:pPr>
        <w:spacing w:after="0" w:line="360" w:lineRule="auto"/>
        <w:rPr>
          <w:rFonts w:hint="eastAsia" w:ascii="宋体" w:hAnsi="宋体" w:cs="宋体"/>
          <w:color w:val="auto"/>
          <w:szCs w:val="21"/>
        </w:rPr>
      </w:pPr>
      <w:r>
        <w:rPr>
          <w:rFonts w:hint="eastAsia" w:ascii="宋体" w:hAnsi="宋体" w:cs="宋体"/>
          <w:color w:val="auto"/>
          <w:szCs w:val="21"/>
        </w:rPr>
        <w:t xml:space="preserve">承诺公司名称： </w:t>
      </w:r>
    </w:p>
    <w:p w14:paraId="74BEF1B1">
      <w:pPr>
        <w:spacing w:after="0" w:line="360" w:lineRule="auto"/>
        <w:rPr>
          <w:rFonts w:hint="eastAsia" w:ascii="宋体" w:hAnsi="宋体" w:cs="宋体"/>
          <w:color w:val="auto"/>
          <w:szCs w:val="21"/>
        </w:rPr>
      </w:pPr>
      <w:r>
        <w:rPr>
          <w:rFonts w:hint="eastAsia" w:ascii="宋体" w:hAnsi="宋体" w:cs="宋体"/>
          <w:color w:val="auto"/>
          <w:szCs w:val="21"/>
        </w:rPr>
        <w:t>法定代表人：</w:t>
      </w:r>
    </w:p>
    <w:p w14:paraId="69BFCC39">
      <w:pPr>
        <w:spacing w:after="0" w:line="360" w:lineRule="auto"/>
        <w:rPr>
          <w:rFonts w:hint="eastAsia" w:ascii="宋体" w:hAnsi="宋体" w:cs="宋体"/>
          <w:color w:val="auto"/>
          <w:szCs w:val="21"/>
        </w:rPr>
      </w:pPr>
      <w:r>
        <w:rPr>
          <w:rFonts w:hint="eastAsia" w:ascii="宋体" w:hAnsi="宋体" w:cs="宋体"/>
          <w:color w:val="auto"/>
          <w:szCs w:val="21"/>
        </w:rPr>
        <w:t>签字日期：     年    月    日</w:t>
      </w:r>
    </w:p>
    <w:p w14:paraId="4B4CF540">
      <w:pPr>
        <w:snapToGrid w:val="0"/>
        <w:spacing w:after="0" w:line="360" w:lineRule="auto"/>
        <w:ind w:firstLine="472" w:firstLineChars="196"/>
        <w:rPr>
          <w:rFonts w:hint="eastAsia" w:ascii="宋体" w:hAnsi="宋体" w:eastAsia="宋体" w:cs="宋体"/>
          <w:b/>
          <w:sz w:val="24"/>
          <w:szCs w:val="24"/>
          <w:highlight w:val="none"/>
        </w:rPr>
      </w:pPr>
    </w:p>
    <w:p w14:paraId="1F7EE5C9">
      <w:pPr>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BE482E0">
      <w:pPr>
        <w:pStyle w:val="20"/>
        <w:pageBreakBefore w:val="0"/>
        <w:wordWrap w:val="0"/>
        <w:topLinePunct w:val="0"/>
        <w:bidi w:val="0"/>
        <w:spacing w:after="0"/>
        <w:ind w:left="840" w:hanging="420"/>
        <w:textAlignment w:val="auto"/>
        <w:rPr>
          <w:highlight w:val="none"/>
        </w:rPr>
      </w:pPr>
    </w:p>
    <w:p w14:paraId="19113C97">
      <w:pPr>
        <w:pageBreakBefore w:val="0"/>
        <w:wordWrap w:val="0"/>
        <w:topLinePunct w:val="0"/>
        <w:bidi w:val="0"/>
        <w:spacing w:after="0" w:line="360" w:lineRule="auto"/>
        <w:jc w:val="center"/>
        <w:textAlignment w:val="auto"/>
        <w:outlineLvl w:val="0"/>
        <w:rPr>
          <w:rFonts w:hint="eastAsia" w:ascii="宋体" w:hAnsi="宋体" w:cs="宋体"/>
          <w:b/>
          <w:sz w:val="36"/>
          <w:szCs w:val="36"/>
          <w:highlight w:val="none"/>
        </w:rPr>
      </w:pPr>
      <w:bookmarkStart w:id="1251" w:name="_Toc5160"/>
      <w:bookmarkStart w:id="1252" w:name="_Toc15156"/>
      <w:r>
        <w:rPr>
          <w:rFonts w:hint="eastAsia" w:ascii="宋体" w:hAnsi="宋体" w:cs="宋体"/>
          <w:b/>
          <w:sz w:val="36"/>
          <w:szCs w:val="36"/>
          <w:highlight w:val="none"/>
        </w:rPr>
        <w:t>第六章   响应文件格式</w:t>
      </w:r>
      <w:bookmarkEnd w:id="1251"/>
      <w:bookmarkEnd w:id="1252"/>
    </w:p>
    <w:p w14:paraId="454E274D">
      <w:pPr>
        <w:pageBreakBefore w:val="0"/>
        <w:widowControl/>
        <w:wordWrap w:val="0"/>
        <w:topLinePunct w:val="0"/>
        <w:bidi w:val="0"/>
        <w:spacing w:after="0" w:line="360" w:lineRule="auto"/>
        <w:jc w:val="left"/>
        <w:textAlignment w:val="auto"/>
        <w:rPr>
          <w:rFonts w:hint="eastAsia" w:ascii="宋体" w:hAnsi="宋体" w:cs="宋体"/>
          <w:b/>
          <w:sz w:val="24"/>
          <w:highlight w:val="none"/>
        </w:rPr>
      </w:pPr>
    </w:p>
    <w:p w14:paraId="62468286">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b/>
          <w:kern w:val="0"/>
          <w:sz w:val="24"/>
          <w:highlight w:val="none"/>
        </w:rPr>
      </w:pPr>
      <w:r>
        <w:rPr>
          <w:rFonts w:hint="eastAsia" w:ascii="宋体" w:hAnsi="宋体" w:cs="宋体"/>
          <w:b/>
          <w:kern w:val="0"/>
          <w:sz w:val="24"/>
          <w:highlight w:val="none"/>
        </w:rPr>
        <w:t>供应商编制文件须知</w:t>
      </w:r>
    </w:p>
    <w:p w14:paraId="460A2872">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r>
        <w:rPr>
          <w:rFonts w:hint="eastAsia" w:ascii="宋体" w:hAnsi="宋体" w:cs="宋体"/>
          <w:sz w:val="24"/>
          <w:highlight w:val="none"/>
        </w:rPr>
        <w:t>1、供应商按照本部分的顺序编制响应文件，编制中涉及格式资料的，应按照本部分提供的内容和格式（所有表格的格式可扩展）填写提交。</w:t>
      </w:r>
    </w:p>
    <w:p w14:paraId="0EBE681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对于竞争性磋商文件中标记了“实质性格式”文件的，供应商</w:t>
      </w:r>
      <w:r>
        <w:rPr>
          <w:rFonts w:hint="eastAsia" w:ascii="宋体" w:hAnsi="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kern w:val="0"/>
          <w:sz w:val="24"/>
          <w:highlight w:val="none"/>
        </w:rPr>
        <w:t>否则响应无效</w:t>
      </w:r>
      <w:r>
        <w:rPr>
          <w:rFonts w:hint="eastAsia" w:ascii="宋体" w:hAnsi="宋体" w:cs="宋体"/>
          <w:kern w:val="0"/>
          <w:sz w:val="24"/>
          <w:highlight w:val="none"/>
        </w:rPr>
        <w:t>。未标记“实质性格式”的文件和竞争性磋商文件未提供格式的内容，可由供应商自行编写。</w:t>
      </w:r>
    </w:p>
    <w:p w14:paraId="39AD2469">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425A9DFF">
      <w:pPr>
        <w:pageBreakBefore w:val="0"/>
        <w:tabs>
          <w:tab w:val="left" w:pos="900"/>
          <w:tab w:val="left" w:pos="1980"/>
        </w:tabs>
        <w:wordWrap w:val="0"/>
        <w:topLinePunct w:val="0"/>
        <w:bidi w:val="0"/>
        <w:snapToGrid w:val="0"/>
        <w:spacing w:after="0" w:line="360" w:lineRule="auto"/>
        <w:ind w:left="142"/>
        <w:textAlignment w:val="auto"/>
        <w:rPr>
          <w:rFonts w:hint="eastAsia" w:ascii="宋体" w:hAnsi="宋体" w:cs="宋体"/>
          <w:sz w:val="24"/>
          <w:highlight w:val="none"/>
        </w:rPr>
      </w:pPr>
    </w:p>
    <w:p w14:paraId="296C0EEA">
      <w:pPr>
        <w:pageBreakBefore w:val="0"/>
        <w:widowControl/>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3184E13A">
      <w:pPr>
        <w:pageBreakBefore w:val="0"/>
        <w:wordWrap w:val="0"/>
        <w:topLinePunct w:val="0"/>
        <w:bidi w:val="0"/>
        <w:spacing w:after="0" w:line="360" w:lineRule="auto"/>
        <w:textAlignment w:val="auto"/>
        <w:rPr>
          <w:rFonts w:hint="eastAsia" w:ascii="宋体" w:hAnsi="宋体" w:cs="宋体"/>
          <w:b/>
          <w:spacing w:val="20"/>
          <w:szCs w:val="21"/>
          <w:highlight w:val="none"/>
        </w:rPr>
      </w:pPr>
    </w:p>
    <w:p w14:paraId="51C14D14">
      <w:pPr>
        <w:pageBreakBefore w:val="0"/>
        <w:wordWrap w:val="0"/>
        <w:topLinePunct w:val="0"/>
        <w:bidi w:val="0"/>
        <w:spacing w:after="0" w:line="360" w:lineRule="auto"/>
        <w:textAlignment w:val="auto"/>
        <w:rPr>
          <w:rFonts w:hint="eastAsia" w:ascii="宋体" w:hAnsi="宋体" w:cs="宋体"/>
          <w:b/>
          <w:sz w:val="24"/>
          <w:highlight w:val="none"/>
        </w:rPr>
      </w:pPr>
      <w:r>
        <w:rPr>
          <w:rFonts w:hint="eastAsia" w:ascii="宋体" w:hAnsi="宋体" w:cs="宋体"/>
          <w:b/>
          <w:spacing w:val="20"/>
          <w:sz w:val="24"/>
          <w:highlight w:val="none"/>
        </w:rPr>
        <w:t>响应文件</w:t>
      </w:r>
      <w:r>
        <w:rPr>
          <w:rFonts w:hint="eastAsia" w:ascii="宋体" w:hAnsi="宋体" w:cs="宋体"/>
          <w:b/>
          <w:sz w:val="24"/>
          <w:highlight w:val="none"/>
        </w:rPr>
        <w:t>封面（非实质性格式）</w:t>
      </w:r>
    </w:p>
    <w:p w14:paraId="7FB6DE64">
      <w:pPr>
        <w:pageBreakBefore w:val="0"/>
        <w:wordWrap w:val="0"/>
        <w:topLinePunct w:val="0"/>
        <w:bidi w:val="0"/>
        <w:spacing w:after="0" w:line="360" w:lineRule="auto"/>
        <w:jc w:val="center"/>
        <w:textAlignment w:val="auto"/>
        <w:rPr>
          <w:rFonts w:hint="eastAsia" w:ascii="宋体" w:hAnsi="宋体" w:cs="宋体"/>
          <w:szCs w:val="21"/>
          <w:highlight w:val="none"/>
        </w:rPr>
      </w:pPr>
    </w:p>
    <w:p w14:paraId="257E9246">
      <w:pPr>
        <w:pageBreakBefore w:val="0"/>
        <w:wordWrap w:val="0"/>
        <w:topLinePunct w:val="0"/>
        <w:bidi w:val="0"/>
        <w:spacing w:after="0" w:line="360" w:lineRule="auto"/>
        <w:jc w:val="center"/>
        <w:textAlignment w:val="auto"/>
        <w:rPr>
          <w:rFonts w:hint="eastAsia" w:ascii="宋体" w:hAnsi="宋体" w:cs="宋体"/>
          <w:b/>
          <w:spacing w:val="60"/>
          <w:sz w:val="84"/>
          <w:szCs w:val="84"/>
          <w:highlight w:val="none"/>
        </w:rPr>
      </w:pPr>
      <w:r>
        <w:rPr>
          <w:rFonts w:hint="eastAsia" w:ascii="宋体" w:hAnsi="宋体" w:cs="宋体"/>
          <w:b/>
          <w:spacing w:val="60"/>
          <w:sz w:val="84"/>
          <w:szCs w:val="84"/>
          <w:highlight w:val="none"/>
        </w:rPr>
        <w:t>响 应 文 件</w:t>
      </w:r>
    </w:p>
    <w:p w14:paraId="03BE494C">
      <w:pPr>
        <w:pageBreakBefore w:val="0"/>
        <w:wordWrap w:val="0"/>
        <w:topLinePunct w:val="0"/>
        <w:bidi w:val="0"/>
        <w:spacing w:after="0" w:line="360" w:lineRule="auto"/>
        <w:jc w:val="center"/>
        <w:textAlignment w:val="auto"/>
        <w:rPr>
          <w:rFonts w:hint="eastAsia" w:ascii="宋体" w:hAnsi="宋体" w:cs="宋体"/>
          <w:b/>
          <w:spacing w:val="60"/>
          <w:sz w:val="52"/>
          <w:szCs w:val="52"/>
          <w:highlight w:val="none"/>
        </w:rPr>
      </w:pPr>
    </w:p>
    <w:p w14:paraId="360E8F20">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7958009">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D5DC90F">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项目名称:</w:t>
      </w:r>
    </w:p>
    <w:p w14:paraId="41F744F4">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项目编号/包号：</w:t>
      </w:r>
    </w:p>
    <w:p w14:paraId="461D0BE6">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635E466D">
      <w:pPr>
        <w:pageBreakBefore w:val="0"/>
        <w:wordWrap w:val="0"/>
        <w:topLinePunct w:val="0"/>
        <w:bidi w:val="0"/>
        <w:spacing w:after="0" w:line="360" w:lineRule="auto"/>
        <w:ind w:firstLine="542" w:firstLineChars="150"/>
        <w:textAlignment w:val="auto"/>
        <w:rPr>
          <w:rFonts w:hint="eastAsia" w:ascii="宋体" w:hAnsi="宋体" w:cs="宋体"/>
          <w:b/>
          <w:spacing w:val="20"/>
          <w:sz w:val="32"/>
          <w:szCs w:val="32"/>
          <w:highlight w:val="none"/>
        </w:rPr>
      </w:pPr>
    </w:p>
    <w:p w14:paraId="32C0B591">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260239B8">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3E6D0A9B">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783CB013">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4B3BCBF4">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500C1DA4">
      <w:pPr>
        <w:pageBreakBefore w:val="0"/>
        <w:wordWrap w:val="0"/>
        <w:topLinePunct w:val="0"/>
        <w:bidi w:val="0"/>
        <w:spacing w:after="0" w:line="360" w:lineRule="auto"/>
        <w:jc w:val="center"/>
        <w:textAlignment w:val="auto"/>
        <w:rPr>
          <w:rFonts w:hint="eastAsia" w:ascii="宋体" w:hAnsi="宋体" w:cs="宋体"/>
          <w:b/>
          <w:spacing w:val="20"/>
          <w:sz w:val="32"/>
          <w:szCs w:val="32"/>
          <w:highlight w:val="none"/>
        </w:rPr>
      </w:pPr>
    </w:p>
    <w:p w14:paraId="7BD9F9C9">
      <w:pPr>
        <w:pageBreakBefore w:val="0"/>
        <w:wordWrap w:val="0"/>
        <w:topLinePunct w:val="0"/>
        <w:bidi w:val="0"/>
        <w:spacing w:after="0" w:line="360" w:lineRule="auto"/>
        <w:ind w:firstLine="1445" w:firstLineChars="400"/>
        <w:jc w:val="left"/>
        <w:textAlignment w:val="auto"/>
        <w:rPr>
          <w:rFonts w:hint="eastAsia" w:ascii="宋体" w:hAnsi="宋体" w:cs="宋体"/>
          <w:b/>
          <w:spacing w:val="20"/>
          <w:sz w:val="32"/>
          <w:szCs w:val="32"/>
          <w:highlight w:val="none"/>
        </w:rPr>
      </w:pPr>
      <w:r>
        <w:rPr>
          <w:rFonts w:hint="eastAsia" w:ascii="宋体" w:hAnsi="宋体" w:cs="宋体"/>
          <w:b/>
          <w:spacing w:val="20"/>
          <w:sz w:val="32"/>
          <w:szCs w:val="32"/>
          <w:highlight w:val="none"/>
        </w:rPr>
        <w:t>供应商名称：</w:t>
      </w:r>
    </w:p>
    <w:p w14:paraId="745092B8">
      <w:pPr>
        <w:pageBreakBefore w:val="0"/>
        <w:wordWrap w:val="0"/>
        <w:topLinePunct w:val="0"/>
        <w:bidi w:val="0"/>
        <w:spacing w:after="0" w:line="360" w:lineRule="auto"/>
        <w:jc w:val="center"/>
        <w:textAlignment w:val="auto"/>
        <w:rPr>
          <w:rFonts w:hint="eastAsia" w:ascii="宋体" w:hAnsi="宋体" w:cs="宋体"/>
          <w:b/>
          <w:sz w:val="32"/>
          <w:szCs w:val="32"/>
          <w:highlight w:val="none"/>
        </w:rPr>
      </w:pPr>
    </w:p>
    <w:p w14:paraId="5219A30A">
      <w:pPr>
        <w:pageBreakBefore w:val="0"/>
        <w:wordWrap w:val="0"/>
        <w:topLinePunct w:val="0"/>
        <w:bidi w:val="0"/>
        <w:spacing w:after="0" w:line="360" w:lineRule="auto"/>
        <w:textAlignment w:val="auto"/>
        <w:rPr>
          <w:rFonts w:hint="eastAsia" w:ascii="宋体" w:hAnsi="宋体" w:cs="宋体"/>
          <w:b/>
          <w:highlight w:val="none"/>
        </w:rPr>
      </w:pPr>
    </w:p>
    <w:p w14:paraId="3C909CC3">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12" w:type="default"/>
          <w:footerReference r:id="rId13" w:type="default"/>
          <w:pgSz w:w="11905" w:h="16838"/>
          <w:pgMar w:top="1474" w:right="1474" w:bottom="1474" w:left="1474" w:header="850" w:footer="992" w:gutter="0"/>
          <w:pgNumType w:fmt="decimal"/>
          <w:cols w:space="0" w:num="1"/>
          <w:rtlGutter w:val="0"/>
          <w:docGrid w:linePitch="462" w:charSpace="0"/>
        </w:sectPr>
      </w:pPr>
    </w:p>
    <w:p w14:paraId="12DAAE6C">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 满足《中华人民共和国政府采购法》第二十二条规定</w:t>
      </w:r>
    </w:p>
    <w:p w14:paraId="6A6226F2">
      <w:pPr>
        <w:pageBreakBefore w:val="0"/>
        <w:wordWrap w:val="0"/>
        <w:topLinePunct w:val="0"/>
        <w:bidi w:val="0"/>
        <w:spacing w:after="0" w:line="360" w:lineRule="auto"/>
        <w:textAlignment w:val="auto"/>
        <w:outlineLvl w:val="2"/>
        <w:rPr>
          <w:rFonts w:hint="eastAsia" w:ascii="宋体" w:hAnsi="宋体" w:cs="宋体"/>
          <w:color w:val="000000"/>
          <w:sz w:val="24"/>
          <w:highlight w:val="none"/>
        </w:rPr>
      </w:pPr>
      <w:r>
        <w:rPr>
          <w:rFonts w:hint="eastAsia" w:ascii="宋体" w:hAnsi="宋体" w:cs="宋体"/>
          <w:color w:val="000000"/>
          <w:sz w:val="24"/>
          <w:highlight w:val="none"/>
        </w:rPr>
        <w:t>1-1营业执照等证明文件</w:t>
      </w:r>
    </w:p>
    <w:p w14:paraId="527CF737">
      <w:pPr>
        <w:pageBreakBefore w:val="0"/>
        <w:tabs>
          <w:tab w:val="left" w:pos="1080"/>
        </w:tabs>
        <w:wordWrap w:val="0"/>
        <w:topLinePunct w:val="0"/>
        <w:bidi w:val="0"/>
        <w:snapToGrid w:val="0"/>
        <w:spacing w:after="0" w:line="360" w:lineRule="auto"/>
        <w:textAlignment w:val="auto"/>
        <w:rPr>
          <w:rFonts w:hint="eastAsia" w:ascii="宋体" w:hAnsi="宋体" w:cs="宋体"/>
          <w:sz w:val="24"/>
          <w:highlight w:val="none"/>
        </w:rPr>
      </w:pPr>
    </w:p>
    <w:p w14:paraId="1F24E900">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660B6DAE">
      <w:pPr>
        <w:pStyle w:val="5"/>
        <w:pageBreakBefore w:val="0"/>
        <w:wordWrap w:val="0"/>
        <w:topLinePunct w:val="0"/>
        <w:bidi w:val="0"/>
        <w:spacing w:after="0" w:line="360" w:lineRule="auto"/>
        <w:textAlignment w:val="auto"/>
        <w:rPr>
          <w:rFonts w:hint="eastAsia" w:hAnsi="宋体" w:cs="宋体"/>
          <w:b w:val="0"/>
          <w:color w:val="000000"/>
          <w:szCs w:val="24"/>
          <w:highlight w:val="none"/>
          <w:u w:val="none"/>
        </w:rPr>
        <w:sectPr>
          <w:pgSz w:w="11905" w:h="16838"/>
          <w:pgMar w:top="1474" w:right="1474" w:bottom="1474" w:left="1474" w:header="850" w:footer="992" w:gutter="0"/>
          <w:pgNumType w:fmt="decimal"/>
          <w:cols w:space="0" w:num="1"/>
          <w:rtlGutter w:val="0"/>
          <w:docGrid w:linePitch="462" w:charSpace="0"/>
        </w:sectPr>
      </w:pPr>
    </w:p>
    <w:p w14:paraId="5F7B8D64">
      <w:pPr>
        <w:pStyle w:val="5"/>
        <w:pageBreakBefore w:val="0"/>
        <w:wordWrap w:val="0"/>
        <w:topLinePunct w:val="0"/>
        <w:bidi w:val="0"/>
        <w:spacing w:after="0" w:line="360" w:lineRule="auto"/>
        <w:textAlignment w:val="auto"/>
        <w:rPr>
          <w:rFonts w:hint="eastAsia" w:hAnsi="宋体" w:cs="宋体"/>
          <w:b w:val="0"/>
          <w:bCs/>
          <w:color w:val="000000"/>
          <w:szCs w:val="24"/>
          <w:highlight w:val="none"/>
          <w:u w:val="none"/>
        </w:rPr>
      </w:pPr>
      <w:r>
        <w:rPr>
          <w:rFonts w:hint="eastAsia" w:hAnsi="宋体" w:cs="宋体"/>
          <w:b w:val="0"/>
          <w:color w:val="000000"/>
          <w:szCs w:val="24"/>
          <w:highlight w:val="none"/>
          <w:u w:val="none"/>
        </w:rPr>
        <w:t>1-2 供应商资格声明书</w:t>
      </w:r>
    </w:p>
    <w:p w14:paraId="21EC25B9">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供应商资格声明书</w:t>
      </w:r>
    </w:p>
    <w:p w14:paraId="7B6FEF5D">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14:paraId="103EB5BA">
      <w:pPr>
        <w:pageBreakBefore w:val="0"/>
        <w:wordWrap w:val="0"/>
        <w:topLinePunct w:val="0"/>
        <w:bidi w:val="0"/>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在参与本次项目磋商中，我单位承诺：</w:t>
      </w:r>
    </w:p>
    <w:p w14:paraId="50CE6C9F">
      <w:pPr>
        <w:pageBreakBefore w:val="0"/>
        <w:numPr>
          <w:ilvl w:val="0"/>
          <w:numId w:val="12"/>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1A29F79D">
      <w:pPr>
        <w:pageBreakBefore w:val="0"/>
        <w:numPr>
          <w:ilvl w:val="0"/>
          <w:numId w:val="12"/>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570D126F">
      <w:pPr>
        <w:pageBreakBefore w:val="0"/>
        <w:numPr>
          <w:ilvl w:val="0"/>
          <w:numId w:val="12"/>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2B890258">
      <w:pPr>
        <w:pageBreakBefore w:val="0"/>
        <w:numPr>
          <w:ilvl w:val="0"/>
          <w:numId w:val="12"/>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2BB187">
      <w:pPr>
        <w:pageBreakBefore w:val="0"/>
        <w:numPr>
          <w:ilvl w:val="0"/>
          <w:numId w:val="12"/>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21464D6E">
      <w:pPr>
        <w:pageBreakBefore w:val="0"/>
        <w:numPr>
          <w:ilvl w:val="0"/>
          <w:numId w:val="12"/>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21153015">
      <w:pPr>
        <w:pageBreakBefore w:val="0"/>
        <w:numPr>
          <w:ilvl w:val="0"/>
          <w:numId w:val="12"/>
        </w:numPr>
        <w:wordWrap w:val="0"/>
        <w:topLinePunct w:val="0"/>
        <w:bidi w:val="0"/>
        <w:spacing w:after="0" w:line="360" w:lineRule="auto"/>
        <w:ind w:left="1134"/>
        <w:textAlignment w:val="auto"/>
        <w:rPr>
          <w:rFonts w:hint="eastAsia"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FF5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E2552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序号</w:t>
            </w:r>
          </w:p>
        </w:tc>
        <w:tc>
          <w:tcPr>
            <w:tcW w:w="4574" w:type="dxa"/>
            <w:vAlign w:val="center"/>
          </w:tcPr>
          <w:p w14:paraId="39EA2DA9">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单位名称</w:t>
            </w:r>
          </w:p>
        </w:tc>
        <w:tc>
          <w:tcPr>
            <w:tcW w:w="2976" w:type="dxa"/>
            <w:vAlign w:val="center"/>
          </w:tcPr>
          <w:p w14:paraId="67E67A78">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相互关系</w:t>
            </w:r>
          </w:p>
        </w:tc>
      </w:tr>
      <w:tr w14:paraId="6A6B4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4C834D26">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1</w:t>
            </w:r>
          </w:p>
        </w:tc>
        <w:tc>
          <w:tcPr>
            <w:tcW w:w="4574" w:type="dxa"/>
            <w:vAlign w:val="center"/>
          </w:tcPr>
          <w:p w14:paraId="64338AF0">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2865F4C0">
            <w:pPr>
              <w:pageBreakBefore w:val="0"/>
              <w:wordWrap w:val="0"/>
              <w:topLinePunct w:val="0"/>
              <w:bidi w:val="0"/>
              <w:spacing w:after="0" w:line="360" w:lineRule="auto"/>
              <w:jc w:val="center"/>
              <w:textAlignment w:val="auto"/>
              <w:rPr>
                <w:rFonts w:hint="eastAsia" w:ascii="宋体" w:hAnsi="宋体" w:cs="宋体"/>
                <w:sz w:val="24"/>
                <w:highlight w:val="none"/>
              </w:rPr>
            </w:pPr>
          </w:p>
        </w:tc>
      </w:tr>
      <w:tr w14:paraId="19291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D90BD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2</w:t>
            </w:r>
          </w:p>
        </w:tc>
        <w:tc>
          <w:tcPr>
            <w:tcW w:w="4574" w:type="dxa"/>
            <w:vAlign w:val="center"/>
          </w:tcPr>
          <w:p w14:paraId="34A8A767">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452AE1E6">
            <w:pPr>
              <w:pageBreakBefore w:val="0"/>
              <w:wordWrap w:val="0"/>
              <w:topLinePunct w:val="0"/>
              <w:bidi w:val="0"/>
              <w:spacing w:after="0" w:line="360" w:lineRule="auto"/>
              <w:jc w:val="center"/>
              <w:textAlignment w:val="auto"/>
              <w:rPr>
                <w:rFonts w:hint="eastAsia" w:ascii="宋体" w:hAnsi="宋体" w:cs="宋体"/>
                <w:sz w:val="24"/>
                <w:highlight w:val="none"/>
              </w:rPr>
            </w:pPr>
          </w:p>
        </w:tc>
      </w:tr>
      <w:tr w14:paraId="6E7E8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8BDB77B">
            <w:pPr>
              <w:pageBreakBefore w:val="0"/>
              <w:wordWrap w:val="0"/>
              <w:topLinePunct w:val="0"/>
              <w:bidi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w:t>
            </w:r>
          </w:p>
        </w:tc>
        <w:tc>
          <w:tcPr>
            <w:tcW w:w="4574" w:type="dxa"/>
            <w:vAlign w:val="center"/>
          </w:tcPr>
          <w:p w14:paraId="0134CF37">
            <w:pPr>
              <w:pageBreakBefore w:val="0"/>
              <w:wordWrap w:val="0"/>
              <w:topLinePunct w:val="0"/>
              <w:bidi w:val="0"/>
              <w:spacing w:after="0" w:line="360" w:lineRule="auto"/>
              <w:jc w:val="center"/>
              <w:textAlignment w:val="auto"/>
              <w:rPr>
                <w:rFonts w:hint="eastAsia" w:ascii="宋体" w:hAnsi="宋体" w:cs="宋体"/>
                <w:sz w:val="24"/>
                <w:highlight w:val="none"/>
              </w:rPr>
            </w:pPr>
          </w:p>
        </w:tc>
        <w:tc>
          <w:tcPr>
            <w:tcW w:w="2976" w:type="dxa"/>
            <w:vAlign w:val="center"/>
          </w:tcPr>
          <w:p w14:paraId="61FE292D">
            <w:pPr>
              <w:pageBreakBefore w:val="0"/>
              <w:wordWrap w:val="0"/>
              <w:topLinePunct w:val="0"/>
              <w:bidi w:val="0"/>
              <w:spacing w:after="0" w:line="360" w:lineRule="auto"/>
              <w:jc w:val="center"/>
              <w:textAlignment w:val="auto"/>
              <w:rPr>
                <w:rFonts w:hint="eastAsia" w:ascii="宋体" w:hAnsi="宋体" w:cs="宋体"/>
                <w:sz w:val="24"/>
                <w:highlight w:val="none"/>
              </w:rPr>
            </w:pPr>
          </w:p>
        </w:tc>
      </w:tr>
    </w:tbl>
    <w:p w14:paraId="06E8A851">
      <w:pPr>
        <w:pageBreakBefore w:val="0"/>
        <w:wordWrap w:val="0"/>
        <w:topLinePunct w:val="0"/>
        <w:bidi w:val="0"/>
        <w:spacing w:after="0" w:line="360" w:lineRule="auto"/>
        <w:ind w:firstLine="480" w:firstLineChars="200"/>
        <w:textAlignment w:val="auto"/>
        <w:rPr>
          <w:rFonts w:hint="eastAsia" w:ascii="宋体" w:hAnsi="宋体" w:cs="宋体"/>
          <w:sz w:val="24"/>
          <w:szCs w:val="22"/>
          <w:highlight w:val="none"/>
        </w:rPr>
      </w:pPr>
      <w:r>
        <w:rPr>
          <w:rFonts w:hint="eastAsia" w:ascii="宋体" w:hAnsi="宋体" w:cs="宋体"/>
          <w:sz w:val="24"/>
          <w:highlight w:val="none"/>
        </w:rPr>
        <w:t>上述声明真实有效，否则我方负全部责任。</w:t>
      </w:r>
    </w:p>
    <w:p w14:paraId="268DE2F3">
      <w:pPr>
        <w:pageBreakBefore w:val="0"/>
        <w:wordWrap w:val="0"/>
        <w:topLinePunct w:val="0"/>
        <w:autoSpaceDE w:val="0"/>
        <w:autoSpaceDN w:val="0"/>
        <w:bidi w:val="0"/>
        <w:adjustRightInd w:val="0"/>
        <w:snapToGrid w:val="0"/>
        <w:spacing w:before="25" w:after="0" w:line="360" w:lineRule="auto"/>
        <w:ind w:right="360"/>
        <w:jc w:val="right"/>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sz w:val="24"/>
          <w:highlight w:val="none"/>
        </w:rPr>
        <w:t>______</w:t>
      </w:r>
    </w:p>
    <w:p w14:paraId="2C484E9C">
      <w:pPr>
        <w:pageBreakBefore w:val="0"/>
        <w:wordWrap w:val="0"/>
        <w:topLinePunct w:val="0"/>
        <w:bidi w:val="0"/>
        <w:spacing w:after="0" w:line="360" w:lineRule="auto"/>
        <w:ind w:right="360" w:firstLine="480"/>
        <w:jc w:val="right"/>
        <w:textAlignment w:val="auto"/>
        <w:rPr>
          <w:rFonts w:hint="eastAsia" w:ascii="宋体" w:hAnsi="宋体" w:cs="宋体"/>
          <w:sz w:val="24"/>
          <w:highlight w:val="none"/>
        </w:rPr>
      </w:pPr>
      <w:r>
        <w:rPr>
          <w:rFonts w:hint="eastAsia" w:ascii="宋体" w:hAnsi="宋体" w:cs="宋体"/>
          <w:color w:val="000000"/>
          <w:sz w:val="24"/>
          <w:szCs w:val="20"/>
          <w:highlight w:val="none"/>
        </w:rPr>
        <w:t xml:space="preserve">日期：____年____月____日   </w:t>
      </w:r>
    </w:p>
    <w:p w14:paraId="6CFC7157">
      <w:pPr>
        <w:pageBreakBefore w:val="0"/>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2B94F91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15" w:type="first"/>
          <w:footerReference r:id="rId17" w:type="first"/>
          <w:headerReference r:id="rId14" w:type="even"/>
          <w:footerReference r:id="rId16" w:type="even"/>
          <w:pgSz w:w="11905" w:h="16838"/>
          <w:pgMar w:top="1474" w:right="1474" w:bottom="1474" w:left="1474" w:header="850" w:footer="992" w:gutter="0"/>
          <w:pgNumType w:fmt="decimal"/>
          <w:cols w:space="0" w:num="1"/>
          <w:rtlGutter w:val="0"/>
          <w:docGrid w:linePitch="462" w:charSpace="0"/>
        </w:sectPr>
      </w:pPr>
    </w:p>
    <w:p w14:paraId="0D23A85E">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2 落实政府采购政策需满足的资格要求（如有）</w:t>
      </w:r>
    </w:p>
    <w:p w14:paraId="2BFED18D">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2-1中小企业声明函</w:t>
      </w:r>
    </w:p>
    <w:p w14:paraId="69B9D8ED">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说明：</w:t>
      </w:r>
    </w:p>
    <w:p w14:paraId="19C3D99C">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9800387">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F13FAF5">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C8F433A">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（4）中小企业声明函填写注意事项</w:t>
      </w:r>
    </w:p>
    <w:p w14:paraId="6F12C0B7">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1）《中小企业声明函》由参加政府采购活动的供应商出具。联合体参与的，《中小企业声明函》可由牵头人出具。</w:t>
      </w:r>
    </w:p>
    <w:p w14:paraId="3D78129C">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6EB454">
      <w:pPr>
        <w:pageBreakBefore w:val="0"/>
        <w:tabs>
          <w:tab w:val="left" w:pos="5580"/>
        </w:tabs>
        <w:wordWrap w:val="0"/>
        <w:topLinePunct w:val="0"/>
        <w:bidi w:val="0"/>
        <w:spacing w:after="0" w:line="360" w:lineRule="auto"/>
        <w:ind w:left="420" w:firstLine="420"/>
        <w:textAlignment w:val="auto"/>
        <w:rPr>
          <w:rFonts w:hint="eastAsia" w:ascii="宋体" w:hAnsi="宋体" w:cs="宋体"/>
          <w:sz w:val="24"/>
          <w:highlight w:val="none"/>
        </w:rPr>
      </w:pPr>
      <w:r>
        <w:rPr>
          <w:rFonts w:hint="eastAsia" w:ascii="宋体" w:hAnsi="宋体" w:cs="宋体"/>
          <w:sz w:val="24"/>
          <w:highlight w:val="none"/>
        </w:rPr>
        <w:t>3）对于多标的采购项目，供应商应充分、准确地了解所提供货物的制造企业、提供服务的承接企业信息。对相关情况了解不清楚的，不建议填报本声明函。</w:t>
      </w:r>
    </w:p>
    <w:p w14:paraId="2C08C333">
      <w:pPr>
        <w:pageBreakBefore w:val="0"/>
        <w:tabs>
          <w:tab w:val="left" w:pos="5580"/>
        </w:tabs>
        <w:wordWrap w:val="0"/>
        <w:topLinePunct w:val="0"/>
        <w:bidi w:val="0"/>
        <w:spacing w:after="0" w:line="360" w:lineRule="auto"/>
        <w:ind w:firstLine="420"/>
        <w:textAlignment w:val="auto"/>
        <w:rPr>
          <w:rFonts w:hint="eastAsia" w:ascii="宋体" w:hAnsi="宋体" w:cs="宋体"/>
          <w:sz w:val="24"/>
          <w:highlight w:val="none"/>
        </w:rPr>
      </w:pPr>
      <w:r>
        <w:rPr>
          <w:rFonts w:hint="eastAsia" w:ascii="宋体" w:hAnsi="宋体" w:cs="宋体"/>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Pr>
          <w:rFonts w:hint="eastAsia" w:ascii="宋体" w:hAnsi="宋体" w:cs="宋体"/>
          <w:sz w:val="24"/>
          <w:highlight w:val="none"/>
        </w:rPr>
        <w:br w:type="page"/>
      </w:r>
    </w:p>
    <w:p w14:paraId="67353658">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2-1-1中小企业声明函及残疾人福利性单位声明函格式</w:t>
      </w:r>
    </w:p>
    <w:p w14:paraId="7F72BE5C">
      <w:pPr>
        <w:pageBreakBefore w:val="0"/>
        <w:wordWrap w:val="0"/>
        <w:topLinePunct w:val="0"/>
        <w:bidi w:val="0"/>
        <w:spacing w:before="240" w:beforeLines="100" w:after="0" w:line="360" w:lineRule="auto"/>
        <w:jc w:val="center"/>
        <w:textAlignment w:val="auto"/>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中小企业声明函（工程、服务）格式</w:t>
      </w:r>
    </w:p>
    <w:p w14:paraId="6FFDBAF1">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3F9A290">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4ADE679F">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人，营业收入为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万元，资产总额为</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万元，属于</w:t>
      </w:r>
      <w:r>
        <w:rPr>
          <w:rFonts w:hint="eastAsia" w:ascii="宋体" w:hAnsi="宋体" w:cs="宋体"/>
          <w:spacing w:val="6"/>
          <w:sz w:val="24"/>
          <w:highlight w:val="none"/>
          <w:u w:val="single"/>
        </w:rPr>
        <w:t xml:space="preserve">        （中型企业、小型企业、微型企业）</w:t>
      </w:r>
      <w:r>
        <w:rPr>
          <w:rFonts w:hint="eastAsia" w:ascii="宋体" w:hAnsi="宋体" w:cs="宋体"/>
          <w:spacing w:val="6"/>
          <w:sz w:val="24"/>
          <w:highlight w:val="none"/>
        </w:rPr>
        <w:t>；</w:t>
      </w:r>
    </w:p>
    <w:p w14:paraId="513A1B99">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p>
    <w:p w14:paraId="3D419872">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w:t>
      </w:r>
    </w:p>
    <w:p w14:paraId="18821B6B">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52628EB8">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2A0A0130">
      <w:pPr>
        <w:pageBreakBefore w:val="0"/>
        <w:wordWrap w:val="0"/>
        <w:topLinePunct w:val="0"/>
        <w:bidi w:val="0"/>
        <w:spacing w:after="0" w:line="360" w:lineRule="auto"/>
        <w:ind w:right="360" w:firstLine="480"/>
        <w:jc w:val="right"/>
        <w:textAlignment w:val="auto"/>
        <w:rPr>
          <w:rFonts w:hint="eastAsia" w:ascii="宋体" w:hAnsi="宋体" w:cs="宋体"/>
          <w:color w:val="000000"/>
          <w:sz w:val="24"/>
          <w:highlight w:val="none"/>
        </w:rPr>
      </w:pPr>
    </w:p>
    <w:p w14:paraId="5CDC47D5">
      <w:pPr>
        <w:pageBreakBefore w:val="0"/>
        <w:wordWrap w:val="0"/>
        <w:topLinePunct w:val="0"/>
        <w:bidi w:val="0"/>
        <w:spacing w:after="0" w:line="360" w:lineRule="auto"/>
        <w:ind w:right="360" w:firstLine="3837"/>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企业名称（盖章）：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9BC9577">
      <w:pPr>
        <w:pageBreakBefore w:val="0"/>
        <w:wordWrap w:val="0"/>
        <w:topLinePunct w:val="0"/>
        <w:bidi w:val="0"/>
        <w:spacing w:after="0" w:line="360" w:lineRule="auto"/>
        <w:ind w:right="360" w:firstLine="3837"/>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22BEBCF7">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szCs w:val="21"/>
          <w:highlight w:val="none"/>
        </w:rPr>
      </w:pPr>
    </w:p>
    <w:p w14:paraId="0A641531">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44778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C8DBAE3">
            <w:pPr>
              <w:pageBreakBefore w:val="0"/>
              <w:wordWrap w:val="0"/>
              <w:topLinePunct w:val="0"/>
              <w:bidi w:val="0"/>
              <w:adjustRightInd w:val="0"/>
              <w:snapToGrid w:val="0"/>
              <w:spacing w:after="0" w:line="360" w:lineRule="auto"/>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64DCE44C">
      <w:pPr>
        <w:pageBreakBefore w:val="0"/>
        <w:wordWrap w:val="0"/>
        <w:topLinePunct w:val="0"/>
        <w:bidi w:val="0"/>
        <w:adjustRightInd w:val="0"/>
        <w:snapToGrid w:val="0"/>
        <w:spacing w:after="0" w:line="360" w:lineRule="auto"/>
        <w:jc w:val="left"/>
        <w:textAlignment w:val="auto"/>
        <w:rPr>
          <w:rFonts w:hint="eastAsia" w:ascii="宋体" w:hAnsi="宋体" w:cs="宋体"/>
          <w:color w:val="000000"/>
          <w:szCs w:val="21"/>
          <w:highlight w:val="none"/>
          <w:vertAlign w:val="superscript"/>
        </w:rPr>
      </w:pPr>
    </w:p>
    <w:p w14:paraId="092F2888">
      <w:pPr>
        <w:pageBreakBefore w:val="0"/>
        <w:wordWrap w:val="0"/>
        <w:topLinePunct w:val="0"/>
        <w:bidi w:val="0"/>
        <w:spacing w:after="0" w:line="360" w:lineRule="auto"/>
        <w:ind w:right="360" w:firstLine="480"/>
        <w:jc w:val="right"/>
        <w:textAlignment w:val="auto"/>
        <w:rPr>
          <w:rFonts w:hint="eastAsia" w:ascii="宋体" w:hAnsi="宋体" w:cs="宋体"/>
          <w:color w:val="000000"/>
          <w:sz w:val="24"/>
          <w:highlight w:val="none"/>
        </w:rPr>
      </w:pPr>
    </w:p>
    <w:p w14:paraId="7132929D">
      <w:pPr>
        <w:pageBreakBefore w:val="0"/>
        <w:wordWrap w:val="0"/>
        <w:topLinePunct w:val="0"/>
        <w:bidi w:val="0"/>
        <w:spacing w:after="0" w:line="360" w:lineRule="auto"/>
        <w:textAlignment w:val="auto"/>
        <w:rPr>
          <w:rFonts w:hint="eastAsia" w:ascii="宋体" w:hAnsi="宋体" w:cs="宋体"/>
          <w:highlight w:val="none"/>
        </w:rPr>
      </w:pPr>
    </w:p>
    <w:p w14:paraId="3C2F8D7E">
      <w:pPr>
        <w:pageBreakBefore w:val="0"/>
        <w:wordWrap w:val="0"/>
        <w:topLinePunct w:val="0"/>
        <w:bidi w:val="0"/>
        <w:spacing w:before="240" w:beforeLines="100" w:after="0" w:line="360" w:lineRule="auto"/>
        <w:jc w:val="center"/>
        <w:textAlignment w:val="auto"/>
        <w:rPr>
          <w:rFonts w:hint="eastAsia" w:ascii="宋体" w:hAnsi="宋体" w:cs="宋体"/>
          <w:b/>
          <w:bCs/>
          <w:color w:val="000000"/>
          <w:sz w:val="28"/>
          <w:szCs w:val="28"/>
          <w:highlight w:val="none"/>
        </w:rPr>
        <w:sectPr>
          <w:pgSz w:w="11905" w:h="16838"/>
          <w:pgMar w:top="1474" w:right="1474" w:bottom="1474" w:left="1474" w:header="850" w:footer="992" w:gutter="0"/>
          <w:pgNumType w:fmt="decimal"/>
          <w:cols w:space="0" w:num="1"/>
          <w:rtlGutter w:val="0"/>
          <w:docGrid w:linePitch="462" w:charSpace="0"/>
        </w:sectPr>
      </w:pPr>
    </w:p>
    <w:p w14:paraId="0753E961">
      <w:pPr>
        <w:pageBreakBefore w:val="0"/>
        <w:wordWrap w:val="0"/>
        <w:topLinePunct w:val="0"/>
        <w:bidi w:val="0"/>
        <w:spacing w:before="240" w:beforeLines="100" w:after="0" w:line="360" w:lineRule="auto"/>
        <w:jc w:val="center"/>
        <w:textAlignment w:val="auto"/>
        <w:rPr>
          <w:rFonts w:hint="eastAsia" w:ascii="宋体" w:hAnsi="宋体" w:cs="宋体"/>
          <w:b/>
          <w:color w:val="000000"/>
          <w:sz w:val="28"/>
          <w:szCs w:val="28"/>
          <w:highlight w:val="none"/>
        </w:rPr>
      </w:pPr>
      <w:r>
        <w:rPr>
          <w:rFonts w:hint="eastAsia" w:ascii="宋体" w:hAnsi="宋体" w:cs="宋体"/>
          <w:b/>
          <w:bCs/>
          <w:color w:val="000000"/>
          <w:sz w:val="28"/>
          <w:szCs w:val="28"/>
          <w:highlight w:val="none"/>
        </w:rPr>
        <w:t>残疾人福利性单位声明函格式</w:t>
      </w:r>
      <w:r>
        <w:rPr>
          <w:rFonts w:hint="eastAsia" w:ascii="宋体" w:hAnsi="宋体" w:cs="宋体"/>
          <w:b/>
          <w:color w:val="000000"/>
          <w:sz w:val="28"/>
          <w:szCs w:val="28"/>
          <w:highlight w:val="none"/>
        </w:rPr>
        <w:t xml:space="preserve">       </w:t>
      </w:r>
    </w:p>
    <w:p w14:paraId="392CD01B">
      <w:pPr>
        <w:pageBreakBefore w:val="0"/>
        <w:wordWrap w:val="0"/>
        <w:topLinePunct w:val="0"/>
        <w:bidi w:val="0"/>
        <w:spacing w:after="0" w:line="360" w:lineRule="auto"/>
        <w:ind w:firstLine="504"/>
        <w:textAlignment w:val="auto"/>
        <w:rPr>
          <w:rFonts w:hint="eastAsia"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（请进行选择）</w:t>
      </w:r>
      <w:r>
        <w:rPr>
          <w:rFonts w:hint="eastAsia" w:ascii="宋体" w:hAnsi="宋体" w:cs="宋体"/>
          <w:spacing w:val="6"/>
          <w:sz w:val="24"/>
          <w:highlight w:val="none"/>
        </w:rPr>
        <w:t>：</w:t>
      </w:r>
    </w:p>
    <w:p w14:paraId="0738798C">
      <w:pPr>
        <w:pageBreakBefore w:val="0"/>
        <w:wordWrap w:val="0"/>
        <w:topLinePunct w:val="0"/>
        <w:bidi w:val="0"/>
        <w:spacing w:after="0" w:line="360" w:lineRule="auto"/>
        <w:ind w:firstLine="482"/>
        <w:textAlignment w:val="auto"/>
        <w:rPr>
          <w:rFonts w:hint="eastAsia"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1C9BAC41">
      <w:pPr>
        <w:pageBreakBefore w:val="0"/>
        <w:wordWrap w:val="0"/>
        <w:topLinePunct w:val="0"/>
        <w:bidi w:val="0"/>
        <w:spacing w:after="0" w:line="360" w:lineRule="auto"/>
        <w:ind w:firstLine="482"/>
        <w:textAlignment w:val="auto"/>
        <w:rPr>
          <w:rFonts w:hint="eastAsia"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单位的</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1B2BFC87">
      <w:pPr>
        <w:pageBreakBefore w:val="0"/>
        <w:wordWrap w:val="0"/>
        <w:topLinePunct w:val="0"/>
        <w:bidi w:val="0"/>
        <w:spacing w:after="0" w:line="360" w:lineRule="auto"/>
        <w:ind w:firstLine="506" w:firstLineChars="200"/>
        <w:textAlignment w:val="auto"/>
        <w:rPr>
          <w:rFonts w:hint="eastAsia"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01838264">
      <w:pPr>
        <w:pageBreakBefore w:val="0"/>
        <w:wordWrap w:val="0"/>
        <w:topLinePunct w:val="0"/>
        <w:bidi w:val="0"/>
        <w:spacing w:after="0" w:line="360" w:lineRule="auto"/>
        <w:ind w:firstLine="504" w:firstLineChars="200"/>
        <w:textAlignment w:val="auto"/>
        <w:rPr>
          <w:rFonts w:hint="eastAsia" w:ascii="宋体" w:hAnsi="宋体" w:cs="宋体"/>
          <w:spacing w:val="6"/>
          <w:sz w:val="24"/>
          <w:highlight w:val="none"/>
        </w:rPr>
      </w:pPr>
    </w:p>
    <w:p w14:paraId="2D2DE469">
      <w:pPr>
        <w:pageBreakBefore w:val="0"/>
        <w:wordWrap w:val="0"/>
        <w:topLinePunct w:val="0"/>
        <w:bidi w:val="0"/>
        <w:spacing w:after="0" w:line="360" w:lineRule="auto"/>
        <w:ind w:firstLine="504" w:firstLineChars="200"/>
        <w:textAlignment w:val="auto"/>
        <w:rPr>
          <w:rFonts w:hint="eastAsia" w:ascii="宋体" w:hAnsi="宋体" w:cs="宋体"/>
          <w:spacing w:val="6"/>
          <w:sz w:val="24"/>
          <w:highlight w:val="none"/>
        </w:rPr>
      </w:pPr>
    </w:p>
    <w:p w14:paraId="54A05ED2">
      <w:pPr>
        <w:pageBreakBefore w:val="0"/>
        <w:wordWrap w:val="0"/>
        <w:topLinePunct w:val="0"/>
        <w:bidi w:val="0"/>
        <w:spacing w:after="0" w:line="360" w:lineRule="auto"/>
        <w:ind w:right="360" w:firstLine="5108" w:firstLineChars="2027"/>
        <w:textAlignment w:val="auto"/>
        <w:rPr>
          <w:rFonts w:hint="eastAsia" w:ascii="宋体" w:hAnsi="宋体" w:cs="宋体"/>
          <w:color w:val="000000"/>
          <w:sz w:val="24"/>
          <w:highlight w:val="none"/>
          <w:u w:val="single"/>
          <w:lang w:val="zh-CN"/>
        </w:rPr>
      </w:pPr>
      <w:r>
        <w:rPr>
          <w:rFonts w:hint="eastAsia" w:ascii="宋体" w:hAnsi="宋体" w:cs="宋体"/>
          <w:spacing w:val="6"/>
          <w:sz w:val="24"/>
          <w:highlight w:val="none"/>
        </w:rPr>
        <w:t>单位</w:t>
      </w:r>
      <w:r>
        <w:rPr>
          <w:rFonts w:hint="eastAsia" w:ascii="宋体" w:hAnsi="宋体" w:cs="宋体"/>
          <w:color w:val="000000"/>
          <w:sz w:val="24"/>
          <w:highlight w:val="none"/>
        </w:rPr>
        <w:t>名称（盖章）：</w:t>
      </w:r>
      <w:r>
        <w:rPr>
          <w:rFonts w:hint="eastAsia" w:ascii="宋体" w:hAnsi="宋体" w:cs="宋体"/>
          <w:color w:val="000000"/>
          <w:sz w:val="24"/>
          <w:highlight w:val="none"/>
          <w:u w:val="single"/>
          <w:lang w:val="zh-CN"/>
        </w:rPr>
        <w:t xml:space="preserve">           </w:t>
      </w:r>
    </w:p>
    <w:p w14:paraId="276278FE">
      <w:pPr>
        <w:pageBreakBefore w:val="0"/>
        <w:tabs>
          <w:tab w:val="left" w:pos="4860"/>
          <w:tab w:val="left" w:pos="9040"/>
          <w:tab w:val="left" w:pos="9460"/>
        </w:tabs>
        <w:wordWrap w:val="0"/>
        <w:topLinePunct w:val="0"/>
        <w:bidi w:val="0"/>
        <w:spacing w:after="0" w:line="360" w:lineRule="auto"/>
        <w:ind w:right="337" w:firstLine="480" w:firstLineChars="200"/>
        <w:jc w:val="center"/>
        <w:textAlignment w:val="auto"/>
        <w:rPr>
          <w:rFonts w:hint="eastAsia" w:ascii="宋体" w:hAnsi="宋体" w:cs="宋体"/>
          <w:spacing w:val="6"/>
          <w:sz w:val="24"/>
          <w:highlight w:val="none"/>
        </w:rPr>
      </w:pPr>
      <w:r>
        <w:rPr>
          <w:rFonts w:hint="eastAsia" w:ascii="宋体" w:hAnsi="宋体" w:cs="宋体"/>
          <w:color w:val="000000"/>
          <w:sz w:val="24"/>
          <w:highlight w:val="none"/>
        </w:rPr>
        <w:t xml:space="preserve">                                     日 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07C86A37">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2E9F6D77">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35372B86">
      <w:pPr>
        <w:pageBreakBefore w:val="0"/>
        <w:wordWrap w:val="0"/>
        <w:topLinePunct w:val="0"/>
        <w:bidi w:val="0"/>
        <w:spacing w:after="0" w:line="360" w:lineRule="auto"/>
        <w:textAlignment w:val="auto"/>
        <w:outlineLvl w:val="3"/>
        <w:rPr>
          <w:rFonts w:hint="eastAsia" w:ascii="宋体" w:hAnsi="宋体" w:cs="宋体"/>
          <w:color w:val="000000"/>
          <w:sz w:val="24"/>
          <w:szCs w:val="20"/>
          <w:highlight w:val="none"/>
        </w:rPr>
      </w:pPr>
      <w:r>
        <w:rPr>
          <w:rFonts w:hint="eastAsia" w:ascii="宋体" w:hAnsi="宋体" w:cs="宋体"/>
          <w:color w:val="000000"/>
          <w:sz w:val="24"/>
          <w:szCs w:val="20"/>
          <w:highlight w:val="none"/>
        </w:rPr>
        <w:t>2-1-2拟分包情况说明及分包意向协议</w:t>
      </w:r>
    </w:p>
    <w:p w14:paraId="208D7D7C">
      <w:pPr>
        <w:pageBreakBefore w:val="0"/>
        <w:wordWrap w:val="0"/>
        <w:topLinePunct w:val="0"/>
        <w:bidi w:val="0"/>
        <w:spacing w:after="0" w:line="360" w:lineRule="auto"/>
        <w:textAlignment w:val="auto"/>
        <w:rPr>
          <w:rFonts w:hint="eastAsia" w:ascii="宋体" w:hAnsi="宋体" w:cs="宋体"/>
          <w:spacing w:val="6"/>
          <w:sz w:val="24"/>
          <w:highlight w:val="none"/>
        </w:rPr>
      </w:pPr>
      <w:r>
        <w:rPr>
          <w:rFonts w:hint="eastAsia" w:ascii="宋体" w:hAnsi="宋体" w:cs="宋体"/>
          <w:spacing w:val="6"/>
          <w:sz w:val="24"/>
          <w:highlight w:val="none"/>
        </w:rPr>
        <w:t>说明：</w:t>
      </w:r>
    </w:p>
    <w:p w14:paraId="6F13D4A9">
      <w:pPr>
        <w:pageBreakBefore w:val="0"/>
        <w:wordWrap w:val="0"/>
        <w:topLinePunct w:val="0"/>
        <w:bidi w:val="0"/>
        <w:spacing w:after="0" w:line="360" w:lineRule="auto"/>
        <w:textAlignment w:val="auto"/>
        <w:rPr>
          <w:rFonts w:hint="eastAsia" w:ascii="宋体" w:hAnsi="宋体" w:cs="宋体"/>
          <w:spacing w:val="6"/>
          <w:sz w:val="24"/>
          <w:highlight w:val="none"/>
        </w:rPr>
      </w:pPr>
      <w:r>
        <w:rPr>
          <w:rFonts w:hint="eastAsia" w:ascii="宋体" w:hAnsi="宋体" w:cs="宋体"/>
          <w:spacing w:val="6"/>
          <w:sz w:val="24"/>
          <w:highlight w:val="none"/>
        </w:rPr>
        <w:t>如本项目（包）允许分包，且供应商拟进行分包时，</w:t>
      </w:r>
    </w:p>
    <w:p w14:paraId="66D256B2">
      <w:pPr>
        <w:pageBreakBefore w:val="0"/>
        <w:wordWrap w:val="0"/>
        <w:topLinePunct w:val="0"/>
        <w:bidi w:val="0"/>
        <w:spacing w:after="0" w:line="360" w:lineRule="auto"/>
        <w:ind w:firstLine="420"/>
        <w:textAlignment w:val="auto"/>
        <w:rPr>
          <w:rFonts w:hint="eastAsia" w:ascii="宋体" w:hAnsi="宋体" w:cs="宋体"/>
          <w:spacing w:val="6"/>
          <w:sz w:val="24"/>
          <w:highlight w:val="none"/>
        </w:rPr>
      </w:pPr>
      <w:r>
        <w:rPr>
          <w:rFonts w:hint="eastAsia" w:ascii="宋体" w:hAnsi="宋体" w:cs="宋体"/>
          <w:spacing w:val="6"/>
          <w:sz w:val="24"/>
          <w:highlight w:val="none"/>
        </w:rPr>
        <w:t xml:space="preserve">（1）响应文件中须提供《拟分包情况说明》，否则响应无效； </w:t>
      </w:r>
    </w:p>
    <w:p w14:paraId="2E54DBE2">
      <w:pPr>
        <w:pageBreakBefore w:val="0"/>
        <w:wordWrap w:val="0"/>
        <w:topLinePunct w:val="0"/>
        <w:bidi w:val="0"/>
        <w:spacing w:after="0" w:line="360" w:lineRule="auto"/>
        <w:ind w:firstLine="420"/>
        <w:textAlignment w:val="auto"/>
        <w:rPr>
          <w:rFonts w:hint="eastAsia" w:ascii="宋体" w:hAnsi="宋体" w:cs="宋体"/>
          <w:spacing w:val="6"/>
          <w:sz w:val="24"/>
          <w:highlight w:val="none"/>
        </w:rPr>
      </w:pPr>
      <w:r>
        <w:rPr>
          <w:rFonts w:hint="eastAsia" w:ascii="宋体" w:hAnsi="宋体" w:cs="宋体"/>
          <w:spacing w:val="6"/>
          <w:sz w:val="24"/>
          <w:highlight w:val="none"/>
        </w:rPr>
        <w:t xml:space="preserve">（2）当同时符合下列情形时，响应文件还须提供《分包意向协议》，否则响应无效： </w:t>
      </w:r>
      <w:r>
        <w:rPr>
          <w:rFonts w:hint="eastAsia" w:ascii="宋体" w:hAnsi="宋体" w:cs="宋体"/>
          <w:spacing w:val="6"/>
          <w:sz w:val="24"/>
          <w:highlight w:val="none"/>
        </w:rPr>
        <w:tab/>
      </w:r>
    </w:p>
    <w:p w14:paraId="08843230">
      <w:pPr>
        <w:pageBreakBefore w:val="0"/>
        <w:wordWrap w:val="0"/>
        <w:topLinePunct w:val="0"/>
        <w:bidi w:val="0"/>
        <w:spacing w:after="0" w:line="360" w:lineRule="auto"/>
        <w:ind w:left="420" w:firstLine="420"/>
        <w:textAlignment w:val="auto"/>
        <w:rPr>
          <w:rFonts w:hint="eastAsia" w:ascii="宋体" w:hAnsi="宋体" w:cs="宋体"/>
          <w:spacing w:val="6"/>
          <w:sz w:val="24"/>
          <w:highlight w:val="none"/>
        </w:rPr>
      </w:pPr>
      <w:r>
        <w:rPr>
          <w:rFonts w:hint="eastAsia" w:ascii="宋体" w:hAnsi="宋体" w:cs="宋体"/>
          <w:spacing w:val="6"/>
          <w:sz w:val="24"/>
          <w:highlight w:val="none"/>
        </w:rPr>
        <w:t>A.本项目（包）预留部分采购项目预算专门面向中小企业采购，且要求获得采购合同的供应商将采购项目中的一定比例分包给一家或者多家中小企业的；</w:t>
      </w:r>
    </w:p>
    <w:p w14:paraId="5286210C">
      <w:pPr>
        <w:pageBreakBefore w:val="0"/>
        <w:wordWrap w:val="0"/>
        <w:topLinePunct w:val="0"/>
        <w:bidi w:val="0"/>
        <w:spacing w:after="0" w:line="360" w:lineRule="auto"/>
        <w:ind w:left="420" w:firstLine="420"/>
        <w:textAlignment w:val="auto"/>
        <w:rPr>
          <w:rFonts w:hint="eastAsia" w:ascii="宋体" w:hAnsi="宋体" w:cs="宋体"/>
          <w:spacing w:val="6"/>
          <w:sz w:val="24"/>
          <w:highlight w:val="none"/>
        </w:rPr>
      </w:pPr>
      <w:r>
        <w:rPr>
          <w:rFonts w:hint="eastAsia" w:ascii="宋体" w:hAnsi="宋体" w:cs="宋体"/>
          <w:spacing w:val="6"/>
          <w:sz w:val="24"/>
          <w:highlight w:val="none"/>
        </w:rPr>
        <w:t>B.供应商通过分包方式满足中小企业政策要求的。</w:t>
      </w:r>
    </w:p>
    <w:p w14:paraId="7EAE996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p>
    <w:p w14:paraId="0B3F1E25">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sectPr>
          <w:pgSz w:w="11905" w:h="16838"/>
          <w:pgMar w:top="1474" w:right="1474" w:bottom="1474" w:left="1474" w:header="850" w:footer="992" w:gutter="0"/>
          <w:pgNumType w:fmt="decimal"/>
          <w:cols w:space="0" w:num="1"/>
          <w:rtlGutter w:val="0"/>
          <w:docGrid w:linePitch="462" w:charSpace="0"/>
        </w:sectPr>
      </w:pPr>
    </w:p>
    <w:p w14:paraId="0F74275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拟分包情况说明</w:t>
      </w:r>
    </w:p>
    <w:p w14:paraId="761518E7">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226944E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我单位参加贵单位组织采购的项目编号为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的</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项目（填写采购项目名称）中</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649B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B8492C1">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67FECB3B">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分包承担</w:t>
            </w:r>
          </w:p>
          <w:p w14:paraId="34C77D76">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6424E85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分包承担</w:t>
            </w:r>
          </w:p>
          <w:p w14:paraId="76F22E9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主体类型</w:t>
            </w:r>
          </w:p>
          <w:p w14:paraId="43F240A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FA732CA">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0C544D59">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拟分包</w:t>
            </w:r>
          </w:p>
          <w:p w14:paraId="1927FA45">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2DB8DF9E">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拟分包</w:t>
            </w:r>
          </w:p>
          <w:p w14:paraId="28676CDE">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合同金额</w:t>
            </w:r>
          </w:p>
          <w:p w14:paraId="22C84A8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8DFFAA0">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占该采购包</w:t>
            </w:r>
          </w:p>
          <w:p w14:paraId="439EC74F">
            <w:pPr>
              <w:pStyle w:val="247"/>
              <w:pageBreakBefore w:val="0"/>
              <w:wordWrap w:val="0"/>
              <w:topLinePunct w:val="0"/>
              <w:bidi w:val="0"/>
              <w:spacing w:after="0" w:line="360" w:lineRule="auto"/>
              <w:jc w:val="center"/>
              <w:textAlignment w:val="auto"/>
              <w:rPr>
                <w:rFonts w:hint="eastAsia"/>
                <w:b/>
                <w:sz w:val="24"/>
                <w:highlight w:val="none"/>
                <w:lang w:eastAsia="zh-CN"/>
              </w:rPr>
            </w:pPr>
            <w:r>
              <w:rPr>
                <w:rFonts w:hint="eastAsia"/>
                <w:b/>
                <w:sz w:val="24"/>
                <w:highlight w:val="none"/>
                <w:lang w:eastAsia="zh-CN"/>
              </w:rPr>
              <w:t>合同金额的</w:t>
            </w:r>
          </w:p>
          <w:p w14:paraId="3D50ECDA">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比例（%）</w:t>
            </w:r>
          </w:p>
        </w:tc>
      </w:tr>
      <w:tr w14:paraId="17728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42BDBA8">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11968D8E">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7C14C0A">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□中型企业</w:t>
            </w:r>
          </w:p>
          <w:p w14:paraId="2D8EF21A">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□小微企业</w:t>
            </w:r>
          </w:p>
          <w:p w14:paraId="5FEA9A72">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63400CC">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40F75D7">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02889E0">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5E3E4F3C">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1ECAC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202C21AA">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58144282">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C486792">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□中型企业</w:t>
            </w:r>
          </w:p>
          <w:p w14:paraId="20BA068F">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□小微企业</w:t>
            </w:r>
          </w:p>
          <w:p w14:paraId="1B9A7079">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24"/>
                <w:highlight w:val="none"/>
                <w:lang w:eastAsia="zh-CN"/>
              </w:rPr>
            </w:pPr>
            <w:r>
              <w:rPr>
                <w:rFonts w:hint="eastAsia"/>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0ED9813D">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93FCC3D">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F8B1A26">
            <w:pPr>
              <w:pStyle w:val="247"/>
              <w:pageBreakBefore w:val="0"/>
              <w:wordWrap w:val="0"/>
              <w:topLinePunct w:val="0"/>
              <w:bidi w:val="0"/>
              <w:spacing w:after="0" w:line="360" w:lineRule="auto"/>
              <w:jc w:val="center"/>
              <w:textAlignment w:val="auto"/>
              <w:rPr>
                <w:rFonts w:hint="eastAsia"/>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677036B">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24C5A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4CD5E01">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359C3770">
            <w:pPr>
              <w:pStyle w:val="247"/>
              <w:pageBreakBefore w:val="0"/>
              <w:wordWrap w:val="0"/>
              <w:topLinePunct w:val="0"/>
              <w:bidi w:val="0"/>
              <w:spacing w:after="0" w:line="360" w:lineRule="auto"/>
              <w:jc w:val="center"/>
              <w:textAlignment w:val="auto"/>
              <w:rPr>
                <w:rFonts w:hint="eastAsia"/>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45078CD1">
            <w:pPr>
              <w:pStyle w:val="247"/>
              <w:pageBreakBefore w:val="0"/>
              <w:tabs>
                <w:tab w:val="left" w:pos="235"/>
              </w:tabs>
              <w:wordWrap w:val="0"/>
              <w:topLinePunct w:val="0"/>
              <w:bidi w:val="0"/>
              <w:spacing w:after="0" w:line="360" w:lineRule="auto"/>
              <w:jc w:val="center"/>
              <w:textAlignment w:val="auto"/>
              <w:rPr>
                <w:rFonts w:hint="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DB2128E">
            <w:pPr>
              <w:pStyle w:val="247"/>
              <w:pageBreakBefore w:val="0"/>
              <w:wordWrap w:val="0"/>
              <w:topLinePunct w:val="0"/>
              <w:bidi w:val="0"/>
              <w:spacing w:after="0" w:line="360" w:lineRule="auto"/>
              <w:jc w:val="center"/>
              <w:textAlignment w:val="auto"/>
              <w:rPr>
                <w:rFonts w:hint="eastAsia"/>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37EA941">
            <w:pPr>
              <w:pStyle w:val="247"/>
              <w:pageBreakBefore w:val="0"/>
              <w:wordWrap w:val="0"/>
              <w:topLinePunct w:val="0"/>
              <w:bidi w:val="0"/>
              <w:spacing w:after="0" w:line="360" w:lineRule="auto"/>
              <w:jc w:val="center"/>
              <w:textAlignment w:val="auto"/>
              <w:rPr>
                <w:rFonts w:hint="eastAsia"/>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6D2FEA04">
            <w:pPr>
              <w:pStyle w:val="247"/>
              <w:pageBreakBefore w:val="0"/>
              <w:wordWrap w:val="0"/>
              <w:topLinePunct w:val="0"/>
              <w:bidi w:val="0"/>
              <w:spacing w:after="0" w:line="360" w:lineRule="auto"/>
              <w:jc w:val="center"/>
              <w:textAlignment w:val="auto"/>
              <w:rPr>
                <w:rFonts w:hint="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62319FA0">
            <w:pPr>
              <w:pStyle w:val="247"/>
              <w:pageBreakBefore w:val="0"/>
              <w:wordWrap w:val="0"/>
              <w:topLinePunct w:val="0"/>
              <w:bidi w:val="0"/>
              <w:spacing w:after="0" w:line="360" w:lineRule="auto"/>
              <w:jc w:val="center"/>
              <w:textAlignment w:val="auto"/>
              <w:rPr>
                <w:rFonts w:hint="eastAsia"/>
                <w:sz w:val="30"/>
                <w:highlight w:val="none"/>
              </w:rPr>
            </w:pPr>
          </w:p>
        </w:tc>
      </w:tr>
      <w:tr w14:paraId="24F4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D9EB7FC">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5D0520A0">
            <w:pPr>
              <w:pStyle w:val="247"/>
              <w:pageBreakBefore w:val="0"/>
              <w:wordWrap w:val="0"/>
              <w:topLinePunct w:val="0"/>
              <w:bidi w:val="0"/>
              <w:spacing w:after="0" w:line="360" w:lineRule="auto"/>
              <w:jc w:val="center"/>
              <w:textAlignment w:val="auto"/>
              <w:rPr>
                <w:rFonts w:hint="eastAsia"/>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C1916A">
            <w:pPr>
              <w:pStyle w:val="247"/>
              <w:pageBreakBefore w:val="0"/>
              <w:wordWrap w:val="0"/>
              <w:topLinePunct w:val="0"/>
              <w:bidi w:val="0"/>
              <w:spacing w:after="0" w:line="360" w:lineRule="auto"/>
              <w:jc w:val="center"/>
              <w:textAlignment w:val="auto"/>
              <w:rPr>
                <w:rFonts w:hint="eastAsia"/>
                <w:sz w:val="30"/>
                <w:highlight w:val="none"/>
              </w:rPr>
            </w:pPr>
          </w:p>
        </w:tc>
      </w:tr>
    </w:tbl>
    <w:p w14:paraId="4AB783D6">
      <w:pPr>
        <w:pageBreakBefore w:val="0"/>
        <w:wordWrap w:val="0"/>
        <w:topLinePunct w:val="0"/>
        <w:autoSpaceDE w:val="0"/>
        <w:autoSpaceDN w:val="0"/>
        <w:bidi w:val="0"/>
        <w:adjustRightInd w:val="0"/>
        <w:snapToGrid w:val="0"/>
        <w:spacing w:before="25" w:after="0" w:line="360" w:lineRule="auto"/>
        <w:jc w:val="center"/>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 xml:space="preserve">                             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7D49971C">
      <w:pPr>
        <w:pageBreakBefore w:val="0"/>
        <w:wordWrap w:val="0"/>
        <w:topLinePunct w:val="0"/>
        <w:bidi w:val="0"/>
        <w:spacing w:after="0" w:line="360" w:lineRule="auto"/>
        <w:ind w:right="-57" w:firstLine="480"/>
        <w:jc w:val="righ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0B36FC5E">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说明：</w:t>
      </w:r>
    </w:p>
    <w:p w14:paraId="577C6AE7">
      <w:pPr>
        <w:pageBreakBefore w:val="0"/>
        <w:wordWrap w:val="0"/>
        <w:topLinePunct w:val="0"/>
        <w:bidi w:val="0"/>
        <w:adjustRightInd w:val="0"/>
        <w:snapToGrid w:val="0"/>
        <w:spacing w:after="0" w:line="360" w:lineRule="auto"/>
        <w:ind w:firstLine="420"/>
        <w:jc w:val="left"/>
        <w:textAlignment w:val="auto"/>
        <w:rPr>
          <w:rFonts w:hint="eastAsia" w:ascii="宋体" w:hAnsi="宋体" w:cs="宋体"/>
          <w:sz w:val="24"/>
          <w:highlight w:val="none"/>
        </w:rPr>
      </w:pPr>
      <w:r>
        <w:rPr>
          <w:rFonts w:hint="eastAsia" w:ascii="宋体" w:hAnsi="宋体" w:cs="宋体"/>
          <w:sz w:val="24"/>
          <w:highlight w:val="none"/>
        </w:rPr>
        <w:t>（1）当供应商属于本部分说明中第（1）类情形，如未提供《拟分包情况说明》，或提供了《拟分包情况说明》但未填写分包承担主体名称、拟分包合同内容、拟分包合同金额，其</w:t>
      </w:r>
      <w:r>
        <w:rPr>
          <w:rFonts w:hint="eastAsia" w:ascii="宋体" w:hAnsi="宋体" w:cs="宋体"/>
          <w:b/>
          <w:bCs/>
          <w:sz w:val="24"/>
          <w:highlight w:val="none"/>
        </w:rPr>
        <w:t>响应无效</w:t>
      </w:r>
      <w:r>
        <w:rPr>
          <w:rFonts w:hint="eastAsia" w:ascii="宋体" w:hAnsi="宋体" w:cs="宋体"/>
          <w:sz w:val="24"/>
          <w:highlight w:val="none"/>
        </w:rPr>
        <w:t>；</w:t>
      </w:r>
    </w:p>
    <w:p w14:paraId="5B1E0811">
      <w:pPr>
        <w:pageBreakBefore w:val="0"/>
        <w:wordWrap w:val="0"/>
        <w:topLinePunct w:val="0"/>
        <w:bidi w:val="0"/>
        <w:adjustRightInd w:val="0"/>
        <w:snapToGrid w:val="0"/>
        <w:spacing w:after="0" w:line="360" w:lineRule="auto"/>
        <w:ind w:firstLine="420"/>
        <w:jc w:val="left"/>
        <w:textAlignment w:val="auto"/>
        <w:rPr>
          <w:rFonts w:hint="eastAsia" w:ascii="宋体" w:hAnsi="宋体" w:cs="宋体"/>
          <w:sz w:val="24"/>
          <w:highlight w:val="none"/>
        </w:rPr>
      </w:pPr>
      <w:r>
        <w:rPr>
          <w:rFonts w:hint="eastAsia" w:ascii="宋体" w:hAnsi="宋体" w:cs="宋体"/>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cs="宋体"/>
          <w:b/>
          <w:bCs/>
          <w:sz w:val="24"/>
          <w:highlight w:val="none"/>
        </w:rPr>
        <w:t>响应无效</w:t>
      </w:r>
      <w:r>
        <w:rPr>
          <w:rFonts w:hint="eastAsia" w:ascii="宋体" w:hAnsi="宋体" w:cs="宋体"/>
          <w:sz w:val="24"/>
          <w:highlight w:val="none"/>
        </w:rPr>
        <w:t>；</w:t>
      </w:r>
    </w:p>
    <w:p w14:paraId="2A286073">
      <w:pPr>
        <w:pageBreakBefore w:val="0"/>
        <w:wordWrap w:val="0"/>
        <w:topLinePunct w:val="0"/>
        <w:bidi w:val="0"/>
        <w:adjustRightInd w:val="0"/>
        <w:snapToGrid w:val="0"/>
        <w:spacing w:after="0" w:line="360" w:lineRule="auto"/>
        <w:ind w:firstLine="420"/>
        <w:jc w:val="left"/>
        <w:textAlignment w:val="auto"/>
        <w:rPr>
          <w:rFonts w:hint="eastAsia" w:ascii="宋体" w:hAnsi="宋体" w:cs="宋体"/>
          <w:color w:val="000000"/>
          <w:sz w:val="30"/>
          <w:szCs w:val="30"/>
          <w:highlight w:val="none"/>
        </w:rPr>
      </w:pPr>
      <w:r>
        <w:rPr>
          <w:rFonts w:hint="eastAsia" w:ascii="宋体" w:hAnsi="宋体" w:cs="宋体"/>
          <w:sz w:val="24"/>
          <w:highlight w:val="none"/>
        </w:rPr>
        <w:t>（3）如本采购文件《供应商须知资料表》载明本项目分包承担主体应具备的相应资质条件，则供应商须在本表中列明分包承担主体的资质等级，并后附资质证书电子件，否则响应无效。</w:t>
      </w:r>
    </w:p>
    <w:p w14:paraId="6A08E14F">
      <w:pPr>
        <w:pageBreakBefore w:val="0"/>
        <w:wordWrap w:val="0"/>
        <w:topLinePunct w:val="0"/>
        <w:autoSpaceDE w:val="0"/>
        <w:autoSpaceDN w:val="0"/>
        <w:bidi w:val="0"/>
        <w:adjustRightInd w:val="0"/>
        <w:spacing w:after="0" w:line="360" w:lineRule="auto"/>
        <w:ind w:firstLine="420"/>
        <w:jc w:val="center"/>
        <w:textAlignment w:val="auto"/>
        <w:rPr>
          <w:rFonts w:hint="eastAsia" w:ascii="宋体" w:hAnsi="宋体" w:cs="宋体"/>
          <w:b/>
          <w:color w:val="000000"/>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71B8831D">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分包意向协议（实质性格式）</w:t>
      </w:r>
    </w:p>
    <w:p w14:paraId="4E8AF38F">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甲方（供应商）：</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43AE90E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乙方（拟分包单位）：</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1AF92970">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甲方承诺，一旦在</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（采购项目名称）（项目编号/包号为：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）采购项目中获得采购合同，将按照下述约定将合同项下部分内容分包给乙方：</w:t>
      </w:r>
    </w:p>
    <w:p w14:paraId="63B76069">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1.分包内容：</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0CFA9B3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2.分包金额：</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，该金额占该采购包合同金额的比例为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0521B5F3">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bCs/>
          <w:color w:val="000000"/>
          <w:sz w:val="24"/>
          <w:highlight w:val="none"/>
        </w:rPr>
      </w:pPr>
      <w:r>
        <w:rPr>
          <w:rFonts w:hint="eastAsia" w:ascii="宋体" w:hAnsi="宋体" w:cs="宋体"/>
          <w:sz w:val="24"/>
          <w:highlight w:val="none"/>
        </w:rPr>
        <w:t>乙方承诺将在上述情况下与甲方签订分包合同。</w:t>
      </w:r>
    </w:p>
    <w:p w14:paraId="794DCF64">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本协议自各方盖章之日起生效，如甲方未在该项目（采购包）成交，本协议自动终止。</w:t>
      </w:r>
    </w:p>
    <w:p w14:paraId="391A1E4C">
      <w:pPr>
        <w:pageBreakBefore w:val="0"/>
        <w:wordWrap w:val="0"/>
        <w:topLinePunct w:val="0"/>
        <w:bidi w:val="0"/>
        <w:spacing w:after="0" w:line="360" w:lineRule="auto"/>
        <w:ind w:firstLine="471"/>
        <w:textAlignment w:val="auto"/>
        <w:rPr>
          <w:rFonts w:hint="eastAsia" w:ascii="宋体" w:hAnsi="宋体" w:cs="宋体"/>
          <w:b/>
          <w:color w:val="000000"/>
          <w:sz w:val="24"/>
          <w:highlight w:val="none"/>
        </w:rPr>
      </w:pPr>
    </w:p>
    <w:p w14:paraId="3A0923E6">
      <w:pPr>
        <w:pageBreakBefore w:val="0"/>
        <w:wordWrap w:val="0"/>
        <w:topLinePunct w:val="0"/>
        <w:bidi w:val="0"/>
        <w:spacing w:after="0" w:line="360" w:lineRule="auto"/>
        <w:ind w:firstLine="471"/>
        <w:textAlignment w:val="auto"/>
        <w:rPr>
          <w:rFonts w:hint="eastAsia" w:ascii="宋体" w:hAnsi="宋体" w:cs="宋体"/>
          <w:b/>
          <w:color w:val="000000"/>
          <w:sz w:val="24"/>
          <w:highlight w:val="none"/>
        </w:rPr>
      </w:pPr>
      <w:r>
        <w:rPr>
          <w:rFonts w:hint="eastAsia" w:ascii="宋体" w:hAnsi="宋体" w:cs="宋体"/>
          <w:color w:val="000000"/>
          <w:sz w:val="24"/>
          <w:highlight w:val="none"/>
        </w:rPr>
        <w:t>甲方（盖章）：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乙方（盖章）：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0BB303AD">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p>
    <w:p w14:paraId="6DA0C482">
      <w:pPr>
        <w:pageBreakBefore w:val="0"/>
        <w:wordWrap w:val="0"/>
        <w:topLinePunct w:val="0"/>
        <w:bidi w:val="0"/>
        <w:spacing w:after="0" w:line="360" w:lineRule="auto"/>
        <w:ind w:left="480"/>
        <w:jc w:val="right"/>
        <w:textAlignment w:val="auto"/>
        <w:rPr>
          <w:rFonts w:hint="eastAsia" w:ascii="宋体" w:hAnsi="宋体" w:cs="宋体"/>
          <w:b/>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4B9FA610">
      <w:pPr>
        <w:pageBreakBefore w:val="0"/>
        <w:tabs>
          <w:tab w:val="left" w:pos="8280"/>
        </w:tabs>
        <w:wordWrap w:val="0"/>
        <w:topLinePunct w:val="0"/>
        <w:bidi w:val="0"/>
        <w:spacing w:after="0" w:line="360" w:lineRule="auto"/>
        <w:ind w:firstLine="480"/>
        <w:textAlignment w:val="auto"/>
        <w:rPr>
          <w:rFonts w:hint="eastAsia" w:ascii="宋体" w:hAnsi="宋体" w:cs="宋体"/>
          <w:color w:val="000000"/>
          <w:sz w:val="24"/>
          <w:highlight w:val="none"/>
        </w:rPr>
      </w:pPr>
    </w:p>
    <w:p w14:paraId="46B290F3">
      <w:pPr>
        <w:pageBreakBefore w:val="0"/>
        <w:tabs>
          <w:tab w:val="left" w:pos="82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p w14:paraId="4B6F8BA6">
      <w:pPr>
        <w:pageBreakBefore w:val="0"/>
        <w:tabs>
          <w:tab w:val="left" w:pos="8280"/>
        </w:tabs>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（1）当供应商属于本部分说明中第（2）类情形，必须提供，否则响应无效；其他情形无须提供；</w:t>
      </w:r>
    </w:p>
    <w:p w14:paraId="114D4330">
      <w:pPr>
        <w:pageBreakBefore w:val="0"/>
        <w:tabs>
          <w:tab w:val="left" w:pos="8280"/>
        </w:tabs>
        <w:wordWrap w:val="0"/>
        <w:topLinePunct w:val="0"/>
        <w:bidi w:val="0"/>
        <w:spacing w:after="0" w:line="360" w:lineRule="auto"/>
        <w:ind w:firstLine="420"/>
        <w:textAlignment w:val="auto"/>
        <w:rPr>
          <w:rFonts w:hint="eastAsia" w:ascii="宋体" w:hAnsi="宋体" w:cs="宋体"/>
          <w:color w:val="000000"/>
          <w:sz w:val="24"/>
          <w:highlight w:val="none"/>
        </w:rPr>
        <w:sectPr>
          <w:pgSz w:w="11905" w:h="16838"/>
          <w:pgMar w:top="1474" w:right="1474" w:bottom="1474" w:left="1474" w:header="850" w:footer="992" w:gutter="0"/>
          <w:pgNumType w:fmt="decimal"/>
          <w:cols w:space="0" w:num="1"/>
          <w:rtlGutter w:val="0"/>
          <w:docGrid w:linePitch="462" w:charSpace="0"/>
        </w:sectPr>
      </w:pPr>
      <w:r>
        <w:rPr>
          <w:rFonts w:hint="eastAsia" w:ascii="宋体" w:hAnsi="宋体" w:cs="宋体"/>
          <w:color w:val="000000"/>
          <w:sz w:val="24"/>
          <w:highlight w:val="none"/>
        </w:rPr>
        <w:t>（2）供应商须与所有拟分包单位分别签订《分包意向协议》，每单位签订一份，并在响应文件中提交全部协议原件的电子件，否则响应无效。</w:t>
      </w:r>
    </w:p>
    <w:p w14:paraId="5C1740C8">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 xml:space="preserve">2-2 </w:t>
      </w:r>
      <w:r>
        <w:rPr>
          <w:rFonts w:hint="eastAsia" w:ascii="宋体" w:hAnsi="宋体" w:cs="宋体"/>
          <w:sz w:val="24"/>
          <w:highlight w:val="none"/>
        </w:rPr>
        <w:t>其它落实政府采购政策的资格要求</w:t>
      </w:r>
      <w:r>
        <w:rPr>
          <w:rFonts w:hint="eastAsia" w:ascii="宋体" w:hAnsi="宋体" w:cs="宋体"/>
          <w:color w:val="000000"/>
          <w:sz w:val="24"/>
          <w:szCs w:val="20"/>
          <w:highlight w:val="none"/>
        </w:rPr>
        <w:t>（如有）</w:t>
      </w:r>
    </w:p>
    <w:p w14:paraId="031D2947">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10C53C7F">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79AE9459">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headerReference r:id="rId19" w:type="first"/>
          <w:footerReference r:id="rId21" w:type="first"/>
          <w:headerReference r:id="rId18" w:type="even"/>
          <w:footerReference r:id="rId20" w:type="even"/>
          <w:pgSz w:w="11905" w:h="16838"/>
          <w:pgMar w:top="1474" w:right="1474" w:bottom="1474" w:left="1474" w:header="850" w:footer="992" w:gutter="0"/>
          <w:pgNumType w:fmt="decimal"/>
          <w:cols w:space="0" w:num="1"/>
          <w:rtlGutter w:val="0"/>
          <w:docGrid w:linePitch="462" w:charSpace="0"/>
        </w:sectPr>
      </w:pPr>
    </w:p>
    <w:p w14:paraId="397E24BA">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3 本项目的特定资格要求（如有）</w:t>
      </w:r>
    </w:p>
    <w:p w14:paraId="3753B9EE">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pPr>
      <w:r>
        <w:rPr>
          <w:rFonts w:hint="eastAsia" w:ascii="宋体" w:hAnsi="宋体" w:cs="宋体"/>
          <w:color w:val="000000"/>
          <w:sz w:val="24"/>
          <w:szCs w:val="20"/>
          <w:highlight w:val="none"/>
        </w:rPr>
        <w:t>3-1联合协议（如有）</w:t>
      </w:r>
    </w:p>
    <w:p w14:paraId="2210A871">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36"/>
          <w:szCs w:val="36"/>
          <w:highlight w:val="none"/>
        </w:rPr>
      </w:pPr>
      <w:r>
        <w:rPr>
          <w:rFonts w:hint="eastAsia" w:ascii="宋体" w:hAnsi="宋体" w:cs="宋体"/>
          <w:b/>
          <w:color w:val="000000"/>
          <w:sz w:val="36"/>
          <w:szCs w:val="36"/>
          <w:highlight w:val="none"/>
        </w:rPr>
        <w:t>联合协议</w:t>
      </w:r>
    </w:p>
    <w:p w14:paraId="741ACDBD">
      <w:pPr>
        <w:pageBreakBefore w:val="0"/>
        <w:wordWrap w:val="0"/>
        <w:topLinePunct w:val="0"/>
        <w:bidi w:val="0"/>
        <w:spacing w:after="0" w:line="360" w:lineRule="auto"/>
        <w:ind w:firstLine="828" w:firstLineChars="345"/>
        <w:textAlignment w:val="auto"/>
        <w:rPr>
          <w:rFonts w:hint="eastAsia" w:ascii="宋体" w:hAnsi="宋体" w:cs="宋体"/>
          <w:bCs/>
          <w:color w:val="000000"/>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及</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就“</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（项目名称）</w:t>
      </w:r>
      <w:r>
        <w:rPr>
          <w:rFonts w:hint="eastAsia" w:ascii="宋体" w:hAnsi="宋体" w:cs="宋体"/>
          <w:color w:val="000000"/>
          <w:sz w:val="24"/>
          <w:highlight w:val="none"/>
        </w:rPr>
        <w:t>”</w:t>
      </w:r>
      <w:r>
        <w:rPr>
          <w:rFonts w:hint="eastAsia" w:ascii="宋体" w:hAnsi="宋体" w:cs="宋体"/>
          <w:sz w:val="24"/>
          <w:highlight w:val="non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包</w:t>
      </w:r>
      <w:r>
        <w:rPr>
          <w:rFonts w:hint="eastAsia" w:ascii="宋体" w:hAnsi="宋体" w:cs="宋体"/>
          <w:bCs/>
          <w:color w:val="000000"/>
          <w:sz w:val="24"/>
          <w:highlight w:val="none"/>
        </w:rPr>
        <w:t>采购项目的磋商事宜，经各方充分协商一致，达成如下协议：</w:t>
      </w:r>
    </w:p>
    <w:p w14:paraId="4353D1EF">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由</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牵头，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参加，组成联合体共同进行采购项目的磋商工作。</w:t>
      </w:r>
    </w:p>
    <w:p w14:paraId="01A9847C">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联合体成交后，联合体各方共同与采购人签订合同，就</w:t>
      </w:r>
      <w:r>
        <w:rPr>
          <w:rFonts w:hint="eastAsia" w:ascii="宋体" w:hAnsi="宋体" w:cs="宋体"/>
          <w:color w:val="000000"/>
          <w:sz w:val="24"/>
          <w:szCs w:val="20"/>
          <w:highlight w:val="none"/>
        </w:rPr>
        <w:t>采购合同约定的事项</w:t>
      </w:r>
      <w:r>
        <w:rPr>
          <w:rFonts w:hint="eastAsia" w:ascii="宋体" w:hAnsi="宋体" w:cs="宋体"/>
          <w:bCs/>
          <w:color w:val="000000"/>
          <w:sz w:val="24"/>
          <w:highlight w:val="none"/>
        </w:rPr>
        <w:t>对采购人承担连带责任。</w:t>
      </w:r>
    </w:p>
    <w:p w14:paraId="5F4C4789">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联合体各方均同意由牵头人代表其他联合体成员单位按竞争性磋商文件要求出具《授权委托书》。</w:t>
      </w:r>
    </w:p>
    <w:p w14:paraId="0C613F58">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牵头人为项目的总负责单位；组织各参加方进行项目实施工作。</w:t>
      </w:r>
    </w:p>
    <w:p w14:paraId="09C7D97B">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，具体工作范围、内容以响应文件及合同为准。</w:t>
      </w:r>
    </w:p>
    <w:p w14:paraId="52EEF43C">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，具体工作范围、内容以响应文件及合同为准。</w:t>
      </w:r>
    </w:p>
    <w:p w14:paraId="341C969C">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负责</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bCs/>
          <w:color w:val="000000"/>
          <w:sz w:val="24"/>
          <w:highlight w:val="none"/>
        </w:rPr>
        <w:t>（如有），具体工作范围、内容以响应文件及合同为准。</w:t>
      </w:r>
    </w:p>
    <w:p w14:paraId="47CABF54">
      <w:pPr>
        <w:pageBreakBefore w:val="0"/>
        <w:numPr>
          <w:ilvl w:val="0"/>
          <w:numId w:val="13"/>
        </w:numPr>
        <w:wordWrap w:val="0"/>
        <w:topLinePunct w:val="0"/>
        <w:bidi w:val="0"/>
        <w:spacing w:after="0" w:line="360" w:lineRule="auto"/>
        <w:textAlignment w:val="auto"/>
        <w:rPr>
          <w:rFonts w:hint="eastAsia" w:ascii="宋体" w:hAnsi="宋体" w:cs="宋体"/>
          <w:sz w:val="24"/>
          <w:highlight w:val="none"/>
        </w:rPr>
      </w:pPr>
      <w:r>
        <w:rPr>
          <w:rFonts w:hint="eastAsia" w:ascii="宋体" w:hAnsi="宋体" w:cs="宋体"/>
          <w:sz w:val="24"/>
          <w:highlight w:val="none"/>
        </w:rPr>
        <w:t>本项目联合协议合同总额为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元，联合体各成员按照如下比例分摊（按联合体成员分别列明）：</w:t>
      </w:r>
    </w:p>
    <w:p w14:paraId="481ADF7E">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49FCC6C8">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0162B09D">
      <w:pPr>
        <w:pageBreakBefore w:val="0"/>
        <w:tabs>
          <w:tab w:val="left" w:pos="720"/>
          <w:tab w:val="left" w:pos="900"/>
        </w:tabs>
        <w:wordWrap w:val="0"/>
        <w:topLinePunct w:val="0"/>
        <w:bidi w:val="0"/>
        <w:spacing w:after="0" w:line="360" w:lineRule="auto"/>
        <w:ind w:left="851"/>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为□大型企业□中型企业、□小微企业（包含监狱企业、残疾人福利性单位）、□其他，合同金额为</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szCs w:val="20"/>
          <w:highlight w:val="none"/>
        </w:rPr>
        <w:t>元。</w:t>
      </w:r>
    </w:p>
    <w:p w14:paraId="421E353A">
      <w:pPr>
        <w:pageBreakBefore w:val="0"/>
        <w:numPr>
          <w:ilvl w:val="0"/>
          <w:numId w:val="13"/>
        </w:numPr>
        <w:tabs>
          <w:tab w:val="left" w:pos="993"/>
        </w:tabs>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color w:val="000000"/>
          <w:sz w:val="24"/>
          <w:szCs w:val="20"/>
          <w:highlight w:val="none"/>
        </w:rPr>
        <w:t>以联合体形式参加政府采购活动的，联合体各方不得再单独参加或者与其他供应商另外组成联合体参加同一合同项下的政府采购活动。</w:t>
      </w:r>
    </w:p>
    <w:p w14:paraId="1BECC2C6">
      <w:pPr>
        <w:pageBreakBefore w:val="0"/>
        <w:numPr>
          <w:ilvl w:val="0"/>
          <w:numId w:val="13"/>
        </w:numPr>
        <w:wordWrap w:val="0"/>
        <w:topLinePunct w:val="0"/>
        <w:bidi w:val="0"/>
        <w:spacing w:after="0" w:line="360" w:lineRule="auto"/>
        <w:textAlignment w:val="auto"/>
        <w:rPr>
          <w:rFonts w:hint="eastAsia" w:ascii="宋体" w:hAnsi="宋体" w:cs="宋体"/>
          <w:bCs/>
          <w:color w:val="000000"/>
          <w:sz w:val="24"/>
          <w:highlight w:val="none"/>
        </w:rPr>
      </w:pPr>
      <w:r>
        <w:rPr>
          <w:rFonts w:hint="eastAsia" w:ascii="宋体" w:hAnsi="宋体" w:cs="宋体"/>
          <w:bCs/>
          <w:color w:val="000000"/>
          <w:sz w:val="24"/>
          <w:highlight w:val="none"/>
        </w:rPr>
        <w:t>其他约定（如有）：</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rPr>
        <w:t>。</w:t>
      </w:r>
    </w:p>
    <w:p w14:paraId="64F8D68E">
      <w:pPr>
        <w:pageBreakBefore w:val="0"/>
        <w:tabs>
          <w:tab w:val="left" w:pos="780"/>
        </w:tabs>
        <w:wordWrap w:val="0"/>
        <w:topLinePunct w:val="0"/>
        <w:bidi w:val="0"/>
        <w:spacing w:after="0" w:line="360" w:lineRule="auto"/>
        <w:ind w:left="180" w:firstLine="480" w:firstLineChars="200"/>
        <w:textAlignment w:val="auto"/>
        <w:rPr>
          <w:rFonts w:hint="eastAsia" w:ascii="宋体" w:hAnsi="宋体" w:cs="宋体"/>
          <w:b/>
          <w:color w:val="000000"/>
          <w:sz w:val="24"/>
          <w:highlight w:val="none"/>
        </w:rPr>
      </w:pPr>
      <w:r>
        <w:rPr>
          <w:rFonts w:hint="eastAsia" w:ascii="宋体" w:hAnsi="宋体" w:cs="宋体"/>
          <w:bCs/>
          <w:color w:val="000000"/>
          <w:sz w:val="24"/>
          <w:highlight w:val="none"/>
        </w:rPr>
        <w:t>本协议自各方盖章后生效，采购合同履行完毕后自动失效。如未成交，本协议自动终止。</w:t>
      </w:r>
    </w:p>
    <w:p w14:paraId="394C015E">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br w:type="page"/>
      </w:r>
    </w:p>
    <w:p w14:paraId="33DD4FB0">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联合体牵头人名称：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ab/>
      </w:r>
      <w:r>
        <w:rPr>
          <w:rFonts w:hint="eastAsia" w:ascii="宋体" w:hAnsi="宋体" w:cs="宋体"/>
          <w:color w:val="000000"/>
          <w:sz w:val="24"/>
          <w:highlight w:val="none"/>
        </w:rPr>
        <w:t xml:space="preserve"> 联合体成员名称：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4C46D2ED">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5416AC95">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p>
    <w:p w14:paraId="04E7ABD8">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p>
    <w:p w14:paraId="46B83D88">
      <w:pPr>
        <w:pageBreakBefore w:val="0"/>
        <w:wordWrap w:val="0"/>
        <w:topLinePunct w:val="0"/>
        <w:bidi w:val="0"/>
        <w:spacing w:after="0" w:line="360" w:lineRule="auto"/>
        <w:ind w:firstLine="471"/>
        <w:textAlignment w:val="auto"/>
        <w:rPr>
          <w:rFonts w:hint="eastAsia" w:ascii="宋体" w:hAnsi="宋体" w:cs="宋体"/>
          <w:color w:val="000000"/>
          <w:sz w:val="24"/>
          <w:highlight w:val="none"/>
        </w:rPr>
      </w:pPr>
      <w:r>
        <w:rPr>
          <w:rFonts w:hint="eastAsia" w:ascii="宋体" w:hAnsi="宋体" w:cs="宋体"/>
          <w:color w:val="000000"/>
          <w:sz w:val="24"/>
          <w:highlight w:val="none"/>
        </w:rPr>
        <w:t>联合体成员名称：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p>
    <w:p w14:paraId="251D6FDC">
      <w:pPr>
        <w:pageBreakBefore w:val="0"/>
        <w:widowControl/>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盖章：</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14:paraId="75592283">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p>
    <w:p w14:paraId="778DE263">
      <w:pPr>
        <w:pageBreakBefore w:val="0"/>
        <w:wordWrap w:val="0"/>
        <w:topLinePunct w:val="0"/>
        <w:bidi w:val="0"/>
        <w:spacing w:after="0" w:line="360" w:lineRule="auto"/>
        <w:ind w:left="480"/>
        <w:jc w:val="righ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1932F843">
      <w:pPr>
        <w:pageBreakBefore w:val="0"/>
        <w:wordWrap w:val="0"/>
        <w:topLinePunct w:val="0"/>
        <w:bidi w:val="0"/>
        <w:spacing w:after="0" w:line="360" w:lineRule="auto"/>
        <w:ind w:left="480"/>
        <w:jc w:val="right"/>
        <w:textAlignment w:val="auto"/>
        <w:rPr>
          <w:rFonts w:hint="eastAsia" w:ascii="宋体" w:hAnsi="宋体" w:cs="宋体"/>
          <w:b/>
          <w:color w:val="000000"/>
          <w:sz w:val="24"/>
          <w:highlight w:val="none"/>
        </w:rPr>
      </w:pPr>
    </w:p>
    <w:p w14:paraId="536AE566">
      <w:pPr>
        <w:pageBreakBefore w:val="0"/>
        <w:tabs>
          <w:tab w:val="left" w:pos="8280"/>
        </w:tabs>
        <w:wordWrap w:val="0"/>
        <w:topLinePunct w:val="0"/>
        <w:bidi w:val="0"/>
        <w:spacing w:after="0" w:line="360" w:lineRule="auto"/>
        <w:ind w:firstLine="480"/>
        <w:textAlignment w:val="auto"/>
        <w:rPr>
          <w:rFonts w:hint="eastAsia" w:ascii="宋体" w:hAnsi="宋体" w:cs="宋体"/>
          <w:color w:val="000000"/>
          <w:sz w:val="24"/>
          <w:highlight w:val="none"/>
        </w:rPr>
      </w:pPr>
    </w:p>
    <w:p w14:paraId="46EF69B3">
      <w:pPr>
        <w:pageBreakBefore w:val="0"/>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69B6C43A">
      <w:pPr>
        <w:pageBreakBefore w:val="0"/>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 xml:space="preserve">1. 如本项目（包）接受供应商以联合体形式参加采购活动，且供应商以联合体形式参与时，须提供《联合协议》，否则响应无效。 </w:t>
      </w:r>
    </w:p>
    <w:p w14:paraId="2392DADC">
      <w:pPr>
        <w:pageBreakBefore w:val="0"/>
        <w:wordWrap w:val="0"/>
        <w:topLinePunct w:val="0"/>
        <w:bidi w:val="0"/>
        <w:spacing w:after="0" w:line="360" w:lineRule="auto"/>
        <w:ind w:firstLine="420"/>
        <w:textAlignment w:val="auto"/>
        <w:rPr>
          <w:rFonts w:hint="eastAsia" w:ascii="宋体" w:hAnsi="宋体" w:cs="宋体"/>
          <w:color w:val="000000"/>
          <w:sz w:val="24"/>
          <w:highlight w:val="none"/>
        </w:rPr>
      </w:pPr>
      <w:r>
        <w:rPr>
          <w:rFonts w:hint="eastAsia" w:ascii="宋体" w:hAnsi="宋体" w:cs="宋体"/>
          <w:color w:val="000000"/>
          <w:sz w:val="24"/>
          <w:highlight w:val="none"/>
        </w:rPr>
        <w:t>2. 联合体各方成员需在本协议上共同盖章。</w:t>
      </w:r>
    </w:p>
    <w:p w14:paraId="53E2F214">
      <w:pPr>
        <w:pageBreakBefore w:val="0"/>
        <w:widowControl/>
        <w:wordWrap w:val="0"/>
        <w:topLinePunct w:val="0"/>
        <w:bidi w:val="0"/>
        <w:spacing w:after="0" w:line="360" w:lineRule="auto"/>
        <w:jc w:val="left"/>
        <w:textAlignment w:val="auto"/>
        <w:rPr>
          <w:rFonts w:hint="eastAsia" w:ascii="宋体" w:hAnsi="宋体" w:cs="宋体"/>
          <w:sz w:val="24"/>
          <w:highlight w:val="none"/>
        </w:rPr>
      </w:pPr>
    </w:p>
    <w:p w14:paraId="446DC008">
      <w:pPr>
        <w:pageBreakBefore w:val="0"/>
        <w:wordWrap w:val="0"/>
        <w:topLinePunct w:val="0"/>
        <w:bidi w:val="0"/>
        <w:spacing w:after="0" w:line="360" w:lineRule="auto"/>
        <w:textAlignment w:val="auto"/>
        <w:outlineLvl w:val="2"/>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416CD9C8">
      <w:pPr>
        <w:pageBreakBefore w:val="0"/>
        <w:wordWrap w:val="0"/>
        <w:topLinePunct w:val="0"/>
        <w:bidi w:val="0"/>
        <w:spacing w:after="0" w:line="360" w:lineRule="auto"/>
        <w:textAlignment w:val="auto"/>
        <w:outlineLvl w:val="2"/>
        <w:rPr>
          <w:rFonts w:hint="eastAsia" w:ascii="宋体" w:hAnsi="宋体" w:cs="宋体"/>
          <w:sz w:val="24"/>
          <w:szCs w:val="20"/>
          <w:highlight w:val="none"/>
        </w:rPr>
      </w:pPr>
      <w:r>
        <w:rPr>
          <w:rFonts w:hint="eastAsia" w:ascii="宋体" w:hAnsi="宋体" w:cs="宋体"/>
          <w:color w:val="000000"/>
          <w:sz w:val="24"/>
          <w:szCs w:val="20"/>
          <w:highlight w:val="none"/>
        </w:rPr>
        <w:t>3-2其他</w:t>
      </w:r>
      <w:r>
        <w:rPr>
          <w:rFonts w:hint="eastAsia" w:ascii="宋体" w:hAnsi="宋体" w:cs="宋体"/>
          <w:sz w:val="24"/>
          <w:szCs w:val="20"/>
          <w:highlight w:val="none"/>
        </w:rPr>
        <w:t>特定资格要求</w:t>
      </w:r>
    </w:p>
    <w:p w14:paraId="07EBB68F">
      <w:pPr>
        <w:pageBreakBefore w:val="0"/>
        <w:tabs>
          <w:tab w:val="left" w:pos="5580"/>
        </w:tabs>
        <w:wordWrap w:val="0"/>
        <w:topLinePunct w:val="0"/>
        <w:bidi w:val="0"/>
        <w:spacing w:after="0" w:line="360" w:lineRule="auto"/>
        <w:textAlignment w:val="auto"/>
        <w:rPr>
          <w:rFonts w:hint="eastAsia" w:ascii="宋体" w:hAnsi="宋体" w:cs="宋体"/>
          <w:sz w:val="24"/>
          <w:highlight w:val="none"/>
        </w:rPr>
      </w:pPr>
    </w:p>
    <w:p w14:paraId="78C74AD0">
      <w:pPr>
        <w:pageBreakBefore w:val="0"/>
        <w:widowControl/>
        <w:wordWrap w:val="0"/>
        <w:topLinePunct w:val="0"/>
        <w:bidi w:val="0"/>
        <w:spacing w:after="0" w:line="360" w:lineRule="auto"/>
        <w:jc w:val="left"/>
        <w:textAlignment w:val="auto"/>
        <w:rPr>
          <w:rFonts w:hint="eastAsia" w:ascii="宋体" w:hAnsi="宋体" w:cs="宋体"/>
          <w:sz w:val="24"/>
          <w:szCs w:val="20"/>
          <w:highlight w:val="none"/>
        </w:rPr>
      </w:pPr>
    </w:p>
    <w:p w14:paraId="108DF69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13AB1F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4 磋商保证金凭证/交款单据电子件</w:t>
      </w:r>
    </w:p>
    <w:p w14:paraId="33CAFF4B">
      <w:pPr>
        <w:pageBreakBefore w:val="0"/>
        <w:widowControl/>
        <w:wordWrap w:val="0"/>
        <w:topLinePunct w:val="0"/>
        <w:bidi w:val="0"/>
        <w:spacing w:after="0" w:line="360" w:lineRule="auto"/>
        <w:jc w:val="left"/>
        <w:textAlignment w:val="auto"/>
        <w:rPr>
          <w:rFonts w:hint="eastAsia" w:ascii="宋体" w:hAnsi="宋体" w:cs="宋体"/>
          <w:kern w:val="0"/>
          <w:sz w:val="24"/>
          <w:szCs w:val="20"/>
          <w:highlight w:val="none"/>
        </w:rPr>
      </w:pPr>
    </w:p>
    <w:p w14:paraId="0DB0A58F">
      <w:pPr>
        <w:pageBreakBefore w:val="0"/>
        <w:widowControl/>
        <w:wordWrap w:val="0"/>
        <w:topLinePunct w:val="0"/>
        <w:bidi w:val="0"/>
        <w:spacing w:after="0" w:line="360" w:lineRule="auto"/>
        <w:jc w:val="left"/>
        <w:textAlignment w:val="auto"/>
        <w:rPr>
          <w:rFonts w:hint="eastAsia" w:ascii="宋体" w:hAnsi="宋体" w:cs="宋体"/>
          <w:b/>
          <w:sz w:val="24"/>
          <w:highlight w:val="none"/>
        </w:rPr>
      </w:pPr>
    </w:p>
    <w:p w14:paraId="4CCC1319">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bookmarkStart w:id="1253" w:name="_Hlt520343392"/>
      <w:bookmarkEnd w:id="1253"/>
      <w:bookmarkStart w:id="1254" w:name="_Hlt520355504"/>
      <w:bookmarkEnd w:id="1254"/>
      <w:bookmarkStart w:id="1255" w:name="_Hlt520271212"/>
      <w:bookmarkEnd w:id="1255"/>
      <w:bookmarkStart w:id="1256" w:name="_Hlt520343000"/>
      <w:bookmarkEnd w:id="1256"/>
      <w:bookmarkStart w:id="1257" w:name="_Hlt520274393"/>
      <w:bookmarkEnd w:id="1257"/>
      <w:bookmarkStart w:id="1258" w:name="_Hlt520273711"/>
      <w:bookmarkEnd w:id="1258"/>
      <w:bookmarkStart w:id="1259" w:name="_Hlt520274121"/>
      <w:bookmarkEnd w:id="1259"/>
      <w:bookmarkStart w:id="1260" w:name="_Hlt520274065"/>
      <w:bookmarkEnd w:id="1260"/>
      <w:bookmarkStart w:id="1261" w:name="_Hlt520274407"/>
      <w:bookmarkEnd w:id="1261"/>
      <w:bookmarkStart w:id="1262" w:name="_Hlt520350918"/>
      <w:bookmarkEnd w:id="1262"/>
      <w:bookmarkStart w:id="1263" w:name="_Toc480942349"/>
      <w:bookmarkStart w:id="1264" w:name="_Ref467988698"/>
      <w:bookmarkStart w:id="1265" w:name="_Toc142311058"/>
      <w:bookmarkStart w:id="1266" w:name="_Toc127151556"/>
      <w:bookmarkStart w:id="1267" w:name="_Toc150480794"/>
      <w:bookmarkStart w:id="1268" w:name="_Toc226337252"/>
      <w:bookmarkStart w:id="1269" w:name="_Toc226965829"/>
      <w:bookmarkStart w:id="1270" w:name="_Toc226965746"/>
      <w:bookmarkStart w:id="1271" w:name="_Toc150774761"/>
      <w:bookmarkStart w:id="1272" w:name="_Toc195842921"/>
      <w:bookmarkStart w:id="1273" w:name="_Toc226309800"/>
      <w:bookmarkStart w:id="1274" w:name="_Toc520356217"/>
    </w:p>
    <w:p w14:paraId="4C05901B">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highlight w:val="none"/>
        </w:rPr>
      </w:pPr>
      <w:r>
        <w:rPr>
          <w:rFonts w:hint="eastAsia" w:ascii="宋体" w:hAnsi="宋体" w:cs="宋体"/>
          <w:sz w:val="24"/>
          <w:highlight w:val="none"/>
        </w:rPr>
        <w:t xml:space="preserve">5 </w:t>
      </w:r>
      <w:bookmarkEnd w:id="1263"/>
      <w:bookmarkEnd w:id="1264"/>
      <w:r>
        <w:rPr>
          <w:rFonts w:hint="eastAsia" w:ascii="宋体" w:hAnsi="宋体" w:cs="宋体"/>
          <w:sz w:val="24"/>
          <w:highlight w:val="none"/>
        </w:rPr>
        <w:t>响应书</w:t>
      </w:r>
      <w:bookmarkEnd w:id="1265"/>
      <w:bookmarkEnd w:id="1266"/>
      <w:bookmarkEnd w:id="1267"/>
      <w:bookmarkEnd w:id="1268"/>
      <w:bookmarkEnd w:id="1269"/>
      <w:bookmarkEnd w:id="1270"/>
      <w:bookmarkEnd w:id="1271"/>
      <w:bookmarkEnd w:id="1272"/>
      <w:bookmarkEnd w:id="1273"/>
      <w:bookmarkEnd w:id="1274"/>
    </w:p>
    <w:p w14:paraId="0C76367A">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响应书</w:t>
      </w:r>
    </w:p>
    <w:p w14:paraId="2E14918E">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（采购人或采购代理机构）</w:t>
      </w:r>
    </w:p>
    <w:p w14:paraId="6620C701">
      <w:pPr>
        <w:pageBreakBefore w:val="0"/>
        <w:tabs>
          <w:tab w:val="left" w:pos="5580"/>
        </w:tabs>
        <w:wordWrap w:val="0"/>
        <w:topLinePunct w:val="0"/>
        <w:bidi w:val="0"/>
        <w:spacing w:after="0" w:line="360" w:lineRule="auto"/>
        <w:textAlignment w:val="auto"/>
        <w:rPr>
          <w:rFonts w:hint="eastAsia" w:ascii="宋体" w:hAnsi="宋体" w:cs="宋体"/>
          <w:color w:val="000000"/>
          <w:sz w:val="24"/>
          <w:szCs w:val="20"/>
          <w:highlight w:val="none"/>
        </w:rPr>
      </w:pPr>
    </w:p>
    <w:p w14:paraId="127F6A13">
      <w:pPr>
        <w:pageBreakBefore w:val="0"/>
        <w:tabs>
          <w:tab w:val="left" w:pos="5580"/>
        </w:tabs>
        <w:wordWrap w:val="0"/>
        <w:topLinePunct w:val="0"/>
        <w:bidi w:val="0"/>
        <w:spacing w:after="0" w:line="360" w:lineRule="auto"/>
        <w:ind w:firstLine="408"/>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（项目名称，项目编号/包号）组织的采购活动，并对此项目进行磋商。</w:t>
      </w:r>
    </w:p>
    <w:p w14:paraId="3D152648">
      <w:pPr>
        <w:pageBreakBefore w:val="0"/>
        <w:tabs>
          <w:tab w:val="left" w:pos="5580"/>
        </w:tabs>
        <w:wordWrap w:val="0"/>
        <w:topLinePunct w:val="0"/>
        <w:bidi w:val="0"/>
        <w:spacing w:after="0" w:line="360" w:lineRule="auto"/>
        <w:ind w:firstLine="408"/>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已详细审查全部竞争性磋商文件</w:t>
      </w:r>
      <w:r>
        <w:rPr>
          <w:rFonts w:hint="eastAsia" w:ascii="宋体" w:hAnsi="宋体" w:cs="宋体"/>
          <w:color w:val="000000"/>
          <w:sz w:val="24"/>
          <w:szCs w:val="20"/>
          <w:highlight w:val="none"/>
        </w:rPr>
        <w:t>，自愿参与磋商并承诺如下：</w:t>
      </w:r>
    </w:p>
    <w:p w14:paraId="6F6A67A7">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（1）本响应有效期为自提交响应文件的截止之日起</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个日历日。</w:t>
      </w:r>
    </w:p>
    <w:p w14:paraId="60176727">
      <w:pPr>
        <w:pageBreakBefore w:val="0"/>
        <w:tabs>
          <w:tab w:val="left" w:pos="720"/>
          <w:tab w:val="left" w:pos="900"/>
        </w:tabs>
        <w:wordWrap w:val="0"/>
        <w:topLinePunct w:val="0"/>
        <w:bidi w:val="0"/>
        <w:spacing w:after="0" w:line="360" w:lineRule="auto"/>
        <w:ind w:left="360" w:firstLine="72" w:firstLineChars="3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（2）除合同条款及采购需求偏离表列出的偏离外，我方响应竞争性磋商文件的全部要求。</w:t>
      </w:r>
    </w:p>
    <w:p w14:paraId="7CDD3C2C">
      <w:pPr>
        <w:pageBreakBefore w:val="0"/>
        <w:tabs>
          <w:tab w:val="left" w:pos="5580"/>
        </w:tabs>
        <w:wordWrap w:val="0"/>
        <w:topLinePunct w:val="0"/>
        <w:bidi w:val="0"/>
        <w:spacing w:after="0" w:line="360" w:lineRule="auto"/>
        <w:ind w:firstLine="420" w:firstLineChars="175"/>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4E5A7199">
      <w:pPr>
        <w:pageBreakBefore w:val="0"/>
        <w:tabs>
          <w:tab w:val="left" w:pos="5580"/>
        </w:tabs>
        <w:wordWrap w:val="0"/>
        <w:topLinePunct w:val="0"/>
        <w:bidi w:val="0"/>
        <w:spacing w:after="0" w:line="360" w:lineRule="auto"/>
        <w:ind w:firstLine="420" w:firstLineChars="175"/>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7EC4E01B">
      <w:pPr>
        <w:pageBreakBefore w:val="0"/>
        <w:wordWrap w:val="0"/>
        <w:topLinePunct w:val="0"/>
        <w:bidi w:val="0"/>
        <w:spacing w:after="0" w:line="360" w:lineRule="auto"/>
        <w:ind w:left="420"/>
        <w:textAlignment w:val="auto"/>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sz w:val="24"/>
          <w:highlight w:val="none"/>
          <w:u w:val="single"/>
        </w:rPr>
        <w:t xml:space="preserve">        </w:t>
      </w:r>
      <w:r>
        <w:rPr>
          <w:rFonts w:hint="eastAsia" w:ascii="宋体" w:hAnsi="宋体" w:cs="宋体"/>
          <w:color w:val="000000"/>
          <w:sz w:val="24"/>
          <w:highlight w:val="none"/>
        </w:rPr>
        <w:t>。</w:t>
      </w:r>
    </w:p>
    <w:p w14:paraId="61D670BB">
      <w:pPr>
        <w:pageBreakBefore w:val="0"/>
        <w:wordWrap w:val="0"/>
        <w:topLinePunct w:val="0"/>
        <w:bidi w:val="0"/>
        <w:spacing w:after="0" w:line="360" w:lineRule="auto"/>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rPr>
        <w:t>与本磋商有关的一切正式往来信函请寄：</w:t>
      </w:r>
    </w:p>
    <w:p w14:paraId="7AAF98C3">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3D846115">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地址</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 xml:space="preserve">     </w:t>
      </w:r>
    </w:p>
    <w:p w14:paraId="1A8D405E">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传真</w:t>
      </w:r>
      <w:r>
        <w:rPr>
          <w:rFonts w:hint="eastAsia" w:ascii="宋体" w:hAnsi="宋体" w:cs="宋体"/>
          <w:sz w:val="24"/>
          <w:highlight w:val="none"/>
          <w:u w:val="single"/>
        </w:rPr>
        <w:t xml:space="preserve">                  </w:t>
      </w:r>
    </w:p>
    <w:p w14:paraId="37EB128B">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电话</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 xml:space="preserve">      </w:t>
      </w:r>
    </w:p>
    <w:p w14:paraId="50332168">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电子函件</w:t>
      </w:r>
      <w:r>
        <w:rPr>
          <w:rFonts w:hint="eastAsia" w:ascii="宋体" w:hAnsi="宋体" w:cs="宋体"/>
          <w:sz w:val="24"/>
          <w:highlight w:val="none"/>
          <w:u w:val="single"/>
        </w:rPr>
        <w:t xml:space="preserve">                  </w:t>
      </w:r>
    </w:p>
    <w:p w14:paraId="5495747D">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04A2B3DC">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70DAA73B">
      <w:pPr>
        <w:pageBreakBefore w:val="0"/>
        <w:tabs>
          <w:tab w:val="left" w:pos="5580"/>
        </w:tabs>
        <w:wordWrap w:val="0"/>
        <w:topLinePunct w:val="0"/>
        <w:bidi w:val="0"/>
        <w:spacing w:after="0" w:line="360" w:lineRule="auto"/>
        <w:ind w:left="420"/>
        <w:textAlignment w:val="auto"/>
        <w:rPr>
          <w:rFonts w:hint="eastAsia" w:ascii="宋体" w:hAnsi="宋体" w:cs="宋体"/>
          <w:color w:val="000000"/>
          <w:sz w:val="24"/>
          <w:szCs w:val="20"/>
          <w:highlight w:val="none"/>
        </w:rPr>
      </w:pPr>
    </w:p>
    <w:p w14:paraId="0F4E7800">
      <w:pPr>
        <w:pageBreakBefore w:val="0"/>
        <w:wordWrap w:val="0"/>
        <w:topLinePunct w:val="0"/>
        <w:autoSpaceDE w:val="0"/>
        <w:autoSpaceDN w:val="0"/>
        <w:bidi w:val="0"/>
        <w:adjustRightInd w:val="0"/>
        <w:snapToGrid w:val="0"/>
        <w:spacing w:before="25" w:after="0" w:line="360" w:lineRule="auto"/>
        <w:ind w:right="360" w:firstLine="360" w:firstLineChars="150"/>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05E4B53">
      <w:pPr>
        <w:pageBreakBefore w:val="0"/>
        <w:tabs>
          <w:tab w:val="left" w:pos="5580"/>
        </w:tabs>
        <w:wordWrap w:val="0"/>
        <w:topLinePunct w:val="0"/>
        <w:bidi w:val="0"/>
        <w:spacing w:after="0" w:line="360" w:lineRule="auto"/>
        <w:ind w:firstLine="360" w:firstLineChars="15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4C7C9940">
      <w:pPr>
        <w:pageBreakBefore w:val="0"/>
        <w:widowControl/>
        <w:wordWrap w:val="0"/>
        <w:topLinePunct w:val="0"/>
        <w:bidi w:val="0"/>
        <w:spacing w:after="0" w:line="360" w:lineRule="auto"/>
        <w:jc w:val="left"/>
        <w:textAlignment w:val="auto"/>
        <w:rPr>
          <w:rFonts w:hint="eastAsia" w:ascii="宋体" w:hAnsi="宋体" w:cs="宋体"/>
          <w:b/>
          <w:color w:val="000000"/>
          <w:sz w:val="24"/>
          <w:szCs w:val="20"/>
          <w:highlight w:val="none"/>
        </w:rPr>
      </w:pPr>
    </w:p>
    <w:p w14:paraId="63100DE1">
      <w:pPr>
        <w:pageBreakBefore w:val="0"/>
        <w:widowControl/>
        <w:wordWrap w:val="0"/>
        <w:topLinePunct w:val="0"/>
        <w:bidi w:val="0"/>
        <w:spacing w:after="0" w:line="360" w:lineRule="auto"/>
        <w:jc w:val="left"/>
        <w:textAlignment w:val="auto"/>
        <w:rPr>
          <w:rFonts w:hint="eastAsia" w:ascii="宋体" w:hAnsi="宋体" w:cs="宋体"/>
          <w:color w:val="000000"/>
          <w:sz w:val="24"/>
          <w:highlight w:val="none"/>
        </w:rPr>
      </w:pPr>
      <w:bookmarkStart w:id="1275" w:name="_Hlt520355938"/>
      <w:bookmarkEnd w:id="1275"/>
      <w:bookmarkStart w:id="1276" w:name="_Hlt520356243"/>
      <w:bookmarkEnd w:id="1276"/>
      <w:bookmarkStart w:id="1277" w:name="_Toc226337253"/>
      <w:bookmarkStart w:id="1278" w:name="_Toc480942350"/>
      <w:bookmarkStart w:id="1279" w:name="_Toc265228395"/>
      <w:bookmarkStart w:id="1280" w:name="_Toc226309801"/>
      <w:bookmarkStart w:id="1281" w:name="_Toc127151557"/>
      <w:bookmarkStart w:id="1282" w:name="_Toc226965747"/>
      <w:bookmarkStart w:id="1283" w:name="_Ref467988705"/>
      <w:bookmarkStart w:id="1284" w:name="_Toc150480795"/>
      <w:bookmarkStart w:id="1285" w:name="_Toc226965830"/>
      <w:bookmarkStart w:id="1286" w:name="_Toc305158899"/>
      <w:bookmarkStart w:id="1287" w:name="_Toc150774762"/>
      <w:bookmarkStart w:id="1288" w:name="_Toc195842922"/>
      <w:bookmarkStart w:id="1289" w:name="_Toc264969247"/>
      <w:bookmarkStart w:id="1290" w:name="_Toc305158825"/>
      <w:bookmarkStart w:id="1291" w:name="_Toc142311059"/>
      <w:bookmarkStart w:id="1292" w:name="_Toc520356218"/>
    </w:p>
    <w:p w14:paraId="79F16493">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3CAC549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6 授权委托书（实质性格式）</w:t>
      </w:r>
    </w:p>
    <w:p w14:paraId="3A34E736">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授权委托书</w:t>
      </w:r>
    </w:p>
    <w:p w14:paraId="1A96E6B9">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本人</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（姓名）系</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（供应商名称）的法定代表人（单位负责人），现委托</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（姓名）为我方代理人。代理人根据授权，以我方名义签署、澄清确认、递交、撤回、修改</w:t>
      </w:r>
      <w:r>
        <w:rPr>
          <w:rFonts w:hint="eastAsia" w:ascii="宋体" w:hAnsi="宋体" w:cs="宋体"/>
          <w:sz w:val="24"/>
          <w:highlight w:val="none"/>
          <w:u w:val="single"/>
        </w:rPr>
        <w:t xml:space="preserve">    </w:t>
      </w:r>
      <w:r>
        <w:rPr>
          <w:rFonts w:hint="eastAsia" w:ascii="宋体" w:hAnsi="宋体" w:cs="宋体"/>
          <w:color w:val="000000"/>
          <w:sz w:val="24"/>
          <w:szCs w:val="20"/>
          <w:highlight w:val="none"/>
        </w:rPr>
        <w:t>（项目名称）响应文件和处理有关事宜，其法律后果由我方承担。</w:t>
      </w:r>
    </w:p>
    <w:p w14:paraId="2A1E1476">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委托期限：自本授权委托书签署之日起至响应有效期届满之日止。</w:t>
      </w:r>
    </w:p>
    <w:p w14:paraId="5F03B0C2">
      <w:pPr>
        <w:pageBreakBefore w:val="0"/>
        <w:wordWrap w:val="0"/>
        <w:topLinePunct w:val="0"/>
        <w:bidi w:val="0"/>
        <w:spacing w:after="0" w:line="360" w:lineRule="auto"/>
        <w:ind w:firstLine="42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代理人无转委托权。</w:t>
      </w:r>
      <w:r>
        <w:rPr>
          <w:rFonts w:hint="eastAsia" w:ascii="宋体" w:hAnsi="宋体" w:cs="宋体"/>
          <w:color w:val="000000"/>
          <w:sz w:val="24"/>
          <w:szCs w:val="20"/>
          <w:highlight w:val="none"/>
        </w:rPr>
        <w:cr/>
      </w:r>
    </w:p>
    <w:p w14:paraId="2BA0DDAA">
      <w:pPr>
        <w:pageBreakBefore w:val="0"/>
        <w:wordWrap w:val="0"/>
        <w:topLinePunct w:val="0"/>
        <w:bidi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55649EC5">
      <w:pPr>
        <w:pageBreakBefore w:val="0"/>
        <w:wordWrap w:val="0"/>
        <w:topLinePunct w:val="0"/>
        <w:bidi w:val="0"/>
        <w:spacing w:after="0" w:line="360" w:lineRule="auto"/>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法定代表人（单位负责人）（签字或签章）：</w:t>
      </w:r>
      <w:r>
        <w:rPr>
          <w:rFonts w:hint="eastAsia" w:ascii="宋体" w:hAnsi="宋体" w:cs="宋体"/>
          <w:sz w:val="24"/>
          <w:highlight w:val="none"/>
          <w:u w:val="single"/>
        </w:rPr>
        <w:t xml:space="preserve">          </w:t>
      </w:r>
    </w:p>
    <w:p w14:paraId="102BC782">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委托代理人（签字或</w:t>
      </w:r>
      <w:r>
        <w:rPr>
          <w:rFonts w:hint="eastAsia" w:ascii="宋体" w:hAnsi="宋体" w:cs="宋体"/>
          <w:color w:val="000000"/>
          <w:sz w:val="24"/>
          <w:szCs w:val="20"/>
          <w:highlight w:val="none"/>
        </w:rPr>
        <w:t>签章</w:t>
      </w:r>
      <w:r>
        <w:rPr>
          <w:rFonts w:hint="eastAsia" w:ascii="宋体" w:hAnsi="宋体" w:cs="宋体"/>
          <w:color w:val="000000"/>
          <w:sz w:val="24"/>
          <w:highlight w:val="none"/>
        </w:rPr>
        <w:t>）：</w:t>
      </w:r>
      <w:r>
        <w:rPr>
          <w:rFonts w:hint="eastAsia" w:ascii="宋体" w:hAnsi="宋体" w:cs="宋体"/>
          <w:sz w:val="24"/>
          <w:highlight w:val="none"/>
          <w:u w:val="single"/>
        </w:rPr>
        <w:t xml:space="preserve">          </w:t>
      </w:r>
      <w:r>
        <w:rPr>
          <w:rFonts w:hint="eastAsia" w:ascii="宋体" w:hAnsi="宋体" w:cs="宋体"/>
          <w:color w:val="000000"/>
          <w:sz w:val="24"/>
          <w:highlight w:val="none"/>
          <w:lang w:val="zh-CN"/>
        </w:rPr>
        <w:t xml:space="preserve">        </w:t>
      </w:r>
    </w:p>
    <w:p w14:paraId="7A9174D4">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393BE87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p>
    <w:p w14:paraId="4A521C62">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附：法定代表人（单位负责人）及委托代理人身份证明文件电子件：</w:t>
      </w:r>
    </w:p>
    <w:tbl>
      <w:tblPr>
        <w:tblStyle w:val="43"/>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0"/>
      </w:tblGrid>
      <w:tr w14:paraId="33D9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8820" w:type="dxa"/>
          </w:tcPr>
          <w:p w14:paraId="4B17BEC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68FFD18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391723EE">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47CA3827">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tc>
      </w:tr>
    </w:tbl>
    <w:p w14:paraId="294A95ED">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说明：</w:t>
      </w:r>
    </w:p>
    <w:p w14:paraId="2D666397">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1.若供应商为事业单位或其他组织或分支机构，则法定代表人（单位负责人）处的签署人可为单位负责人。</w:t>
      </w:r>
    </w:p>
    <w:p w14:paraId="4C075E10">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51B06D38">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3.供应商为自然人的情形，可不提供本《授权委托书》。</w:t>
      </w:r>
    </w:p>
    <w:p w14:paraId="785ADC46">
      <w:pPr>
        <w:pageBreakBefore w:val="0"/>
        <w:tabs>
          <w:tab w:val="left" w:pos="5580"/>
        </w:tabs>
        <w:wordWrap w:val="0"/>
        <w:topLinePunct w:val="0"/>
        <w:bidi w:val="0"/>
        <w:spacing w:after="0" w:line="360" w:lineRule="auto"/>
        <w:ind w:firstLine="42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4.供应商应随本《授权委托书》同时提供法定代表人（单位负责人）及委托代理人的有效的身份证或护照等身份证明文件电子件。提供身份证的，应同时提供身份证双面电子件。</w:t>
      </w:r>
    </w:p>
    <w:p w14:paraId="50C16EF4">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36"/>
          <w:szCs w:val="36"/>
          <w:highlight w:val="none"/>
        </w:rPr>
        <w:sectPr>
          <w:pgSz w:w="11905" w:h="16838"/>
          <w:pgMar w:top="1474" w:right="1474" w:bottom="1474" w:left="1474" w:header="850" w:footer="992" w:gutter="0"/>
          <w:pgNumType w:fmt="decimal"/>
          <w:cols w:space="0" w:num="1"/>
          <w:rtlGutter w:val="0"/>
          <w:docGrid w:linePitch="462" w:charSpace="0"/>
        </w:sectPr>
      </w:pPr>
    </w:p>
    <w:p w14:paraId="27CA547E">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法定代表人（单位负责人）身份证明</w:t>
      </w:r>
    </w:p>
    <w:p w14:paraId="1818350D">
      <w:pPr>
        <w:pageBreakBefore w:val="0"/>
        <w:kinsoku w:val="0"/>
        <w:wordWrap w:val="0"/>
        <w:overflowPunct w:val="0"/>
        <w:topLinePunct w:val="0"/>
        <w:bidi w:val="0"/>
        <w:spacing w:after="0" w:line="360" w:lineRule="auto"/>
        <w:textAlignment w:val="auto"/>
        <w:rPr>
          <w:rFonts w:hint="eastAsia" w:ascii="宋体" w:hAnsi="宋体" w:cs="宋体"/>
          <w:sz w:val="20"/>
          <w:szCs w:val="20"/>
          <w:highlight w:val="none"/>
        </w:rPr>
      </w:pPr>
    </w:p>
    <w:p w14:paraId="73B7EDF0">
      <w:pPr>
        <w:pageBreakBefore w:val="0"/>
        <w:tabs>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sz w:val="24"/>
          <w:highlight w:val="none"/>
          <w:u w:val="single"/>
        </w:rPr>
        <w:t xml:space="preserve">        </w:t>
      </w:r>
      <w:r>
        <w:rPr>
          <w:rFonts w:hint="eastAsia" w:ascii="宋体" w:hAnsi="宋体" w:cs="宋体"/>
          <w:color w:val="000000"/>
          <w:sz w:val="24"/>
          <w:highlight w:val="none"/>
        </w:rPr>
        <w:t>（采购人或采购代理机构）</w:t>
      </w:r>
    </w:p>
    <w:p w14:paraId="7230158F">
      <w:pPr>
        <w:pStyle w:val="18"/>
        <w:pageBreakBefore w:val="0"/>
        <w:tabs>
          <w:tab w:val="left" w:pos="2412"/>
          <w:tab w:val="left" w:pos="3883"/>
          <w:tab w:val="left" w:pos="5352"/>
          <w:tab w:val="left" w:pos="6821"/>
        </w:tabs>
        <w:kinsoku w:val="0"/>
        <w:wordWrap w:val="0"/>
        <w:overflowPunct w:val="0"/>
        <w:topLinePunct w:val="0"/>
        <w:bidi w:val="0"/>
        <w:spacing w:after="0" w:line="360" w:lineRule="auto"/>
        <w:ind w:firstLine="480" w:firstLineChars="200"/>
        <w:textAlignment w:val="auto"/>
        <w:rPr>
          <w:rFonts w:hint="eastAsia" w:cs="宋体"/>
          <w:highlight w:val="none"/>
        </w:rPr>
      </w:pPr>
      <w:r>
        <w:rPr>
          <w:rFonts w:hint="eastAsia" w:cs="宋体"/>
          <w:highlight w:val="none"/>
        </w:rPr>
        <w:t>兹证明，</w:t>
      </w:r>
    </w:p>
    <w:p w14:paraId="39B7F514">
      <w:pPr>
        <w:pStyle w:val="18"/>
        <w:pageBreakBefore w:val="0"/>
        <w:tabs>
          <w:tab w:val="left" w:pos="1690"/>
          <w:tab w:val="left" w:pos="3400"/>
          <w:tab w:val="left" w:pos="5110"/>
          <w:tab w:val="left" w:pos="6821"/>
        </w:tabs>
        <w:kinsoku w:val="0"/>
        <w:wordWrap w:val="0"/>
        <w:overflowPunct w:val="0"/>
        <w:topLinePunct w:val="0"/>
        <w:bidi w:val="0"/>
        <w:spacing w:after="0" w:line="360" w:lineRule="auto"/>
        <w:textAlignment w:val="auto"/>
        <w:rPr>
          <w:rFonts w:hint="eastAsia" w:cs="宋体"/>
          <w:highlight w:val="none"/>
        </w:rPr>
      </w:pPr>
      <w:r>
        <w:rPr>
          <w:rFonts w:hint="eastAsia" w:cs="宋体"/>
          <w:highlight w:val="none"/>
        </w:rPr>
        <w:t>姓名：</w:t>
      </w:r>
      <w:r>
        <w:rPr>
          <w:rFonts w:hint="eastAsia" w:cs="宋体"/>
          <w:highlight w:val="none"/>
          <w:u w:val="single"/>
        </w:rPr>
        <w:t xml:space="preserve">        </w:t>
      </w:r>
      <w:r>
        <w:rPr>
          <w:rFonts w:hint="eastAsia" w:cs="宋体"/>
          <w:highlight w:val="none"/>
        </w:rPr>
        <w:t>性别：</w:t>
      </w:r>
      <w:r>
        <w:rPr>
          <w:rFonts w:hint="eastAsia" w:cs="宋体"/>
          <w:highlight w:val="none"/>
          <w:u w:val="single"/>
        </w:rPr>
        <w:t xml:space="preserve">        </w:t>
      </w:r>
      <w:r>
        <w:rPr>
          <w:rFonts w:hint="eastAsia" w:cs="宋体"/>
          <w:highlight w:val="none"/>
        </w:rPr>
        <w:t>年龄：</w:t>
      </w:r>
      <w:r>
        <w:rPr>
          <w:rFonts w:hint="eastAsia" w:cs="宋体"/>
          <w:highlight w:val="none"/>
          <w:u w:val="single"/>
        </w:rPr>
        <w:t xml:space="preserve">        </w:t>
      </w:r>
      <w:r>
        <w:rPr>
          <w:rFonts w:hint="eastAsia" w:cs="宋体"/>
          <w:highlight w:val="none"/>
        </w:rPr>
        <w:t>职务：</w:t>
      </w:r>
      <w:r>
        <w:rPr>
          <w:rFonts w:hint="eastAsia" w:cs="宋体"/>
          <w:highlight w:val="none"/>
          <w:u w:val="single"/>
        </w:rPr>
        <w:t xml:space="preserve">        </w:t>
      </w:r>
    </w:p>
    <w:p w14:paraId="6141C9EB">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33EC2B6A">
      <w:pPr>
        <w:pStyle w:val="18"/>
        <w:pageBreakBefore w:val="0"/>
        <w:tabs>
          <w:tab w:val="left" w:pos="2250"/>
          <w:tab w:val="left" w:pos="2412"/>
          <w:tab w:val="left" w:pos="3883"/>
          <w:tab w:val="left" w:pos="5352"/>
          <w:tab w:val="left" w:pos="6821"/>
          <w:tab w:val="clear" w:pos="567"/>
        </w:tabs>
        <w:kinsoku w:val="0"/>
        <w:wordWrap w:val="0"/>
        <w:overflowPunct w:val="0"/>
        <w:topLinePunct w:val="0"/>
        <w:bidi w:val="0"/>
        <w:spacing w:after="0" w:line="360" w:lineRule="auto"/>
        <w:textAlignment w:val="auto"/>
        <w:rPr>
          <w:rFonts w:hint="eastAsia" w:cs="宋体"/>
          <w:highlight w:val="none"/>
        </w:rPr>
      </w:pPr>
      <w:r>
        <w:rPr>
          <w:rFonts w:hint="eastAsia" w:cs="宋体"/>
          <w:highlight w:val="none"/>
        </w:rPr>
        <w:t>系</w:t>
      </w:r>
      <w:r>
        <w:rPr>
          <w:rFonts w:hint="eastAsia" w:cs="宋体"/>
          <w:highlight w:val="none"/>
          <w:u w:val="single"/>
        </w:rPr>
        <w:t xml:space="preserve">                </w:t>
      </w:r>
      <w:r>
        <w:rPr>
          <w:rFonts w:hint="eastAsia" w:cs="宋体"/>
          <w:highlight w:val="none"/>
        </w:rPr>
        <w:t>（供应商名称）的法定代表人（单位负责人）。</w:t>
      </w:r>
    </w:p>
    <w:p w14:paraId="064A62B2">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6EB8EA54">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4702840A">
      <w:pPr>
        <w:pStyle w:val="18"/>
        <w:pageBreakBefore w:val="0"/>
        <w:tabs>
          <w:tab w:val="left" w:pos="2412"/>
          <w:tab w:val="left" w:pos="3883"/>
          <w:tab w:val="left" w:pos="5352"/>
          <w:tab w:val="left" w:pos="6821"/>
        </w:tabs>
        <w:kinsoku w:val="0"/>
        <w:wordWrap w:val="0"/>
        <w:overflowPunct w:val="0"/>
        <w:topLinePunct w:val="0"/>
        <w:bidi w:val="0"/>
        <w:spacing w:after="0" w:line="360" w:lineRule="auto"/>
        <w:textAlignment w:val="auto"/>
        <w:rPr>
          <w:rFonts w:hint="eastAsia" w:cs="宋体"/>
          <w:highlight w:val="none"/>
        </w:rPr>
      </w:pPr>
    </w:p>
    <w:p w14:paraId="46904049">
      <w:pPr>
        <w:pStyle w:val="18"/>
        <w:pageBreakBefore w:val="0"/>
        <w:kinsoku w:val="0"/>
        <w:wordWrap w:val="0"/>
        <w:overflowPunct w:val="0"/>
        <w:topLinePunct w:val="0"/>
        <w:bidi w:val="0"/>
        <w:spacing w:after="0" w:line="360" w:lineRule="auto"/>
        <w:ind w:right="-46"/>
        <w:textAlignment w:val="auto"/>
        <w:rPr>
          <w:rFonts w:hint="eastAsia" w:cs="宋体"/>
          <w:spacing w:val="-3"/>
          <w:highlight w:val="none"/>
        </w:rPr>
      </w:pPr>
      <w:r>
        <w:rPr>
          <w:rFonts w:hint="eastAsia" w:cs="宋体"/>
          <w:spacing w:val="-3"/>
          <w:highlight w:val="none"/>
        </w:rPr>
        <w:t>附：法定代表人（单位负责人）身份证或护照等身份证明文件电子件：</w:t>
      </w:r>
    </w:p>
    <w:tbl>
      <w:tblPr>
        <w:tblStyle w:val="43"/>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0"/>
      </w:tblGrid>
      <w:tr w14:paraId="35C9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trPr>
        <w:tc>
          <w:tcPr>
            <w:tcW w:w="8520" w:type="dxa"/>
          </w:tcPr>
          <w:p w14:paraId="26FF0364">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p w14:paraId="2031E920">
            <w:pPr>
              <w:pageBreakBefore w:val="0"/>
              <w:tabs>
                <w:tab w:val="left" w:pos="5580"/>
              </w:tabs>
              <w:wordWrap w:val="0"/>
              <w:topLinePunct w:val="0"/>
              <w:bidi w:val="0"/>
              <w:spacing w:after="0" w:line="360" w:lineRule="auto"/>
              <w:jc w:val="left"/>
              <w:textAlignment w:val="auto"/>
              <w:rPr>
                <w:rFonts w:hint="eastAsia" w:ascii="宋体" w:hAnsi="宋体" w:cs="宋体"/>
                <w:color w:val="000000"/>
                <w:sz w:val="24"/>
                <w:szCs w:val="20"/>
                <w:highlight w:val="none"/>
              </w:rPr>
            </w:pPr>
          </w:p>
        </w:tc>
      </w:tr>
    </w:tbl>
    <w:p w14:paraId="005B2C8B">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44C88A7E">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5C75CDE1">
      <w:pPr>
        <w:pStyle w:val="18"/>
        <w:pageBreakBefore w:val="0"/>
        <w:kinsoku w:val="0"/>
        <w:wordWrap w:val="0"/>
        <w:overflowPunct w:val="0"/>
        <w:topLinePunct w:val="0"/>
        <w:bidi w:val="0"/>
        <w:spacing w:after="0" w:line="360" w:lineRule="auto"/>
        <w:ind w:right="4305"/>
        <w:textAlignment w:val="auto"/>
        <w:rPr>
          <w:rFonts w:hint="eastAsia" w:cs="宋体"/>
          <w:spacing w:val="-3"/>
          <w:highlight w:val="none"/>
        </w:rPr>
      </w:pPr>
    </w:p>
    <w:p w14:paraId="2E680B41">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68848045">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spacing w:val="-3"/>
          <w:sz w:val="24"/>
          <w:highlight w:val="none"/>
        </w:rPr>
        <w:t>法定代表人（</w:t>
      </w:r>
      <w:r>
        <w:rPr>
          <w:rFonts w:hint="eastAsia" w:ascii="宋体" w:hAnsi="宋体" w:cs="宋体"/>
          <w:sz w:val="24"/>
          <w:highlight w:val="none"/>
        </w:rPr>
        <w:t>单位负责人</w:t>
      </w:r>
      <w:r>
        <w:rPr>
          <w:rFonts w:hint="eastAsia" w:ascii="宋体" w:hAnsi="宋体" w:cs="宋体"/>
          <w:spacing w:val="-3"/>
          <w:sz w:val="24"/>
          <w:highlight w:val="none"/>
        </w:rPr>
        <w:t>）（签字或</w:t>
      </w:r>
      <w:r>
        <w:rPr>
          <w:rFonts w:hint="eastAsia" w:ascii="宋体" w:hAnsi="宋体" w:cs="宋体"/>
          <w:color w:val="000000"/>
          <w:sz w:val="24"/>
          <w:szCs w:val="20"/>
          <w:highlight w:val="none"/>
        </w:rPr>
        <w:t>签章</w:t>
      </w:r>
      <w:r>
        <w:rPr>
          <w:rFonts w:hint="eastAsia" w:ascii="宋体" w:hAnsi="宋体" w:cs="宋体"/>
          <w:spacing w:val="-3"/>
          <w:sz w:val="24"/>
          <w:highlight w:val="none"/>
        </w:rPr>
        <w:t>）：</w:t>
      </w:r>
      <w:r>
        <w:rPr>
          <w:rFonts w:hint="eastAsia" w:ascii="宋体" w:hAnsi="宋体" w:cs="宋体"/>
          <w:color w:val="000000"/>
          <w:sz w:val="24"/>
          <w:highlight w:val="none"/>
          <w:u w:val="single"/>
          <w:lang w:val="zh-CN"/>
        </w:rPr>
        <w:t xml:space="preserve">           </w:t>
      </w:r>
    </w:p>
    <w:p w14:paraId="3E39D818">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4C23E251">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u w:val="single"/>
        </w:rPr>
      </w:pPr>
    </w:p>
    <w:p w14:paraId="17AE0FDA">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0BA2CA2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7F331216">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7 报价一览表</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6549CBDA">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bookmarkStart w:id="1293" w:name="_Toc265228396"/>
      <w:bookmarkStart w:id="1294" w:name="_Toc164608672"/>
      <w:bookmarkStart w:id="1295" w:name="_Toc264969248"/>
      <w:bookmarkStart w:id="1296" w:name="_Toc305158900"/>
      <w:bookmarkStart w:id="1297" w:name="_Toc226965831"/>
      <w:bookmarkStart w:id="1298" w:name="_Toc164608827"/>
      <w:bookmarkStart w:id="1299" w:name="_Toc226309802"/>
      <w:bookmarkStart w:id="1300" w:name="_Toc195842923"/>
      <w:bookmarkStart w:id="1301" w:name="_Toc226965748"/>
      <w:bookmarkStart w:id="1302" w:name="_Toc305158826"/>
      <w:bookmarkStart w:id="1303" w:name="_Toc226337254"/>
      <w:r>
        <w:rPr>
          <w:rFonts w:hint="eastAsia" w:ascii="宋体" w:hAnsi="宋体" w:cs="宋体"/>
          <w:b/>
          <w:color w:val="000000"/>
          <w:sz w:val="28"/>
          <w:szCs w:val="28"/>
          <w:highlight w:val="none"/>
        </w:rPr>
        <w:t>报价一览表</w:t>
      </w:r>
      <w:bookmarkEnd w:id="1293"/>
      <w:bookmarkEnd w:id="1294"/>
      <w:bookmarkEnd w:id="1295"/>
      <w:bookmarkEnd w:id="1296"/>
      <w:bookmarkEnd w:id="1297"/>
      <w:bookmarkEnd w:id="1298"/>
      <w:bookmarkEnd w:id="1299"/>
      <w:bookmarkEnd w:id="1300"/>
      <w:bookmarkEnd w:id="1301"/>
      <w:bookmarkEnd w:id="1302"/>
      <w:bookmarkEnd w:id="1303"/>
    </w:p>
    <w:p w14:paraId="5B1E5FC2">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374C6F17">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A4EA87D">
      <w:pPr>
        <w:pageBreakBefore w:val="0"/>
        <w:tabs>
          <w:tab w:val="left" w:pos="1800"/>
          <w:tab w:val="left" w:pos="5580"/>
        </w:tabs>
        <w:wordWrap w:val="0"/>
        <w:topLinePunct w:val="0"/>
        <w:bidi w:val="0"/>
        <w:spacing w:after="0" w:line="360" w:lineRule="auto"/>
        <w:ind w:firstLine="240" w:firstLineChars="100"/>
        <w:jc w:val="left"/>
        <w:textAlignment w:val="auto"/>
        <w:rPr>
          <w:rFonts w:hint="eastAsia" w:ascii="宋体" w:hAnsi="宋体" w:cs="宋体"/>
          <w:color w:val="000000"/>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0"/>
        <w:gridCol w:w="3164"/>
        <w:gridCol w:w="2000"/>
        <w:gridCol w:w="2105"/>
      </w:tblGrid>
      <w:tr w14:paraId="11B9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6A282CE">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380BF93">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D4240B9">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报价（元）</w:t>
            </w:r>
          </w:p>
        </w:tc>
      </w:tr>
      <w:tr w14:paraId="2224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9276B2">
            <w:pPr>
              <w:pageBreakBefore w:val="0"/>
              <w:widowControl/>
              <w:wordWrap w:val="0"/>
              <w:topLinePunct w:val="0"/>
              <w:bidi w:val="0"/>
              <w:spacing w:after="0" w:line="360" w:lineRule="auto"/>
              <w:jc w:val="left"/>
              <w:textAlignment w:val="auto"/>
              <w:rPr>
                <w:rFonts w:hint="eastAsia" w:ascii="宋体" w:hAnsi="宋体" w:cs="宋体"/>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E04748">
            <w:pPr>
              <w:pageBreakBefore w:val="0"/>
              <w:widowControl/>
              <w:wordWrap w:val="0"/>
              <w:topLinePunct w:val="0"/>
              <w:bidi w:val="0"/>
              <w:spacing w:after="0" w:line="360" w:lineRule="auto"/>
              <w:jc w:val="left"/>
              <w:textAlignment w:val="auto"/>
              <w:rPr>
                <w:rFonts w:hint="eastAsia" w:ascii="宋体" w:hAnsi="宋体" w:cs="宋体"/>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6C1B6CF8">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733061CC">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小写</w:t>
            </w:r>
          </w:p>
        </w:tc>
      </w:tr>
      <w:tr w14:paraId="46E0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891090C">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6F1518A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760A6DA">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71EDB25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r>
    </w:tbl>
    <w:p w14:paraId="2F278BC3">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kern w:val="0"/>
          <w:sz w:val="24"/>
          <w:highlight w:val="none"/>
        </w:rPr>
      </w:pPr>
    </w:p>
    <w:p w14:paraId="1B298A1D">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kern w:val="0"/>
          <w:sz w:val="24"/>
          <w:highlight w:val="none"/>
        </w:rPr>
        <w:t>注：1</w:t>
      </w:r>
      <w:r>
        <w:rPr>
          <w:rFonts w:hint="eastAsia" w:ascii="宋体" w:hAnsi="宋体" w:cs="宋体"/>
          <w:color w:val="000000"/>
          <w:sz w:val="24"/>
          <w:szCs w:val="20"/>
          <w:highlight w:val="none"/>
        </w:rPr>
        <w:t>.此表中，每包的报价应和《分项报价表》中的总价相一致。</w:t>
      </w:r>
    </w:p>
    <w:p w14:paraId="23A43EF2">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2.本表必须按包分别填写。</w:t>
      </w:r>
    </w:p>
    <w:p w14:paraId="6F0F9D8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p>
    <w:p w14:paraId="451B5F85">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462C478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2BC2156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4FBC3C87">
      <w:pPr>
        <w:pageBreakBefore w:val="0"/>
        <w:wordWrap w:val="0"/>
        <w:topLinePunct w:val="0"/>
        <w:autoSpaceDE w:val="0"/>
        <w:autoSpaceDN w:val="0"/>
        <w:bidi w:val="0"/>
        <w:adjustRightInd w:val="0"/>
        <w:snapToGrid w:val="0"/>
        <w:spacing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036AE9A7">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 xml:space="preserve">  </w:t>
      </w:r>
    </w:p>
    <w:p w14:paraId="379260A5">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bookmarkStart w:id="1304" w:name="_Toc305158901"/>
      <w:bookmarkStart w:id="1305" w:name="_Toc127151558"/>
      <w:bookmarkStart w:id="1306" w:name="_Toc226309803"/>
      <w:bookmarkStart w:id="1307" w:name="_Toc150480796"/>
      <w:bookmarkStart w:id="1308" w:name="_Toc195842924"/>
      <w:bookmarkStart w:id="1309" w:name="_Toc226965832"/>
      <w:bookmarkStart w:id="1310" w:name="_Toc305158827"/>
      <w:bookmarkStart w:id="1311" w:name="_Toc142311060"/>
      <w:bookmarkStart w:id="1312" w:name="_Toc226337255"/>
      <w:bookmarkStart w:id="1313" w:name="_Toc265228397"/>
      <w:bookmarkStart w:id="1314" w:name="_Toc150774763"/>
      <w:bookmarkStart w:id="1315" w:name="_Toc264969249"/>
      <w:bookmarkStart w:id="1316" w:name="_Toc226965749"/>
    </w:p>
    <w:p w14:paraId="05925D88">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5B1AD7BD">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8 分项报价表</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14:paraId="2FD34361">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分项报价表</w:t>
      </w:r>
    </w:p>
    <w:p w14:paraId="56CCB249">
      <w:pPr>
        <w:pageBreakBefore w:val="0"/>
        <w:wordWrap w:val="0"/>
        <w:topLinePunct w:val="0"/>
        <w:bidi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分项报价表(清单计价表格)</w:t>
      </w:r>
    </w:p>
    <w:p w14:paraId="05E0706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0E4465F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7107E8E6">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1.本表应按包分别填写。</w:t>
      </w:r>
    </w:p>
    <w:p w14:paraId="577EC6A6">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2.如果不提供分项报价将视为没有实质性响应磋商文件。</w:t>
      </w:r>
    </w:p>
    <w:p w14:paraId="3597BB54">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18FA4402">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540FC6E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bookmarkStart w:id="1317" w:name="_Toc305158904"/>
      <w:bookmarkStart w:id="1318" w:name="_Toc264969252"/>
      <w:bookmarkStart w:id="1319" w:name="_Toc142311062"/>
      <w:bookmarkStart w:id="1320" w:name="_Toc127151562"/>
      <w:bookmarkStart w:id="1321" w:name="_Toc195842927"/>
      <w:bookmarkStart w:id="1322" w:name="_Toc226309806"/>
      <w:bookmarkStart w:id="1323" w:name="_Toc226965752"/>
      <w:bookmarkStart w:id="1324" w:name="_Toc150480798"/>
      <w:bookmarkStart w:id="1325" w:name="_Toc265228400"/>
      <w:bookmarkStart w:id="1326" w:name="_Toc226965835"/>
      <w:bookmarkStart w:id="1327" w:name="_Toc305158830"/>
      <w:bookmarkStart w:id="1328" w:name="_Toc150774765"/>
      <w:bookmarkStart w:id="1329" w:name="_Toc226337258"/>
      <w:bookmarkStart w:id="1330" w:name="_Toc305158903"/>
      <w:bookmarkStart w:id="1331" w:name="_Toc226965834"/>
      <w:bookmarkStart w:id="1332" w:name="_Toc150774764"/>
      <w:bookmarkStart w:id="1333" w:name="_Toc265228399"/>
      <w:bookmarkStart w:id="1334" w:name="_Toc142311061"/>
      <w:bookmarkStart w:id="1335" w:name="_Toc195842926"/>
      <w:bookmarkStart w:id="1336" w:name="_Toc127151561"/>
      <w:bookmarkStart w:id="1337" w:name="_Toc226309805"/>
      <w:bookmarkStart w:id="1338" w:name="_Toc305158829"/>
      <w:bookmarkStart w:id="1339" w:name="_Toc150480797"/>
      <w:bookmarkStart w:id="1340" w:name="_Toc226965751"/>
      <w:bookmarkStart w:id="1341" w:name="_Toc264969251"/>
      <w:bookmarkStart w:id="1342" w:name="_Toc226337257"/>
    </w:p>
    <w:p w14:paraId="7C4FA03A">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9 合同条款偏离表</w:t>
      </w:r>
      <w:bookmarkEnd w:id="1317"/>
      <w:bookmarkEnd w:id="1318"/>
      <w:bookmarkEnd w:id="1319"/>
      <w:bookmarkEnd w:id="1320"/>
      <w:bookmarkEnd w:id="1321"/>
      <w:bookmarkEnd w:id="1322"/>
      <w:bookmarkEnd w:id="1323"/>
      <w:bookmarkEnd w:id="1324"/>
      <w:bookmarkEnd w:id="1325"/>
      <w:bookmarkEnd w:id="1326"/>
      <w:bookmarkEnd w:id="1327"/>
      <w:bookmarkEnd w:id="1328"/>
      <w:bookmarkEnd w:id="1329"/>
      <w:r>
        <w:rPr>
          <w:rFonts w:hint="eastAsia" w:ascii="宋体" w:hAnsi="宋体" w:cs="宋体"/>
          <w:sz w:val="24"/>
          <w:highlight w:val="none"/>
        </w:rPr>
        <w:t>（实质性格式）</w:t>
      </w:r>
    </w:p>
    <w:p w14:paraId="15C2D65F">
      <w:pPr>
        <w:pageBreakBefore w:val="0"/>
        <w:tabs>
          <w:tab w:val="left" w:pos="2775"/>
          <w:tab w:val="center" w:pos="4153"/>
        </w:tabs>
        <w:wordWrap w:val="0"/>
        <w:topLinePunct w:val="0"/>
        <w:autoSpaceDE w:val="0"/>
        <w:autoSpaceDN w:val="0"/>
        <w:bidi w:val="0"/>
        <w:adjustRightInd w:val="0"/>
        <w:spacing w:after="0" w:line="360" w:lineRule="auto"/>
        <w:jc w:val="left"/>
        <w:textAlignment w:val="auto"/>
        <w:rPr>
          <w:rFonts w:hint="eastAsia" w:ascii="宋体" w:hAnsi="宋体" w:cs="宋体"/>
          <w:b/>
          <w:color w:val="000000"/>
          <w:sz w:val="28"/>
          <w:szCs w:val="28"/>
          <w:highlight w:val="none"/>
        </w:rPr>
      </w:pPr>
      <w:r>
        <w:rPr>
          <w:rFonts w:hint="eastAsia" w:ascii="宋体" w:hAnsi="宋体" w:cs="宋体"/>
          <w:color w:val="000000"/>
          <w:sz w:val="28"/>
          <w:szCs w:val="28"/>
          <w:highlight w:val="none"/>
        </w:rPr>
        <w:tab/>
      </w:r>
      <w:r>
        <w:rPr>
          <w:rFonts w:hint="eastAsia" w:ascii="宋体" w:hAnsi="宋体" w:cs="宋体"/>
          <w:b/>
          <w:color w:val="000000"/>
          <w:sz w:val="28"/>
          <w:szCs w:val="28"/>
          <w:highlight w:val="none"/>
        </w:rPr>
        <w:tab/>
      </w:r>
      <w:r>
        <w:rPr>
          <w:rFonts w:hint="eastAsia" w:ascii="宋体" w:hAnsi="宋体" w:cs="宋体"/>
          <w:b/>
          <w:color w:val="000000"/>
          <w:sz w:val="28"/>
          <w:szCs w:val="28"/>
          <w:highlight w:val="none"/>
        </w:rPr>
        <w:t>合同条款偏离表</w:t>
      </w:r>
    </w:p>
    <w:p w14:paraId="6EA6B361">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0C3C8B46">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498"/>
        <w:gridCol w:w="1732"/>
        <w:gridCol w:w="1952"/>
        <w:gridCol w:w="2394"/>
        <w:gridCol w:w="777"/>
      </w:tblGrid>
      <w:tr w14:paraId="255F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9B7B9C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98" w:type="dxa"/>
            <w:vAlign w:val="center"/>
          </w:tcPr>
          <w:p w14:paraId="685F97E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szCs w:val="21"/>
                <w:highlight w:val="none"/>
              </w:rPr>
              <w:t>竞争性磋商文件</w:t>
            </w:r>
            <w:r>
              <w:rPr>
                <w:rFonts w:hint="eastAsia" w:ascii="宋体" w:hAnsi="宋体" w:cs="宋体"/>
                <w:color w:val="000000"/>
                <w:sz w:val="24"/>
                <w:highlight w:val="none"/>
              </w:rPr>
              <w:t>条目号（页码）</w:t>
            </w:r>
          </w:p>
        </w:tc>
        <w:tc>
          <w:tcPr>
            <w:tcW w:w="1732" w:type="dxa"/>
            <w:vAlign w:val="center"/>
          </w:tcPr>
          <w:p w14:paraId="36528B9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szCs w:val="21"/>
                <w:highlight w:val="none"/>
              </w:rPr>
            </w:pPr>
            <w:r>
              <w:rPr>
                <w:rFonts w:hint="eastAsia" w:ascii="宋体" w:hAnsi="宋体" w:cs="宋体"/>
                <w:color w:val="000000"/>
                <w:sz w:val="24"/>
                <w:szCs w:val="21"/>
                <w:highlight w:val="none"/>
              </w:rPr>
              <w:t>竞争性磋商</w:t>
            </w:r>
          </w:p>
          <w:p w14:paraId="17C245E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szCs w:val="21"/>
                <w:highlight w:val="none"/>
              </w:rPr>
              <w:t>文件</w:t>
            </w:r>
            <w:r>
              <w:rPr>
                <w:rFonts w:hint="eastAsia" w:ascii="宋体" w:hAnsi="宋体" w:cs="宋体"/>
                <w:color w:val="000000"/>
                <w:sz w:val="24"/>
                <w:highlight w:val="none"/>
              </w:rPr>
              <w:t>要求</w:t>
            </w:r>
          </w:p>
        </w:tc>
        <w:tc>
          <w:tcPr>
            <w:tcW w:w="1952" w:type="dxa"/>
            <w:vAlign w:val="center"/>
          </w:tcPr>
          <w:p w14:paraId="13004FD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响应文件内容</w:t>
            </w:r>
          </w:p>
        </w:tc>
        <w:tc>
          <w:tcPr>
            <w:tcW w:w="2394" w:type="dxa"/>
            <w:vAlign w:val="center"/>
          </w:tcPr>
          <w:p w14:paraId="0E02AE70">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777" w:type="dxa"/>
            <w:vAlign w:val="center"/>
          </w:tcPr>
          <w:p w14:paraId="17EACA4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2FA5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73" w:type="dxa"/>
            <w:gridSpan w:val="6"/>
            <w:vAlign w:val="center"/>
          </w:tcPr>
          <w:p w14:paraId="568AA2A5">
            <w:pPr>
              <w:pageBreakBefore w:val="0"/>
              <w:wordWrap w:val="0"/>
              <w:topLinePunct w:val="0"/>
              <w:bidi w:val="0"/>
              <w:adjustRightInd w:val="0"/>
              <w:snapToGrid w:val="0"/>
              <w:spacing w:after="0" w:line="360" w:lineRule="auto"/>
              <w:jc w:val="left"/>
              <w:textAlignment w:val="auto"/>
              <w:rPr>
                <w:rFonts w:hint="eastAsia" w:ascii="宋体" w:hAnsi="宋体" w:cs="宋体"/>
                <w:b/>
                <w:color w:val="000000"/>
                <w:sz w:val="24"/>
                <w:highlight w:val="none"/>
              </w:rPr>
            </w:pPr>
            <w:r>
              <w:rPr>
                <w:rFonts w:hint="eastAsia" w:ascii="宋体" w:hAnsi="宋体" w:cs="宋体"/>
                <w:b/>
                <w:color w:val="000000"/>
                <w:sz w:val="24"/>
                <w:highlight w:val="none"/>
              </w:rPr>
              <w:t>对本项目合同条款的偏离情况（应进行选择，未选择响应无效）：</w:t>
            </w:r>
          </w:p>
          <w:p w14:paraId="1F8E67B7">
            <w:pPr>
              <w:pageBreakBefore w:val="0"/>
              <w:wordWrap w:val="0"/>
              <w:topLinePunct w:val="0"/>
              <w:bidi w:val="0"/>
              <w:adjustRightInd w:val="0"/>
              <w:snapToGrid w:val="0"/>
              <w:spacing w:after="0" w:line="360" w:lineRule="auto"/>
              <w:jc w:val="left"/>
              <w:textAlignment w:val="auto"/>
              <w:rPr>
                <w:rFonts w:hint="eastAsia" w:ascii="宋体" w:hAnsi="宋体" w:cs="宋体"/>
                <w:b/>
                <w:color w:val="000000"/>
                <w:sz w:val="24"/>
                <w:highlight w:val="none"/>
              </w:rPr>
            </w:pPr>
            <w:r>
              <w:rPr>
                <w:rFonts w:hint="eastAsia" w:ascii="宋体" w:hAnsi="宋体" w:cs="宋体"/>
                <w:b/>
                <w:color w:val="000000"/>
                <w:sz w:val="24"/>
                <w:highlight w:val="none"/>
              </w:rPr>
              <w:t>□无偏离</w:t>
            </w:r>
            <w:r>
              <w:rPr>
                <w:rFonts w:hint="eastAsia" w:ascii="宋体" w:hAnsi="宋体" w:cs="宋体"/>
                <w:color w:val="000000"/>
                <w:sz w:val="24"/>
                <w:highlight w:val="none"/>
              </w:rPr>
              <w:t>（如无偏离，仅选择无偏离即可；无偏离即为对合同条款中的所有要求，均视作供应商已对之理解和响应。）</w:t>
            </w:r>
          </w:p>
          <w:p w14:paraId="352D8DCE">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r>
              <w:rPr>
                <w:rFonts w:hint="eastAsia" w:ascii="宋体" w:hAnsi="宋体" w:cs="宋体"/>
                <w:b/>
                <w:color w:val="000000"/>
                <w:sz w:val="24"/>
                <w:highlight w:val="none"/>
              </w:rPr>
              <w:t>□有偏离</w:t>
            </w:r>
            <w:r>
              <w:rPr>
                <w:rFonts w:hint="eastAsia" w:ascii="宋体" w:hAnsi="宋体" w:cs="宋体"/>
                <w:color w:val="000000"/>
                <w:sz w:val="24"/>
                <w:highlight w:val="none"/>
              </w:rPr>
              <w:t>（如有偏离，则应在本表中对负偏离项逐一列明，否则响应无效；对合同条款中的所有要求，除本表列明的偏离外，均视作供应商已对之理解和响应。）</w:t>
            </w:r>
          </w:p>
        </w:tc>
      </w:tr>
      <w:tr w14:paraId="6831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A6C401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75E3421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2A6B4BB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7145745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108D0FE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0EA8437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1CD1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4664D7B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25B5517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380319F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6A0833D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57B94C1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7AA8124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49E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3BE6D85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2207418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0B6A88E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1113C99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3F2A338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51076AF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7438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0" w:type="dxa"/>
            <w:vAlign w:val="center"/>
          </w:tcPr>
          <w:p w14:paraId="00E5B0B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98" w:type="dxa"/>
            <w:vAlign w:val="center"/>
          </w:tcPr>
          <w:p w14:paraId="06B9429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732" w:type="dxa"/>
            <w:vAlign w:val="center"/>
          </w:tcPr>
          <w:p w14:paraId="0C3D244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952" w:type="dxa"/>
            <w:vAlign w:val="center"/>
          </w:tcPr>
          <w:p w14:paraId="20A49ED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94" w:type="dxa"/>
            <w:vAlign w:val="center"/>
          </w:tcPr>
          <w:p w14:paraId="666DF89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777" w:type="dxa"/>
            <w:vAlign w:val="center"/>
          </w:tcPr>
          <w:p w14:paraId="23E71C6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bl>
    <w:p w14:paraId="3363A2A9">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10640AAF">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sz w:val="24"/>
          <w:highlight w:val="none"/>
        </w:rPr>
        <w:t>“偏离情况”列应据实填写“正偏离”或“负偏离”。</w:t>
      </w:r>
    </w:p>
    <w:p w14:paraId="68FA9484">
      <w:pPr>
        <w:pageBreakBefore w:val="0"/>
        <w:wordWrap w:val="0"/>
        <w:topLinePunct w:val="0"/>
        <w:bidi w:val="0"/>
        <w:spacing w:after="0" w:line="360" w:lineRule="auto"/>
        <w:textAlignment w:val="auto"/>
        <w:rPr>
          <w:rFonts w:hint="eastAsia" w:ascii="宋体" w:hAnsi="宋体" w:cs="宋体"/>
          <w:color w:val="000000"/>
          <w:sz w:val="24"/>
          <w:szCs w:val="20"/>
          <w:highlight w:val="none"/>
        </w:rPr>
      </w:pPr>
    </w:p>
    <w:p w14:paraId="70208DF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2BF2A91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174E0DCF">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28747CFE">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 xml:space="preserve">10 </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r>
        <w:rPr>
          <w:rFonts w:hint="eastAsia" w:ascii="宋体" w:hAnsi="宋体" w:cs="宋体"/>
          <w:sz w:val="24"/>
          <w:highlight w:val="none"/>
        </w:rPr>
        <w:t>采购需求偏离表（实质性格式）</w:t>
      </w:r>
    </w:p>
    <w:p w14:paraId="17EBD7FE">
      <w:pPr>
        <w:pageBreakBefore w:val="0"/>
        <w:wordWrap w:val="0"/>
        <w:topLinePunct w:val="0"/>
        <w:autoSpaceDE w:val="0"/>
        <w:autoSpaceDN w:val="0"/>
        <w:bidi w:val="0"/>
        <w:adjustRightInd w:val="0"/>
        <w:spacing w:after="0" w:line="360" w:lineRule="auto"/>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采购需求偏离表</w:t>
      </w:r>
    </w:p>
    <w:p w14:paraId="4DC9FC32">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58DCEA98">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554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E20C0A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1482" w:type="dxa"/>
            <w:vAlign w:val="center"/>
          </w:tcPr>
          <w:p w14:paraId="398BB50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竞争性磋商文件条目号(页码)</w:t>
            </w:r>
          </w:p>
        </w:tc>
        <w:tc>
          <w:tcPr>
            <w:tcW w:w="2384" w:type="dxa"/>
            <w:vAlign w:val="center"/>
          </w:tcPr>
          <w:p w14:paraId="3FAD097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竞争性磋商文件要求</w:t>
            </w:r>
          </w:p>
        </w:tc>
        <w:tc>
          <w:tcPr>
            <w:tcW w:w="2126" w:type="dxa"/>
            <w:vAlign w:val="center"/>
          </w:tcPr>
          <w:p w14:paraId="6C50E2FC">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响应内容</w:t>
            </w:r>
          </w:p>
        </w:tc>
        <w:tc>
          <w:tcPr>
            <w:tcW w:w="1875" w:type="dxa"/>
            <w:vAlign w:val="center"/>
          </w:tcPr>
          <w:p w14:paraId="7620C5B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偏离情况</w:t>
            </w:r>
          </w:p>
        </w:tc>
        <w:tc>
          <w:tcPr>
            <w:tcW w:w="1009" w:type="dxa"/>
            <w:vAlign w:val="center"/>
          </w:tcPr>
          <w:p w14:paraId="624D2A1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说明</w:t>
            </w:r>
          </w:p>
        </w:tc>
      </w:tr>
      <w:tr w14:paraId="7C42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2EB2E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0792954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1D7659B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605D1B9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6EF88D0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50482F1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0177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550423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1309D1A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7ABC2BE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FEC7CD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4E7EABDC">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C93E9A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41C0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184171">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4936404">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0570DC33">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55BC55D6">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3535CD4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C1020A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3AE9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8C747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475D996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6CD2F4E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74097497">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29CAB3AD">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605BC033">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E32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9187BF">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7115B8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1FF19CF8">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31F95C9">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3DC202A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56EBC6AF">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r w14:paraId="2689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167E0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482" w:type="dxa"/>
            <w:vAlign w:val="center"/>
          </w:tcPr>
          <w:p w14:paraId="66EE22E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384" w:type="dxa"/>
            <w:vAlign w:val="center"/>
          </w:tcPr>
          <w:p w14:paraId="58BE70AE">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2126" w:type="dxa"/>
            <w:vAlign w:val="center"/>
          </w:tcPr>
          <w:p w14:paraId="1CF59EDA">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875" w:type="dxa"/>
            <w:vAlign w:val="center"/>
          </w:tcPr>
          <w:p w14:paraId="15DBCA4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c>
          <w:tcPr>
            <w:tcW w:w="1009" w:type="dxa"/>
            <w:vAlign w:val="center"/>
          </w:tcPr>
          <w:p w14:paraId="2BEC6275">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p>
        </w:tc>
      </w:tr>
    </w:tbl>
    <w:p w14:paraId="163DF22B">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u w:val="single"/>
        </w:rPr>
      </w:pPr>
    </w:p>
    <w:p w14:paraId="61802BCB">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u w:val="single"/>
        </w:rPr>
      </w:pPr>
    </w:p>
    <w:p w14:paraId="0D1CF23A">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w:t>
      </w:r>
    </w:p>
    <w:p w14:paraId="2A8548A1">
      <w:pPr>
        <w:pageBreakBefore w:val="0"/>
        <w:tabs>
          <w:tab w:val="left" w:pos="1800"/>
          <w:tab w:val="left" w:pos="5580"/>
        </w:tabs>
        <w:wordWrap w:val="0"/>
        <w:topLinePunct w:val="0"/>
        <w:bidi w:val="0"/>
        <w:spacing w:after="0" w:line="360" w:lineRule="auto"/>
        <w:jc w:val="left"/>
        <w:textAlignment w:val="auto"/>
        <w:rPr>
          <w:rFonts w:hint="eastAsia" w:ascii="宋体" w:hAnsi="宋体" w:cs="宋体"/>
          <w:sz w:val="24"/>
          <w:highlight w:val="none"/>
        </w:rPr>
      </w:pPr>
      <w:r>
        <w:rPr>
          <w:rFonts w:hint="eastAsia" w:ascii="宋体" w:hAnsi="宋体" w:cs="宋体"/>
          <w:color w:val="000000"/>
          <w:sz w:val="24"/>
          <w:highlight w:val="none"/>
        </w:rPr>
        <w:t xml:space="preserve">1. </w:t>
      </w:r>
      <w:r>
        <w:rPr>
          <w:rFonts w:hint="eastAsia" w:ascii="宋体" w:hAnsi="宋体" w:cs="宋体"/>
          <w:sz w:val="24"/>
          <w:highlight w:val="none"/>
        </w:rPr>
        <w:t>对竞争性磋商文件中的所有商务、技术要求，除本表所列明的所有偏离外，均视作供应商已对之理解和响应。此表中若无任何文字说明，内容为空白的，</w:t>
      </w:r>
      <w:r>
        <w:rPr>
          <w:rFonts w:hint="eastAsia" w:ascii="宋体" w:hAnsi="宋体" w:cs="宋体"/>
          <w:b/>
          <w:sz w:val="24"/>
          <w:highlight w:val="none"/>
        </w:rPr>
        <w:t>响应无效</w:t>
      </w:r>
      <w:r>
        <w:rPr>
          <w:rFonts w:hint="eastAsia" w:ascii="宋体" w:hAnsi="宋体" w:cs="宋体"/>
          <w:sz w:val="24"/>
          <w:highlight w:val="none"/>
        </w:rPr>
        <w:t>。</w:t>
      </w:r>
    </w:p>
    <w:p w14:paraId="56400CBF">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7235E76E">
      <w:pPr>
        <w:pageBreakBefore w:val="0"/>
        <w:wordWrap w:val="0"/>
        <w:topLinePunct w:val="0"/>
        <w:bidi w:val="0"/>
        <w:spacing w:after="0" w:line="360" w:lineRule="auto"/>
        <w:textAlignment w:val="auto"/>
        <w:rPr>
          <w:rFonts w:hint="eastAsia" w:ascii="宋体" w:hAnsi="宋体" w:cs="宋体"/>
          <w:color w:val="000000"/>
          <w:sz w:val="24"/>
          <w:szCs w:val="20"/>
          <w:highlight w:val="none"/>
        </w:rPr>
      </w:pPr>
    </w:p>
    <w:p w14:paraId="18FC6452">
      <w:pPr>
        <w:pageBreakBefore w:val="0"/>
        <w:wordWrap w:val="0"/>
        <w:topLinePunct w:val="0"/>
        <w:autoSpaceDE w:val="0"/>
        <w:autoSpaceDN w:val="0"/>
        <w:bidi w:val="0"/>
        <w:adjustRightInd w:val="0"/>
        <w:snapToGrid w:val="0"/>
        <w:spacing w:before="25" w:after="0" w:line="360" w:lineRule="auto"/>
        <w:ind w:right="360"/>
        <w:jc w:val="left"/>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供应商名称（加盖公章）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p>
    <w:p w14:paraId="25A14CEC">
      <w:pPr>
        <w:pageBreakBefore w:val="0"/>
        <w:wordWrap w:val="0"/>
        <w:topLinePunct w:val="0"/>
        <w:autoSpaceDE w:val="0"/>
        <w:autoSpaceDN w:val="0"/>
        <w:bidi w:val="0"/>
        <w:adjustRightInd w:val="0"/>
        <w:snapToGrid w:val="0"/>
        <w:spacing w:before="25" w:after="0" w:line="360" w:lineRule="auto"/>
        <w:ind w:right="360"/>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3810B6E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7444919A">
      <w:pPr>
        <w:pageBreakBefore w:val="0"/>
        <w:tabs>
          <w:tab w:val="left" w:pos="360"/>
        </w:tabs>
        <w:wordWrap w:val="0"/>
        <w:topLinePunct w:val="0"/>
        <w:bidi w:val="0"/>
        <w:snapToGrid w:val="0"/>
        <w:spacing w:after="0" w:line="360" w:lineRule="auto"/>
        <w:textAlignment w:val="auto"/>
        <w:outlineLvl w:val="1"/>
        <w:rPr>
          <w:rFonts w:hint="eastAsia" w:ascii="宋体" w:hAnsi="宋体" w:cs="宋体"/>
          <w:color w:val="000000"/>
          <w:sz w:val="24"/>
          <w:szCs w:val="20"/>
          <w:highlight w:val="none"/>
        </w:rPr>
      </w:pPr>
      <w:r>
        <w:rPr>
          <w:rFonts w:hint="eastAsia" w:ascii="宋体" w:hAnsi="宋体" w:cs="宋体"/>
          <w:sz w:val="24"/>
          <w:highlight w:val="none"/>
        </w:rPr>
        <w:t>11 竞争性磋商文件要求提供或供应商认为应附的其他材料</w:t>
      </w:r>
    </w:p>
    <w:p w14:paraId="0592C62C">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11-1 供应商信息采集表</w:t>
      </w:r>
    </w:p>
    <w:tbl>
      <w:tblPr>
        <w:tblStyle w:val="248"/>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3510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6AC937F6">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供应商名称</w:t>
            </w:r>
          </w:p>
        </w:tc>
        <w:tc>
          <w:tcPr>
            <w:tcW w:w="3095" w:type="dxa"/>
            <w:vAlign w:val="center"/>
          </w:tcPr>
          <w:p w14:paraId="4474B820">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供应商所属性别</w:t>
            </w:r>
          </w:p>
        </w:tc>
        <w:tc>
          <w:tcPr>
            <w:tcW w:w="3098" w:type="dxa"/>
            <w:vAlign w:val="center"/>
          </w:tcPr>
          <w:p w14:paraId="4CC882DC">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r>
              <w:rPr>
                <w:rFonts w:hint="eastAsia" w:ascii="宋体" w:hAnsi="宋体" w:cs="宋体"/>
                <w:sz w:val="24"/>
                <w:highlight w:val="none"/>
              </w:rPr>
              <w:t>外商投资类型</w:t>
            </w:r>
          </w:p>
        </w:tc>
      </w:tr>
      <w:tr w14:paraId="09C0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1676B270">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62A83586">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6A1A306A">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48B0C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320103FD">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6C02D3A1">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437DB5B5">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0983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40129DF5">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2542A349">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087EF4D9">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r w14:paraId="0DC22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center"/>
          </w:tcPr>
          <w:p w14:paraId="2542765F">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5" w:type="dxa"/>
            <w:vAlign w:val="center"/>
          </w:tcPr>
          <w:p w14:paraId="01C3D08A">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c>
          <w:tcPr>
            <w:tcW w:w="3098" w:type="dxa"/>
            <w:vAlign w:val="center"/>
          </w:tcPr>
          <w:p w14:paraId="5023F02F">
            <w:pPr>
              <w:pageBreakBefore w:val="0"/>
              <w:wordWrap w:val="0"/>
              <w:topLinePunct w:val="0"/>
              <w:autoSpaceDE w:val="0"/>
              <w:autoSpaceDN w:val="0"/>
              <w:bidi w:val="0"/>
              <w:adjustRightInd w:val="0"/>
              <w:snapToGrid w:val="0"/>
              <w:spacing w:after="0" w:line="360" w:lineRule="auto"/>
              <w:jc w:val="center"/>
              <w:textAlignment w:val="auto"/>
              <w:rPr>
                <w:rFonts w:hint="eastAsia" w:ascii="宋体" w:hAnsi="宋体" w:cs="宋体"/>
                <w:sz w:val="24"/>
                <w:highlight w:val="none"/>
              </w:rPr>
            </w:pPr>
          </w:p>
        </w:tc>
      </w:tr>
    </w:tbl>
    <w:p w14:paraId="6B97A770">
      <w:pPr>
        <w:pageBreakBefore w:val="0"/>
        <w:wordWrap w:val="0"/>
        <w:topLinePunct w:val="0"/>
        <w:bidi w:val="0"/>
        <w:adjustRightInd w:val="0"/>
        <w:snapToGrid w:val="0"/>
        <w:spacing w:after="0" w:line="360" w:lineRule="auto"/>
        <w:jc w:val="left"/>
        <w:textAlignment w:val="auto"/>
        <w:rPr>
          <w:rFonts w:hint="eastAsia" w:ascii="宋体" w:hAnsi="宋体" w:cs="宋体"/>
          <w:sz w:val="24"/>
          <w:highlight w:val="none"/>
        </w:rPr>
      </w:pPr>
      <w:r>
        <w:rPr>
          <w:rFonts w:hint="eastAsia" w:ascii="宋体" w:hAnsi="宋体" w:cs="宋体"/>
          <w:sz w:val="24"/>
          <w:highlight w:val="none"/>
        </w:rPr>
        <w:t>注：1.供应商如为联合体，则应填写联合体各成员信息。</w:t>
      </w:r>
    </w:p>
    <w:p w14:paraId="33FF5818">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2.供应商所属性别请填写“男”或“女”，指拥有供应商51%以上绝对所有权的性别；绝对所有权拥有者可以是一个人，也可以是多人合计计算。</w:t>
      </w:r>
    </w:p>
    <w:p w14:paraId="65E3537A">
      <w:pPr>
        <w:pageBreakBefore w:val="0"/>
        <w:wordWrap w:val="0"/>
        <w:topLinePunct w:val="0"/>
        <w:bidi w:val="0"/>
        <w:adjustRightInd w:val="0"/>
        <w:snapToGrid w:val="0"/>
        <w:spacing w:after="0" w:line="360" w:lineRule="auto"/>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3.外商投资类型请填写“外商单独投资”、“外商部分投资”或“内资”。</w:t>
      </w:r>
    </w:p>
    <w:p w14:paraId="5D066974">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5A0863D3">
      <w:pPr>
        <w:pageBreakBefore w:val="0"/>
        <w:widowControl/>
        <w:wordWrap w:val="0"/>
        <w:topLinePunct w:val="0"/>
        <w:bidi w:val="0"/>
        <w:spacing w:after="0" w:line="360" w:lineRule="auto"/>
        <w:jc w:val="left"/>
        <w:textAlignment w:val="auto"/>
        <w:rPr>
          <w:rFonts w:hint="eastAsia" w:ascii="宋体" w:hAnsi="宋体" w:cs="宋体"/>
          <w:b/>
          <w:sz w:val="36"/>
          <w:szCs w:val="36"/>
          <w:highlight w:val="none"/>
        </w:rPr>
      </w:pPr>
    </w:p>
    <w:p w14:paraId="0EEA89F2">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56BAB8CB">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12 最后报价一览表（实质性格式，磋商后提交）</w:t>
      </w:r>
    </w:p>
    <w:p w14:paraId="54502035">
      <w:pPr>
        <w:pageBreakBefore w:val="0"/>
        <w:wordWrap w:val="0"/>
        <w:topLinePunct w:val="0"/>
        <w:bidi w:val="0"/>
        <w:spacing w:after="0" w:line="360" w:lineRule="auto"/>
        <w:ind w:firstLine="720"/>
        <w:jc w:val="center"/>
        <w:textAlignment w:val="auto"/>
        <w:rPr>
          <w:rFonts w:hint="eastAsia" w:ascii="宋体" w:hAnsi="宋体" w:cs="宋体"/>
          <w:b/>
          <w:color w:val="000000"/>
          <w:sz w:val="28"/>
          <w:szCs w:val="28"/>
          <w:highlight w:val="none"/>
        </w:rPr>
      </w:pPr>
      <w:r>
        <w:rPr>
          <w:rFonts w:hint="eastAsia" w:ascii="宋体" w:hAnsi="宋体" w:cs="宋体"/>
          <w:b/>
          <w:color w:val="000000"/>
          <w:sz w:val="28"/>
          <w:szCs w:val="28"/>
          <w:highlight w:val="none"/>
        </w:rPr>
        <w:t>最后报价一览表</w:t>
      </w:r>
    </w:p>
    <w:p w14:paraId="20F070A4">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p>
    <w:p w14:paraId="431DFFD2">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70EBF6A0">
      <w:pPr>
        <w:pageBreakBefore w:val="0"/>
        <w:tabs>
          <w:tab w:val="left" w:pos="1800"/>
          <w:tab w:val="left" w:pos="5580"/>
        </w:tabs>
        <w:wordWrap w:val="0"/>
        <w:topLinePunct w:val="0"/>
        <w:bidi w:val="0"/>
        <w:spacing w:after="0" w:line="360" w:lineRule="auto"/>
        <w:ind w:firstLine="360" w:firstLineChars="15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275"/>
        <w:gridCol w:w="1692"/>
        <w:gridCol w:w="1507"/>
        <w:gridCol w:w="1442"/>
      </w:tblGrid>
      <w:tr w14:paraId="3B0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7614213">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序号</w:t>
            </w:r>
          </w:p>
        </w:tc>
        <w:tc>
          <w:tcPr>
            <w:tcW w:w="1498" w:type="pct"/>
            <w:vMerge w:val="restart"/>
            <w:vAlign w:val="center"/>
          </w:tcPr>
          <w:p w14:paraId="5930A6BF">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供应商名称</w:t>
            </w:r>
          </w:p>
        </w:tc>
        <w:tc>
          <w:tcPr>
            <w:tcW w:w="2106" w:type="pct"/>
            <w:gridSpan w:val="2"/>
            <w:vAlign w:val="center"/>
          </w:tcPr>
          <w:p w14:paraId="3A79D10B">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最后报价（元）</w:t>
            </w:r>
          </w:p>
        </w:tc>
        <w:tc>
          <w:tcPr>
            <w:tcW w:w="949" w:type="pct"/>
            <w:vMerge w:val="restart"/>
            <w:vAlign w:val="center"/>
          </w:tcPr>
          <w:p w14:paraId="6E555CCC">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其他</w:t>
            </w:r>
          </w:p>
          <w:p w14:paraId="5BD5FB17">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声明</w:t>
            </w:r>
          </w:p>
        </w:tc>
      </w:tr>
      <w:tr w14:paraId="4856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35768064">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498" w:type="pct"/>
            <w:vMerge w:val="continue"/>
            <w:vAlign w:val="center"/>
          </w:tcPr>
          <w:p w14:paraId="1E283A72">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114" w:type="pct"/>
            <w:vAlign w:val="center"/>
          </w:tcPr>
          <w:p w14:paraId="0856F126">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大写</w:t>
            </w:r>
          </w:p>
        </w:tc>
        <w:tc>
          <w:tcPr>
            <w:tcW w:w="992" w:type="pct"/>
            <w:vAlign w:val="center"/>
          </w:tcPr>
          <w:p w14:paraId="0A6DE818">
            <w:pPr>
              <w:pageBreakBefore w:val="0"/>
              <w:tabs>
                <w:tab w:val="left" w:pos="5580"/>
              </w:tabs>
              <w:wordWrap w:val="0"/>
              <w:topLinePunct w:val="0"/>
              <w:bidi w:val="0"/>
              <w:spacing w:after="0" w:line="360" w:lineRule="auto"/>
              <w:jc w:val="center"/>
              <w:textAlignment w:val="auto"/>
              <w:rPr>
                <w:rFonts w:hint="eastAsia" w:ascii="宋体" w:hAnsi="宋体" w:cs="宋体"/>
                <w:b/>
                <w:sz w:val="24"/>
                <w:highlight w:val="none"/>
              </w:rPr>
            </w:pPr>
            <w:r>
              <w:rPr>
                <w:rFonts w:hint="eastAsia" w:ascii="宋体" w:hAnsi="宋体" w:cs="宋体"/>
                <w:b/>
                <w:sz w:val="24"/>
                <w:highlight w:val="none"/>
              </w:rPr>
              <w:t>小写</w:t>
            </w:r>
          </w:p>
        </w:tc>
        <w:tc>
          <w:tcPr>
            <w:tcW w:w="949" w:type="pct"/>
            <w:vMerge w:val="continue"/>
            <w:vAlign w:val="center"/>
          </w:tcPr>
          <w:p w14:paraId="356D976B">
            <w:pPr>
              <w:pageBreakBefore w:val="0"/>
              <w:tabs>
                <w:tab w:val="left" w:pos="5580"/>
              </w:tabs>
              <w:wordWrap w:val="0"/>
              <w:topLinePunct w:val="0"/>
              <w:bidi w:val="0"/>
              <w:spacing w:after="0" w:line="360" w:lineRule="auto"/>
              <w:ind w:firstLine="482"/>
              <w:jc w:val="center"/>
              <w:textAlignment w:val="auto"/>
              <w:rPr>
                <w:rFonts w:hint="eastAsia" w:ascii="宋体" w:hAnsi="宋体" w:cs="宋体"/>
                <w:b/>
                <w:sz w:val="24"/>
                <w:highlight w:val="none"/>
              </w:rPr>
            </w:pPr>
          </w:p>
        </w:tc>
      </w:tr>
      <w:tr w14:paraId="434A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0689B6E">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498" w:type="pct"/>
            <w:vAlign w:val="center"/>
          </w:tcPr>
          <w:p w14:paraId="081FA94D">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1114" w:type="pct"/>
            <w:vAlign w:val="center"/>
          </w:tcPr>
          <w:p w14:paraId="41AE9663">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992" w:type="pct"/>
            <w:vAlign w:val="center"/>
          </w:tcPr>
          <w:p w14:paraId="61CC1C45">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c>
          <w:tcPr>
            <w:tcW w:w="949" w:type="pct"/>
            <w:vAlign w:val="center"/>
          </w:tcPr>
          <w:p w14:paraId="6E6567C4">
            <w:pPr>
              <w:pageBreakBefore w:val="0"/>
              <w:tabs>
                <w:tab w:val="left" w:pos="5580"/>
              </w:tabs>
              <w:wordWrap w:val="0"/>
              <w:topLinePunct w:val="0"/>
              <w:bidi w:val="0"/>
              <w:spacing w:after="0" w:line="360" w:lineRule="auto"/>
              <w:jc w:val="center"/>
              <w:textAlignment w:val="auto"/>
              <w:rPr>
                <w:rFonts w:hint="eastAsia" w:ascii="宋体" w:hAnsi="宋体" w:cs="宋体"/>
                <w:sz w:val="24"/>
                <w:highlight w:val="none"/>
              </w:rPr>
            </w:pPr>
          </w:p>
        </w:tc>
      </w:tr>
    </w:tbl>
    <w:p w14:paraId="27FBC141">
      <w:pPr>
        <w:pageBreakBefore w:val="0"/>
        <w:wordWrap w:val="0"/>
        <w:topLinePunct w:val="0"/>
        <w:autoSpaceDE w:val="0"/>
        <w:autoSpaceDN w:val="0"/>
        <w:bidi w:val="0"/>
        <w:adjustRightInd w:val="0"/>
        <w:spacing w:after="0" w:line="360" w:lineRule="auto"/>
        <w:jc w:val="left"/>
        <w:textAlignment w:val="auto"/>
        <w:rPr>
          <w:rFonts w:hint="eastAsia" w:ascii="宋体" w:hAnsi="宋体" w:cs="宋体"/>
          <w:color w:val="000000"/>
          <w:kern w:val="0"/>
          <w:sz w:val="24"/>
          <w:highlight w:val="none"/>
        </w:rPr>
      </w:pPr>
    </w:p>
    <w:p w14:paraId="00319968">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注：</w:t>
      </w:r>
    </w:p>
    <w:p w14:paraId="09D6E681">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1.此表中，每包的最后报价应和《最后分项报价表》中的总价相一致。</w:t>
      </w:r>
    </w:p>
    <w:p w14:paraId="14558D6D">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kern w:val="0"/>
          <w:sz w:val="24"/>
          <w:highlight w:val="none"/>
        </w:rPr>
      </w:pPr>
      <w:r>
        <w:rPr>
          <w:rFonts w:hint="eastAsia" w:ascii="宋体" w:hAnsi="宋体" w:cs="宋体"/>
          <w:color w:val="000000"/>
          <w:kern w:val="0"/>
          <w:sz w:val="24"/>
          <w:highlight w:val="none"/>
        </w:rPr>
        <w:t>2.本表必须按包分别填写。</w:t>
      </w:r>
    </w:p>
    <w:p w14:paraId="311F570C">
      <w:pPr>
        <w:pageBreakBefore w:val="0"/>
        <w:tabs>
          <w:tab w:val="left" w:pos="5580"/>
        </w:tabs>
        <w:wordWrap w:val="0"/>
        <w:topLinePunct w:val="0"/>
        <w:bidi w:val="0"/>
        <w:spacing w:after="0" w:line="360" w:lineRule="auto"/>
        <w:ind w:firstLine="480" w:firstLineChars="200"/>
        <w:textAlignment w:val="auto"/>
        <w:rPr>
          <w:rFonts w:hint="eastAsia" w:ascii="宋体" w:hAnsi="宋体" w:cs="宋体"/>
          <w:color w:val="000000"/>
          <w:sz w:val="24"/>
          <w:szCs w:val="20"/>
          <w:highlight w:val="none"/>
        </w:rPr>
      </w:pPr>
      <w:r>
        <w:rPr>
          <w:rFonts w:hint="eastAsia" w:ascii="宋体" w:hAnsi="宋体" w:cs="宋体"/>
          <w:color w:val="000000"/>
          <w:kern w:val="0"/>
          <w:sz w:val="24"/>
          <w:highlight w:val="none"/>
        </w:rPr>
        <w:t>3.此表无需在响应文件中提交，磋商后供应商按磋商小组要求提交</w:t>
      </w:r>
      <w:r>
        <w:rPr>
          <w:rFonts w:hint="eastAsia" w:ascii="宋体" w:hAnsi="宋体" w:cs="宋体"/>
          <w:color w:val="000000"/>
          <w:sz w:val="24"/>
          <w:szCs w:val="20"/>
          <w:highlight w:val="none"/>
        </w:rPr>
        <w:t>。</w:t>
      </w:r>
    </w:p>
    <w:p w14:paraId="1A5B246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p>
    <w:p w14:paraId="358FD4E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      </w:t>
      </w:r>
    </w:p>
    <w:p w14:paraId="69E859F4">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color w:val="00000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11CFE3AC">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 xml:space="preserve">日   </w:t>
      </w:r>
    </w:p>
    <w:p w14:paraId="6F5E04E3">
      <w:pPr>
        <w:pageBreakBefore w:val="0"/>
        <w:widowControl/>
        <w:wordWrap w:val="0"/>
        <w:topLinePunct w:val="0"/>
        <w:bidi w:val="0"/>
        <w:spacing w:after="0" w:line="360" w:lineRule="auto"/>
        <w:jc w:val="left"/>
        <w:textAlignment w:val="auto"/>
        <w:rPr>
          <w:rFonts w:hint="eastAsia" w:ascii="宋体" w:hAnsi="宋体" w:cs="宋体"/>
          <w:color w:val="000000"/>
          <w:sz w:val="24"/>
          <w:szCs w:val="20"/>
          <w:highlight w:val="none"/>
        </w:rPr>
      </w:pPr>
    </w:p>
    <w:p w14:paraId="04EE7CA4">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sectPr>
          <w:pgSz w:w="11905" w:h="16838"/>
          <w:pgMar w:top="1474" w:right="1474" w:bottom="1474" w:left="1474" w:header="850" w:footer="992" w:gutter="0"/>
          <w:pgNumType w:fmt="decimal"/>
          <w:cols w:space="0" w:num="1"/>
          <w:rtlGutter w:val="0"/>
          <w:docGrid w:linePitch="462" w:charSpace="0"/>
        </w:sectPr>
      </w:pPr>
    </w:p>
    <w:p w14:paraId="4C3062F0">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13 最后分项报价表（实质性格式，磋商后提交）</w:t>
      </w:r>
    </w:p>
    <w:p w14:paraId="77507656">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项目编号/包号：</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rPr>
        <w:t xml:space="preserve"> </w:t>
      </w:r>
    </w:p>
    <w:p w14:paraId="64D8C9AF">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u w:val="single"/>
          <w:lang w:val="zh-CN"/>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zh-CN"/>
        </w:rPr>
        <w:t xml:space="preserve">     </w:t>
      </w:r>
    </w:p>
    <w:p w14:paraId="6BBE35EF">
      <w:pPr>
        <w:pageBreakBefore w:val="0"/>
        <w:tabs>
          <w:tab w:val="left" w:pos="1800"/>
          <w:tab w:val="left" w:pos="5580"/>
        </w:tabs>
        <w:wordWrap w:val="0"/>
        <w:topLinePunct w:val="0"/>
        <w:bidi w:val="0"/>
        <w:spacing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报价单位：人民币元</w:t>
      </w:r>
    </w:p>
    <w:tbl>
      <w:tblPr>
        <w:tblStyle w:val="4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4867"/>
        <w:gridCol w:w="2118"/>
        <w:gridCol w:w="1623"/>
      </w:tblGrid>
      <w:tr w14:paraId="15D4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5" w:type="pct"/>
            <w:vAlign w:val="center"/>
          </w:tcPr>
          <w:p w14:paraId="7B27F939">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序号</w:t>
            </w:r>
          </w:p>
        </w:tc>
        <w:tc>
          <w:tcPr>
            <w:tcW w:w="2654" w:type="pct"/>
            <w:vAlign w:val="center"/>
          </w:tcPr>
          <w:p w14:paraId="4790F306">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最后报价计算过程或说明</w:t>
            </w:r>
          </w:p>
          <w:p w14:paraId="1EC7F5A3">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（可以填写按第一次报价下浮/上浮比例，</w:t>
            </w:r>
          </w:p>
          <w:p w14:paraId="78273A7D">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也可以填写相对第一次报价某部分价格变化情况）</w:t>
            </w:r>
          </w:p>
        </w:tc>
        <w:tc>
          <w:tcPr>
            <w:tcW w:w="1155" w:type="pct"/>
            <w:vAlign w:val="center"/>
          </w:tcPr>
          <w:p w14:paraId="13FBCA2B">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总价（元）</w:t>
            </w:r>
          </w:p>
        </w:tc>
        <w:tc>
          <w:tcPr>
            <w:tcW w:w="885" w:type="pct"/>
            <w:vAlign w:val="center"/>
          </w:tcPr>
          <w:p w14:paraId="3D8797BB">
            <w:pPr>
              <w:pageBreakBefore w:val="0"/>
              <w:wordWrap w:val="0"/>
              <w:topLinePunct w:val="0"/>
              <w:bidi w:val="0"/>
              <w:adjustRightInd w:val="0"/>
              <w:snapToGrid w:val="0"/>
              <w:spacing w:after="0" w:line="360" w:lineRule="auto"/>
              <w:jc w:val="center"/>
              <w:textAlignment w:val="auto"/>
              <w:rPr>
                <w:rFonts w:hint="eastAsia" w:ascii="宋体" w:hAnsi="宋体" w:cs="宋体"/>
                <w:b/>
                <w:color w:val="000000"/>
                <w:sz w:val="24"/>
                <w:highlight w:val="none"/>
              </w:rPr>
            </w:pPr>
            <w:r>
              <w:rPr>
                <w:rFonts w:hint="eastAsia" w:ascii="宋体" w:hAnsi="宋体" w:cs="宋体"/>
                <w:b/>
                <w:color w:val="000000"/>
                <w:sz w:val="24"/>
                <w:highlight w:val="none"/>
              </w:rPr>
              <w:t>备注/说明</w:t>
            </w:r>
          </w:p>
        </w:tc>
      </w:tr>
      <w:tr w14:paraId="23CF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305" w:type="pct"/>
            <w:vAlign w:val="center"/>
          </w:tcPr>
          <w:p w14:paraId="1DB1E83B">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color w:val="000000"/>
                <w:sz w:val="24"/>
                <w:highlight w:val="none"/>
              </w:rPr>
              <w:t>1</w:t>
            </w:r>
          </w:p>
        </w:tc>
        <w:tc>
          <w:tcPr>
            <w:tcW w:w="2654" w:type="pct"/>
            <w:vAlign w:val="center"/>
          </w:tcPr>
          <w:p w14:paraId="4D26F41A">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1155" w:type="pct"/>
            <w:vAlign w:val="center"/>
          </w:tcPr>
          <w:p w14:paraId="6A6F6D06">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885" w:type="pct"/>
            <w:vAlign w:val="center"/>
          </w:tcPr>
          <w:p w14:paraId="4FB66861">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r>
      <w:tr w14:paraId="52D5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959" w:type="pct"/>
            <w:gridSpan w:val="2"/>
            <w:vAlign w:val="center"/>
          </w:tcPr>
          <w:p w14:paraId="5DD6EE62">
            <w:pPr>
              <w:pageBreakBefore w:val="0"/>
              <w:wordWrap w:val="0"/>
              <w:topLinePunct w:val="0"/>
              <w:bidi w:val="0"/>
              <w:adjustRightInd w:val="0"/>
              <w:snapToGrid w:val="0"/>
              <w:spacing w:after="0" w:line="360" w:lineRule="auto"/>
              <w:jc w:val="center"/>
              <w:textAlignment w:val="auto"/>
              <w:rPr>
                <w:rFonts w:hint="eastAsia" w:ascii="宋体" w:hAnsi="宋体" w:cs="宋体"/>
                <w:color w:val="000000"/>
                <w:sz w:val="24"/>
                <w:highlight w:val="none"/>
              </w:rPr>
            </w:pPr>
            <w:r>
              <w:rPr>
                <w:rFonts w:hint="eastAsia" w:ascii="宋体" w:hAnsi="宋体" w:cs="宋体"/>
                <w:b/>
                <w:color w:val="000000"/>
                <w:sz w:val="24"/>
                <w:highlight w:val="none"/>
              </w:rPr>
              <w:t>总价（元）</w:t>
            </w:r>
          </w:p>
        </w:tc>
        <w:tc>
          <w:tcPr>
            <w:tcW w:w="1155" w:type="pct"/>
            <w:vAlign w:val="center"/>
          </w:tcPr>
          <w:p w14:paraId="19841A45">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c>
          <w:tcPr>
            <w:tcW w:w="885" w:type="pct"/>
            <w:vAlign w:val="center"/>
          </w:tcPr>
          <w:p w14:paraId="7BF0756C">
            <w:pPr>
              <w:pageBreakBefore w:val="0"/>
              <w:wordWrap w:val="0"/>
              <w:topLinePunct w:val="0"/>
              <w:bidi w:val="0"/>
              <w:adjustRightInd w:val="0"/>
              <w:snapToGrid w:val="0"/>
              <w:spacing w:after="0" w:line="360" w:lineRule="auto"/>
              <w:jc w:val="left"/>
              <w:textAlignment w:val="auto"/>
              <w:rPr>
                <w:rFonts w:hint="eastAsia" w:ascii="宋体" w:hAnsi="宋体" w:cs="宋体"/>
                <w:color w:val="000000"/>
                <w:sz w:val="24"/>
                <w:highlight w:val="none"/>
              </w:rPr>
            </w:pPr>
          </w:p>
        </w:tc>
      </w:tr>
    </w:tbl>
    <w:p w14:paraId="682CA978">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注：1.本表应按包分别填写。</w:t>
      </w:r>
    </w:p>
    <w:p w14:paraId="146E5EED">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2.如果不提供分项报价将视为没有实质性响应招标文件。</w:t>
      </w:r>
    </w:p>
    <w:p w14:paraId="693C6703">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3.上述各项的详细规格（如有），可另页描述。</w:t>
      </w:r>
    </w:p>
    <w:p w14:paraId="4D48D1C7">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p>
    <w:p w14:paraId="7DA4AA83">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kern w:val="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312E6105">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szCs w:val="20"/>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p w14:paraId="5B4CD95A">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szCs w:val="20"/>
          <w:highlight w:val="none"/>
        </w:rPr>
        <w:sectPr>
          <w:pgSz w:w="11905" w:h="16838"/>
          <w:pgMar w:top="1474" w:right="1474" w:bottom="1474" w:left="1474" w:header="850" w:footer="992" w:gutter="0"/>
          <w:pgNumType w:fmt="decimal"/>
          <w:cols w:space="0" w:num="1"/>
          <w:rtlGutter w:val="0"/>
          <w:docGrid w:linePitch="462" w:charSpace="0"/>
        </w:sectPr>
      </w:pPr>
    </w:p>
    <w:p w14:paraId="2E3B380C">
      <w:pPr>
        <w:pageBreakBefore w:val="0"/>
        <w:tabs>
          <w:tab w:val="left" w:pos="360"/>
        </w:tabs>
        <w:wordWrap w:val="0"/>
        <w:topLinePunct w:val="0"/>
        <w:bidi w:val="0"/>
        <w:snapToGrid w:val="0"/>
        <w:spacing w:after="0" w:line="360" w:lineRule="auto"/>
        <w:textAlignment w:val="auto"/>
        <w:outlineLvl w:val="1"/>
        <w:rPr>
          <w:rFonts w:hint="eastAsia" w:ascii="宋体" w:hAnsi="宋体" w:cs="宋体"/>
          <w:sz w:val="24"/>
          <w:highlight w:val="none"/>
        </w:rPr>
      </w:pPr>
      <w:r>
        <w:rPr>
          <w:rFonts w:hint="eastAsia" w:ascii="宋体" w:hAnsi="宋体" w:cs="宋体"/>
          <w:sz w:val="24"/>
          <w:highlight w:val="none"/>
        </w:rPr>
        <w:t>14 最后报价构成表（如有，实质性格式，磋商后提交）</w:t>
      </w:r>
    </w:p>
    <w:p w14:paraId="30E202D8">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14-1最终报价中分包情况说明</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2625"/>
        <w:gridCol w:w="3432"/>
        <w:gridCol w:w="2287"/>
      </w:tblGrid>
      <w:tr w14:paraId="7080A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6993F42E">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2625" w:type="dxa"/>
            <w:tcBorders>
              <w:top w:val="single" w:color="000000" w:sz="4" w:space="0"/>
              <w:left w:val="single" w:color="000000" w:sz="4" w:space="0"/>
              <w:bottom w:val="single" w:color="000000" w:sz="4" w:space="0"/>
              <w:right w:val="single" w:color="000000" w:sz="4" w:space="0"/>
            </w:tcBorders>
            <w:vAlign w:val="center"/>
          </w:tcPr>
          <w:p w14:paraId="6C0B6F23">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分包承担主体名称</w:t>
            </w:r>
          </w:p>
        </w:tc>
        <w:tc>
          <w:tcPr>
            <w:tcW w:w="3432" w:type="dxa"/>
            <w:tcBorders>
              <w:top w:val="single" w:color="000000" w:sz="4" w:space="0"/>
              <w:left w:val="single" w:color="000000" w:sz="4" w:space="0"/>
              <w:bottom w:val="single" w:color="000000" w:sz="4" w:space="0"/>
              <w:right w:val="single" w:color="000000" w:sz="4" w:space="0"/>
            </w:tcBorders>
            <w:vAlign w:val="center"/>
          </w:tcPr>
          <w:p w14:paraId="0DB3772C">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分包承担主体类型（选择）</w:t>
            </w:r>
          </w:p>
        </w:tc>
        <w:tc>
          <w:tcPr>
            <w:tcW w:w="2287" w:type="dxa"/>
            <w:tcBorders>
              <w:top w:val="single" w:color="000000" w:sz="4" w:space="0"/>
              <w:left w:val="single" w:color="000000" w:sz="4" w:space="0"/>
              <w:bottom w:val="single" w:color="000000" w:sz="4" w:space="0"/>
              <w:right w:val="single" w:color="000000" w:sz="4" w:space="0"/>
            </w:tcBorders>
            <w:vAlign w:val="center"/>
          </w:tcPr>
          <w:p w14:paraId="38EF845D">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拟分包合同金额</w:t>
            </w:r>
          </w:p>
          <w:p w14:paraId="57B5B229">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r>
      <w:tr w14:paraId="5B5DB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12D0463B">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2625" w:type="dxa"/>
            <w:tcBorders>
              <w:top w:val="single" w:color="000000" w:sz="4" w:space="0"/>
              <w:left w:val="single" w:color="000000" w:sz="4" w:space="0"/>
              <w:bottom w:val="single" w:color="000000" w:sz="4" w:space="0"/>
              <w:right w:val="single" w:color="000000" w:sz="4" w:space="0"/>
            </w:tcBorders>
            <w:vAlign w:val="center"/>
          </w:tcPr>
          <w:p w14:paraId="5B2300B3">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68DEC6DD">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45800572">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6CC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34FEC24C">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2625" w:type="dxa"/>
            <w:tcBorders>
              <w:top w:val="single" w:color="000000" w:sz="4" w:space="0"/>
              <w:left w:val="single" w:color="000000" w:sz="4" w:space="0"/>
              <w:bottom w:val="single" w:color="000000" w:sz="4" w:space="0"/>
              <w:right w:val="single" w:color="000000" w:sz="4" w:space="0"/>
            </w:tcBorders>
            <w:vAlign w:val="center"/>
          </w:tcPr>
          <w:p w14:paraId="2C70AEFC">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79F5B70F">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87" w:type="dxa"/>
            <w:tcBorders>
              <w:top w:val="single" w:color="000000" w:sz="4" w:space="0"/>
              <w:left w:val="single" w:color="000000" w:sz="4" w:space="0"/>
              <w:bottom w:val="single" w:color="000000" w:sz="4" w:space="0"/>
              <w:right w:val="single" w:color="000000" w:sz="4" w:space="0"/>
            </w:tcBorders>
            <w:vAlign w:val="center"/>
          </w:tcPr>
          <w:p w14:paraId="627CBF85">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EB0B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14:paraId="450A47E3">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2625" w:type="dxa"/>
            <w:tcBorders>
              <w:top w:val="single" w:color="000000" w:sz="4" w:space="0"/>
              <w:left w:val="single" w:color="000000" w:sz="4" w:space="0"/>
              <w:bottom w:val="single" w:color="000000" w:sz="4" w:space="0"/>
              <w:right w:val="single" w:color="000000" w:sz="4" w:space="0"/>
            </w:tcBorders>
            <w:vAlign w:val="center"/>
          </w:tcPr>
          <w:p w14:paraId="3674B60B">
            <w:pPr>
              <w:pStyle w:val="247"/>
              <w:pageBreakBefore w:val="0"/>
              <w:wordWrap w:val="0"/>
              <w:topLinePunct w:val="0"/>
              <w:bidi w:val="0"/>
              <w:spacing w:after="0" w:line="360" w:lineRule="auto"/>
              <w:jc w:val="center"/>
              <w:textAlignment w:val="auto"/>
              <w:rPr>
                <w:rFonts w:hint="eastAsia"/>
                <w:sz w:val="30"/>
                <w:highlight w:val="none"/>
              </w:rPr>
            </w:pPr>
          </w:p>
        </w:tc>
        <w:tc>
          <w:tcPr>
            <w:tcW w:w="3432" w:type="dxa"/>
            <w:tcBorders>
              <w:top w:val="single" w:color="000000" w:sz="4" w:space="0"/>
              <w:left w:val="single" w:color="000000" w:sz="4" w:space="0"/>
              <w:bottom w:val="single" w:color="000000" w:sz="4" w:space="0"/>
              <w:right w:val="single" w:color="000000" w:sz="4" w:space="0"/>
            </w:tcBorders>
            <w:vAlign w:val="center"/>
          </w:tcPr>
          <w:p w14:paraId="36789106">
            <w:pPr>
              <w:pStyle w:val="247"/>
              <w:pageBreakBefore w:val="0"/>
              <w:wordWrap w:val="0"/>
              <w:topLinePunct w:val="0"/>
              <w:bidi w:val="0"/>
              <w:spacing w:after="0" w:line="360" w:lineRule="auto"/>
              <w:jc w:val="center"/>
              <w:textAlignment w:val="auto"/>
              <w:rPr>
                <w:rFonts w:hint="eastAsia"/>
                <w:sz w:val="30"/>
                <w:highlight w:val="none"/>
              </w:rPr>
            </w:pPr>
          </w:p>
        </w:tc>
        <w:tc>
          <w:tcPr>
            <w:tcW w:w="2287" w:type="dxa"/>
            <w:tcBorders>
              <w:top w:val="single" w:color="000000" w:sz="4" w:space="0"/>
              <w:left w:val="single" w:color="000000" w:sz="4" w:space="0"/>
              <w:bottom w:val="single" w:color="000000" w:sz="4" w:space="0"/>
              <w:right w:val="single" w:color="000000" w:sz="4" w:space="0"/>
            </w:tcBorders>
            <w:vAlign w:val="center"/>
          </w:tcPr>
          <w:p w14:paraId="4A606287">
            <w:pPr>
              <w:pStyle w:val="247"/>
              <w:pageBreakBefore w:val="0"/>
              <w:wordWrap w:val="0"/>
              <w:topLinePunct w:val="0"/>
              <w:bidi w:val="0"/>
              <w:spacing w:after="0" w:line="360" w:lineRule="auto"/>
              <w:jc w:val="center"/>
              <w:textAlignment w:val="auto"/>
              <w:rPr>
                <w:rFonts w:hint="eastAsia"/>
                <w:sz w:val="30"/>
                <w:highlight w:val="none"/>
              </w:rPr>
            </w:pPr>
          </w:p>
        </w:tc>
      </w:tr>
      <w:tr w14:paraId="2017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13" w:type="dxa"/>
            <w:gridSpan w:val="3"/>
            <w:tcBorders>
              <w:top w:val="single" w:color="000000" w:sz="4" w:space="0"/>
              <w:left w:val="single" w:color="000000" w:sz="4" w:space="0"/>
              <w:bottom w:val="single" w:color="000000" w:sz="4" w:space="0"/>
              <w:right w:val="single" w:color="000000" w:sz="4" w:space="0"/>
            </w:tcBorders>
            <w:vAlign w:val="center"/>
          </w:tcPr>
          <w:p w14:paraId="0D3FEE1C">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2287" w:type="dxa"/>
            <w:tcBorders>
              <w:top w:val="single" w:color="000000" w:sz="4" w:space="0"/>
              <w:left w:val="single" w:color="000000" w:sz="4" w:space="0"/>
              <w:bottom w:val="single" w:color="000000" w:sz="4" w:space="0"/>
              <w:right w:val="single" w:color="000000" w:sz="4" w:space="0"/>
            </w:tcBorders>
            <w:vAlign w:val="center"/>
          </w:tcPr>
          <w:p w14:paraId="689E6862">
            <w:pPr>
              <w:pStyle w:val="247"/>
              <w:pageBreakBefore w:val="0"/>
              <w:wordWrap w:val="0"/>
              <w:topLinePunct w:val="0"/>
              <w:bidi w:val="0"/>
              <w:spacing w:after="0" w:line="360" w:lineRule="auto"/>
              <w:jc w:val="center"/>
              <w:textAlignment w:val="auto"/>
              <w:rPr>
                <w:rFonts w:hint="eastAsia"/>
                <w:sz w:val="30"/>
                <w:highlight w:val="none"/>
              </w:rPr>
            </w:pPr>
          </w:p>
        </w:tc>
      </w:tr>
    </w:tbl>
    <w:p w14:paraId="3D70619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rPr>
      </w:pPr>
      <w:r>
        <w:rPr>
          <w:rFonts w:hint="eastAsia" w:ascii="宋体" w:hAnsi="宋体" w:cs="宋体"/>
          <w:color w:val="000000"/>
          <w:sz w:val="24"/>
          <w:highlight w:val="none"/>
        </w:rPr>
        <w:t>14-2联合体最终报价情况说明</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2643"/>
        <w:gridCol w:w="3450"/>
        <w:gridCol w:w="2269"/>
      </w:tblGrid>
      <w:tr w14:paraId="7B5D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1B5DF851">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序号</w:t>
            </w:r>
          </w:p>
        </w:tc>
        <w:tc>
          <w:tcPr>
            <w:tcW w:w="2643" w:type="dxa"/>
            <w:tcBorders>
              <w:top w:val="single" w:color="000000" w:sz="4" w:space="0"/>
              <w:left w:val="single" w:color="000000" w:sz="4" w:space="0"/>
              <w:bottom w:val="single" w:color="000000" w:sz="4" w:space="0"/>
              <w:right w:val="single" w:color="000000" w:sz="4" w:space="0"/>
            </w:tcBorders>
            <w:vAlign w:val="center"/>
          </w:tcPr>
          <w:p w14:paraId="7F0BEFF2">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联合体成员名称</w:t>
            </w:r>
          </w:p>
        </w:tc>
        <w:tc>
          <w:tcPr>
            <w:tcW w:w="3450" w:type="dxa"/>
            <w:tcBorders>
              <w:top w:val="single" w:color="000000" w:sz="4" w:space="0"/>
              <w:left w:val="single" w:color="000000" w:sz="4" w:space="0"/>
              <w:bottom w:val="single" w:color="000000" w:sz="4" w:space="0"/>
              <w:right w:val="single" w:color="000000" w:sz="4" w:space="0"/>
            </w:tcBorders>
            <w:vAlign w:val="center"/>
          </w:tcPr>
          <w:p w14:paraId="080123C8">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lang w:eastAsia="zh-CN"/>
              </w:rPr>
              <w:t>联合体成员（选择）</w:t>
            </w:r>
          </w:p>
        </w:tc>
        <w:tc>
          <w:tcPr>
            <w:tcW w:w="2269" w:type="dxa"/>
            <w:tcBorders>
              <w:top w:val="single" w:color="000000" w:sz="4" w:space="0"/>
              <w:left w:val="single" w:color="000000" w:sz="4" w:space="0"/>
              <w:bottom w:val="single" w:color="000000" w:sz="4" w:space="0"/>
              <w:right w:val="single" w:color="000000" w:sz="4" w:space="0"/>
            </w:tcBorders>
            <w:vAlign w:val="center"/>
          </w:tcPr>
          <w:p w14:paraId="2EC675B7">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合同金额</w:t>
            </w:r>
          </w:p>
          <w:p w14:paraId="0E9EC0F4">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（人民币元）</w:t>
            </w:r>
          </w:p>
        </w:tc>
      </w:tr>
      <w:tr w14:paraId="22FD5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3C736D8D">
            <w:pPr>
              <w:pStyle w:val="247"/>
              <w:pageBreakBefore w:val="0"/>
              <w:wordWrap w:val="0"/>
              <w:topLinePunct w:val="0"/>
              <w:bidi w:val="0"/>
              <w:spacing w:after="0" w:line="360" w:lineRule="auto"/>
              <w:jc w:val="center"/>
              <w:textAlignment w:val="auto"/>
              <w:rPr>
                <w:rFonts w:hint="eastAsia"/>
                <w:sz w:val="24"/>
                <w:highlight w:val="none"/>
              </w:rPr>
            </w:pPr>
            <w:r>
              <w:rPr>
                <w:rFonts w:hint="eastAsia"/>
                <w:sz w:val="24"/>
                <w:highlight w:val="none"/>
              </w:rPr>
              <w:t>1</w:t>
            </w:r>
          </w:p>
        </w:tc>
        <w:tc>
          <w:tcPr>
            <w:tcW w:w="2643" w:type="dxa"/>
            <w:tcBorders>
              <w:top w:val="single" w:color="000000" w:sz="4" w:space="0"/>
              <w:left w:val="single" w:color="000000" w:sz="4" w:space="0"/>
              <w:bottom w:val="single" w:color="000000" w:sz="4" w:space="0"/>
              <w:right w:val="single" w:color="000000" w:sz="4" w:space="0"/>
            </w:tcBorders>
            <w:vAlign w:val="center"/>
          </w:tcPr>
          <w:p w14:paraId="333E8EF8">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01FF8448">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42827CDF">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475F0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6B4481AB">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2</w:t>
            </w:r>
          </w:p>
        </w:tc>
        <w:tc>
          <w:tcPr>
            <w:tcW w:w="2643" w:type="dxa"/>
            <w:tcBorders>
              <w:top w:val="single" w:color="000000" w:sz="4" w:space="0"/>
              <w:left w:val="single" w:color="000000" w:sz="4" w:space="0"/>
              <w:bottom w:val="single" w:color="000000" w:sz="4" w:space="0"/>
              <w:right w:val="single" w:color="000000" w:sz="4" w:space="0"/>
            </w:tcBorders>
            <w:vAlign w:val="center"/>
          </w:tcPr>
          <w:p w14:paraId="3E2F7A7A">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3E7A6FD0">
            <w:pPr>
              <w:pStyle w:val="247"/>
              <w:pageBreakBefore w:val="0"/>
              <w:tabs>
                <w:tab w:val="left" w:pos="235"/>
              </w:tabs>
              <w:wordWrap w:val="0"/>
              <w:topLinePunct w:val="0"/>
              <w:bidi w:val="0"/>
              <w:spacing w:after="0" w:line="360" w:lineRule="auto"/>
              <w:ind w:left="1" w:leftChars="-43" w:hanging="91" w:hangingChars="38"/>
              <w:jc w:val="center"/>
              <w:textAlignment w:val="auto"/>
              <w:rPr>
                <w:rFonts w:hint="eastAsia"/>
                <w:sz w:val="30"/>
                <w:highlight w:val="none"/>
                <w:lang w:eastAsia="zh-CN"/>
              </w:rPr>
            </w:pPr>
            <w:r>
              <w:rPr>
                <w:rFonts w:hint="eastAsia"/>
                <w:sz w:val="24"/>
                <w:highlight w:val="none"/>
                <w:lang w:eastAsia="zh-CN"/>
              </w:rPr>
              <w:t>□中型企业□小微企业□其他</w:t>
            </w:r>
          </w:p>
        </w:tc>
        <w:tc>
          <w:tcPr>
            <w:tcW w:w="2269" w:type="dxa"/>
            <w:tcBorders>
              <w:top w:val="single" w:color="000000" w:sz="4" w:space="0"/>
              <w:left w:val="single" w:color="000000" w:sz="4" w:space="0"/>
              <w:bottom w:val="single" w:color="000000" w:sz="4" w:space="0"/>
              <w:right w:val="single" w:color="000000" w:sz="4" w:space="0"/>
            </w:tcBorders>
            <w:vAlign w:val="center"/>
          </w:tcPr>
          <w:p w14:paraId="7A206210">
            <w:pPr>
              <w:pStyle w:val="247"/>
              <w:pageBreakBefore w:val="0"/>
              <w:wordWrap w:val="0"/>
              <w:topLinePunct w:val="0"/>
              <w:bidi w:val="0"/>
              <w:spacing w:after="0" w:line="360" w:lineRule="auto"/>
              <w:jc w:val="center"/>
              <w:textAlignment w:val="auto"/>
              <w:rPr>
                <w:rFonts w:hint="eastAsia"/>
                <w:sz w:val="30"/>
                <w:highlight w:val="none"/>
                <w:lang w:eastAsia="zh-CN"/>
              </w:rPr>
            </w:pPr>
          </w:p>
        </w:tc>
      </w:tr>
      <w:tr w14:paraId="6E680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38" w:type="dxa"/>
            <w:tcBorders>
              <w:top w:val="single" w:color="000000" w:sz="4" w:space="0"/>
              <w:left w:val="single" w:color="000000" w:sz="4" w:space="0"/>
              <w:bottom w:val="single" w:color="000000" w:sz="4" w:space="0"/>
              <w:right w:val="single" w:color="000000" w:sz="4" w:space="0"/>
            </w:tcBorders>
            <w:vAlign w:val="center"/>
          </w:tcPr>
          <w:p w14:paraId="23D25CB8">
            <w:pPr>
              <w:pStyle w:val="247"/>
              <w:pageBreakBefore w:val="0"/>
              <w:wordWrap w:val="0"/>
              <w:topLinePunct w:val="0"/>
              <w:bidi w:val="0"/>
              <w:spacing w:after="0" w:line="360" w:lineRule="auto"/>
              <w:jc w:val="center"/>
              <w:textAlignment w:val="auto"/>
              <w:rPr>
                <w:rFonts w:hint="eastAsia"/>
                <w:sz w:val="24"/>
                <w:highlight w:val="none"/>
                <w:lang w:eastAsia="zh-CN"/>
              </w:rPr>
            </w:pPr>
            <w:r>
              <w:rPr>
                <w:rFonts w:hint="eastAsia"/>
                <w:sz w:val="24"/>
                <w:highlight w:val="none"/>
                <w:lang w:eastAsia="zh-CN"/>
              </w:rPr>
              <w:t>…</w:t>
            </w:r>
          </w:p>
        </w:tc>
        <w:tc>
          <w:tcPr>
            <w:tcW w:w="2643" w:type="dxa"/>
            <w:tcBorders>
              <w:top w:val="single" w:color="000000" w:sz="4" w:space="0"/>
              <w:left w:val="single" w:color="000000" w:sz="4" w:space="0"/>
              <w:bottom w:val="single" w:color="000000" w:sz="4" w:space="0"/>
              <w:right w:val="single" w:color="000000" w:sz="4" w:space="0"/>
            </w:tcBorders>
            <w:vAlign w:val="center"/>
          </w:tcPr>
          <w:p w14:paraId="583BB7A3">
            <w:pPr>
              <w:pStyle w:val="247"/>
              <w:pageBreakBefore w:val="0"/>
              <w:wordWrap w:val="0"/>
              <w:topLinePunct w:val="0"/>
              <w:bidi w:val="0"/>
              <w:spacing w:after="0" w:line="360" w:lineRule="auto"/>
              <w:jc w:val="center"/>
              <w:textAlignment w:val="auto"/>
              <w:rPr>
                <w:rFonts w:hint="eastAsia"/>
                <w:sz w:val="30"/>
                <w:highlight w:val="none"/>
              </w:rPr>
            </w:pPr>
          </w:p>
        </w:tc>
        <w:tc>
          <w:tcPr>
            <w:tcW w:w="3450" w:type="dxa"/>
            <w:tcBorders>
              <w:top w:val="single" w:color="000000" w:sz="4" w:space="0"/>
              <w:left w:val="single" w:color="000000" w:sz="4" w:space="0"/>
              <w:bottom w:val="single" w:color="000000" w:sz="4" w:space="0"/>
              <w:right w:val="single" w:color="000000" w:sz="4" w:space="0"/>
            </w:tcBorders>
            <w:vAlign w:val="center"/>
          </w:tcPr>
          <w:p w14:paraId="0600DC48">
            <w:pPr>
              <w:pStyle w:val="247"/>
              <w:pageBreakBefore w:val="0"/>
              <w:wordWrap w:val="0"/>
              <w:topLinePunct w:val="0"/>
              <w:bidi w:val="0"/>
              <w:spacing w:after="0" w:line="360" w:lineRule="auto"/>
              <w:jc w:val="center"/>
              <w:textAlignment w:val="auto"/>
              <w:rPr>
                <w:rFonts w:hint="eastAsia"/>
                <w:sz w:val="30"/>
                <w:highlight w:val="none"/>
              </w:rPr>
            </w:pPr>
          </w:p>
        </w:tc>
        <w:tc>
          <w:tcPr>
            <w:tcW w:w="2269" w:type="dxa"/>
            <w:tcBorders>
              <w:top w:val="single" w:color="000000" w:sz="4" w:space="0"/>
              <w:left w:val="single" w:color="000000" w:sz="4" w:space="0"/>
              <w:bottom w:val="single" w:color="000000" w:sz="4" w:space="0"/>
              <w:right w:val="single" w:color="000000" w:sz="4" w:space="0"/>
            </w:tcBorders>
            <w:vAlign w:val="center"/>
          </w:tcPr>
          <w:p w14:paraId="6A0F777E">
            <w:pPr>
              <w:pStyle w:val="247"/>
              <w:pageBreakBefore w:val="0"/>
              <w:wordWrap w:val="0"/>
              <w:topLinePunct w:val="0"/>
              <w:bidi w:val="0"/>
              <w:spacing w:after="0" w:line="360" w:lineRule="auto"/>
              <w:jc w:val="center"/>
              <w:textAlignment w:val="auto"/>
              <w:rPr>
                <w:rFonts w:hint="eastAsia"/>
                <w:sz w:val="30"/>
                <w:highlight w:val="none"/>
              </w:rPr>
            </w:pPr>
          </w:p>
        </w:tc>
      </w:tr>
      <w:tr w14:paraId="69EB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731" w:type="dxa"/>
            <w:gridSpan w:val="3"/>
            <w:tcBorders>
              <w:top w:val="single" w:color="000000" w:sz="4" w:space="0"/>
              <w:left w:val="single" w:color="000000" w:sz="4" w:space="0"/>
              <w:bottom w:val="single" w:color="000000" w:sz="4" w:space="0"/>
              <w:right w:val="single" w:color="000000" w:sz="4" w:space="0"/>
            </w:tcBorders>
            <w:vAlign w:val="center"/>
          </w:tcPr>
          <w:p w14:paraId="27AB9CD8">
            <w:pPr>
              <w:pStyle w:val="247"/>
              <w:pageBreakBefore w:val="0"/>
              <w:wordWrap w:val="0"/>
              <w:topLinePunct w:val="0"/>
              <w:bidi w:val="0"/>
              <w:spacing w:after="0" w:line="360" w:lineRule="auto"/>
              <w:ind w:right="57" w:rightChars="27"/>
              <w:jc w:val="right"/>
              <w:textAlignment w:val="auto"/>
              <w:rPr>
                <w:rFonts w:hint="eastAsia"/>
                <w:sz w:val="24"/>
                <w:highlight w:val="none"/>
                <w:lang w:eastAsia="zh-CN"/>
              </w:rPr>
            </w:pPr>
            <w:r>
              <w:rPr>
                <w:rFonts w:hint="eastAsia"/>
                <w:sz w:val="24"/>
                <w:highlight w:val="none"/>
                <w:lang w:eastAsia="zh-CN"/>
              </w:rPr>
              <w:t>合计：</w:t>
            </w:r>
          </w:p>
        </w:tc>
        <w:tc>
          <w:tcPr>
            <w:tcW w:w="2269" w:type="dxa"/>
            <w:tcBorders>
              <w:top w:val="single" w:color="000000" w:sz="4" w:space="0"/>
              <w:left w:val="single" w:color="000000" w:sz="4" w:space="0"/>
              <w:bottom w:val="single" w:color="000000" w:sz="4" w:space="0"/>
              <w:right w:val="single" w:color="000000" w:sz="4" w:space="0"/>
            </w:tcBorders>
            <w:vAlign w:val="center"/>
          </w:tcPr>
          <w:p w14:paraId="7DACD16C">
            <w:pPr>
              <w:pStyle w:val="247"/>
              <w:pageBreakBefore w:val="0"/>
              <w:wordWrap w:val="0"/>
              <w:topLinePunct w:val="0"/>
              <w:bidi w:val="0"/>
              <w:spacing w:after="0" w:line="360" w:lineRule="auto"/>
              <w:jc w:val="center"/>
              <w:textAlignment w:val="auto"/>
              <w:rPr>
                <w:rFonts w:hint="eastAsia"/>
                <w:sz w:val="30"/>
                <w:highlight w:val="none"/>
              </w:rPr>
            </w:pPr>
          </w:p>
        </w:tc>
      </w:tr>
    </w:tbl>
    <w:p w14:paraId="7BC2E59A">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w:t>
      </w:r>
    </w:p>
    <w:p w14:paraId="7EEF35C9">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2.供应商可根据自身响应实际情况，选择一种表格填报提交即可。</w:t>
      </w:r>
    </w:p>
    <w:p w14:paraId="39EF4F24">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3.本表应按包分别填写。</w:t>
      </w:r>
    </w:p>
    <w:p w14:paraId="2CBBD9F1">
      <w:pPr>
        <w:pageBreakBefore w:val="0"/>
        <w:tabs>
          <w:tab w:val="left" w:pos="1800"/>
          <w:tab w:val="left" w:pos="5580"/>
        </w:tabs>
        <w:wordWrap w:val="0"/>
        <w:topLinePunct w:val="0"/>
        <w:bidi w:val="0"/>
        <w:spacing w:after="0" w:line="360" w:lineRule="auto"/>
        <w:ind w:firstLine="480" w:firstLineChars="200"/>
        <w:jc w:val="left"/>
        <w:textAlignment w:val="auto"/>
        <w:rPr>
          <w:rFonts w:hint="eastAsia" w:ascii="宋体" w:hAnsi="宋体" w:cs="宋体"/>
          <w:color w:val="000000"/>
          <w:sz w:val="24"/>
          <w:highlight w:val="none"/>
        </w:rPr>
      </w:pPr>
      <w:r>
        <w:rPr>
          <w:rFonts w:hint="eastAsia" w:ascii="宋体" w:hAnsi="宋体" w:cs="宋体"/>
          <w:color w:val="000000"/>
          <w:sz w:val="24"/>
          <w:highlight w:val="none"/>
        </w:rPr>
        <w:t>4.此表无需在响应文件中提交，磋商后供应商按磋商小组要求提交。</w:t>
      </w:r>
    </w:p>
    <w:p w14:paraId="3DA4BF6D">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kern w:val="0"/>
          <w:sz w:val="24"/>
          <w:highlight w:val="none"/>
        </w:rPr>
      </w:pPr>
    </w:p>
    <w:p w14:paraId="7450A05F">
      <w:pPr>
        <w:pageBreakBefore w:val="0"/>
        <w:wordWrap w:val="0"/>
        <w:topLinePunct w:val="0"/>
        <w:autoSpaceDE w:val="0"/>
        <w:autoSpaceDN w:val="0"/>
        <w:bidi w:val="0"/>
        <w:adjustRightInd w:val="0"/>
        <w:snapToGrid w:val="0"/>
        <w:spacing w:before="25" w:after="0" w:line="360" w:lineRule="auto"/>
        <w:textAlignment w:val="auto"/>
        <w:rPr>
          <w:rFonts w:hint="eastAsia" w:ascii="宋体" w:hAnsi="宋体" w:cs="宋体"/>
          <w:color w:val="000000"/>
          <w:sz w:val="24"/>
          <w:highlight w:val="none"/>
          <w:lang w:val="zh-CN"/>
        </w:rPr>
      </w:pPr>
      <w:r>
        <w:rPr>
          <w:rFonts w:hint="eastAsia" w:ascii="宋体" w:hAnsi="宋体" w:cs="宋体"/>
          <w:kern w:val="0"/>
          <w:sz w:val="24"/>
          <w:highlight w:val="none"/>
        </w:rPr>
        <w:t>供应商授权代表签字（或加盖供应商公章）</w:t>
      </w:r>
      <w:r>
        <w:rPr>
          <w:rFonts w:hint="eastAsia" w:ascii="宋体" w:hAnsi="宋体" w:cs="宋体"/>
          <w:color w:val="000000"/>
          <w:sz w:val="24"/>
          <w:highlight w:val="none"/>
          <w:lang w:val="zh-CN"/>
        </w:rPr>
        <w:t>：</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 xml:space="preserve"> </w:t>
      </w:r>
    </w:p>
    <w:p w14:paraId="54254C4E">
      <w:pPr>
        <w:pageBreakBefore w:val="0"/>
        <w:tabs>
          <w:tab w:val="left" w:pos="1800"/>
          <w:tab w:val="left" w:pos="5580"/>
        </w:tabs>
        <w:wordWrap w:val="0"/>
        <w:topLinePunct w:val="0"/>
        <w:bidi w:val="0"/>
        <w:spacing w:after="0" w:line="360" w:lineRule="auto"/>
        <w:jc w:val="left"/>
        <w:textAlignment w:val="auto"/>
        <w:rPr>
          <w:rFonts w:hint="eastAsia" w:ascii="宋体" w:hAnsi="宋体" w:cs="宋体"/>
          <w:color w:val="000000"/>
          <w:sz w:val="24"/>
          <w:highlight w:val="none"/>
        </w:rPr>
      </w:pPr>
      <w:r>
        <w:rPr>
          <w:rFonts w:hint="eastAsia" w:ascii="宋体" w:hAnsi="宋体" w:cs="宋体"/>
          <w:color w:val="000000"/>
          <w:sz w:val="24"/>
          <w:szCs w:val="20"/>
          <w:highlight w:val="none"/>
        </w:rPr>
        <w:t>日期：</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szCs w:val="20"/>
          <w:highlight w:val="none"/>
        </w:rPr>
        <w:t>日</w:t>
      </w:r>
    </w:p>
    <w:sectPr>
      <w:pgSz w:w="11905" w:h="16838"/>
      <w:pgMar w:top="1474" w:right="1474" w:bottom="1474" w:left="1474" w:header="850" w:footer="992" w:gutter="0"/>
      <w:pgNumType w:fmt="decimal"/>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FB7F">
    <w:pPr>
      <w:pStyle w:val="29"/>
      <w:jc w:val="center"/>
    </w:pPr>
    <w:r>
      <w:fldChar w:fldCharType="begin"/>
    </w:r>
    <w:r>
      <w:instrText xml:space="preserve">PAGE   \* MERGEFORMAT</w:instrText>
    </w:r>
    <w:r>
      <w:fldChar w:fldCharType="separate"/>
    </w:r>
    <w:r>
      <w:rPr>
        <w:lang w:val="zh-CN"/>
      </w:rPr>
      <w:t>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007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B2D1">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AA819">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0AA819">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465A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718C4AFF">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2B80">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D659">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EE0D54">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1EE0D54">
                    <w:pPr>
                      <w:pStyle w:val="2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6CC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9822D">
                          <w:pPr>
                            <w:pStyle w:val="2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3E9822D">
                    <w:pPr>
                      <w:pStyle w:val="2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F129">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48075E2D">
    <w:pPr>
      <w:pStyle w:val="29"/>
      <w:ind w:right="360"/>
    </w:pPr>
  </w:p>
  <w:p w14:paraId="5DB4CB9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F7AEF">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BAB36">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01B418A1">
    <w:pPr>
      <w:pStyle w:val="29"/>
      <w:ind w:right="360"/>
    </w:pPr>
  </w:p>
  <w:p w14:paraId="75217C1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94C72">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9509">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8AE9">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1E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DA92">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C86F">
    <w:pPr>
      <w:pStyle w:val="30"/>
    </w:pPr>
  </w:p>
  <w:p w14:paraId="2113455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5AFD">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2F695">
    <w:pPr>
      <w:pStyle w:val="30"/>
    </w:pPr>
  </w:p>
  <w:p w14:paraId="146A809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331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5D9B7"/>
    <w:multiLevelType w:val="singleLevel"/>
    <w:tmpl w:val="EE05D9B7"/>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
  </w:num>
  <w:num w:numId="10">
    <w:abstractNumId w:val="10"/>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KvacnwVsNhw+YNd9XhmLrb+y0GI=" w:salt="hW8oyTIvJ31kwdahXJw6qw=="/>
  <w:defaultTabStop w:val="420"/>
  <w:drawingGridHorizontalSpacing w:val="210"/>
  <w:drawingGridVerticalSpacing w:val="9999999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DY0YWEyYmFkODQ0ODkxYWM0YzViNGVlOWMzMzVlNzkifQ=="/>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D3"/>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99A"/>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E1"/>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8D7"/>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A4"/>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5F6"/>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6FA5"/>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376"/>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7"/>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0F6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3FBC"/>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7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30"/>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8D1"/>
    <w:rsid w:val="009F3920"/>
    <w:rsid w:val="009F3948"/>
    <w:rsid w:val="009F3A1F"/>
    <w:rsid w:val="009F3F7A"/>
    <w:rsid w:val="009F3FE7"/>
    <w:rsid w:val="009F4049"/>
    <w:rsid w:val="009F423F"/>
    <w:rsid w:val="009F4244"/>
    <w:rsid w:val="009F4260"/>
    <w:rsid w:val="009F4304"/>
    <w:rsid w:val="009F44B2"/>
    <w:rsid w:val="009F494F"/>
    <w:rsid w:val="009F4A1C"/>
    <w:rsid w:val="009F4C1B"/>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B4"/>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D22"/>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A8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9F1"/>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03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AFE"/>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C84"/>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6F"/>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A5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FDB"/>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D6029"/>
    <w:rsid w:val="01132522"/>
    <w:rsid w:val="012313A8"/>
    <w:rsid w:val="01260E98"/>
    <w:rsid w:val="01303AC5"/>
    <w:rsid w:val="013B4944"/>
    <w:rsid w:val="01527EDF"/>
    <w:rsid w:val="019404F8"/>
    <w:rsid w:val="01A44B43"/>
    <w:rsid w:val="01C963F3"/>
    <w:rsid w:val="01DD3C4D"/>
    <w:rsid w:val="01EA0118"/>
    <w:rsid w:val="01EA70B3"/>
    <w:rsid w:val="01FD42EF"/>
    <w:rsid w:val="020624C0"/>
    <w:rsid w:val="02070CCA"/>
    <w:rsid w:val="021533E7"/>
    <w:rsid w:val="021A6C4F"/>
    <w:rsid w:val="021F6013"/>
    <w:rsid w:val="022E6257"/>
    <w:rsid w:val="02301FCF"/>
    <w:rsid w:val="024737BC"/>
    <w:rsid w:val="024D115D"/>
    <w:rsid w:val="026003DA"/>
    <w:rsid w:val="0264611C"/>
    <w:rsid w:val="027A149C"/>
    <w:rsid w:val="0288005D"/>
    <w:rsid w:val="029F7154"/>
    <w:rsid w:val="02C60B85"/>
    <w:rsid w:val="02FA25DD"/>
    <w:rsid w:val="03031491"/>
    <w:rsid w:val="030F42DA"/>
    <w:rsid w:val="03123DCA"/>
    <w:rsid w:val="03186EC8"/>
    <w:rsid w:val="03465822"/>
    <w:rsid w:val="03655CA8"/>
    <w:rsid w:val="03A53B02"/>
    <w:rsid w:val="03BA6178"/>
    <w:rsid w:val="03DD1CE2"/>
    <w:rsid w:val="03E2379C"/>
    <w:rsid w:val="03F71BE0"/>
    <w:rsid w:val="03F84D6E"/>
    <w:rsid w:val="043B1F2D"/>
    <w:rsid w:val="046225B0"/>
    <w:rsid w:val="04714B20"/>
    <w:rsid w:val="04787C5D"/>
    <w:rsid w:val="049C3EFF"/>
    <w:rsid w:val="049E62A1"/>
    <w:rsid w:val="04A22F2C"/>
    <w:rsid w:val="04A80D30"/>
    <w:rsid w:val="04B62533"/>
    <w:rsid w:val="04C44C50"/>
    <w:rsid w:val="04C64E6C"/>
    <w:rsid w:val="04C759C7"/>
    <w:rsid w:val="05085485"/>
    <w:rsid w:val="05184F9C"/>
    <w:rsid w:val="05436F4F"/>
    <w:rsid w:val="05531F28"/>
    <w:rsid w:val="05687CD1"/>
    <w:rsid w:val="058204B5"/>
    <w:rsid w:val="05B9052D"/>
    <w:rsid w:val="05F11A75"/>
    <w:rsid w:val="05F94DCD"/>
    <w:rsid w:val="05FD48BE"/>
    <w:rsid w:val="06064044"/>
    <w:rsid w:val="06163BD1"/>
    <w:rsid w:val="065B7836"/>
    <w:rsid w:val="0687062B"/>
    <w:rsid w:val="068B1EC9"/>
    <w:rsid w:val="06A411DD"/>
    <w:rsid w:val="06B07B82"/>
    <w:rsid w:val="06B62CBE"/>
    <w:rsid w:val="06DF0467"/>
    <w:rsid w:val="06EB6E0C"/>
    <w:rsid w:val="070B6B66"/>
    <w:rsid w:val="070E2AFA"/>
    <w:rsid w:val="071360F1"/>
    <w:rsid w:val="07866B35"/>
    <w:rsid w:val="079F3753"/>
    <w:rsid w:val="07BC2556"/>
    <w:rsid w:val="07BE007D"/>
    <w:rsid w:val="07CD02C0"/>
    <w:rsid w:val="07D7113E"/>
    <w:rsid w:val="07F33244"/>
    <w:rsid w:val="08145EEF"/>
    <w:rsid w:val="081952B3"/>
    <w:rsid w:val="08202AE5"/>
    <w:rsid w:val="08B22F96"/>
    <w:rsid w:val="08B900D4"/>
    <w:rsid w:val="08D4657B"/>
    <w:rsid w:val="08E458C1"/>
    <w:rsid w:val="08F0070A"/>
    <w:rsid w:val="08FF26FB"/>
    <w:rsid w:val="09297778"/>
    <w:rsid w:val="092D54BA"/>
    <w:rsid w:val="09475E50"/>
    <w:rsid w:val="095011A8"/>
    <w:rsid w:val="09664528"/>
    <w:rsid w:val="099C619C"/>
    <w:rsid w:val="09B71227"/>
    <w:rsid w:val="09B80F59"/>
    <w:rsid w:val="09EF451D"/>
    <w:rsid w:val="09F9539C"/>
    <w:rsid w:val="0A0A1357"/>
    <w:rsid w:val="0A1E12A6"/>
    <w:rsid w:val="0A3A7DC2"/>
    <w:rsid w:val="0A3C5699"/>
    <w:rsid w:val="0A3D172D"/>
    <w:rsid w:val="0A6A0048"/>
    <w:rsid w:val="0A6D18E6"/>
    <w:rsid w:val="0A856C30"/>
    <w:rsid w:val="0A9F23E7"/>
    <w:rsid w:val="0AAF0151"/>
    <w:rsid w:val="0AF67B2D"/>
    <w:rsid w:val="0B00275A"/>
    <w:rsid w:val="0B071EAE"/>
    <w:rsid w:val="0B0D1E69"/>
    <w:rsid w:val="0B2823DD"/>
    <w:rsid w:val="0B5C5BE2"/>
    <w:rsid w:val="0B660C1A"/>
    <w:rsid w:val="0B845139"/>
    <w:rsid w:val="0B884C29"/>
    <w:rsid w:val="0BDC31C7"/>
    <w:rsid w:val="0BFC1173"/>
    <w:rsid w:val="0C040028"/>
    <w:rsid w:val="0C142961"/>
    <w:rsid w:val="0C3E0055"/>
    <w:rsid w:val="0C476893"/>
    <w:rsid w:val="0C760F26"/>
    <w:rsid w:val="0CC25F19"/>
    <w:rsid w:val="0CD619C5"/>
    <w:rsid w:val="0CDF2F6F"/>
    <w:rsid w:val="0CEE4F60"/>
    <w:rsid w:val="0CFA1B57"/>
    <w:rsid w:val="0CFB142B"/>
    <w:rsid w:val="0CFB58CF"/>
    <w:rsid w:val="0D156991"/>
    <w:rsid w:val="0D99178C"/>
    <w:rsid w:val="0DA87805"/>
    <w:rsid w:val="0DAF0B93"/>
    <w:rsid w:val="0DC14423"/>
    <w:rsid w:val="0DCE6B40"/>
    <w:rsid w:val="0DD57ECE"/>
    <w:rsid w:val="0DDF2AFB"/>
    <w:rsid w:val="0DE85E53"/>
    <w:rsid w:val="0DF447F8"/>
    <w:rsid w:val="0DF90060"/>
    <w:rsid w:val="0E0B38F0"/>
    <w:rsid w:val="0E3C38B9"/>
    <w:rsid w:val="0E464928"/>
    <w:rsid w:val="0E59465B"/>
    <w:rsid w:val="0E884F40"/>
    <w:rsid w:val="0E8F2773"/>
    <w:rsid w:val="0E9F733F"/>
    <w:rsid w:val="0EA95AE9"/>
    <w:rsid w:val="0EBC4BEA"/>
    <w:rsid w:val="0EC86A0D"/>
    <w:rsid w:val="0EC95F88"/>
    <w:rsid w:val="0EFB3964"/>
    <w:rsid w:val="0F4446C6"/>
    <w:rsid w:val="0F452E31"/>
    <w:rsid w:val="0F4B669A"/>
    <w:rsid w:val="0F4C5F6E"/>
    <w:rsid w:val="0F59068B"/>
    <w:rsid w:val="0F735BF1"/>
    <w:rsid w:val="0FCE1079"/>
    <w:rsid w:val="0FD04DF1"/>
    <w:rsid w:val="0FEC61F7"/>
    <w:rsid w:val="0FF7237E"/>
    <w:rsid w:val="0FFE370C"/>
    <w:rsid w:val="10046849"/>
    <w:rsid w:val="100827DD"/>
    <w:rsid w:val="10195736"/>
    <w:rsid w:val="10505F32"/>
    <w:rsid w:val="10525806"/>
    <w:rsid w:val="10594DE6"/>
    <w:rsid w:val="10640EFB"/>
    <w:rsid w:val="107C0AD5"/>
    <w:rsid w:val="108F6A5A"/>
    <w:rsid w:val="10A818CA"/>
    <w:rsid w:val="10B10889"/>
    <w:rsid w:val="10F1501F"/>
    <w:rsid w:val="11405FA6"/>
    <w:rsid w:val="115C2EBC"/>
    <w:rsid w:val="11916802"/>
    <w:rsid w:val="11C72224"/>
    <w:rsid w:val="11E44B84"/>
    <w:rsid w:val="11F72B09"/>
    <w:rsid w:val="121216F1"/>
    <w:rsid w:val="12176D07"/>
    <w:rsid w:val="125735A8"/>
    <w:rsid w:val="126D2DCB"/>
    <w:rsid w:val="12706417"/>
    <w:rsid w:val="128123D2"/>
    <w:rsid w:val="128C628C"/>
    <w:rsid w:val="12B04A66"/>
    <w:rsid w:val="12DC585B"/>
    <w:rsid w:val="12F2507E"/>
    <w:rsid w:val="1315735E"/>
    <w:rsid w:val="13394A5B"/>
    <w:rsid w:val="133D09EF"/>
    <w:rsid w:val="13427DB4"/>
    <w:rsid w:val="13631AD8"/>
    <w:rsid w:val="13675A6C"/>
    <w:rsid w:val="137141F5"/>
    <w:rsid w:val="137912FC"/>
    <w:rsid w:val="13AC7923"/>
    <w:rsid w:val="13C74BBE"/>
    <w:rsid w:val="13CA2663"/>
    <w:rsid w:val="13D36C5E"/>
    <w:rsid w:val="1404150D"/>
    <w:rsid w:val="1432607A"/>
    <w:rsid w:val="14353475"/>
    <w:rsid w:val="143D057B"/>
    <w:rsid w:val="14755F67"/>
    <w:rsid w:val="147F0B94"/>
    <w:rsid w:val="14951E1C"/>
    <w:rsid w:val="14A30D26"/>
    <w:rsid w:val="14BC3B96"/>
    <w:rsid w:val="14C44849"/>
    <w:rsid w:val="14E31122"/>
    <w:rsid w:val="14E76E65"/>
    <w:rsid w:val="15007F26"/>
    <w:rsid w:val="15080B89"/>
    <w:rsid w:val="15155054"/>
    <w:rsid w:val="1525173B"/>
    <w:rsid w:val="15267261"/>
    <w:rsid w:val="152F25BA"/>
    <w:rsid w:val="154F4A0A"/>
    <w:rsid w:val="1565422D"/>
    <w:rsid w:val="157B75AD"/>
    <w:rsid w:val="157E709D"/>
    <w:rsid w:val="15AC59B8"/>
    <w:rsid w:val="15C26F8A"/>
    <w:rsid w:val="15C9016D"/>
    <w:rsid w:val="15C9656A"/>
    <w:rsid w:val="15CC7E09"/>
    <w:rsid w:val="15CE1DD3"/>
    <w:rsid w:val="15E45152"/>
    <w:rsid w:val="15EA64E1"/>
    <w:rsid w:val="15F335E7"/>
    <w:rsid w:val="15FB249C"/>
    <w:rsid w:val="1609105D"/>
    <w:rsid w:val="162E461F"/>
    <w:rsid w:val="163E3107"/>
    <w:rsid w:val="16556050"/>
    <w:rsid w:val="16557DFE"/>
    <w:rsid w:val="1675224E"/>
    <w:rsid w:val="16887D19"/>
    <w:rsid w:val="16AB3EC2"/>
    <w:rsid w:val="16D03928"/>
    <w:rsid w:val="16EA2C3C"/>
    <w:rsid w:val="16F413C5"/>
    <w:rsid w:val="171F21BA"/>
    <w:rsid w:val="172B6DB1"/>
    <w:rsid w:val="17312619"/>
    <w:rsid w:val="17463BEB"/>
    <w:rsid w:val="17544559"/>
    <w:rsid w:val="17577BA6"/>
    <w:rsid w:val="17740758"/>
    <w:rsid w:val="178F10EE"/>
    <w:rsid w:val="17B15508"/>
    <w:rsid w:val="17B44FF8"/>
    <w:rsid w:val="17CC40F0"/>
    <w:rsid w:val="17D46287"/>
    <w:rsid w:val="17F93E0B"/>
    <w:rsid w:val="18194E5B"/>
    <w:rsid w:val="18383533"/>
    <w:rsid w:val="183879D7"/>
    <w:rsid w:val="183D4FEE"/>
    <w:rsid w:val="184D216A"/>
    <w:rsid w:val="18581E27"/>
    <w:rsid w:val="187229F5"/>
    <w:rsid w:val="188624F1"/>
    <w:rsid w:val="18890233"/>
    <w:rsid w:val="189270E7"/>
    <w:rsid w:val="19067AD5"/>
    <w:rsid w:val="19341F4D"/>
    <w:rsid w:val="19406B43"/>
    <w:rsid w:val="194128BC"/>
    <w:rsid w:val="194D2C0B"/>
    <w:rsid w:val="19744A3F"/>
    <w:rsid w:val="19A05834"/>
    <w:rsid w:val="19A13809"/>
    <w:rsid w:val="19B808EA"/>
    <w:rsid w:val="19D76D7C"/>
    <w:rsid w:val="1A1A55E6"/>
    <w:rsid w:val="1A2024D1"/>
    <w:rsid w:val="1A270DC3"/>
    <w:rsid w:val="1A2975D8"/>
    <w:rsid w:val="1A401FFC"/>
    <w:rsid w:val="1A4E34E2"/>
    <w:rsid w:val="1A654388"/>
    <w:rsid w:val="1A75281D"/>
    <w:rsid w:val="1AB8095B"/>
    <w:rsid w:val="1ABC48F0"/>
    <w:rsid w:val="1ABD41C4"/>
    <w:rsid w:val="1ABD5F72"/>
    <w:rsid w:val="1ABF3CDF"/>
    <w:rsid w:val="1AC6751C"/>
    <w:rsid w:val="1AE50ED5"/>
    <w:rsid w:val="1AE71241"/>
    <w:rsid w:val="1AFC1190"/>
    <w:rsid w:val="1B0060D2"/>
    <w:rsid w:val="1B261D69"/>
    <w:rsid w:val="1B3C158C"/>
    <w:rsid w:val="1B3F2E2B"/>
    <w:rsid w:val="1B5607CD"/>
    <w:rsid w:val="1B6A60FA"/>
    <w:rsid w:val="1B813443"/>
    <w:rsid w:val="1B8D003A"/>
    <w:rsid w:val="1B8F790E"/>
    <w:rsid w:val="1B993C3C"/>
    <w:rsid w:val="1BA55384"/>
    <w:rsid w:val="1BAD5FE6"/>
    <w:rsid w:val="1BBE4697"/>
    <w:rsid w:val="1BD17F27"/>
    <w:rsid w:val="1C00080C"/>
    <w:rsid w:val="1C4050AC"/>
    <w:rsid w:val="1C455CA5"/>
    <w:rsid w:val="1C694603"/>
    <w:rsid w:val="1C6A3ED7"/>
    <w:rsid w:val="1C730FDE"/>
    <w:rsid w:val="1C8925AF"/>
    <w:rsid w:val="1CB3762C"/>
    <w:rsid w:val="1CCE4466"/>
    <w:rsid w:val="1CE95744"/>
    <w:rsid w:val="1CF06AD2"/>
    <w:rsid w:val="1CF163A7"/>
    <w:rsid w:val="1D2C69D2"/>
    <w:rsid w:val="1D383FD6"/>
    <w:rsid w:val="1D412E8A"/>
    <w:rsid w:val="1D4604A0"/>
    <w:rsid w:val="1D69418F"/>
    <w:rsid w:val="1D9E652E"/>
    <w:rsid w:val="1DA82F09"/>
    <w:rsid w:val="1DAA4ED3"/>
    <w:rsid w:val="1DE859FC"/>
    <w:rsid w:val="1E075E82"/>
    <w:rsid w:val="1E18008F"/>
    <w:rsid w:val="1E470974"/>
    <w:rsid w:val="1E7F389C"/>
    <w:rsid w:val="1E8C604D"/>
    <w:rsid w:val="1E960FB4"/>
    <w:rsid w:val="1E9D2342"/>
    <w:rsid w:val="1EB06519"/>
    <w:rsid w:val="1EC43D73"/>
    <w:rsid w:val="1ED41ADC"/>
    <w:rsid w:val="1ED85A70"/>
    <w:rsid w:val="1F150595"/>
    <w:rsid w:val="1F1B770B"/>
    <w:rsid w:val="1F3C7DAD"/>
    <w:rsid w:val="1F6E6131"/>
    <w:rsid w:val="1F861028"/>
    <w:rsid w:val="1F86727A"/>
    <w:rsid w:val="1F9951FF"/>
    <w:rsid w:val="1FDC50EC"/>
    <w:rsid w:val="1FF561AE"/>
    <w:rsid w:val="20124432"/>
    <w:rsid w:val="201E16E6"/>
    <w:rsid w:val="202076CF"/>
    <w:rsid w:val="207F2647"/>
    <w:rsid w:val="208E288A"/>
    <w:rsid w:val="208F03B0"/>
    <w:rsid w:val="20BD316F"/>
    <w:rsid w:val="20C20786"/>
    <w:rsid w:val="20D3029D"/>
    <w:rsid w:val="20D364EF"/>
    <w:rsid w:val="20D44015"/>
    <w:rsid w:val="20D81D57"/>
    <w:rsid w:val="20E97AC1"/>
    <w:rsid w:val="20EA55E7"/>
    <w:rsid w:val="21333432"/>
    <w:rsid w:val="213A031C"/>
    <w:rsid w:val="21C1390C"/>
    <w:rsid w:val="21EB1616"/>
    <w:rsid w:val="21F735E1"/>
    <w:rsid w:val="22275183"/>
    <w:rsid w:val="222F1E4B"/>
    <w:rsid w:val="224F429B"/>
    <w:rsid w:val="225C60FA"/>
    <w:rsid w:val="22791318"/>
    <w:rsid w:val="2298377C"/>
    <w:rsid w:val="22BB548D"/>
    <w:rsid w:val="22C500B9"/>
    <w:rsid w:val="22D402FC"/>
    <w:rsid w:val="22EF3388"/>
    <w:rsid w:val="231A0405"/>
    <w:rsid w:val="23386ADD"/>
    <w:rsid w:val="23623B5A"/>
    <w:rsid w:val="2369313B"/>
    <w:rsid w:val="238E494F"/>
    <w:rsid w:val="239E00B4"/>
    <w:rsid w:val="23B23B5F"/>
    <w:rsid w:val="23D83E1C"/>
    <w:rsid w:val="240510B5"/>
    <w:rsid w:val="245A2A83"/>
    <w:rsid w:val="245E4322"/>
    <w:rsid w:val="248D4C07"/>
    <w:rsid w:val="249E0BC2"/>
    <w:rsid w:val="24B46637"/>
    <w:rsid w:val="24D07C50"/>
    <w:rsid w:val="250E5D48"/>
    <w:rsid w:val="25140E84"/>
    <w:rsid w:val="251E74A4"/>
    <w:rsid w:val="25275F7D"/>
    <w:rsid w:val="252E056F"/>
    <w:rsid w:val="25590984"/>
    <w:rsid w:val="255D3476"/>
    <w:rsid w:val="25651981"/>
    <w:rsid w:val="256C2A6E"/>
    <w:rsid w:val="257302A1"/>
    <w:rsid w:val="258B35B3"/>
    <w:rsid w:val="25AC730F"/>
    <w:rsid w:val="25B34B41"/>
    <w:rsid w:val="25BF7042"/>
    <w:rsid w:val="25E940BF"/>
    <w:rsid w:val="25F52A64"/>
    <w:rsid w:val="26154EB4"/>
    <w:rsid w:val="262339B3"/>
    <w:rsid w:val="262B2929"/>
    <w:rsid w:val="26527EB6"/>
    <w:rsid w:val="265453B2"/>
    <w:rsid w:val="265754CC"/>
    <w:rsid w:val="26647BE9"/>
    <w:rsid w:val="2666570F"/>
    <w:rsid w:val="266876DA"/>
    <w:rsid w:val="267E0CAB"/>
    <w:rsid w:val="26926505"/>
    <w:rsid w:val="26AA1AA0"/>
    <w:rsid w:val="26D44D6F"/>
    <w:rsid w:val="26D92385"/>
    <w:rsid w:val="26DE4A87"/>
    <w:rsid w:val="26E86A6C"/>
    <w:rsid w:val="26F176CF"/>
    <w:rsid w:val="26FD3AB6"/>
    <w:rsid w:val="27084A19"/>
    <w:rsid w:val="270D202F"/>
    <w:rsid w:val="274E68CF"/>
    <w:rsid w:val="2755685C"/>
    <w:rsid w:val="2765535C"/>
    <w:rsid w:val="27843CE5"/>
    <w:rsid w:val="278542BB"/>
    <w:rsid w:val="27897907"/>
    <w:rsid w:val="278C73F8"/>
    <w:rsid w:val="27910EB2"/>
    <w:rsid w:val="27962024"/>
    <w:rsid w:val="27B32BD6"/>
    <w:rsid w:val="27B4707A"/>
    <w:rsid w:val="27CE1D41"/>
    <w:rsid w:val="27DD7C53"/>
    <w:rsid w:val="27DF5779"/>
    <w:rsid w:val="27E92A9C"/>
    <w:rsid w:val="28017DE6"/>
    <w:rsid w:val="280478D6"/>
    <w:rsid w:val="280E605F"/>
    <w:rsid w:val="283A50A6"/>
    <w:rsid w:val="285A74F6"/>
    <w:rsid w:val="286D0FD7"/>
    <w:rsid w:val="288D3427"/>
    <w:rsid w:val="28B766F6"/>
    <w:rsid w:val="28C6153A"/>
    <w:rsid w:val="28CF62FC"/>
    <w:rsid w:val="28D64DCE"/>
    <w:rsid w:val="28E31299"/>
    <w:rsid w:val="28F2772E"/>
    <w:rsid w:val="29057462"/>
    <w:rsid w:val="29192F0D"/>
    <w:rsid w:val="291F1B43"/>
    <w:rsid w:val="29325D7D"/>
    <w:rsid w:val="29341449"/>
    <w:rsid w:val="2973261D"/>
    <w:rsid w:val="297B5976"/>
    <w:rsid w:val="298B3F37"/>
    <w:rsid w:val="298F4F7D"/>
    <w:rsid w:val="29A94D9A"/>
    <w:rsid w:val="29C235A5"/>
    <w:rsid w:val="29C76E0D"/>
    <w:rsid w:val="29EB69CB"/>
    <w:rsid w:val="29F319B0"/>
    <w:rsid w:val="29FF0355"/>
    <w:rsid w:val="2A0C4820"/>
    <w:rsid w:val="2A1831C5"/>
    <w:rsid w:val="2A1C2CB5"/>
    <w:rsid w:val="2A4B359A"/>
    <w:rsid w:val="2A4D10C0"/>
    <w:rsid w:val="2A7D4187"/>
    <w:rsid w:val="2AB50D09"/>
    <w:rsid w:val="2AD03A9F"/>
    <w:rsid w:val="2AD27817"/>
    <w:rsid w:val="2AFE060C"/>
    <w:rsid w:val="2B053749"/>
    <w:rsid w:val="2B3E4EAD"/>
    <w:rsid w:val="2B4029D3"/>
    <w:rsid w:val="2B54663C"/>
    <w:rsid w:val="2B724B56"/>
    <w:rsid w:val="2BBF5C96"/>
    <w:rsid w:val="2BC74EA2"/>
    <w:rsid w:val="2BD82C0B"/>
    <w:rsid w:val="2BDA4F78"/>
    <w:rsid w:val="2BDA67DF"/>
    <w:rsid w:val="2BF5596C"/>
    <w:rsid w:val="2BFA5278"/>
    <w:rsid w:val="2C2E4F21"/>
    <w:rsid w:val="2C300CD1"/>
    <w:rsid w:val="2C3818FC"/>
    <w:rsid w:val="2C412EA7"/>
    <w:rsid w:val="2C4402A1"/>
    <w:rsid w:val="2C471B3F"/>
    <w:rsid w:val="2C610E53"/>
    <w:rsid w:val="2C66290D"/>
    <w:rsid w:val="2C697D08"/>
    <w:rsid w:val="2C75051B"/>
    <w:rsid w:val="2C934EF1"/>
    <w:rsid w:val="2CA62D0A"/>
    <w:rsid w:val="2CC82C80"/>
    <w:rsid w:val="2CC94C4A"/>
    <w:rsid w:val="2CDE06F5"/>
    <w:rsid w:val="2CF75313"/>
    <w:rsid w:val="2D12039F"/>
    <w:rsid w:val="2D1C0C0C"/>
    <w:rsid w:val="2D481418"/>
    <w:rsid w:val="2D5704A8"/>
    <w:rsid w:val="2D8748E9"/>
    <w:rsid w:val="2D8B00C8"/>
    <w:rsid w:val="2D9139BA"/>
    <w:rsid w:val="2DAB5E90"/>
    <w:rsid w:val="2DB72CF5"/>
    <w:rsid w:val="2DC84F02"/>
    <w:rsid w:val="2DEE2BBA"/>
    <w:rsid w:val="2E051CB2"/>
    <w:rsid w:val="2E0E0B66"/>
    <w:rsid w:val="2E156399"/>
    <w:rsid w:val="2E2A1718"/>
    <w:rsid w:val="2E2C36E3"/>
    <w:rsid w:val="2E33681F"/>
    <w:rsid w:val="2E3D144C"/>
    <w:rsid w:val="2E3F51C4"/>
    <w:rsid w:val="2E4C168F"/>
    <w:rsid w:val="2E70537D"/>
    <w:rsid w:val="2EA52121"/>
    <w:rsid w:val="2EA56F30"/>
    <w:rsid w:val="2EB84F76"/>
    <w:rsid w:val="2F177EEF"/>
    <w:rsid w:val="2F5922B5"/>
    <w:rsid w:val="2F6B1FE9"/>
    <w:rsid w:val="2F7470EF"/>
    <w:rsid w:val="2FD8767E"/>
    <w:rsid w:val="30006BD5"/>
    <w:rsid w:val="30010B15"/>
    <w:rsid w:val="30093CDB"/>
    <w:rsid w:val="30191A45"/>
    <w:rsid w:val="3029612C"/>
    <w:rsid w:val="302D729E"/>
    <w:rsid w:val="30395C43"/>
    <w:rsid w:val="304F5446"/>
    <w:rsid w:val="306A22A0"/>
    <w:rsid w:val="30717AD3"/>
    <w:rsid w:val="3098505F"/>
    <w:rsid w:val="30990960"/>
    <w:rsid w:val="30A457B2"/>
    <w:rsid w:val="30DD6F16"/>
    <w:rsid w:val="31046251"/>
    <w:rsid w:val="312468F3"/>
    <w:rsid w:val="31336B36"/>
    <w:rsid w:val="31400623"/>
    <w:rsid w:val="3148438F"/>
    <w:rsid w:val="3183186B"/>
    <w:rsid w:val="31927D00"/>
    <w:rsid w:val="31B00187"/>
    <w:rsid w:val="31D420C7"/>
    <w:rsid w:val="32096681"/>
    <w:rsid w:val="32116E77"/>
    <w:rsid w:val="322D17D7"/>
    <w:rsid w:val="32554A80"/>
    <w:rsid w:val="325D20BC"/>
    <w:rsid w:val="32650F71"/>
    <w:rsid w:val="32700042"/>
    <w:rsid w:val="32CE6B16"/>
    <w:rsid w:val="32E14A9C"/>
    <w:rsid w:val="32EB653A"/>
    <w:rsid w:val="32EE71B8"/>
    <w:rsid w:val="32F02F31"/>
    <w:rsid w:val="32F26CA9"/>
    <w:rsid w:val="32F50547"/>
    <w:rsid w:val="332E1CAB"/>
    <w:rsid w:val="33613E2E"/>
    <w:rsid w:val="336A2CE3"/>
    <w:rsid w:val="337D69FA"/>
    <w:rsid w:val="338418CB"/>
    <w:rsid w:val="33CF2B46"/>
    <w:rsid w:val="33DC34B5"/>
    <w:rsid w:val="33F001AC"/>
    <w:rsid w:val="34050F42"/>
    <w:rsid w:val="34056568"/>
    <w:rsid w:val="34160775"/>
    <w:rsid w:val="34254E5C"/>
    <w:rsid w:val="344572AC"/>
    <w:rsid w:val="346314E0"/>
    <w:rsid w:val="34675474"/>
    <w:rsid w:val="346F60D7"/>
    <w:rsid w:val="34757B91"/>
    <w:rsid w:val="34781430"/>
    <w:rsid w:val="34802092"/>
    <w:rsid w:val="34A2025B"/>
    <w:rsid w:val="34AC10D9"/>
    <w:rsid w:val="34C208FD"/>
    <w:rsid w:val="34CC3529"/>
    <w:rsid w:val="34D05CDE"/>
    <w:rsid w:val="34D10B40"/>
    <w:rsid w:val="34DF14AF"/>
    <w:rsid w:val="34E42621"/>
    <w:rsid w:val="35154ED0"/>
    <w:rsid w:val="351729F7"/>
    <w:rsid w:val="351C000D"/>
    <w:rsid w:val="35417A73"/>
    <w:rsid w:val="35633F7F"/>
    <w:rsid w:val="359A6C78"/>
    <w:rsid w:val="35D83DA9"/>
    <w:rsid w:val="35E46651"/>
    <w:rsid w:val="35EA010B"/>
    <w:rsid w:val="35ED7BFB"/>
    <w:rsid w:val="35FE7442"/>
    <w:rsid w:val="36301896"/>
    <w:rsid w:val="363D29EE"/>
    <w:rsid w:val="36541A28"/>
    <w:rsid w:val="3660217B"/>
    <w:rsid w:val="366C0B20"/>
    <w:rsid w:val="36743E79"/>
    <w:rsid w:val="367E6AA5"/>
    <w:rsid w:val="3683176F"/>
    <w:rsid w:val="36845B50"/>
    <w:rsid w:val="369462C9"/>
    <w:rsid w:val="36C26992"/>
    <w:rsid w:val="36C3270A"/>
    <w:rsid w:val="36C50230"/>
    <w:rsid w:val="36C77679"/>
    <w:rsid w:val="36DE12F2"/>
    <w:rsid w:val="36E27034"/>
    <w:rsid w:val="36F079A3"/>
    <w:rsid w:val="36F77460"/>
    <w:rsid w:val="3709636F"/>
    <w:rsid w:val="370E1BD7"/>
    <w:rsid w:val="370E7E29"/>
    <w:rsid w:val="373A29CC"/>
    <w:rsid w:val="37922808"/>
    <w:rsid w:val="379540A7"/>
    <w:rsid w:val="37AB1B1C"/>
    <w:rsid w:val="37B61ECD"/>
    <w:rsid w:val="37B81B43"/>
    <w:rsid w:val="37BA43E6"/>
    <w:rsid w:val="37BC7885"/>
    <w:rsid w:val="37CD3474"/>
    <w:rsid w:val="37DD1C56"/>
    <w:rsid w:val="37DE77FC"/>
    <w:rsid w:val="37E868CC"/>
    <w:rsid w:val="37F665EC"/>
    <w:rsid w:val="37FE7E9E"/>
    <w:rsid w:val="382275F5"/>
    <w:rsid w:val="384855BD"/>
    <w:rsid w:val="38507FCD"/>
    <w:rsid w:val="38514471"/>
    <w:rsid w:val="38563836"/>
    <w:rsid w:val="38804D57"/>
    <w:rsid w:val="38C05153"/>
    <w:rsid w:val="38CA7D80"/>
    <w:rsid w:val="38D64977"/>
    <w:rsid w:val="38D94467"/>
    <w:rsid w:val="38E76B84"/>
    <w:rsid w:val="38F2694B"/>
    <w:rsid w:val="390C1745"/>
    <w:rsid w:val="39335925"/>
    <w:rsid w:val="3958538C"/>
    <w:rsid w:val="395A1104"/>
    <w:rsid w:val="39627FB8"/>
    <w:rsid w:val="397228F1"/>
    <w:rsid w:val="397C551E"/>
    <w:rsid w:val="39861EF9"/>
    <w:rsid w:val="398E5251"/>
    <w:rsid w:val="399F7A72"/>
    <w:rsid w:val="39A70B0F"/>
    <w:rsid w:val="39AD3929"/>
    <w:rsid w:val="39EA2D8B"/>
    <w:rsid w:val="39F8091D"/>
    <w:rsid w:val="3A0B4AF4"/>
    <w:rsid w:val="3A821748"/>
    <w:rsid w:val="3AB900AC"/>
    <w:rsid w:val="3ACC4283"/>
    <w:rsid w:val="3AD15273"/>
    <w:rsid w:val="3AE72E6B"/>
    <w:rsid w:val="3AEC222F"/>
    <w:rsid w:val="3AFB2473"/>
    <w:rsid w:val="3AFE7DD5"/>
    <w:rsid w:val="3B2A0FAA"/>
    <w:rsid w:val="3B334302"/>
    <w:rsid w:val="3B3B4F65"/>
    <w:rsid w:val="3B4A33FA"/>
    <w:rsid w:val="3B4E7867"/>
    <w:rsid w:val="3B5B73B5"/>
    <w:rsid w:val="3B5F6EA5"/>
    <w:rsid w:val="3B602C1D"/>
    <w:rsid w:val="3B611832"/>
    <w:rsid w:val="3B6C396A"/>
    <w:rsid w:val="3B8B7C9A"/>
    <w:rsid w:val="3BA90120"/>
    <w:rsid w:val="3BBF5F54"/>
    <w:rsid w:val="3BC1190E"/>
    <w:rsid w:val="3BCB0097"/>
    <w:rsid w:val="3BCB6780"/>
    <w:rsid w:val="3BD322AF"/>
    <w:rsid w:val="3BDA477E"/>
    <w:rsid w:val="3C487939"/>
    <w:rsid w:val="3C4F1746"/>
    <w:rsid w:val="3C5E715D"/>
    <w:rsid w:val="3C616C4D"/>
    <w:rsid w:val="3C6504EB"/>
    <w:rsid w:val="3CA134EE"/>
    <w:rsid w:val="3CC21B20"/>
    <w:rsid w:val="3CDE029E"/>
    <w:rsid w:val="3D08531B"/>
    <w:rsid w:val="3D0D2931"/>
    <w:rsid w:val="3D0F2205"/>
    <w:rsid w:val="3D204412"/>
    <w:rsid w:val="3D2A6394"/>
    <w:rsid w:val="3D597924"/>
    <w:rsid w:val="3D622C7D"/>
    <w:rsid w:val="3D6A7650"/>
    <w:rsid w:val="3DA45043"/>
    <w:rsid w:val="3DBA6615"/>
    <w:rsid w:val="3DD516A1"/>
    <w:rsid w:val="3DE25B6C"/>
    <w:rsid w:val="3DF5764D"/>
    <w:rsid w:val="3E3143FD"/>
    <w:rsid w:val="3E530817"/>
    <w:rsid w:val="3EA572C5"/>
    <w:rsid w:val="3EC7672F"/>
    <w:rsid w:val="3ECD05CA"/>
    <w:rsid w:val="3ED71FF0"/>
    <w:rsid w:val="3EEF046D"/>
    <w:rsid w:val="3F253D28"/>
    <w:rsid w:val="3F32189E"/>
    <w:rsid w:val="3F476B9F"/>
    <w:rsid w:val="3F5356B7"/>
    <w:rsid w:val="3F584337"/>
    <w:rsid w:val="3F743FC9"/>
    <w:rsid w:val="3F9335C1"/>
    <w:rsid w:val="3FAE3F57"/>
    <w:rsid w:val="3FC63871"/>
    <w:rsid w:val="3FE91433"/>
    <w:rsid w:val="3FF5F3AE"/>
    <w:rsid w:val="3FFA53EF"/>
    <w:rsid w:val="3FFA719D"/>
    <w:rsid w:val="400973E0"/>
    <w:rsid w:val="40240823"/>
    <w:rsid w:val="403A57EB"/>
    <w:rsid w:val="403E0931"/>
    <w:rsid w:val="40416B7A"/>
    <w:rsid w:val="40442B0E"/>
    <w:rsid w:val="405F5252"/>
    <w:rsid w:val="407056B1"/>
    <w:rsid w:val="4077259B"/>
    <w:rsid w:val="40A13ABC"/>
    <w:rsid w:val="40A315E2"/>
    <w:rsid w:val="40AC39CF"/>
    <w:rsid w:val="40AF61D9"/>
    <w:rsid w:val="40BA4B7E"/>
    <w:rsid w:val="40CF687B"/>
    <w:rsid w:val="40F0234E"/>
    <w:rsid w:val="40F025E8"/>
    <w:rsid w:val="40F736DC"/>
    <w:rsid w:val="40FD49D1"/>
    <w:rsid w:val="41474664"/>
    <w:rsid w:val="414F176A"/>
    <w:rsid w:val="41566655"/>
    <w:rsid w:val="418A4550"/>
    <w:rsid w:val="418D5DEE"/>
    <w:rsid w:val="41AA69A0"/>
    <w:rsid w:val="41FF0A9A"/>
    <w:rsid w:val="42254279"/>
    <w:rsid w:val="42446DF5"/>
    <w:rsid w:val="42733236"/>
    <w:rsid w:val="4278084D"/>
    <w:rsid w:val="42903DE8"/>
    <w:rsid w:val="429C09DF"/>
    <w:rsid w:val="429C278D"/>
    <w:rsid w:val="42C13A57"/>
    <w:rsid w:val="42CD0A98"/>
    <w:rsid w:val="42D27F5D"/>
    <w:rsid w:val="42D9578F"/>
    <w:rsid w:val="42DA5063"/>
    <w:rsid w:val="42DB6C41"/>
    <w:rsid w:val="431A0C09"/>
    <w:rsid w:val="432F1853"/>
    <w:rsid w:val="432F3601"/>
    <w:rsid w:val="43727992"/>
    <w:rsid w:val="439A302D"/>
    <w:rsid w:val="43A044FF"/>
    <w:rsid w:val="43B14016"/>
    <w:rsid w:val="43BD6E5F"/>
    <w:rsid w:val="43C04259"/>
    <w:rsid w:val="43EC504E"/>
    <w:rsid w:val="441A7E0D"/>
    <w:rsid w:val="442944F4"/>
    <w:rsid w:val="444F55DD"/>
    <w:rsid w:val="445448B1"/>
    <w:rsid w:val="447A2AD1"/>
    <w:rsid w:val="44A122DD"/>
    <w:rsid w:val="44AB4F09"/>
    <w:rsid w:val="44DF2E05"/>
    <w:rsid w:val="44EC107E"/>
    <w:rsid w:val="4517434D"/>
    <w:rsid w:val="451A5BEB"/>
    <w:rsid w:val="45392515"/>
    <w:rsid w:val="453B5A2B"/>
    <w:rsid w:val="4574179F"/>
    <w:rsid w:val="45864B7E"/>
    <w:rsid w:val="45921C25"/>
    <w:rsid w:val="45A51959"/>
    <w:rsid w:val="45A8114F"/>
    <w:rsid w:val="45BE0C6C"/>
    <w:rsid w:val="461D5993"/>
    <w:rsid w:val="46340F2E"/>
    <w:rsid w:val="46362EF9"/>
    <w:rsid w:val="463D4287"/>
    <w:rsid w:val="464E0242"/>
    <w:rsid w:val="466435C2"/>
    <w:rsid w:val="46A00372"/>
    <w:rsid w:val="46BF4C9C"/>
    <w:rsid w:val="46C202E8"/>
    <w:rsid w:val="46EE10DD"/>
    <w:rsid w:val="47022DDB"/>
    <w:rsid w:val="47060B1D"/>
    <w:rsid w:val="4710374A"/>
    <w:rsid w:val="475E44B5"/>
    <w:rsid w:val="475F022D"/>
    <w:rsid w:val="479C4FDD"/>
    <w:rsid w:val="479E0D55"/>
    <w:rsid w:val="47A125F4"/>
    <w:rsid w:val="47D227AD"/>
    <w:rsid w:val="47E250E6"/>
    <w:rsid w:val="47E349BA"/>
    <w:rsid w:val="47F15329"/>
    <w:rsid w:val="480E2158"/>
    <w:rsid w:val="482079BC"/>
    <w:rsid w:val="48384D06"/>
    <w:rsid w:val="483B65A4"/>
    <w:rsid w:val="483C6D09"/>
    <w:rsid w:val="48480CC1"/>
    <w:rsid w:val="485853A8"/>
    <w:rsid w:val="486024AF"/>
    <w:rsid w:val="48684BFE"/>
    <w:rsid w:val="48802209"/>
    <w:rsid w:val="48B16866"/>
    <w:rsid w:val="48C12F4D"/>
    <w:rsid w:val="48C52312"/>
    <w:rsid w:val="48C90054"/>
    <w:rsid w:val="48FC21D7"/>
    <w:rsid w:val="490966A2"/>
    <w:rsid w:val="490E3CB9"/>
    <w:rsid w:val="492C413F"/>
    <w:rsid w:val="49351245"/>
    <w:rsid w:val="49366D6C"/>
    <w:rsid w:val="4968130F"/>
    <w:rsid w:val="496D45F2"/>
    <w:rsid w:val="49731D6E"/>
    <w:rsid w:val="49B26D3A"/>
    <w:rsid w:val="49B605D8"/>
    <w:rsid w:val="49CD147E"/>
    <w:rsid w:val="49F17862"/>
    <w:rsid w:val="4A064EEE"/>
    <w:rsid w:val="4A203CA4"/>
    <w:rsid w:val="4A930919"/>
    <w:rsid w:val="4A9B5A20"/>
    <w:rsid w:val="4AC7411F"/>
    <w:rsid w:val="4AEB42B2"/>
    <w:rsid w:val="4AEC002A"/>
    <w:rsid w:val="4B007631"/>
    <w:rsid w:val="4B241572"/>
    <w:rsid w:val="4B263F96"/>
    <w:rsid w:val="4B3053A6"/>
    <w:rsid w:val="4B407F2F"/>
    <w:rsid w:val="4B425E9C"/>
    <w:rsid w:val="4B65373A"/>
    <w:rsid w:val="4B6D116B"/>
    <w:rsid w:val="4B7047B7"/>
    <w:rsid w:val="4B7F49FA"/>
    <w:rsid w:val="4B83273C"/>
    <w:rsid w:val="4B920BD1"/>
    <w:rsid w:val="4B9A0F31"/>
    <w:rsid w:val="4BB943B0"/>
    <w:rsid w:val="4BC92119"/>
    <w:rsid w:val="4BC93EC7"/>
    <w:rsid w:val="4BD74836"/>
    <w:rsid w:val="4BDC009E"/>
    <w:rsid w:val="4BE56F53"/>
    <w:rsid w:val="4BEF1B80"/>
    <w:rsid w:val="4C03387D"/>
    <w:rsid w:val="4C0F3FD0"/>
    <w:rsid w:val="4C140650"/>
    <w:rsid w:val="4C1930A0"/>
    <w:rsid w:val="4C371778"/>
    <w:rsid w:val="4C4243A5"/>
    <w:rsid w:val="4C4C2A1F"/>
    <w:rsid w:val="4C59524B"/>
    <w:rsid w:val="4C5E4F57"/>
    <w:rsid w:val="4C6C1422"/>
    <w:rsid w:val="4C6D0CF6"/>
    <w:rsid w:val="4C8524E4"/>
    <w:rsid w:val="4CA87F80"/>
    <w:rsid w:val="4CE0596C"/>
    <w:rsid w:val="4CE216E4"/>
    <w:rsid w:val="4CF82CB6"/>
    <w:rsid w:val="4D00163A"/>
    <w:rsid w:val="4D4B7289"/>
    <w:rsid w:val="4D5F0F87"/>
    <w:rsid w:val="4D9A1FBF"/>
    <w:rsid w:val="4DB34E2F"/>
    <w:rsid w:val="4DD76D6F"/>
    <w:rsid w:val="4DEB281B"/>
    <w:rsid w:val="4DEB6377"/>
    <w:rsid w:val="4DF571F5"/>
    <w:rsid w:val="4E08517B"/>
    <w:rsid w:val="4E157897"/>
    <w:rsid w:val="4E261AA5"/>
    <w:rsid w:val="4E2B2C17"/>
    <w:rsid w:val="4E320449"/>
    <w:rsid w:val="4E3C4E24"/>
    <w:rsid w:val="4E3C6BD2"/>
    <w:rsid w:val="4E5818E4"/>
    <w:rsid w:val="4E8D38D2"/>
    <w:rsid w:val="4E916F1E"/>
    <w:rsid w:val="4EA76741"/>
    <w:rsid w:val="4EB8094F"/>
    <w:rsid w:val="4EDB288F"/>
    <w:rsid w:val="4EE03A01"/>
    <w:rsid w:val="4EE259CC"/>
    <w:rsid w:val="4EE9065B"/>
    <w:rsid w:val="4EEE3858"/>
    <w:rsid w:val="4EF474AD"/>
    <w:rsid w:val="4F02606E"/>
    <w:rsid w:val="4F0F5BE3"/>
    <w:rsid w:val="4F231B40"/>
    <w:rsid w:val="4F244236"/>
    <w:rsid w:val="4F253B0A"/>
    <w:rsid w:val="4F2A1121"/>
    <w:rsid w:val="4F2A7373"/>
    <w:rsid w:val="4F4C26A0"/>
    <w:rsid w:val="4F521DA4"/>
    <w:rsid w:val="4F7F35E3"/>
    <w:rsid w:val="4F8E7901"/>
    <w:rsid w:val="4F97681A"/>
    <w:rsid w:val="4FC34D5C"/>
    <w:rsid w:val="4FF83F0C"/>
    <w:rsid w:val="4FFD05E3"/>
    <w:rsid w:val="500876B4"/>
    <w:rsid w:val="500B0F52"/>
    <w:rsid w:val="501047BA"/>
    <w:rsid w:val="50210776"/>
    <w:rsid w:val="503D2009"/>
    <w:rsid w:val="503F0BFC"/>
    <w:rsid w:val="509176A9"/>
    <w:rsid w:val="50A76ECD"/>
    <w:rsid w:val="50CF3D2E"/>
    <w:rsid w:val="50DE3365"/>
    <w:rsid w:val="5100482F"/>
    <w:rsid w:val="51022355"/>
    <w:rsid w:val="510F05CE"/>
    <w:rsid w:val="511A58F1"/>
    <w:rsid w:val="512C5624"/>
    <w:rsid w:val="513D439B"/>
    <w:rsid w:val="514C537E"/>
    <w:rsid w:val="51532BB1"/>
    <w:rsid w:val="515E50B1"/>
    <w:rsid w:val="5196484B"/>
    <w:rsid w:val="51A46F68"/>
    <w:rsid w:val="51A90A23"/>
    <w:rsid w:val="51B55619"/>
    <w:rsid w:val="51E23F34"/>
    <w:rsid w:val="51E67581"/>
    <w:rsid w:val="51FF6894"/>
    <w:rsid w:val="520C2D5F"/>
    <w:rsid w:val="523522B6"/>
    <w:rsid w:val="52422029"/>
    <w:rsid w:val="527F3531"/>
    <w:rsid w:val="529C2335"/>
    <w:rsid w:val="52A35472"/>
    <w:rsid w:val="52BA27BB"/>
    <w:rsid w:val="52C8312A"/>
    <w:rsid w:val="52E361B6"/>
    <w:rsid w:val="52F201A7"/>
    <w:rsid w:val="531B5950"/>
    <w:rsid w:val="53373E0C"/>
    <w:rsid w:val="536524C3"/>
    <w:rsid w:val="537D2167"/>
    <w:rsid w:val="53AF7E46"/>
    <w:rsid w:val="53B51901"/>
    <w:rsid w:val="53BD6A07"/>
    <w:rsid w:val="53BE152D"/>
    <w:rsid w:val="53CB2ED2"/>
    <w:rsid w:val="53CE4770"/>
    <w:rsid w:val="53DF24DA"/>
    <w:rsid w:val="5438608E"/>
    <w:rsid w:val="544D1B39"/>
    <w:rsid w:val="54512191"/>
    <w:rsid w:val="54817A35"/>
    <w:rsid w:val="548412D3"/>
    <w:rsid w:val="54B27BEE"/>
    <w:rsid w:val="54CD4A28"/>
    <w:rsid w:val="54D04518"/>
    <w:rsid w:val="55032DA2"/>
    <w:rsid w:val="55040901"/>
    <w:rsid w:val="55173EF5"/>
    <w:rsid w:val="553920BD"/>
    <w:rsid w:val="555B0286"/>
    <w:rsid w:val="556709D9"/>
    <w:rsid w:val="556E620B"/>
    <w:rsid w:val="558F7F2F"/>
    <w:rsid w:val="55A61974"/>
    <w:rsid w:val="55BB2B19"/>
    <w:rsid w:val="55D025B4"/>
    <w:rsid w:val="55D41DE6"/>
    <w:rsid w:val="55DA73FC"/>
    <w:rsid w:val="55F10BEA"/>
    <w:rsid w:val="56097CE2"/>
    <w:rsid w:val="560C1580"/>
    <w:rsid w:val="561641AD"/>
    <w:rsid w:val="561A3DA8"/>
    <w:rsid w:val="561D378D"/>
    <w:rsid w:val="56665134"/>
    <w:rsid w:val="56794E67"/>
    <w:rsid w:val="56B51C18"/>
    <w:rsid w:val="56C1236A"/>
    <w:rsid w:val="56CA301B"/>
    <w:rsid w:val="56D92565"/>
    <w:rsid w:val="56DF05DE"/>
    <w:rsid w:val="570010E5"/>
    <w:rsid w:val="57004A1D"/>
    <w:rsid w:val="571526B6"/>
    <w:rsid w:val="57174680"/>
    <w:rsid w:val="571A483D"/>
    <w:rsid w:val="57376AD1"/>
    <w:rsid w:val="57723665"/>
    <w:rsid w:val="57776ECD"/>
    <w:rsid w:val="57792C45"/>
    <w:rsid w:val="57996E43"/>
    <w:rsid w:val="57CC7219"/>
    <w:rsid w:val="57CF0AB7"/>
    <w:rsid w:val="57DD4F82"/>
    <w:rsid w:val="57FC6189"/>
    <w:rsid w:val="58030761"/>
    <w:rsid w:val="58195595"/>
    <w:rsid w:val="58331046"/>
    <w:rsid w:val="583A23D4"/>
    <w:rsid w:val="586631C9"/>
    <w:rsid w:val="58705DF6"/>
    <w:rsid w:val="58845D45"/>
    <w:rsid w:val="58B06B3A"/>
    <w:rsid w:val="58E32A6C"/>
    <w:rsid w:val="58EA21DF"/>
    <w:rsid w:val="58F20F01"/>
    <w:rsid w:val="58FB698C"/>
    <w:rsid w:val="590824D3"/>
    <w:rsid w:val="59154BEF"/>
    <w:rsid w:val="591E0896"/>
    <w:rsid w:val="5923730C"/>
    <w:rsid w:val="59367040"/>
    <w:rsid w:val="593E7CA2"/>
    <w:rsid w:val="594E239C"/>
    <w:rsid w:val="596040BD"/>
    <w:rsid w:val="596174A9"/>
    <w:rsid w:val="59777658"/>
    <w:rsid w:val="597E2795"/>
    <w:rsid w:val="598A738C"/>
    <w:rsid w:val="59933B19"/>
    <w:rsid w:val="599D22C3"/>
    <w:rsid w:val="59B85CA7"/>
    <w:rsid w:val="59B9557B"/>
    <w:rsid w:val="59C064BC"/>
    <w:rsid w:val="59C53F20"/>
    <w:rsid w:val="59EA607C"/>
    <w:rsid w:val="59F6057D"/>
    <w:rsid w:val="5A0232D6"/>
    <w:rsid w:val="5A0A5DD6"/>
    <w:rsid w:val="5A0C1B4F"/>
    <w:rsid w:val="5A1B6236"/>
    <w:rsid w:val="5A32392B"/>
    <w:rsid w:val="5AB04BD0"/>
    <w:rsid w:val="5AB83A84"/>
    <w:rsid w:val="5AC71F19"/>
    <w:rsid w:val="5ADB4549"/>
    <w:rsid w:val="5ADD39F1"/>
    <w:rsid w:val="5AE26D53"/>
    <w:rsid w:val="5AF26F96"/>
    <w:rsid w:val="5B0809A3"/>
    <w:rsid w:val="5B1038C0"/>
    <w:rsid w:val="5B196202"/>
    <w:rsid w:val="5B3D3F8A"/>
    <w:rsid w:val="5B506202"/>
    <w:rsid w:val="5B7C4516"/>
    <w:rsid w:val="5B9718EC"/>
    <w:rsid w:val="5B9C6F02"/>
    <w:rsid w:val="5BBB7CD0"/>
    <w:rsid w:val="5BC54B3D"/>
    <w:rsid w:val="5BC85F49"/>
    <w:rsid w:val="5BCD17B1"/>
    <w:rsid w:val="5BD26DC8"/>
    <w:rsid w:val="5BE82147"/>
    <w:rsid w:val="5BF141C0"/>
    <w:rsid w:val="5BF22FC6"/>
    <w:rsid w:val="5BF7509C"/>
    <w:rsid w:val="5C003935"/>
    <w:rsid w:val="5C0A3512"/>
    <w:rsid w:val="5C0F2BFF"/>
    <w:rsid w:val="5C3B671B"/>
    <w:rsid w:val="5C4D7325"/>
    <w:rsid w:val="5C6E4D42"/>
    <w:rsid w:val="5C7834CB"/>
    <w:rsid w:val="5C8E7193"/>
    <w:rsid w:val="5C9C18B0"/>
    <w:rsid w:val="5CCC1A69"/>
    <w:rsid w:val="5CD31049"/>
    <w:rsid w:val="5CD41832"/>
    <w:rsid w:val="5CDD77D2"/>
    <w:rsid w:val="5CDF354A"/>
    <w:rsid w:val="5CE70651"/>
    <w:rsid w:val="5D1A4582"/>
    <w:rsid w:val="5D1F445D"/>
    <w:rsid w:val="5D2E6280"/>
    <w:rsid w:val="5D5A52C7"/>
    <w:rsid w:val="5D683540"/>
    <w:rsid w:val="5D92680F"/>
    <w:rsid w:val="5DB03139"/>
    <w:rsid w:val="5DB20C5F"/>
    <w:rsid w:val="5DC310BE"/>
    <w:rsid w:val="5DCD7FD3"/>
    <w:rsid w:val="5DD24E5D"/>
    <w:rsid w:val="5DD5494D"/>
    <w:rsid w:val="5DD92690"/>
    <w:rsid w:val="5DF50900"/>
    <w:rsid w:val="5DFC31B0"/>
    <w:rsid w:val="5E084D23"/>
    <w:rsid w:val="5E167440"/>
    <w:rsid w:val="5E260E6F"/>
    <w:rsid w:val="5E29424F"/>
    <w:rsid w:val="5E2C27BF"/>
    <w:rsid w:val="5E6A153A"/>
    <w:rsid w:val="5E7E6D93"/>
    <w:rsid w:val="5E9A1E1F"/>
    <w:rsid w:val="5EA734E4"/>
    <w:rsid w:val="5EDD7F5D"/>
    <w:rsid w:val="5EFA0B0F"/>
    <w:rsid w:val="5EFD0600"/>
    <w:rsid w:val="5F036867"/>
    <w:rsid w:val="5F073306"/>
    <w:rsid w:val="5F1C6CD8"/>
    <w:rsid w:val="5F2B6F1B"/>
    <w:rsid w:val="5F4678B1"/>
    <w:rsid w:val="5F585836"/>
    <w:rsid w:val="5F5F73B9"/>
    <w:rsid w:val="5F9C1BC7"/>
    <w:rsid w:val="5FA406DF"/>
    <w:rsid w:val="5FB362C2"/>
    <w:rsid w:val="601001FD"/>
    <w:rsid w:val="60234A74"/>
    <w:rsid w:val="603718EF"/>
    <w:rsid w:val="603911C4"/>
    <w:rsid w:val="603F2269"/>
    <w:rsid w:val="60457B68"/>
    <w:rsid w:val="60600E46"/>
    <w:rsid w:val="606049A2"/>
    <w:rsid w:val="609A1FB7"/>
    <w:rsid w:val="60BE4E23"/>
    <w:rsid w:val="61077514"/>
    <w:rsid w:val="61204131"/>
    <w:rsid w:val="61300818"/>
    <w:rsid w:val="6146003C"/>
    <w:rsid w:val="61534507"/>
    <w:rsid w:val="6170637D"/>
    <w:rsid w:val="61776447"/>
    <w:rsid w:val="617F70AA"/>
    <w:rsid w:val="61851703"/>
    <w:rsid w:val="618B1EF3"/>
    <w:rsid w:val="619B7808"/>
    <w:rsid w:val="619C1A0A"/>
    <w:rsid w:val="61CB73F0"/>
    <w:rsid w:val="61CD42B9"/>
    <w:rsid w:val="61D10269"/>
    <w:rsid w:val="61D41430"/>
    <w:rsid w:val="61F01D56"/>
    <w:rsid w:val="61FC06FB"/>
    <w:rsid w:val="620123E4"/>
    <w:rsid w:val="621243C2"/>
    <w:rsid w:val="621C2B4B"/>
    <w:rsid w:val="623068C3"/>
    <w:rsid w:val="624D53FA"/>
    <w:rsid w:val="625C5701"/>
    <w:rsid w:val="62712E97"/>
    <w:rsid w:val="6299063F"/>
    <w:rsid w:val="629B43B7"/>
    <w:rsid w:val="62AC2121"/>
    <w:rsid w:val="62AC5F30"/>
    <w:rsid w:val="62C31A1B"/>
    <w:rsid w:val="62E43D52"/>
    <w:rsid w:val="62E775FD"/>
    <w:rsid w:val="62EC69C1"/>
    <w:rsid w:val="62F330EE"/>
    <w:rsid w:val="631A1780"/>
    <w:rsid w:val="6320666B"/>
    <w:rsid w:val="63260125"/>
    <w:rsid w:val="63267317"/>
    <w:rsid w:val="632E5797"/>
    <w:rsid w:val="63350368"/>
    <w:rsid w:val="63715118"/>
    <w:rsid w:val="637B1AF3"/>
    <w:rsid w:val="63AB062A"/>
    <w:rsid w:val="63BC2837"/>
    <w:rsid w:val="63C94F54"/>
    <w:rsid w:val="63EE0517"/>
    <w:rsid w:val="63F7561D"/>
    <w:rsid w:val="641461CF"/>
    <w:rsid w:val="642D54E3"/>
    <w:rsid w:val="64303292"/>
    <w:rsid w:val="644B5969"/>
    <w:rsid w:val="64520AA6"/>
    <w:rsid w:val="64552344"/>
    <w:rsid w:val="6480021A"/>
    <w:rsid w:val="648C045C"/>
    <w:rsid w:val="64AD03D2"/>
    <w:rsid w:val="64AF7CA6"/>
    <w:rsid w:val="64EB5977"/>
    <w:rsid w:val="65044496"/>
    <w:rsid w:val="650A1380"/>
    <w:rsid w:val="651B533C"/>
    <w:rsid w:val="6546685C"/>
    <w:rsid w:val="6549634D"/>
    <w:rsid w:val="65B86A3A"/>
    <w:rsid w:val="65D472FA"/>
    <w:rsid w:val="65EB7404"/>
    <w:rsid w:val="66012783"/>
    <w:rsid w:val="660364FC"/>
    <w:rsid w:val="662D17CA"/>
    <w:rsid w:val="66495ED8"/>
    <w:rsid w:val="6663343E"/>
    <w:rsid w:val="667B2536"/>
    <w:rsid w:val="668A2779"/>
    <w:rsid w:val="66B1690D"/>
    <w:rsid w:val="66C37A39"/>
    <w:rsid w:val="66C57C55"/>
    <w:rsid w:val="66DB2FD4"/>
    <w:rsid w:val="66E77BCB"/>
    <w:rsid w:val="66EC3434"/>
    <w:rsid w:val="66F145A6"/>
    <w:rsid w:val="67000C8D"/>
    <w:rsid w:val="670D6F06"/>
    <w:rsid w:val="6727621A"/>
    <w:rsid w:val="67424E02"/>
    <w:rsid w:val="67582877"/>
    <w:rsid w:val="67713939"/>
    <w:rsid w:val="677551D7"/>
    <w:rsid w:val="677F6056"/>
    <w:rsid w:val="678418BE"/>
    <w:rsid w:val="67B53825"/>
    <w:rsid w:val="68024591"/>
    <w:rsid w:val="68246BFD"/>
    <w:rsid w:val="682664D1"/>
    <w:rsid w:val="6838144E"/>
    <w:rsid w:val="686A21E8"/>
    <w:rsid w:val="68815DFE"/>
    <w:rsid w:val="688F051A"/>
    <w:rsid w:val="68953657"/>
    <w:rsid w:val="68994EF5"/>
    <w:rsid w:val="68AA5354"/>
    <w:rsid w:val="68AA7398"/>
    <w:rsid w:val="68BE2BAE"/>
    <w:rsid w:val="69085BD7"/>
    <w:rsid w:val="690A5DF3"/>
    <w:rsid w:val="69132EFA"/>
    <w:rsid w:val="69472BA3"/>
    <w:rsid w:val="69733998"/>
    <w:rsid w:val="69D1246D"/>
    <w:rsid w:val="6A022F6E"/>
    <w:rsid w:val="6A2C58F8"/>
    <w:rsid w:val="6A3A2708"/>
    <w:rsid w:val="6A5D01A4"/>
    <w:rsid w:val="6A707ED8"/>
    <w:rsid w:val="6AB1311E"/>
    <w:rsid w:val="6ABE6E95"/>
    <w:rsid w:val="6AD00976"/>
    <w:rsid w:val="6B080110"/>
    <w:rsid w:val="6B1765A5"/>
    <w:rsid w:val="6B1C3BBC"/>
    <w:rsid w:val="6B364C7D"/>
    <w:rsid w:val="6B3709F5"/>
    <w:rsid w:val="6B594E10"/>
    <w:rsid w:val="6B6D4A66"/>
    <w:rsid w:val="6B797260"/>
    <w:rsid w:val="6B9B0F84"/>
    <w:rsid w:val="6BBE2E94"/>
    <w:rsid w:val="6BC02799"/>
    <w:rsid w:val="6BE7241B"/>
    <w:rsid w:val="6C0E5BFA"/>
    <w:rsid w:val="6C172D01"/>
    <w:rsid w:val="6C474C68"/>
    <w:rsid w:val="6C494E84"/>
    <w:rsid w:val="6C4B6506"/>
    <w:rsid w:val="6C732E5F"/>
    <w:rsid w:val="6C823EF2"/>
    <w:rsid w:val="6C874CC2"/>
    <w:rsid w:val="6C8934D3"/>
    <w:rsid w:val="6CA0308B"/>
    <w:rsid w:val="6CB00A5F"/>
    <w:rsid w:val="6CB0535E"/>
    <w:rsid w:val="6CB73B9C"/>
    <w:rsid w:val="6CC369E5"/>
    <w:rsid w:val="6CEE3336"/>
    <w:rsid w:val="6D093549"/>
    <w:rsid w:val="6D45564C"/>
    <w:rsid w:val="6D480C98"/>
    <w:rsid w:val="6D5533B5"/>
    <w:rsid w:val="6D68133A"/>
    <w:rsid w:val="6D6C0E2A"/>
    <w:rsid w:val="6D760E66"/>
    <w:rsid w:val="6D8C327A"/>
    <w:rsid w:val="6D9E6B0A"/>
    <w:rsid w:val="6DB70429"/>
    <w:rsid w:val="6DBA24F0"/>
    <w:rsid w:val="6DC76061"/>
    <w:rsid w:val="6DCC7B1B"/>
    <w:rsid w:val="6DDF784E"/>
    <w:rsid w:val="6DE54739"/>
    <w:rsid w:val="6DFB5D0A"/>
    <w:rsid w:val="6E001573"/>
    <w:rsid w:val="6E0332E1"/>
    <w:rsid w:val="6E070B53"/>
    <w:rsid w:val="6E1E6B73"/>
    <w:rsid w:val="6E272FA3"/>
    <w:rsid w:val="6E731D44"/>
    <w:rsid w:val="6E7F693B"/>
    <w:rsid w:val="6E881C94"/>
    <w:rsid w:val="6EB34837"/>
    <w:rsid w:val="6EB64310"/>
    <w:rsid w:val="6EC16F54"/>
    <w:rsid w:val="6EE113A4"/>
    <w:rsid w:val="6F0B6421"/>
    <w:rsid w:val="6F1572A0"/>
    <w:rsid w:val="6F430380"/>
    <w:rsid w:val="6F5C6C7D"/>
    <w:rsid w:val="6F6A1CC7"/>
    <w:rsid w:val="6F6C3363"/>
    <w:rsid w:val="6F6D4110"/>
    <w:rsid w:val="6F773AB6"/>
    <w:rsid w:val="6F7A7103"/>
    <w:rsid w:val="6F8B1310"/>
    <w:rsid w:val="6F993A2D"/>
    <w:rsid w:val="6FAA5C3A"/>
    <w:rsid w:val="6FD76303"/>
    <w:rsid w:val="6FE54EC4"/>
    <w:rsid w:val="6FED5C21"/>
    <w:rsid w:val="70076BE8"/>
    <w:rsid w:val="704A2F79"/>
    <w:rsid w:val="707D334E"/>
    <w:rsid w:val="708C17E3"/>
    <w:rsid w:val="70B12FF8"/>
    <w:rsid w:val="70C90342"/>
    <w:rsid w:val="70D2369A"/>
    <w:rsid w:val="70D54F38"/>
    <w:rsid w:val="713559D7"/>
    <w:rsid w:val="71445C1A"/>
    <w:rsid w:val="716167CC"/>
    <w:rsid w:val="716360A0"/>
    <w:rsid w:val="71663DE2"/>
    <w:rsid w:val="71752972"/>
    <w:rsid w:val="718E13B9"/>
    <w:rsid w:val="71932224"/>
    <w:rsid w:val="71C8627B"/>
    <w:rsid w:val="71D52E2E"/>
    <w:rsid w:val="71DE7E1D"/>
    <w:rsid w:val="71EA67C2"/>
    <w:rsid w:val="71F217C6"/>
    <w:rsid w:val="72035AD5"/>
    <w:rsid w:val="72071122"/>
    <w:rsid w:val="72086C48"/>
    <w:rsid w:val="720F7FD6"/>
    <w:rsid w:val="72231CD3"/>
    <w:rsid w:val="722650A8"/>
    <w:rsid w:val="723637B5"/>
    <w:rsid w:val="723E2669"/>
    <w:rsid w:val="725917E7"/>
    <w:rsid w:val="72606A84"/>
    <w:rsid w:val="726E11A1"/>
    <w:rsid w:val="726F4F19"/>
    <w:rsid w:val="727A5D97"/>
    <w:rsid w:val="728C1627"/>
    <w:rsid w:val="729D3834"/>
    <w:rsid w:val="72B50B7E"/>
    <w:rsid w:val="72BD5C84"/>
    <w:rsid w:val="72DA6836"/>
    <w:rsid w:val="72E72D01"/>
    <w:rsid w:val="72EE408F"/>
    <w:rsid w:val="72F5541E"/>
    <w:rsid w:val="730E4732"/>
    <w:rsid w:val="73214465"/>
    <w:rsid w:val="73634A7D"/>
    <w:rsid w:val="73655314"/>
    <w:rsid w:val="7375030D"/>
    <w:rsid w:val="73880040"/>
    <w:rsid w:val="739369E5"/>
    <w:rsid w:val="73966C01"/>
    <w:rsid w:val="73A806E2"/>
    <w:rsid w:val="73B25A48"/>
    <w:rsid w:val="73E060CE"/>
    <w:rsid w:val="73E7745D"/>
    <w:rsid w:val="73F456D6"/>
    <w:rsid w:val="742C597A"/>
    <w:rsid w:val="746F1200"/>
    <w:rsid w:val="74934EEE"/>
    <w:rsid w:val="74BB2697"/>
    <w:rsid w:val="74DA0D6F"/>
    <w:rsid w:val="74E92D60"/>
    <w:rsid w:val="74FF4332"/>
    <w:rsid w:val="75120509"/>
    <w:rsid w:val="75136213"/>
    <w:rsid w:val="7530273D"/>
    <w:rsid w:val="75363ACC"/>
    <w:rsid w:val="753C7334"/>
    <w:rsid w:val="75433E6E"/>
    <w:rsid w:val="75526B58"/>
    <w:rsid w:val="75630AF4"/>
    <w:rsid w:val="7581743D"/>
    <w:rsid w:val="75C335B1"/>
    <w:rsid w:val="75CB4B5C"/>
    <w:rsid w:val="75E25E8E"/>
    <w:rsid w:val="76193DFA"/>
    <w:rsid w:val="762027B2"/>
    <w:rsid w:val="762F50EB"/>
    <w:rsid w:val="763077F0"/>
    <w:rsid w:val="76326989"/>
    <w:rsid w:val="763E532E"/>
    <w:rsid w:val="764A3CD3"/>
    <w:rsid w:val="76937428"/>
    <w:rsid w:val="76A41635"/>
    <w:rsid w:val="76A96C4B"/>
    <w:rsid w:val="76AC2297"/>
    <w:rsid w:val="76AF1D88"/>
    <w:rsid w:val="76CF5F86"/>
    <w:rsid w:val="76DA5057"/>
    <w:rsid w:val="771E5550"/>
    <w:rsid w:val="774108B3"/>
    <w:rsid w:val="775B1A14"/>
    <w:rsid w:val="77737259"/>
    <w:rsid w:val="77770AF7"/>
    <w:rsid w:val="777D66FD"/>
    <w:rsid w:val="77974CF6"/>
    <w:rsid w:val="779C40BA"/>
    <w:rsid w:val="77A103E0"/>
    <w:rsid w:val="77B238DE"/>
    <w:rsid w:val="77B51620"/>
    <w:rsid w:val="77B91110"/>
    <w:rsid w:val="77BC29AE"/>
    <w:rsid w:val="77CB499F"/>
    <w:rsid w:val="78591FAB"/>
    <w:rsid w:val="786F609A"/>
    <w:rsid w:val="78762B5D"/>
    <w:rsid w:val="78767001"/>
    <w:rsid w:val="787A3715"/>
    <w:rsid w:val="7893651F"/>
    <w:rsid w:val="78947487"/>
    <w:rsid w:val="78E026CC"/>
    <w:rsid w:val="78E73A5B"/>
    <w:rsid w:val="79004B1D"/>
    <w:rsid w:val="790E0FE8"/>
    <w:rsid w:val="796230E1"/>
    <w:rsid w:val="79A11E5C"/>
    <w:rsid w:val="79A951B4"/>
    <w:rsid w:val="79AC25AE"/>
    <w:rsid w:val="79C8388C"/>
    <w:rsid w:val="79D97847"/>
    <w:rsid w:val="79F20909"/>
    <w:rsid w:val="7A1545F8"/>
    <w:rsid w:val="7A287E87"/>
    <w:rsid w:val="7A2E1215"/>
    <w:rsid w:val="7A3031E0"/>
    <w:rsid w:val="7A410F49"/>
    <w:rsid w:val="7A5B64AE"/>
    <w:rsid w:val="7A5E7D4D"/>
    <w:rsid w:val="7A897628"/>
    <w:rsid w:val="7AA5772A"/>
    <w:rsid w:val="7ABB519F"/>
    <w:rsid w:val="7ACB0962"/>
    <w:rsid w:val="7AD46261"/>
    <w:rsid w:val="7AE5221C"/>
    <w:rsid w:val="7B0C77A9"/>
    <w:rsid w:val="7B474C85"/>
    <w:rsid w:val="7B5D1DB2"/>
    <w:rsid w:val="7B647318"/>
    <w:rsid w:val="7B694BFB"/>
    <w:rsid w:val="7B7A0BB6"/>
    <w:rsid w:val="7B7B66DC"/>
    <w:rsid w:val="7B7E3E42"/>
    <w:rsid w:val="7B841A35"/>
    <w:rsid w:val="7B9D26BC"/>
    <w:rsid w:val="7BA93249"/>
    <w:rsid w:val="7BB73BB8"/>
    <w:rsid w:val="7BE129E3"/>
    <w:rsid w:val="7BF70459"/>
    <w:rsid w:val="7C0D22DA"/>
    <w:rsid w:val="7C1F350C"/>
    <w:rsid w:val="7C3C40BE"/>
    <w:rsid w:val="7C3E1BE4"/>
    <w:rsid w:val="7C624616"/>
    <w:rsid w:val="7C683105"/>
    <w:rsid w:val="7C727ADF"/>
    <w:rsid w:val="7C773348"/>
    <w:rsid w:val="7C790E6E"/>
    <w:rsid w:val="7C7E78A8"/>
    <w:rsid w:val="7C815F74"/>
    <w:rsid w:val="7C920181"/>
    <w:rsid w:val="7CA26617"/>
    <w:rsid w:val="7CB2612E"/>
    <w:rsid w:val="7CB4634A"/>
    <w:rsid w:val="7CCB71F0"/>
    <w:rsid w:val="7CD04806"/>
    <w:rsid w:val="7CD71AFC"/>
    <w:rsid w:val="7CDB38D7"/>
    <w:rsid w:val="7CF90201"/>
    <w:rsid w:val="7D1D3EEF"/>
    <w:rsid w:val="7D3354C1"/>
    <w:rsid w:val="7D3B25C7"/>
    <w:rsid w:val="7D513B99"/>
    <w:rsid w:val="7D6E02A7"/>
    <w:rsid w:val="7DAE0FEB"/>
    <w:rsid w:val="7DC73E5B"/>
    <w:rsid w:val="7DCB56F9"/>
    <w:rsid w:val="7DCC321F"/>
    <w:rsid w:val="7DCE51E9"/>
    <w:rsid w:val="7DD65A11"/>
    <w:rsid w:val="7DDA4A6C"/>
    <w:rsid w:val="7DE44A0D"/>
    <w:rsid w:val="7DFA7D8C"/>
    <w:rsid w:val="7E327526"/>
    <w:rsid w:val="7E3554D7"/>
    <w:rsid w:val="7E4436FD"/>
    <w:rsid w:val="7E5971A9"/>
    <w:rsid w:val="7E6323F1"/>
    <w:rsid w:val="7E7C69F3"/>
    <w:rsid w:val="7EB77A2B"/>
    <w:rsid w:val="7EEC1DCB"/>
    <w:rsid w:val="7EEF5417"/>
    <w:rsid w:val="7EF7251E"/>
    <w:rsid w:val="7F127358"/>
    <w:rsid w:val="7F3C0728"/>
    <w:rsid w:val="7F3D2627"/>
    <w:rsid w:val="7F3E639F"/>
    <w:rsid w:val="7F871AF4"/>
    <w:rsid w:val="7F8E4C30"/>
    <w:rsid w:val="7F98785D"/>
    <w:rsid w:val="7F9F0FE3"/>
    <w:rsid w:val="7FAC4C99"/>
    <w:rsid w:val="7FAE08F2"/>
    <w:rsid w:val="7FB1091F"/>
    <w:rsid w:val="7FC271E1"/>
    <w:rsid w:val="7FCC301A"/>
    <w:rsid w:val="7FF25EEA"/>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toa heading"/>
    <w:basedOn w:val="1"/>
    <w:next w:val="1"/>
    <w:qFormat/>
    <w:uiPriority w:val="0"/>
    <w:pPr>
      <w:adjustRightInd w:val="0"/>
      <w:snapToGrid w:val="0"/>
      <w:spacing w:before="120" w:line="360" w:lineRule="auto"/>
      <w:ind w:firstLine="420" w:firstLineChars="200"/>
    </w:pPr>
    <w:rPr>
      <w:rFonts w:ascii="Arial" w:hAnsi="Arial" w:eastAsiaTheme="minorEastAsia" w:cstheme="minorBidi"/>
      <w:sz w:val="24"/>
      <w:szCs w:val="20"/>
    </w:rPr>
  </w:style>
  <w:style w:type="paragraph" w:styleId="16">
    <w:name w:val="annotation text"/>
    <w:basedOn w:val="1"/>
    <w:link w:val="65"/>
    <w:qFormat/>
    <w:uiPriority w:val="0"/>
    <w:pPr>
      <w:jc w:val="left"/>
    </w:pPr>
  </w:style>
  <w:style w:type="paragraph" w:styleId="17">
    <w:name w:val="Body Text 3"/>
    <w:basedOn w:val="1"/>
    <w:link w:val="66"/>
    <w:qFormat/>
    <w:uiPriority w:val="0"/>
    <w:pPr>
      <w:spacing w:after="120"/>
    </w:pPr>
    <w:rPr>
      <w:sz w:val="16"/>
      <w:szCs w:val="16"/>
    </w:rPr>
  </w:style>
  <w:style w:type="paragraph" w:styleId="18">
    <w:name w:val="Body Text"/>
    <w:basedOn w:val="1"/>
    <w:link w:val="67"/>
    <w:qFormat/>
    <w:uiPriority w:val="0"/>
    <w:pPr>
      <w:tabs>
        <w:tab w:val="left" w:pos="567"/>
      </w:tabs>
      <w:spacing w:before="120" w:line="22" w:lineRule="atLeast"/>
    </w:pPr>
    <w:rPr>
      <w:rFonts w:ascii="宋体" w:hAnsi="宋体"/>
      <w:sz w:val="24"/>
    </w:rPr>
  </w:style>
  <w:style w:type="paragraph" w:styleId="19">
    <w:name w:val="Body Text Indent"/>
    <w:basedOn w:val="1"/>
    <w:link w:val="6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6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0"/>
    <w:qFormat/>
    <w:uiPriority w:val="0"/>
    <w:pPr>
      <w:ind w:left="100" w:leftChars="2500"/>
    </w:pPr>
    <w:rPr>
      <w:rFonts w:ascii="仿宋_GB2312" w:hAnsi="宋体" w:eastAsia="仿宋_GB2312"/>
      <w:color w:val="000000"/>
      <w:sz w:val="24"/>
    </w:rPr>
  </w:style>
  <w:style w:type="paragraph" w:styleId="27">
    <w:name w:val="Body Text Indent 2"/>
    <w:basedOn w:val="1"/>
    <w:link w:val="71"/>
    <w:qFormat/>
    <w:uiPriority w:val="0"/>
    <w:pPr>
      <w:ind w:firstLine="480" w:firstLineChars="200"/>
    </w:pPr>
    <w:rPr>
      <w:rFonts w:ascii="仿宋_GB2312" w:eastAsia="仿宋_GB2312"/>
      <w:sz w:val="24"/>
    </w:rPr>
  </w:style>
  <w:style w:type="paragraph" w:styleId="28">
    <w:name w:val="Balloon Text"/>
    <w:basedOn w:val="1"/>
    <w:link w:val="72"/>
    <w:qFormat/>
    <w:uiPriority w:val="0"/>
    <w:rPr>
      <w:sz w:val="18"/>
      <w:szCs w:val="18"/>
    </w:rPr>
  </w:style>
  <w:style w:type="paragraph" w:styleId="29">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7"/>
    <w:qFormat/>
    <w:uiPriority w:val="0"/>
    <w:pPr>
      <w:jc w:val="center"/>
      <w:outlineLvl w:val="0"/>
    </w:pPr>
    <w:rPr>
      <w:b/>
      <w:sz w:val="32"/>
      <w:szCs w:val="20"/>
    </w:rPr>
  </w:style>
  <w:style w:type="paragraph" w:styleId="41">
    <w:name w:val="annotation subject"/>
    <w:basedOn w:val="16"/>
    <w:next w:val="16"/>
    <w:link w:val="78"/>
    <w:qFormat/>
    <w:uiPriority w:val="0"/>
    <w:rPr>
      <w:b/>
      <w:bCs/>
    </w:rPr>
  </w:style>
  <w:style w:type="paragraph" w:styleId="42">
    <w:name w:val="Body Text First Indent 2"/>
    <w:basedOn w:val="19"/>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标题 1 字符"/>
    <w:basedOn w:val="46"/>
    <w:link w:val="2"/>
    <w:qFormat/>
    <w:uiPriority w:val="0"/>
    <w:rPr>
      <w:rFonts w:ascii="宋体"/>
      <w:b/>
      <w:kern w:val="44"/>
      <w:sz w:val="32"/>
    </w:rPr>
  </w:style>
  <w:style w:type="character" w:customStyle="1" w:styleId="57">
    <w:name w:val="正文缩进 字符"/>
    <w:link w:val="4"/>
    <w:qFormat/>
    <w:uiPriority w:val="0"/>
    <w:rPr>
      <w:rFonts w:ascii="宋体" w:eastAsia="宋体"/>
      <w:kern w:val="2"/>
      <w:sz w:val="24"/>
      <w:szCs w:val="24"/>
      <w:lang w:val="en-US" w:eastAsia="zh-CN" w:bidi="ar-SA"/>
    </w:rPr>
  </w:style>
  <w:style w:type="character" w:customStyle="1" w:styleId="58">
    <w:name w:val="标题 4 字符"/>
    <w:basedOn w:val="46"/>
    <w:link w:val="6"/>
    <w:qFormat/>
    <w:uiPriority w:val="0"/>
    <w:rPr>
      <w:rFonts w:ascii="Arial" w:hAnsi="Arial" w:eastAsia="黑体"/>
      <w:b/>
      <w:sz w:val="28"/>
    </w:rPr>
  </w:style>
  <w:style w:type="character" w:customStyle="1" w:styleId="59">
    <w:name w:val="标题 5 字符"/>
    <w:basedOn w:val="46"/>
    <w:link w:val="7"/>
    <w:qFormat/>
    <w:uiPriority w:val="0"/>
    <w:rPr>
      <w:b/>
      <w:sz w:val="28"/>
    </w:rPr>
  </w:style>
  <w:style w:type="character" w:customStyle="1" w:styleId="60">
    <w:name w:val="标题 6 字符"/>
    <w:basedOn w:val="46"/>
    <w:link w:val="8"/>
    <w:qFormat/>
    <w:uiPriority w:val="0"/>
    <w:rPr>
      <w:rFonts w:ascii="Arial" w:hAnsi="Arial" w:eastAsia="黑体"/>
      <w:b/>
      <w:sz w:val="24"/>
    </w:rPr>
  </w:style>
  <w:style w:type="character" w:customStyle="1" w:styleId="61">
    <w:name w:val="标题 7 字符"/>
    <w:basedOn w:val="46"/>
    <w:link w:val="9"/>
    <w:qFormat/>
    <w:uiPriority w:val="0"/>
    <w:rPr>
      <w:b/>
      <w:sz w:val="24"/>
    </w:rPr>
  </w:style>
  <w:style w:type="character" w:customStyle="1" w:styleId="62">
    <w:name w:val="标题 8 字符"/>
    <w:basedOn w:val="46"/>
    <w:link w:val="10"/>
    <w:qFormat/>
    <w:uiPriority w:val="0"/>
    <w:rPr>
      <w:rFonts w:ascii="Arial" w:hAnsi="Arial" w:eastAsia="黑体"/>
      <w:sz w:val="24"/>
    </w:rPr>
  </w:style>
  <w:style w:type="character" w:customStyle="1" w:styleId="63">
    <w:name w:val="标题 9 字符"/>
    <w:basedOn w:val="46"/>
    <w:link w:val="11"/>
    <w:qFormat/>
    <w:uiPriority w:val="0"/>
    <w:rPr>
      <w:rFonts w:ascii="Arial" w:hAnsi="Arial" w:eastAsia="黑体"/>
      <w:sz w:val="21"/>
    </w:rPr>
  </w:style>
  <w:style w:type="character" w:customStyle="1" w:styleId="64">
    <w:name w:val="文档结构图 字符"/>
    <w:basedOn w:val="46"/>
    <w:link w:val="14"/>
    <w:qFormat/>
    <w:uiPriority w:val="0"/>
    <w:rPr>
      <w:kern w:val="2"/>
      <w:sz w:val="21"/>
      <w:szCs w:val="24"/>
      <w:shd w:val="clear" w:color="auto" w:fill="000080"/>
    </w:rPr>
  </w:style>
  <w:style w:type="character" w:customStyle="1" w:styleId="65">
    <w:name w:val="批注文字 字符1"/>
    <w:link w:val="16"/>
    <w:qFormat/>
    <w:uiPriority w:val="0"/>
    <w:rPr>
      <w:kern w:val="2"/>
      <w:sz w:val="21"/>
      <w:szCs w:val="24"/>
    </w:rPr>
  </w:style>
  <w:style w:type="character" w:customStyle="1" w:styleId="66">
    <w:name w:val="正文文本 3 字符"/>
    <w:basedOn w:val="46"/>
    <w:link w:val="17"/>
    <w:qFormat/>
    <w:uiPriority w:val="0"/>
    <w:rPr>
      <w:kern w:val="2"/>
      <w:sz w:val="16"/>
      <w:szCs w:val="16"/>
    </w:rPr>
  </w:style>
  <w:style w:type="character" w:customStyle="1" w:styleId="67">
    <w:name w:val="正文文本 字符"/>
    <w:basedOn w:val="46"/>
    <w:link w:val="18"/>
    <w:qFormat/>
    <w:uiPriority w:val="0"/>
    <w:rPr>
      <w:rFonts w:ascii="宋体" w:hAnsi="宋体"/>
      <w:kern w:val="2"/>
      <w:sz w:val="24"/>
      <w:szCs w:val="24"/>
    </w:rPr>
  </w:style>
  <w:style w:type="character" w:customStyle="1" w:styleId="68">
    <w:name w:val="正文文本缩进 字符"/>
    <w:link w:val="19"/>
    <w:qFormat/>
    <w:uiPriority w:val="0"/>
    <w:rPr>
      <w:rFonts w:eastAsia="宋体"/>
      <w:kern w:val="2"/>
      <w:sz w:val="24"/>
      <w:szCs w:val="24"/>
      <w:lang w:val="en-US" w:eastAsia="zh-CN" w:bidi="ar-SA"/>
    </w:rPr>
  </w:style>
  <w:style w:type="character" w:customStyle="1" w:styleId="69">
    <w:name w:val="纯文本 字符2"/>
    <w:basedOn w:val="46"/>
    <w:link w:val="24"/>
    <w:qFormat/>
    <w:uiPriority w:val="0"/>
    <w:rPr>
      <w:rFonts w:hint="eastAsia" w:ascii="宋体" w:hAnsi="Courier New" w:eastAsia="宋体" w:cs="宋体"/>
      <w:kern w:val="2"/>
      <w:sz w:val="21"/>
    </w:rPr>
  </w:style>
  <w:style w:type="character" w:customStyle="1" w:styleId="70">
    <w:name w:val="日期 字符"/>
    <w:basedOn w:val="46"/>
    <w:link w:val="26"/>
    <w:qFormat/>
    <w:uiPriority w:val="0"/>
    <w:rPr>
      <w:rFonts w:ascii="仿宋_GB2312" w:hAnsi="宋体" w:eastAsia="仿宋_GB2312"/>
      <w:color w:val="000000"/>
      <w:kern w:val="2"/>
      <w:sz w:val="24"/>
      <w:szCs w:val="24"/>
    </w:rPr>
  </w:style>
  <w:style w:type="character" w:customStyle="1" w:styleId="71">
    <w:name w:val="正文文本缩进 2 字符"/>
    <w:basedOn w:val="46"/>
    <w:link w:val="27"/>
    <w:qFormat/>
    <w:uiPriority w:val="0"/>
    <w:rPr>
      <w:rFonts w:ascii="仿宋_GB2312" w:eastAsia="仿宋_GB2312"/>
      <w:kern w:val="2"/>
      <w:sz w:val="24"/>
      <w:szCs w:val="24"/>
    </w:rPr>
  </w:style>
  <w:style w:type="character" w:customStyle="1" w:styleId="72">
    <w:name w:val="批注框文本 字符"/>
    <w:basedOn w:val="46"/>
    <w:link w:val="28"/>
    <w:qFormat/>
    <w:uiPriority w:val="0"/>
    <w:rPr>
      <w:kern w:val="2"/>
      <w:sz w:val="18"/>
      <w:szCs w:val="18"/>
    </w:rPr>
  </w:style>
  <w:style w:type="character" w:customStyle="1" w:styleId="73">
    <w:name w:val="页脚 字符"/>
    <w:link w:val="29"/>
    <w:qFormat/>
    <w:uiPriority w:val="99"/>
    <w:rPr>
      <w:rFonts w:ascii="宋体" w:eastAsia="宋体"/>
      <w:sz w:val="18"/>
      <w:lang w:val="en-US" w:eastAsia="zh-CN" w:bidi="ar-SA"/>
    </w:rPr>
  </w:style>
  <w:style w:type="character" w:customStyle="1" w:styleId="74">
    <w:name w:val="页眉 字符"/>
    <w:link w:val="30"/>
    <w:qFormat/>
    <w:uiPriority w:val="99"/>
    <w:rPr>
      <w:rFonts w:eastAsia="宋体"/>
      <w:kern w:val="2"/>
      <w:sz w:val="18"/>
      <w:szCs w:val="18"/>
      <w:lang w:val="en-US" w:eastAsia="zh-CN" w:bidi="ar-SA"/>
    </w:rPr>
  </w:style>
  <w:style w:type="character" w:customStyle="1" w:styleId="75">
    <w:name w:val="正文文本缩进 3 字符"/>
    <w:basedOn w:val="46"/>
    <w:link w:val="34"/>
    <w:qFormat/>
    <w:uiPriority w:val="0"/>
    <w:rPr>
      <w:rFonts w:ascii="宋体"/>
      <w:sz w:val="24"/>
    </w:rPr>
  </w:style>
  <w:style w:type="character" w:customStyle="1" w:styleId="76">
    <w:name w:val="HTML 预设格式 字符"/>
    <w:basedOn w:val="46"/>
    <w:link w:val="37"/>
    <w:qFormat/>
    <w:uiPriority w:val="0"/>
    <w:rPr>
      <w:rFonts w:ascii="宋体" w:hAnsi="宋体" w:cs="宋体"/>
      <w:sz w:val="24"/>
      <w:szCs w:val="24"/>
    </w:rPr>
  </w:style>
  <w:style w:type="character" w:customStyle="1" w:styleId="77">
    <w:name w:val="标题 字符"/>
    <w:link w:val="40"/>
    <w:qFormat/>
    <w:uiPriority w:val="0"/>
    <w:rPr>
      <w:b/>
      <w:kern w:val="2"/>
      <w:sz w:val="32"/>
    </w:rPr>
  </w:style>
  <w:style w:type="character" w:customStyle="1" w:styleId="78">
    <w:name w:val="批注主题 字符"/>
    <w:basedOn w:val="79"/>
    <w:link w:val="41"/>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文本首行缩进 2 字符"/>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4"/>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4"/>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_0"/>
    <w:semiHidden/>
    <w:qFormat/>
    <w:uiPriority w:val="2"/>
    <w:pPr>
      <w:widowControl w:val="0"/>
      <w:autoSpaceDE w:val="0"/>
      <w:autoSpaceDN w:val="0"/>
    </w:pPr>
    <w:rPr>
      <w:rFonts w:ascii="Calibri" w:hAnsi="Calibri"/>
      <w:sz w:val="22"/>
      <w:szCs w:val="22"/>
    </w:rPr>
    <w:tblPr>
      <w:tblCellMar>
        <w:top w:w="0" w:type="dxa"/>
        <w:left w:w="0" w:type="dxa"/>
        <w:bottom w:w="0" w:type="dxa"/>
        <w:right w:w="0" w:type="dxa"/>
      </w:tblCellMar>
    </w:tblPr>
  </w:style>
  <w:style w:type="paragraph" w:customStyle="1" w:styleId="249">
    <w:name w:val="Table Text"/>
    <w:basedOn w:val="1"/>
    <w:semiHidden/>
    <w:qFormat/>
    <w:uiPriority w:val="0"/>
    <w:rPr>
      <w:rFonts w:ascii="Arial" w:hAnsi="Arial" w:eastAsia="Arial" w:cs="Arial"/>
      <w:szCs w:val="21"/>
      <w:lang w:eastAsia="en-US"/>
    </w:rPr>
  </w:style>
  <w:style w:type="paragraph" w:customStyle="1" w:styleId="25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 w:val="28"/>
    </w:rPr>
  </w:style>
  <w:style w:type="paragraph" w:customStyle="1" w:styleId="251">
    <w:name w:val="样式 标题 3 + (中文) 黑体 小四 非加粗 段前: 7.8 磅 段后: 0 磅 行距: 固定值 20 磅"/>
    <w:basedOn w:val="5"/>
    <w:qFormat/>
    <w:uiPriority w:val="0"/>
    <w:pPr>
      <w:spacing w:beforeLines="50" w:afterLines="50" w:line="360" w:lineRule="auto"/>
      <w:jc w:val="both"/>
    </w:pPr>
    <w:rPr>
      <w:b w:val="0"/>
    </w:rPr>
  </w:style>
  <w:style w:type="character" w:customStyle="1" w:styleId="252">
    <w:name w:val="样式 粉红"/>
    <w:qFormat/>
    <w:uiPriority w:val="0"/>
    <w:rPr>
      <w:color w:val="auto"/>
      <w:u w:val="none"/>
    </w:rPr>
  </w:style>
  <w:style w:type="paragraph" w:customStyle="1" w:styleId="253">
    <w:name w:val="Normal_0"/>
    <w:qFormat/>
    <w:uiPriority w:val="99"/>
    <w:pPr>
      <w:spacing w:before="120" w:after="240"/>
      <w:jc w:val="both"/>
    </w:pPr>
    <w:rPr>
      <w:rFonts w:ascii="Times New Roman" w:hAnsi="Times New Roman" w:eastAsia="宋体" w:cs="Times New Roman"/>
      <w:sz w:val="22"/>
      <w:szCs w:val="22"/>
      <w:lang w:val="ru-RU" w:eastAsia="en-US" w:bidi="ar-SA"/>
    </w:rPr>
  </w:style>
  <w:style w:type="table" w:customStyle="1" w:styleId="254">
    <w:name w:val="Table Grid_0"/>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_1"/>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Grid_2"/>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_3"/>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 Grid_4"/>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le Grid_5"/>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le Grid_6"/>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le Grid_7"/>
    <w:basedOn w:val="4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107</Pages>
  <Words>15567</Words>
  <Characters>16263</Characters>
  <Lines>775</Lines>
  <Paragraphs>218</Paragraphs>
  <TotalTime>3</TotalTime>
  <ScaleCrop>false</ScaleCrop>
  <LinksUpToDate>false</LinksUpToDate>
  <CharactersWithSpaces>16504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2022-03-28T10:53:00Z</dcterms:created>
  <dc:creator>Yin Hao</dc:creator>
  <cp:lastModifiedBy>寒寒</cp:lastModifiedBy>
  <cp:lastPrinted>2020-04-02T03:13:00Z</cp:lastPrinted>
  <dcterms:modified xsi:type="dcterms:W3CDTF">2025-12-19T08:29:06Z</dcterms:modified>
  <dc:title>02年杜范本稿</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C13342720A5340B2A82F658A2E6A65B9_13</vt:lpwstr>
  </property>
  <property fmtid="{D5CDD505-2E9C-101B-9397-08002B2CF9AE}" pid="3" name="KSOProductBuildVer">
    <vt:lpwstr>2052-12.1.0.24034</vt:lpwstr>
  </property>
  <property fmtid="{D5CDD505-2E9C-101B-9397-08002B2CF9AE}" pid="4" name="KSOTemplateDocerSaveRecord">
    <vt:lpwstr>eyJoZGlkIjoiYThlYWE0YjVjOGQ1MzdjMDU3ZTU3ZjBhNzIzYmMxNjAiLCJ1c2VySWQiOiIzNTQzNzQyNzAifQ==</vt:lpwstr>
  </property>
</Properties>
</file>