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B1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p>
    <w:p w14:paraId="25B1826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p>
    <w:p w14:paraId="658CB3E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p>
    <w:p w14:paraId="1C5922A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p>
    <w:p w14:paraId="1429FB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p>
    <w:p w14:paraId="5B23319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p>
    <w:p w14:paraId="56741AB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竞争性磋商文件</w:t>
      </w:r>
    </w:p>
    <w:p w14:paraId="33E72C1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7828FE93">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74CA0DD1">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02F3CC4F">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4304EEE5">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4E020330">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28130514">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7B5E194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rPr>
      </w:pPr>
    </w:p>
    <w:p w14:paraId="1A634C99">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项目名称：</w:t>
      </w:r>
      <w:r>
        <w:rPr>
          <w:rFonts w:hint="eastAsia" w:ascii="仿宋" w:hAnsi="仿宋" w:eastAsia="仿宋" w:cs="仿宋"/>
          <w:b w:val="0"/>
          <w:bCs/>
          <w:color w:val="auto"/>
          <w:sz w:val="32"/>
          <w:szCs w:val="32"/>
          <w:highlight w:val="none"/>
          <w:lang w:eastAsia="zh-CN"/>
        </w:rPr>
        <w:t>张镇常年法律顾问服务项目</w:t>
      </w:r>
    </w:p>
    <w:p w14:paraId="0A53B25F">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项目编号：11011325210200018526-XM001</w:t>
      </w:r>
    </w:p>
    <w:p w14:paraId="05F47F2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采 购 人：</w:t>
      </w:r>
      <w:r>
        <w:rPr>
          <w:rFonts w:hint="eastAsia" w:ascii="仿宋" w:hAnsi="仿宋" w:eastAsia="仿宋" w:cs="仿宋"/>
          <w:b w:val="0"/>
          <w:bCs/>
          <w:color w:val="auto"/>
          <w:sz w:val="32"/>
          <w:szCs w:val="32"/>
          <w:highlight w:val="none"/>
          <w:lang w:eastAsia="zh-CN"/>
        </w:rPr>
        <w:t>北京市顺义区张镇人民政府</w:t>
      </w:r>
    </w:p>
    <w:p w14:paraId="1A35B9F5">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采购代理机构：</w:t>
      </w:r>
      <w:r>
        <w:rPr>
          <w:rFonts w:hint="eastAsia" w:ascii="仿宋" w:hAnsi="仿宋" w:eastAsia="仿宋" w:cs="仿宋"/>
          <w:b w:val="0"/>
          <w:bCs/>
          <w:color w:val="auto"/>
          <w:sz w:val="32"/>
          <w:szCs w:val="32"/>
          <w:highlight w:val="none"/>
          <w:lang w:eastAsia="zh-CN"/>
        </w:rPr>
        <w:t>北京中盛宇工程管理有限公司</w:t>
      </w:r>
    </w:p>
    <w:p w14:paraId="0F9B39C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32"/>
          <w:szCs w:val="32"/>
          <w:highlight w:val="none"/>
        </w:rPr>
      </w:pPr>
      <w:bookmarkStart w:id="0" w:name="_Toc16724"/>
      <w:bookmarkStart w:id="1" w:name="_Toc12015"/>
      <w:r>
        <w:rPr>
          <w:rFonts w:hint="eastAsia" w:ascii="仿宋" w:hAnsi="仿宋" w:eastAsia="仿宋" w:cs="仿宋"/>
          <w:b w:val="0"/>
          <w:bCs/>
          <w:color w:val="auto"/>
          <w:sz w:val="32"/>
          <w:szCs w:val="32"/>
          <w:highlight w:val="none"/>
        </w:rPr>
        <w:br w:type="page"/>
      </w:r>
    </w:p>
    <w:p w14:paraId="2CA1274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pPr>
      <w:bookmarkStart w:id="770" w:name="_GoBack"/>
      <w:r>
        <w:rPr>
          <w:rFonts w:hint="eastAsia" w:ascii="仿宋" w:hAnsi="仿宋" w:eastAsia="仿宋" w:cs="仿宋"/>
          <w:b w:val="0"/>
          <w:bCs/>
          <w:color w:val="auto"/>
          <w:sz w:val="21"/>
          <w:szCs w:val="21"/>
          <w:highlight w:val="none"/>
        </w:rPr>
        <w:t>目      录</w:t>
      </w:r>
      <w:bookmarkEnd w:id="0"/>
      <w:bookmarkEnd w:id="1"/>
    </w:p>
    <w:p w14:paraId="03403A7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pPr>
    </w:p>
    <w:p w14:paraId="6FE91632">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sz w:val="21"/>
          <w:szCs w:val="21"/>
          <w:highlight w:val="none"/>
        </w:rPr>
      </w:pP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color w:val="auto"/>
          <w:sz w:val="21"/>
          <w:szCs w:val="21"/>
          <w:highlight w:val="none"/>
        </w:rPr>
        <w:instrText xml:space="preserve"> TOC \o "1-1" \h \z \u </w:instrText>
      </w:r>
      <w:r>
        <w:rPr>
          <w:rFonts w:hint="eastAsia" w:ascii="仿宋" w:hAnsi="仿宋" w:eastAsia="仿宋" w:cs="仿宋"/>
          <w:b w:val="0"/>
          <w:bCs/>
          <w:color w:val="auto"/>
          <w:sz w:val="21"/>
          <w:szCs w:val="21"/>
          <w:highlight w:val="none"/>
        </w:rPr>
        <w:fldChar w:fldCharType="separate"/>
      </w: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sz w:val="21"/>
          <w:szCs w:val="21"/>
          <w:highlight w:val="none"/>
        </w:rPr>
        <w:instrText xml:space="preserve"> HYPERLINK \l _Toc17538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第一章   采购邀请</w:t>
      </w:r>
      <w:r>
        <w:rPr>
          <w:rFonts w:hint="eastAsia" w:ascii="仿宋" w:hAnsi="仿宋" w:eastAsia="仿宋" w:cs="仿宋"/>
          <w:b w:val="0"/>
          <w:bCs/>
          <w:sz w:val="21"/>
          <w:szCs w:val="21"/>
          <w:highlight w:val="none"/>
        </w:rPr>
        <w:tab/>
      </w:r>
      <w:r>
        <w:rPr>
          <w:rFonts w:hint="eastAsia" w:ascii="仿宋" w:hAnsi="仿宋" w:eastAsia="仿宋" w:cs="仿宋"/>
          <w:b w:val="0"/>
          <w:bCs/>
          <w:sz w:val="21"/>
          <w:szCs w:val="21"/>
          <w:highlight w:val="none"/>
        </w:rPr>
        <w:fldChar w:fldCharType="begin"/>
      </w:r>
      <w:r>
        <w:rPr>
          <w:rFonts w:hint="eastAsia" w:ascii="仿宋" w:hAnsi="仿宋" w:eastAsia="仿宋" w:cs="仿宋"/>
          <w:b w:val="0"/>
          <w:bCs/>
          <w:sz w:val="21"/>
          <w:szCs w:val="21"/>
          <w:highlight w:val="none"/>
        </w:rPr>
        <w:instrText xml:space="preserve"> PAGEREF _Toc17538 \h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1</w:t>
      </w:r>
      <w:r>
        <w:rPr>
          <w:rFonts w:hint="eastAsia" w:ascii="仿宋" w:hAnsi="仿宋" w:eastAsia="仿宋" w:cs="仿宋"/>
          <w:b w:val="0"/>
          <w:bCs/>
          <w:sz w:val="21"/>
          <w:szCs w:val="21"/>
          <w:highlight w:val="none"/>
        </w:rPr>
        <w:fldChar w:fldCharType="end"/>
      </w:r>
      <w:r>
        <w:rPr>
          <w:rFonts w:hint="eastAsia" w:ascii="仿宋" w:hAnsi="仿宋" w:eastAsia="仿宋" w:cs="仿宋"/>
          <w:b w:val="0"/>
          <w:bCs/>
          <w:color w:val="auto"/>
          <w:sz w:val="21"/>
          <w:szCs w:val="21"/>
          <w:highlight w:val="none"/>
        </w:rPr>
        <w:fldChar w:fldCharType="end"/>
      </w:r>
    </w:p>
    <w:p w14:paraId="678E4A95">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sz w:val="21"/>
          <w:szCs w:val="21"/>
          <w:highlight w:val="none"/>
        </w:rPr>
      </w:pP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sz w:val="21"/>
          <w:szCs w:val="21"/>
          <w:highlight w:val="none"/>
        </w:rPr>
        <w:instrText xml:space="preserve"> HYPERLINK \l _Toc2290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第二章   供应商须知</w:t>
      </w:r>
      <w:r>
        <w:rPr>
          <w:rFonts w:hint="eastAsia" w:ascii="仿宋" w:hAnsi="仿宋" w:eastAsia="仿宋" w:cs="仿宋"/>
          <w:b w:val="0"/>
          <w:bCs/>
          <w:sz w:val="21"/>
          <w:szCs w:val="21"/>
          <w:highlight w:val="none"/>
        </w:rPr>
        <w:tab/>
      </w:r>
      <w:r>
        <w:rPr>
          <w:rFonts w:hint="eastAsia" w:ascii="仿宋" w:hAnsi="仿宋" w:eastAsia="仿宋" w:cs="仿宋"/>
          <w:b w:val="0"/>
          <w:bCs/>
          <w:sz w:val="21"/>
          <w:szCs w:val="21"/>
          <w:highlight w:val="none"/>
        </w:rPr>
        <w:fldChar w:fldCharType="begin"/>
      </w:r>
      <w:r>
        <w:rPr>
          <w:rFonts w:hint="eastAsia" w:ascii="仿宋" w:hAnsi="仿宋" w:eastAsia="仿宋" w:cs="仿宋"/>
          <w:b w:val="0"/>
          <w:bCs/>
          <w:sz w:val="21"/>
          <w:szCs w:val="21"/>
          <w:highlight w:val="none"/>
        </w:rPr>
        <w:instrText xml:space="preserve"> PAGEREF _Toc2290 \h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5</w:t>
      </w:r>
      <w:r>
        <w:rPr>
          <w:rFonts w:hint="eastAsia" w:ascii="仿宋" w:hAnsi="仿宋" w:eastAsia="仿宋" w:cs="仿宋"/>
          <w:b w:val="0"/>
          <w:bCs/>
          <w:sz w:val="21"/>
          <w:szCs w:val="21"/>
          <w:highlight w:val="none"/>
        </w:rPr>
        <w:fldChar w:fldCharType="end"/>
      </w:r>
      <w:r>
        <w:rPr>
          <w:rFonts w:hint="eastAsia" w:ascii="仿宋" w:hAnsi="仿宋" w:eastAsia="仿宋" w:cs="仿宋"/>
          <w:b w:val="0"/>
          <w:bCs/>
          <w:color w:val="auto"/>
          <w:sz w:val="21"/>
          <w:szCs w:val="21"/>
          <w:highlight w:val="none"/>
        </w:rPr>
        <w:fldChar w:fldCharType="end"/>
      </w:r>
    </w:p>
    <w:p w14:paraId="1DADC937">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sz w:val="21"/>
          <w:szCs w:val="21"/>
          <w:highlight w:val="none"/>
        </w:rPr>
      </w:pP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sz w:val="21"/>
          <w:szCs w:val="21"/>
          <w:highlight w:val="none"/>
        </w:rPr>
        <w:instrText xml:space="preserve"> HYPERLINK \l _Toc32686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第三章   评审方法和评审标准</w:t>
      </w:r>
      <w:r>
        <w:rPr>
          <w:rFonts w:hint="eastAsia" w:ascii="仿宋" w:hAnsi="仿宋" w:eastAsia="仿宋" w:cs="仿宋"/>
          <w:b w:val="0"/>
          <w:bCs/>
          <w:sz w:val="21"/>
          <w:szCs w:val="21"/>
          <w:highlight w:val="none"/>
        </w:rPr>
        <w:tab/>
      </w:r>
      <w:r>
        <w:rPr>
          <w:rFonts w:hint="eastAsia" w:ascii="仿宋" w:hAnsi="仿宋" w:eastAsia="仿宋" w:cs="仿宋"/>
          <w:b w:val="0"/>
          <w:bCs/>
          <w:sz w:val="21"/>
          <w:szCs w:val="21"/>
          <w:highlight w:val="none"/>
        </w:rPr>
        <w:fldChar w:fldCharType="begin"/>
      </w:r>
      <w:r>
        <w:rPr>
          <w:rFonts w:hint="eastAsia" w:ascii="仿宋" w:hAnsi="仿宋" w:eastAsia="仿宋" w:cs="仿宋"/>
          <w:b w:val="0"/>
          <w:bCs/>
          <w:sz w:val="21"/>
          <w:szCs w:val="21"/>
          <w:highlight w:val="none"/>
        </w:rPr>
        <w:instrText xml:space="preserve"> PAGEREF _Toc32686 \h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17</w:t>
      </w:r>
      <w:r>
        <w:rPr>
          <w:rFonts w:hint="eastAsia" w:ascii="仿宋" w:hAnsi="仿宋" w:eastAsia="仿宋" w:cs="仿宋"/>
          <w:b w:val="0"/>
          <w:bCs/>
          <w:sz w:val="21"/>
          <w:szCs w:val="21"/>
          <w:highlight w:val="none"/>
        </w:rPr>
        <w:fldChar w:fldCharType="end"/>
      </w:r>
      <w:r>
        <w:rPr>
          <w:rFonts w:hint="eastAsia" w:ascii="仿宋" w:hAnsi="仿宋" w:eastAsia="仿宋" w:cs="仿宋"/>
          <w:b w:val="0"/>
          <w:bCs/>
          <w:color w:val="auto"/>
          <w:sz w:val="21"/>
          <w:szCs w:val="21"/>
          <w:highlight w:val="none"/>
        </w:rPr>
        <w:fldChar w:fldCharType="end"/>
      </w:r>
    </w:p>
    <w:p w14:paraId="0DE1627E">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sz w:val="21"/>
          <w:szCs w:val="21"/>
          <w:highlight w:val="none"/>
        </w:rPr>
      </w:pP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sz w:val="21"/>
          <w:szCs w:val="21"/>
          <w:highlight w:val="none"/>
        </w:rPr>
        <w:instrText xml:space="preserve"> HYPERLINK \l _Toc15877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第四章   采购需求</w:t>
      </w:r>
      <w:r>
        <w:rPr>
          <w:rFonts w:hint="eastAsia" w:ascii="仿宋" w:hAnsi="仿宋" w:eastAsia="仿宋" w:cs="仿宋"/>
          <w:b w:val="0"/>
          <w:bCs/>
          <w:sz w:val="21"/>
          <w:szCs w:val="21"/>
          <w:highlight w:val="none"/>
        </w:rPr>
        <w:tab/>
      </w:r>
      <w:r>
        <w:rPr>
          <w:rFonts w:hint="eastAsia" w:ascii="仿宋" w:hAnsi="仿宋" w:eastAsia="仿宋" w:cs="仿宋"/>
          <w:b w:val="0"/>
          <w:bCs/>
          <w:sz w:val="21"/>
          <w:szCs w:val="21"/>
          <w:highlight w:val="none"/>
        </w:rPr>
        <w:fldChar w:fldCharType="begin"/>
      </w:r>
      <w:r>
        <w:rPr>
          <w:rFonts w:hint="eastAsia" w:ascii="仿宋" w:hAnsi="仿宋" w:eastAsia="仿宋" w:cs="仿宋"/>
          <w:b w:val="0"/>
          <w:bCs/>
          <w:sz w:val="21"/>
          <w:szCs w:val="21"/>
          <w:highlight w:val="none"/>
        </w:rPr>
        <w:instrText xml:space="preserve"> PAGEREF _Toc15877 \h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26</w:t>
      </w:r>
      <w:r>
        <w:rPr>
          <w:rFonts w:hint="eastAsia" w:ascii="仿宋" w:hAnsi="仿宋" w:eastAsia="仿宋" w:cs="仿宋"/>
          <w:b w:val="0"/>
          <w:bCs/>
          <w:sz w:val="21"/>
          <w:szCs w:val="21"/>
          <w:highlight w:val="none"/>
        </w:rPr>
        <w:fldChar w:fldCharType="end"/>
      </w:r>
      <w:r>
        <w:rPr>
          <w:rFonts w:hint="eastAsia" w:ascii="仿宋" w:hAnsi="仿宋" w:eastAsia="仿宋" w:cs="仿宋"/>
          <w:b w:val="0"/>
          <w:bCs/>
          <w:color w:val="auto"/>
          <w:sz w:val="21"/>
          <w:szCs w:val="21"/>
          <w:highlight w:val="none"/>
        </w:rPr>
        <w:fldChar w:fldCharType="end"/>
      </w:r>
    </w:p>
    <w:p w14:paraId="0F57326E">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sz w:val="21"/>
          <w:szCs w:val="21"/>
          <w:highlight w:val="none"/>
        </w:rPr>
      </w:pP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sz w:val="21"/>
          <w:szCs w:val="21"/>
          <w:highlight w:val="none"/>
        </w:rPr>
        <w:instrText xml:space="preserve"> HYPERLINK \l _Toc3915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第五章   合同草案条款</w:t>
      </w:r>
      <w:r>
        <w:rPr>
          <w:rFonts w:hint="eastAsia" w:ascii="仿宋" w:hAnsi="仿宋" w:eastAsia="仿宋" w:cs="仿宋"/>
          <w:b w:val="0"/>
          <w:bCs/>
          <w:sz w:val="21"/>
          <w:szCs w:val="21"/>
          <w:highlight w:val="none"/>
        </w:rPr>
        <w:tab/>
      </w:r>
      <w:r>
        <w:rPr>
          <w:rFonts w:hint="eastAsia" w:ascii="仿宋" w:hAnsi="仿宋" w:eastAsia="仿宋" w:cs="仿宋"/>
          <w:b w:val="0"/>
          <w:bCs/>
          <w:sz w:val="21"/>
          <w:szCs w:val="21"/>
          <w:highlight w:val="none"/>
        </w:rPr>
        <w:fldChar w:fldCharType="begin"/>
      </w:r>
      <w:r>
        <w:rPr>
          <w:rFonts w:hint="eastAsia" w:ascii="仿宋" w:hAnsi="仿宋" w:eastAsia="仿宋" w:cs="仿宋"/>
          <w:b w:val="0"/>
          <w:bCs/>
          <w:sz w:val="21"/>
          <w:szCs w:val="21"/>
          <w:highlight w:val="none"/>
        </w:rPr>
        <w:instrText xml:space="preserve"> PAGEREF _Toc3915 \h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28</w:t>
      </w:r>
      <w:r>
        <w:rPr>
          <w:rFonts w:hint="eastAsia" w:ascii="仿宋" w:hAnsi="仿宋" w:eastAsia="仿宋" w:cs="仿宋"/>
          <w:b w:val="0"/>
          <w:bCs/>
          <w:sz w:val="21"/>
          <w:szCs w:val="21"/>
          <w:highlight w:val="none"/>
        </w:rPr>
        <w:fldChar w:fldCharType="end"/>
      </w:r>
      <w:r>
        <w:rPr>
          <w:rFonts w:hint="eastAsia" w:ascii="仿宋" w:hAnsi="仿宋" w:eastAsia="仿宋" w:cs="仿宋"/>
          <w:b w:val="0"/>
          <w:bCs/>
          <w:color w:val="auto"/>
          <w:sz w:val="21"/>
          <w:szCs w:val="21"/>
          <w:highlight w:val="none"/>
        </w:rPr>
        <w:fldChar w:fldCharType="end"/>
      </w:r>
    </w:p>
    <w:p w14:paraId="72319E1F">
      <w:pPr>
        <w:pStyle w:val="16"/>
        <w:keepNext w:val="0"/>
        <w:keepLines w:val="0"/>
        <w:pageBreakBefore w:val="0"/>
        <w:widowControl w:val="0"/>
        <w:tabs>
          <w:tab w:val="right" w:leader="dot" w:pos="9745"/>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sz w:val="21"/>
          <w:szCs w:val="21"/>
          <w:highlight w:val="none"/>
        </w:rPr>
      </w:pP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sz w:val="21"/>
          <w:szCs w:val="21"/>
          <w:highlight w:val="none"/>
        </w:rPr>
        <w:instrText xml:space="preserve"> HYPERLINK \l _Toc23239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第六章   响应文件格式</w:t>
      </w:r>
      <w:r>
        <w:rPr>
          <w:rFonts w:hint="eastAsia" w:ascii="仿宋" w:hAnsi="仿宋" w:eastAsia="仿宋" w:cs="仿宋"/>
          <w:b w:val="0"/>
          <w:bCs/>
          <w:sz w:val="21"/>
          <w:szCs w:val="21"/>
          <w:highlight w:val="none"/>
        </w:rPr>
        <w:tab/>
      </w:r>
      <w:r>
        <w:rPr>
          <w:rFonts w:hint="eastAsia" w:ascii="仿宋" w:hAnsi="仿宋" w:eastAsia="仿宋" w:cs="仿宋"/>
          <w:b w:val="0"/>
          <w:bCs/>
          <w:sz w:val="21"/>
          <w:szCs w:val="21"/>
          <w:highlight w:val="none"/>
        </w:rPr>
        <w:fldChar w:fldCharType="begin"/>
      </w:r>
      <w:r>
        <w:rPr>
          <w:rFonts w:hint="eastAsia" w:ascii="仿宋" w:hAnsi="仿宋" w:eastAsia="仿宋" w:cs="仿宋"/>
          <w:b w:val="0"/>
          <w:bCs/>
          <w:sz w:val="21"/>
          <w:szCs w:val="21"/>
          <w:highlight w:val="none"/>
        </w:rPr>
        <w:instrText xml:space="preserve"> PAGEREF _Toc23239 \h </w:instrText>
      </w:r>
      <w:r>
        <w:rPr>
          <w:rFonts w:hint="eastAsia" w:ascii="仿宋" w:hAnsi="仿宋" w:eastAsia="仿宋" w:cs="仿宋"/>
          <w:b w:val="0"/>
          <w:bCs/>
          <w:sz w:val="21"/>
          <w:szCs w:val="21"/>
          <w:highlight w:val="none"/>
        </w:rPr>
        <w:fldChar w:fldCharType="separate"/>
      </w:r>
      <w:r>
        <w:rPr>
          <w:rFonts w:hint="eastAsia" w:ascii="仿宋" w:hAnsi="仿宋" w:eastAsia="仿宋" w:cs="仿宋"/>
          <w:b w:val="0"/>
          <w:bCs/>
          <w:sz w:val="21"/>
          <w:szCs w:val="21"/>
          <w:highlight w:val="none"/>
        </w:rPr>
        <w:t>34</w:t>
      </w:r>
      <w:r>
        <w:rPr>
          <w:rFonts w:hint="eastAsia" w:ascii="仿宋" w:hAnsi="仿宋" w:eastAsia="仿宋" w:cs="仿宋"/>
          <w:b w:val="0"/>
          <w:bCs/>
          <w:sz w:val="21"/>
          <w:szCs w:val="21"/>
          <w:highlight w:val="none"/>
        </w:rPr>
        <w:fldChar w:fldCharType="end"/>
      </w:r>
      <w:r>
        <w:rPr>
          <w:rFonts w:hint="eastAsia" w:ascii="仿宋" w:hAnsi="仿宋" w:eastAsia="仿宋" w:cs="仿宋"/>
          <w:b w:val="0"/>
          <w:bCs/>
          <w:color w:val="auto"/>
          <w:sz w:val="21"/>
          <w:szCs w:val="21"/>
          <w:highlight w:val="none"/>
        </w:rPr>
        <w:fldChar w:fldCharType="end"/>
      </w:r>
    </w:p>
    <w:p w14:paraId="76FE80AD">
      <w:pPr>
        <w:pStyle w:val="16"/>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fldChar w:fldCharType="end"/>
      </w:r>
    </w:p>
    <w:p w14:paraId="79DD48DA">
      <w:pPr>
        <w:pStyle w:val="16"/>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21"/>
          <w:szCs w:val="21"/>
          <w:highlight w:val="none"/>
        </w:rPr>
      </w:pPr>
    </w:p>
    <w:p w14:paraId="7B78585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sectPr>
          <w:headerReference r:id="rId4" w:type="first"/>
          <w:footerReference r:id="rId6" w:type="first"/>
          <w:headerReference r:id="rId3" w:type="default"/>
          <w:footerReference r:id="rId5" w:type="default"/>
          <w:pgSz w:w="11905" w:h="16838"/>
          <w:pgMar w:top="1440" w:right="1080" w:bottom="1440" w:left="1080" w:header="851" w:footer="850" w:gutter="0"/>
          <w:pgNumType w:fmt="decimal" w:start="1"/>
          <w:cols w:space="0" w:num="1"/>
          <w:titlePg/>
          <w:rtlGutter w:val="0"/>
          <w:docGrid w:linePitch="462" w:charSpace="0"/>
        </w:sectPr>
      </w:pPr>
    </w:p>
    <w:bookmarkEnd w:id="770"/>
    <w:p w14:paraId="7FABA6D7">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2" w:name="_Toc17538"/>
      <w:r>
        <w:rPr>
          <w:rFonts w:hint="eastAsia" w:ascii="仿宋" w:hAnsi="仿宋" w:eastAsia="仿宋" w:cs="仿宋"/>
          <w:b w:val="0"/>
          <w:bCs/>
          <w:color w:val="auto"/>
          <w:sz w:val="21"/>
          <w:szCs w:val="21"/>
          <w:highlight w:val="none"/>
        </w:rPr>
        <w:t>第一章   采购邀请</w:t>
      </w:r>
      <w:bookmarkEnd w:id="2"/>
      <w:bookmarkStart w:id="3" w:name="_Toc35393621"/>
      <w:bookmarkStart w:id="4" w:name="_Toc35393790"/>
      <w:bookmarkStart w:id="5" w:name="_Toc28359002"/>
      <w:bookmarkStart w:id="6" w:name="_Toc28359079"/>
      <w:bookmarkStart w:id="7" w:name="_Hlk24379207"/>
    </w:p>
    <w:p w14:paraId="1C8BE80E">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一、项目基本情况</w:t>
      </w:r>
      <w:bookmarkEnd w:id="3"/>
      <w:bookmarkEnd w:id="4"/>
      <w:bookmarkEnd w:id="5"/>
      <w:bookmarkEnd w:id="6"/>
    </w:p>
    <w:p w14:paraId="0BF08CAA">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1.项目编号：11011325210200018526-XM001</w:t>
      </w:r>
    </w:p>
    <w:p w14:paraId="196DE2AC">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2.项目名称：</w:t>
      </w:r>
      <w:r>
        <w:rPr>
          <w:rFonts w:hint="eastAsia" w:ascii="仿宋" w:hAnsi="仿宋" w:eastAsia="仿宋" w:cs="仿宋"/>
          <w:b w:val="0"/>
          <w:bCs/>
          <w:color w:val="auto"/>
          <w:sz w:val="21"/>
          <w:szCs w:val="21"/>
          <w:highlight w:val="none"/>
          <w:lang w:eastAsia="zh-CN"/>
        </w:rPr>
        <w:t>张镇常年法律顾问服务项目</w:t>
      </w:r>
    </w:p>
    <w:p w14:paraId="0ADB651D">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3.采购方式：竞争性磋商</w:t>
      </w:r>
    </w:p>
    <w:bookmarkEnd w:id="7"/>
    <w:p w14:paraId="730BA425">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4.项目预算金额：</w:t>
      </w:r>
      <w:r>
        <w:rPr>
          <w:rFonts w:hint="eastAsia" w:ascii="仿宋" w:hAnsi="仿宋" w:eastAsia="仿宋" w:cs="仿宋"/>
          <w:b w:val="0"/>
          <w:bCs/>
          <w:color w:val="auto"/>
          <w:sz w:val="21"/>
          <w:szCs w:val="21"/>
          <w:highlight w:val="none"/>
          <w:u w:val="single"/>
          <w:lang w:val="en-US" w:eastAsia="zh-CN"/>
        </w:rPr>
        <w:t>130</w:t>
      </w:r>
      <w:r>
        <w:rPr>
          <w:rFonts w:hint="eastAsia" w:ascii="仿宋" w:hAnsi="仿宋" w:eastAsia="仿宋" w:cs="仿宋"/>
          <w:b w:val="0"/>
          <w:bCs/>
          <w:color w:val="auto"/>
          <w:sz w:val="21"/>
          <w:szCs w:val="21"/>
          <w:highlight w:val="none"/>
        </w:rPr>
        <w:t>万元、项目最高限价（如有）：</w:t>
      </w:r>
      <w:r>
        <w:rPr>
          <w:rFonts w:hint="eastAsia" w:ascii="仿宋" w:hAnsi="仿宋" w:eastAsia="仿宋" w:cs="仿宋"/>
          <w:b w:val="0"/>
          <w:bCs/>
          <w:color w:val="auto"/>
          <w:sz w:val="21"/>
          <w:szCs w:val="21"/>
          <w:highlight w:val="none"/>
          <w:u w:val="single"/>
          <w:lang w:val="en-US" w:eastAsia="zh-CN"/>
        </w:rPr>
        <w:t>12.4400</w:t>
      </w:r>
      <w:r>
        <w:rPr>
          <w:rFonts w:hint="eastAsia" w:ascii="仿宋" w:hAnsi="仿宋" w:eastAsia="仿宋" w:cs="仿宋"/>
          <w:b w:val="0"/>
          <w:bCs/>
          <w:color w:val="auto"/>
          <w:sz w:val="21"/>
          <w:szCs w:val="21"/>
          <w:highlight w:val="none"/>
        </w:rPr>
        <w:t>万元</w:t>
      </w:r>
    </w:p>
    <w:p w14:paraId="250D56A6">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5.采购需求：</w:t>
      </w:r>
    </w:p>
    <w:tbl>
      <w:tblPr>
        <w:tblStyle w:val="22"/>
        <w:tblW w:w="975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82"/>
        <w:gridCol w:w="1499"/>
        <w:gridCol w:w="1352"/>
        <w:gridCol w:w="3854"/>
      </w:tblGrid>
      <w:tr w14:paraId="03A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2039442B">
            <w:pPr>
              <w:pStyle w:val="27"/>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项目名称</w:t>
            </w:r>
          </w:p>
          <w:p w14:paraId="6938E77E">
            <w:pPr>
              <w:pStyle w:val="27"/>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u w:val="none"/>
                <w:lang w:val="en-US" w:eastAsia="zh-CN"/>
              </w:rPr>
              <w:t>（标的名称）</w:t>
            </w:r>
          </w:p>
        </w:tc>
        <w:tc>
          <w:tcPr>
            <w:tcW w:w="1482" w:type="dxa"/>
            <w:vAlign w:val="center"/>
          </w:tcPr>
          <w:p w14:paraId="3E83A92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预算金额</w:t>
            </w:r>
          </w:p>
          <w:p w14:paraId="7BC1129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499" w:type="dxa"/>
            <w:vAlign w:val="center"/>
          </w:tcPr>
          <w:p w14:paraId="180AB29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最高限价</w:t>
            </w:r>
          </w:p>
          <w:p w14:paraId="7B2FDC9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352" w:type="dxa"/>
            <w:vAlign w:val="center"/>
          </w:tcPr>
          <w:p w14:paraId="3EFCC0D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服务地点</w:t>
            </w:r>
          </w:p>
        </w:tc>
        <w:tc>
          <w:tcPr>
            <w:tcW w:w="3854" w:type="dxa"/>
            <w:shd w:val="clear" w:color="auto" w:fill="auto"/>
            <w:vAlign w:val="center"/>
          </w:tcPr>
          <w:p w14:paraId="68FEBB9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简要技术需求或服务要求</w:t>
            </w:r>
          </w:p>
        </w:tc>
      </w:tr>
      <w:tr w14:paraId="299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2CF4A3B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lang w:eastAsia="zh-CN"/>
              </w:rPr>
              <w:t>张镇常年法律顾问服务项目</w:t>
            </w:r>
          </w:p>
        </w:tc>
        <w:tc>
          <w:tcPr>
            <w:tcW w:w="1482" w:type="dxa"/>
            <w:vAlign w:val="center"/>
          </w:tcPr>
          <w:p w14:paraId="7C174A6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130</w:t>
            </w:r>
          </w:p>
        </w:tc>
        <w:tc>
          <w:tcPr>
            <w:tcW w:w="1499" w:type="dxa"/>
            <w:vAlign w:val="center"/>
          </w:tcPr>
          <w:p w14:paraId="1B35756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12.4400</w:t>
            </w:r>
          </w:p>
        </w:tc>
        <w:tc>
          <w:tcPr>
            <w:tcW w:w="1352" w:type="dxa"/>
            <w:vAlign w:val="center"/>
          </w:tcPr>
          <w:p w14:paraId="57AE0F2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rPr>
              <w:t>北京市顺义区</w:t>
            </w:r>
            <w:r>
              <w:rPr>
                <w:rFonts w:hint="eastAsia" w:ascii="仿宋" w:hAnsi="仿宋" w:eastAsia="仿宋" w:cs="仿宋"/>
                <w:b w:val="0"/>
                <w:bCs/>
                <w:color w:val="auto"/>
                <w:sz w:val="21"/>
                <w:szCs w:val="21"/>
                <w:highlight w:val="none"/>
                <w:u w:val="none"/>
                <w:lang w:val="en-US" w:eastAsia="zh-CN"/>
              </w:rPr>
              <w:t>张镇</w:t>
            </w:r>
          </w:p>
        </w:tc>
        <w:tc>
          <w:tcPr>
            <w:tcW w:w="3854" w:type="dxa"/>
            <w:shd w:val="clear" w:color="auto" w:fill="auto"/>
            <w:vAlign w:val="center"/>
          </w:tcPr>
          <w:p w14:paraId="3A42086E">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rPr>
              <w:t>为确保我镇涉法事务顺利开展，</w:t>
            </w:r>
            <w:r>
              <w:rPr>
                <w:rFonts w:hint="eastAsia" w:ascii="仿宋" w:hAnsi="仿宋" w:eastAsia="仿宋" w:cs="仿宋"/>
                <w:b w:val="0"/>
                <w:bCs/>
                <w:color w:val="auto"/>
                <w:sz w:val="21"/>
                <w:szCs w:val="21"/>
                <w:highlight w:val="none"/>
                <w:u w:val="none"/>
                <w:lang w:val="en-US" w:eastAsia="zh-CN"/>
              </w:rPr>
              <w:t>拟采用竞争性磋商方式择优选取</w:t>
            </w:r>
            <w:r>
              <w:rPr>
                <w:rFonts w:hint="eastAsia" w:ascii="仿宋" w:hAnsi="仿宋" w:eastAsia="仿宋" w:cs="仿宋"/>
                <w:b w:val="0"/>
                <w:bCs/>
                <w:color w:val="auto"/>
                <w:sz w:val="21"/>
                <w:szCs w:val="21"/>
                <w:highlight w:val="none"/>
                <w:u w:val="none"/>
              </w:rPr>
              <w:t>一家常年法律顾问服务单位，配合职能部门开展诉讼案件、行政决策、规范性文件制定、重大项目推进及处置突发事件等工作</w:t>
            </w:r>
            <w:r>
              <w:rPr>
                <w:rFonts w:hint="eastAsia" w:ascii="仿宋" w:hAnsi="仿宋" w:eastAsia="仿宋" w:cs="仿宋"/>
                <w:b w:val="0"/>
                <w:bCs/>
                <w:color w:val="auto"/>
                <w:sz w:val="21"/>
                <w:szCs w:val="21"/>
                <w:highlight w:val="none"/>
                <w:u w:val="none"/>
                <w:lang w:eastAsia="zh-CN"/>
              </w:rPr>
              <w:t>。</w:t>
            </w:r>
          </w:p>
        </w:tc>
      </w:tr>
    </w:tbl>
    <w:p w14:paraId="21DF0927">
      <w:pPr>
        <w:keepNext w:val="0"/>
        <w:keepLines w:val="0"/>
        <w:pageBreakBefore w:val="0"/>
        <w:widowControl w:val="0"/>
        <w:shd w:val="clear"/>
        <w:tabs>
          <w:tab w:val="left" w:pos="315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kern w:val="20"/>
          <w:sz w:val="21"/>
          <w:szCs w:val="21"/>
          <w:highlight w:val="none"/>
          <w:lang w:val="zh-CN"/>
        </w:rPr>
      </w:pPr>
      <w:r>
        <w:rPr>
          <w:rFonts w:hint="eastAsia" w:ascii="仿宋" w:hAnsi="仿宋" w:eastAsia="仿宋" w:cs="仿宋"/>
          <w:b w:val="0"/>
          <w:bCs/>
          <w:color w:val="auto"/>
          <w:sz w:val="21"/>
          <w:szCs w:val="21"/>
          <w:highlight w:val="none"/>
        </w:rPr>
        <w:t>6.合同履行期限：</w:t>
      </w:r>
      <w:r>
        <w:rPr>
          <w:rFonts w:hint="eastAsia" w:ascii="仿宋" w:hAnsi="仿宋" w:eastAsia="仿宋" w:cs="仿宋"/>
          <w:b w:val="0"/>
          <w:bCs/>
          <w:color w:val="auto"/>
          <w:sz w:val="21"/>
          <w:szCs w:val="21"/>
          <w:highlight w:val="none"/>
          <w:lang w:val="en-US" w:eastAsia="zh-CN"/>
        </w:rPr>
        <w:t>1年（具体以合同签订日期为准）</w:t>
      </w:r>
    </w:p>
    <w:p w14:paraId="1A4F9B07">
      <w:pPr>
        <w:keepNext w:val="0"/>
        <w:keepLines w:val="0"/>
        <w:pageBreakBefore w:val="0"/>
        <w:widowControl w:val="0"/>
        <w:shd w:val="clear"/>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7.本项目是否接受联合体：</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是  ■否。</w:t>
      </w:r>
    </w:p>
    <w:p w14:paraId="32C5CFC5">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8" w:name="_Toc35393791"/>
      <w:bookmarkStart w:id="9" w:name="_Toc35393622"/>
      <w:bookmarkStart w:id="10" w:name="_Toc28359080"/>
      <w:bookmarkStart w:id="11" w:name="_Toc28359003"/>
      <w:r>
        <w:rPr>
          <w:rFonts w:hint="eastAsia" w:ascii="仿宋" w:hAnsi="仿宋" w:eastAsia="仿宋" w:cs="仿宋"/>
          <w:b w:val="0"/>
          <w:bCs/>
          <w:color w:val="auto"/>
          <w:sz w:val="21"/>
          <w:szCs w:val="21"/>
          <w:highlight w:val="none"/>
        </w:rPr>
        <w:t>二、申请人的资格要求（须同时满足）</w:t>
      </w:r>
      <w:bookmarkEnd w:id="8"/>
      <w:bookmarkEnd w:id="9"/>
      <w:bookmarkEnd w:id="10"/>
      <w:bookmarkEnd w:id="11"/>
    </w:p>
    <w:p w14:paraId="64F7C5CF">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1.满足《中华人民共和国政府采购法》第二十二条规定；</w:t>
      </w:r>
    </w:p>
    <w:p w14:paraId="656D489C">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bookmarkStart w:id="12" w:name="_Toc28359081"/>
      <w:bookmarkStart w:id="13" w:name="_Toc28359004"/>
      <w:r>
        <w:rPr>
          <w:rFonts w:hint="eastAsia" w:ascii="仿宋" w:hAnsi="仿宋" w:eastAsia="仿宋" w:cs="仿宋"/>
          <w:b w:val="0"/>
          <w:bCs/>
          <w:color w:val="auto"/>
          <w:sz w:val="21"/>
          <w:szCs w:val="21"/>
          <w:highlight w:val="none"/>
        </w:rPr>
        <w:t>2.落实政府采购政策需满足的资格要求：</w:t>
      </w:r>
    </w:p>
    <w:p w14:paraId="13FD33A9">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2.1中小企业政策</w:t>
      </w:r>
    </w:p>
    <w:p w14:paraId="2563C092">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■本项目不专门面向中小企业预留采购份额。</w:t>
      </w:r>
    </w:p>
    <w:p w14:paraId="4939818A">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本项目专门面向  </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中小 </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小微企业  采购。即：提供的货物全部由符合政策要求的中小/小微企业制造、服务全部由符合政策要求的中小/小微企业承接。</w:t>
      </w:r>
    </w:p>
    <w:p w14:paraId="7342AF9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u w:val="none"/>
          <w:lang w:val="en-US" w:eastAsia="zh-CN"/>
        </w:rPr>
        <w:t>。</w:t>
      </w:r>
    </w:p>
    <w:p w14:paraId="37A0DA27">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2.2其它落实政府采购政策的资格要求（如有）：</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4E7C9CF4">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i/>
          <w:iCs/>
          <w:color w:val="auto"/>
          <w:sz w:val="21"/>
          <w:szCs w:val="21"/>
          <w:highlight w:val="none"/>
          <w:u w:val="single"/>
        </w:rPr>
      </w:pPr>
      <w:r>
        <w:rPr>
          <w:rFonts w:hint="eastAsia" w:ascii="仿宋" w:hAnsi="仿宋" w:eastAsia="仿宋" w:cs="仿宋"/>
          <w:b w:val="0"/>
          <w:bCs/>
          <w:color w:val="auto"/>
          <w:sz w:val="21"/>
          <w:szCs w:val="21"/>
          <w:highlight w:val="none"/>
        </w:rPr>
        <w:t>3.本项目的特定资格要求：</w:t>
      </w:r>
    </w:p>
    <w:p w14:paraId="7F8124A1">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3.1本项目是否属于政府购买服务：</w:t>
      </w:r>
    </w:p>
    <w:p w14:paraId="0F7E3947">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否</w:t>
      </w:r>
    </w:p>
    <w:p w14:paraId="4A995A55">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■是，公益一类事业单位、使用事业编制且由财政拨款保障的群团组织，不得作为承接主体；</w:t>
      </w:r>
    </w:p>
    <w:p w14:paraId="5B0BA568">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3.2其他特定资格要求：</w:t>
      </w:r>
    </w:p>
    <w:p w14:paraId="5B6C0D16">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u w:val="single"/>
        </w:rPr>
        <w:t>3.2.1</w:t>
      </w:r>
      <w:r>
        <w:rPr>
          <w:rFonts w:hint="eastAsia" w:ascii="仿宋" w:hAnsi="仿宋" w:eastAsia="仿宋" w:cs="仿宋"/>
          <w:b w:val="0"/>
          <w:bCs/>
          <w:color w:val="auto"/>
          <w:sz w:val="21"/>
          <w:szCs w:val="21"/>
          <w:highlight w:val="none"/>
          <w:u w:val="single"/>
          <w:lang w:eastAsia="zh-CN"/>
        </w:rPr>
        <w:t>供应商</w:t>
      </w:r>
      <w:r>
        <w:rPr>
          <w:rFonts w:hint="eastAsia" w:ascii="仿宋" w:hAnsi="仿宋" w:eastAsia="仿宋" w:cs="仿宋"/>
          <w:b w:val="0"/>
          <w:bCs/>
          <w:color w:val="auto"/>
          <w:sz w:val="21"/>
          <w:szCs w:val="21"/>
          <w:highlight w:val="none"/>
          <w:u w:val="single"/>
        </w:rPr>
        <w:t>须具有司法行政部门颁发且有效的《律师事务所执业许可证》；</w:t>
      </w:r>
    </w:p>
    <w:p w14:paraId="3063EC39">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u w:val="single"/>
        </w:rPr>
        <w:t>3.2.2</w:t>
      </w:r>
      <w:r>
        <w:rPr>
          <w:rFonts w:hint="eastAsia" w:ascii="仿宋" w:hAnsi="仿宋" w:eastAsia="仿宋" w:cs="仿宋"/>
          <w:b w:val="0"/>
          <w:bCs/>
          <w:color w:val="auto"/>
          <w:sz w:val="21"/>
          <w:szCs w:val="21"/>
          <w:highlight w:val="none"/>
          <w:u w:val="single"/>
          <w:lang w:eastAsia="zh-CN"/>
        </w:rPr>
        <w:t>供应商</w:t>
      </w:r>
      <w:r>
        <w:rPr>
          <w:rFonts w:hint="eastAsia" w:ascii="仿宋" w:hAnsi="仿宋" w:eastAsia="仿宋" w:cs="仿宋"/>
          <w:b w:val="0"/>
          <w:bCs/>
          <w:color w:val="auto"/>
          <w:sz w:val="21"/>
          <w:szCs w:val="21"/>
          <w:highlight w:val="none"/>
          <w:u w:val="single"/>
        </w:rPr>
        <w:t>拟派项目负责人须具有司法行政部门颁发且有效的《律师执业证》</w:t>
      </w:r>
      <w:r>
        <w:rPr>
          <w:rFonts w:hint="eastAsia" w:ascii="仿宋" w:hAnsi="仿宋" w:eastAsia="仿宋" w:cs="仿宋"/>
          <w:b w:val="0"/>
          <w:bCs/>
          <w:color w:val="auto"/>
          <w:sz w:val="21"/>
          <w:szCs w:val="21"/>
          <w:highlight w:val="none"/>
          <w:u w:val="single"/>
          <w:lang w:val="en-US" w:eastAsia="zh-CN"/>
        </w:rPr>
        <w:t>。</w:t>
      </w:r>
    </w:p>
    <w:bookmarkEnd w:id="12"/>
    <w:bookmarkEnd w:id="13"/>
    <w:p w14:paraId="1F903B6F">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14" w:name="_Toc35393792"/>
      <w:bookmarkStart w:id="15" w:name="_Toc35393623"/>
      <w:r>
        <w:rPr>
          <w:rFonts w:hint="eastAsia" w:ascii="仿宋" w:hAnsi="仿宋" w:eastAsia="仿宋" w:cs="仿宋"/>
          <w:b w:val="0"/>
          <w:bCs/>
          <w:color w:val="auto"/>
          <w:sz w:val="21"/>
          <w:szCs w:val="21"/>
          <w:highlight w:val="none"/>
        </w:rPr>
        <w:t>三、获取采购文件</w:t>
      </w:r>
      <w:bookmarkEnd w:id="14"/>
      <w:bookmarkEnd w:id="15"/>
    </w:p>
    <w:p w14:paraId="121F3FC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1.时间：</w:t>
      </w:r>
      <w:r>
        <w:rPr>
          <w:rFonts w:hint="eastAsia" w:ascii="仿宋" w:hAnsi="仿宋" w:eastAsia="仿宋" w:cs="仿宋"/>
          <w:b w:val="0"/>
          <w:bCs/>
          <w:color w:val="auto"/>
          <w:sz w:val="21"/>
          <w:szCs w:val="21"/>
          <w:highlight w:val="none"/>
        </w:rPr>
        <w:t>202</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lang w:val="en-US" w:eastAsia="zh-CN" w:bidi="ar"/>
        </w:rPr>
        <w:t>12</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lang w:val="en-US" w:eastAsia="zh-CN" w:bidi="ar"/>
        </w:rPr>
        <w:t>05</w:t>
      </w:r>
      <w:r>
        <w:rPr>
          <w:rFonts w:hint="eastAsia" w:ascii="仿宋" w:hAnsi="仿宋" w:eastAsia="仿宋" w:cs="仿宋"/>
          <w:b w:val="0"/>
          <w:bCs/>
          <w:color w:val="auto"/>
          <w:sz w:val="21"/>
          <w:szCs w:val="21"/>
          <w:highlight w:val="none"/>
          <w:lang w:bidi="ar"/>
        </w:rPr>
        <w:t>日至</w:t>
      </w:r>
      <w:r>
        <w:rPr>
          <w:rFonts w:hint="eastAsia" w:ascii="仿宋" w:hAnsi="仿宋" w:eastAsia="仿宋" w:cs="仿宋"/>
          <w:b w:val="0"/>
          <w:bCs/>
          <w:color w:val="auto"/>
          <w:sz w:val="21"/>
          <w:szCs w:val="21"/>
          <w:highlight w:val="none"/>
        </w:rPr>
        <w:t>202</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lang w:val="en-US" w:eastAsia="zh-CN" w:bidi="ar"/>
        </w:rPr>
        <w:t>12</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lang w:val="en-US" w:eastAsia="zh-CN" w:bidi="ar"/>
        </w:rPr>
        <w:t>11</w:t>
      </w:r>
      <w:r>
        <w:rPr>
          <w:rFonts w:hint="eastAsia" w:ascii="仿宋" w:hAnsi="仿宋" w:eastAsia="仿宋" w:cs="仿宋"/>
          <w:b w:val="0"/>
          <w:bCs/>
          <w:color w:val="auto"/>
          <w:sz w:val="21"/>
          <w:szCs w:val="21"/>
          <w:highlight w:val="none"/>
          <w:lang w:bidi="ar"/>
        </w:rPr>
        <w:t>日，每天上午</w:t>
      </w:r>
      <w:r>
        <w:rPr>
          <w:rFonts w:hint="eastAsia" w:ascii="仿宋" w:hAnsi="仿宋" w:eastAsia="仿宋" w:cs="仿宋"/>
          <w:b w:val="0"/>
          <w:bCs/>
          <w:color w:val="auto"/>
          <w:sz w:val="21"/>
          <w:szCs w:val="21"/>
          <w:highlight w:val="none"/>
          <w:lang w:val="en-US" w:eastAsia="zh-CN"/>
        </w:rPr>
        <w:t>09</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至</w:t>
      </w:r>
      <w:r>
        <w:rPr>
          <w:rFonts w:hint="eastAsia" w:ascii="仿宋" w:hAnsi="仿宋" w:eastAsia="仿宋" w:cs="仿宋"/>
          <w:b w:val="0"/>
          <w:bCs/>
          <w:color w:val="auto"/>
          <w:sz w:val="21"/>
          <w:szCs w:val="21"/>
          <w:highlight w:val="none"/>
        </w:rPr>
        <w:t>12</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，下午</w:t>
      </w:r>
      <w:r>
        <w:rPr>
          <w:rFonts w:hint="eastAsia" w:ascii="仿宋" w:hAnsi="仿宋" w:eastAsia="仿宋" w:cs="仿宋"/>
          <w:b w:val="0"/>
          <w:bCs/>
          <w:color w:val="auto"/>
          <w:sz w:val="21"/>
          <w:szCs w:val="21"/>
          <w:highlight w:val="none"/>
        </w:rPr>
        <w:t>12</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至</w:t>
      </w:r>
      <w:r>
        <w:rPr>
          <w:rFonts w:hint="eastAsia" w:ascii="仿宋" w:hAnsi="仿宋" w:eastAsia="仿宋" w:cs="仿宋"/>
          <w:b w:val="0"/>
          <w:bCs/>
          <w:color w:val="auto"/>
          <w:sz w:val="21"/>
          <w:szCs w:val="21"/>
          <w:highlight w:val="none"/>
        </w:rPr>
        <w:t>17</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00</w:t>
      </w:r>
      <w:r>
        <w:rPr>
          <w:rFonts w:hint="eastAsia" w:ascii="仿宋" w:hAnsi="仿宋" w:eastAsia="仿宋" w:cs="仿宋"/>
          <w:b w:val="0"/>
          <w:bCs/>
          <w:color w:val="auto"/>
          <w:sz w:val="21"/>
          <w:szCs w:val="21"/>
          <w:highlight w:val="none"/>
          <w:lang w:bidi="ar"/>
        </w:rPr>
        <w:t>（北京时间）。</w:t>
      </w:r>
    </w:p>
    <w:p w14:paraId="00594C8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2.地点：北京市政府采购电子交易平台（http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//zbcg-bjzc.zhongcy.com/bjczj-portal-site/index.html#/home）</w:t>
      </w:r>
    </w:p>
    <w:p w14:paraId="6478C21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3.方式：供应商使用 CA 数字证书或电子营业执照登录北京市政府采购电子交易平台（http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//zbcg-bjzc.zhongcy.com/bjczj-portal-site/index.html#/home）获取电子版竞争性磋商文件。</w:t>
      </w:r>
    </w:p>
    <w:p w14:paraId="0CB9B81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4.售价：0元。</w:t>
      </w:r>
    </w:p>
    <w:p w14:paraId="60C28414">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16" w:name="_Toc28359005"/>
      <w:bookmarkStart w:id="17" w:name="_Toc28359082"/>
      <w:bookmarkStart w:id="18" w:name="_Toc35393624"/>
      <w:bookmarkStart w:id="19" w:name="_Toc35393793"/>
      <w:r>
        <w:rPr>
          <w:rFonts w:hint="eastAsia" w:ascii="仿宋" w:hAnsi="仿宋" w:eastAsia="仿宋" w:cs="仿宋"/>
          <w:b w:val="0"/>
          <w:bCs/>
          <w:color w:val="auto"/>
          <w:sz w:val="21"/>
          <w:szCs w:val="21"/>
          <w:highlight w:val="none"/>
        </w:rPr>
        <w:t>四、</w:t>
      </w:r>
      <w:bookmarkEnd w:id="16"/>
      <w:bookmarkEnd w:id="17"/>
      <w:bookmarkEnd w:id="18"/>
      <w:bookmarkEnd w:id="19"/>
      <w:r>
        <w:rPr>
          <w:rFonts w:hint="eastAsia" w:ascii="仿宋" w:hAnsi="仿宋" w:eastAsia="仿宋" w:cs="仿宋"/>
          <w:b w:val="0"/>
          <w:bCs/>
          <w:color w:val="auto"/>
          <w:sz w:val="21"/>
          <w:szCs w:val="21"/>
          <w:highlight w:val="none"/>
        </w:rPr>
        <w:t>响应文件提交</w:t>
      </w:r>
    </w:p>
    <w:p w14:paraId="6CC58485">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bidi="ar"/>
        </w:rPr>
        <w:t>截止时间：</w:t>
      </w:r>
      <w:r>
        <w:rPr>
          <w:rFonts w:hint="eastAsia" w:ascii="仿宋" w:hAnsi="仿宋" w:eastAsia="仿宋" w:cs="仿宋"/>
          <w:b w:val="0"/>
          <w:bCs/>
          <w:color w:val="auto"/>
          <w:sz w:val="21"/>
          <w:szCs w:val="21"/>
          <w:highlight w:val="none"/>
          <w:lang w:eastAsia="zh-CN"/>
        </w:rPr>
        <w:t>2025年12月17日09点30分</w:t>
      </w:r>
      <w:r>
        <w:rPr>
          <w:rFonts w:hint="eastAsia" w:ascii="仿宋" w:hAnsi="仿宋" w:eastAsia="仿宋" w:cs="仿宋"/>
          <w:b w:val="0"/>
          <w:bCs/>
          <w:color w:val="auto"/>
          <w:sz w:val="21"/>
          <w:szCs w:val="21"/>
          <w:highlight w:val="none"/>
          <w:lang w:bidi="ar"/>
        </w:rPr>
        <w:t>（北京时间）</w:t>
      </w:r>
      <w:r>
        <w:rPr>
          <w:rFonts w:hint="eastAsia" w:ascii="仿宋" w:hAnsi="仿宋" w:eastAsia="仿宋" w:cs="仿宋"/>
          <w:b w:val="0"/>
          <w:bCs/>
          <w:iCs/>
          <w:color w:val="auto"/>
          <w:sz w:val="21"/>
          <w:szCs w:val="21"/>
          <w:highlight w:val="none"/>
          <w:lang w:bidi="ar"/>
        </w:rPr>
        <w:t>。</w:t>
      </w:r>
    </w:p>
    <w:p w14:paraId="57E8DE48">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地点：北京市政府采购电子交易平台（http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//zbcg-bjzc.zhongcy.com/bjczj-portal-site/#/home）</w:t>
      </w:r>
    </w:p>
    <w:p w14:paraId="19D60BE4">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五、开启</w:t>
      </w:r>
    </w:p>
    <w:p w14:paraId="209DEE57">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bidi="ar"/>
        </w:rPr>
        <w:t>时间：</w:t>
      </w:r>
      <w:r>
        <w:rPr>
          <w:rFonts w:hint="eastAsia" w:ascii="仿宋" w:hAnsi="仿宋" w:eastAsia="仿宋" w:cs="仿宋"/>
          <w:b w:val="0"/>
          <w:bCs/>
          <w:color w:val="auto"/>
          <w:sz w:val="21"/>
          <w:szCs w:val="21"/>
          <w:highlight w:val="none"/>
          <w:lang w:eastAsia="zh-CN"/>
        </w:rPr>
        <w:t>2025年12月17日09点30分</w:t>
      </w:r>
      <w:r>
        <w:rPr>
          <w:rFonts w:hint="eastAsia" w:ascii="仿宋" w:hAnsi="仿宋" w:eastAsia="仿宋" w:cs="仿宋"/>
          <w:b w:val="0"/>
          <w:bCs/>
          <w:color w:val="auto"/>
          <w:sz w:val="21"/>
          <w:szCs w:val="21"/>
          <w:highlight w:val="none"/>
          <w:lang w:bidi="ar"/>
        </w:rPr>
        <w:t>（北京时间）</w:t>
      </w:r>
      <w:r>
        <w:rPr>
          <w:rFonts w:hint="eastAsia" w:ascii="仿宋" w:hAnsi="仿宋" w:eastAsia="仿宋" w:cs="仿宋"/>
          <w:b w:val="0"/>
          <w:bCs/>
          <w:iCs/>
          <w:color w:val="auto"/>
          <w:sz w:val="21"/>
          <w:szCs w:val="21"/>
          <w:highlight w:val="none"/>
          <w:lang w:bidi="ar"/>
        </w:rPr>
        <w:t>。</w:t>
      </w:r>
    </w:p>
    <w:p w14:paraId="7650514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地点：北京市政府采购电子交易平台（http</w:t>
      </w:r>
      <w:r>
        <w:rPr>
          <w:rFonts w:hint="eastAsia" w:ascii="仿宋" w:hAnsi="仿宋" w:eastAsia="仿宋" w:cs="仿宋"/>
          <w:b w:val="0"/>
          <w:bCs/>
          <w:color w:val="auto"/>
          <w:sz w:val="21"/>
          <w:szCs w:val="21"/>
          <w:highlight w:val="none"/>
          <w:lang w:eastAsia="zh-CN" w:bidi="ar"/>
        </w:rPr>
        <w:t>：</w:t>
      </w:r>
      <w:r>
        <w:rPr>
          <w:rFonts w:hint="eastAsia" w:ascii="仿宋" w:hAnsi="仿宋" w:eastAsia="仿宋" w:cs="仿宋"/>
          <w:b w:val="0"/>
          <w:bCs/>
          <w:color w:val="auto"/>
          <w:sz w:val="21"/>
          <w:szCs w:val="21"/>
          <w:highlight w:val="none"/>
          <w:lang w:bidi="ar"/>
        </w:rPr>
        <w:t>//zbcg-bjzc.zhongcy.com/bjczj-portal-site/#/home）</w:t>
      </w:r>
    </w:p>
    <w:p w14:paraId="06D72B7E">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20" w:name="_Toc35393625"/>
      <w:bookmarkStart w:id="21" w:name="_Toc28359084"/>
      <w:bookmarkStart w:id="22" w:name="_Toc35393794"/>
      <w:bookmarkStart w:id="23" w:name="_Toc28359007"/>
      <w:r>
        <w:rPr>
          <w:rFonts w:hint="eastAsia" w:ascii="仿宋" w:hAnsi="仿宋" w:eastAsia="仿宋" w:cs="仿宋"/>
          <w:b w:val="0"/>
          <w:bCs/>
          <w:color w:val="auto"/>
          <w:sz w:val="21"/>
          <w:szCs w:val="21"/>
          <w:highlight w:val="none"/>
        </w:rPr>
        <w:t>六、公告期限</w:t>
      </w:r>
      <w:bookmarkEnd w:id="20"/>
      <w:bookmarkEnd w:id="21"/>
      <w:bookmarkEnd w:id="22"/>
      <w:bookmarkEnd w:id="23"/>
    </w:p>
    <w:p w14:paraId="72D5594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自本公告发布之日起</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个工作日。</w:t>
      </w:r>
    </w:p>
    <w:p w14:paraId="4FD99C75">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bookmarkStart w:id="24" w:name="_Toc35393795"/>
      <w:bookmarkStart w:id="25" w:name="_Toc35393626"/>
      <w:r>
        <w:rPr>
          <w:rFonts w:hint="eastAsia" w:ascii="仿宋" w:hAnsi="仿宋" w:eastAsia="仿宋" w:cs="仿宋"/>
          <w:b w:val="0"/>
          <w:bCs/>
          <w:color w:val="auto"/>
          <w:sz w:val="21"/>
          <w:szCs w:val="21"/>
          <w:highlight w:val="none"/>
        </w:rPr>
        <w:t>七、其他补充事宜</w:t>
      </w:r>
      <w:bookmarkEnd w:id="24"/>
      <w:bookmarkEnd w:id="25"/>
    </w:p>
    <w:p w14:paraId="1DB85B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1.本项目需要落实的政府采购政策：</w:t>
      </w:r>
    </w:p>
    <w:p w14:paraId="31E199F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1）执行《财政部发展改革委关于印发《节能产品政府采购品目清单》的通知》（财库[2019]19号）；</w:t>
      </w:r>
    </w:p>
    <w:p w14:paraId="3342F72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2）执行《财政部生态环境部关于印发《环境标志产品政府采购品目清单》的通知（财库[2019]18号）；</w:t>
      </w:r>
    </w:p>
    <w:p w14:paraId="54642F7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3）执行财政部、工业和信息化部关于印发《政府采购促进中小企业发展管理办法》的通知财库〔2020〕46号；</w:t>
      </w:r>
    </w:p>
    <w:p w14:paraId="114E8EE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4）执行《财政部关于开展政府采购信用担保试点工作方案》（财库[2011]124号）；</w:t>
      </w:r>
    </w:p>
    <w:p w14:paraId="28CB387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5）执行《财政部、司法部关于政府采购支持监狱企业发展有关问题的通知》（财库[2014]68号）；</w:t>
      </w:r>
    </w:p>
    <w:p w14:paraId="6941185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6）执行《关于促进残疾人就业政府采购政策的通知》（财库〔2017〕141号）；</w:t>
      </w:r>
    </w:p>
    <w:p w14:paraId="78E2C6A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7）执行《财政部关于在政府采购活动中查询及使用信用记录有关问题的通知》（财库[2016]125号）等相关政策。</w:t>
      </w:r>
    </w:p>
    <w:p w14:paraId="28C1742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8）执行《北京市财政局关于落实好政府采购支持中小企业发展的通知》（京财〔2022〕1143号）。</w:t>
      </w:r>
    </w:p>
    <w:p w14:paraId="5B3D104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9）执行《关于进一步加大政府采购支持中小企业力度的通知》（财库〔2022〕19号）。</w:t>
      </w:r>
    </w:p>
    <w:p w14:paraId="3F7DCA3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273554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CA数字证书服务热线</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 xml:space="preserve"> 010-58511086</w:t>
      </w:r>
    </w:p>
    <w:p w14:paraId="41D09F7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 xml:space="preserve">电子营业执照服务热线 </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400-699-7000</w:t>
      </w:r>
    </w:p>
    <w:p w14:paraId="74EE8CF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 xml:space="preserve">技术支持服务热线  </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 xml:space="preserve"> </w:t>
      </w:r>
      <w:r>
        <w:rPr>
          <w:rFonts w:hint="eastAsia" w:ascii="仿宋" w:hAnsi="仿宋" w:eastAsia="仿宋" w:cs="仿宋"/>
          <w:b w:val="0"/>
          <w:bCs/>
          <w:color w:val="auto"/>
          <w:sz w:val="21"/>
          <w:szCs w:val="21"/>
          <w:highlight w:val="none"/>
          <w:lang w:val="en-US" w:eastAsia="zh-CN" w:bidi="ar"/>
        </w:rPr>
        <w:t xml:space="preserve">    </w:t>
      </w:r>
      <w:r>
        <w:rPr>
          <w:rFonts w:hint="eastAsia" w:ascii="仿宋" w:hAnsi="仿宋" w:eastAsia="仿宋" w:cs="仿宋"/>
          <w:b w:val="0"/>
          <w:bCs/>
          <w:color w:val="auto"/>
          <w:sz w:val="21"/>
          <w:szCs w:val="21"/>
          <w:highlight w:val="none"/>
          <w:lang w:bidi="ar"/>
        </w:rPr>
        <w:t xml:space="preserve"> 010-86483801</w:t>
      </w:r>
    </w:p>
    <w:p w14:paraId="43BDD7A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2.1办理 CA 数字证书或电子营业执照</w:t>
      </w:r>
    </w:p>
    <w:p w14:paraId="4DCC0D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供应商登录北京市政府采购电子交易平台查阅 “用户指南”—“操作指南”—“市场主体CA办理操作流程指引”/“电子营业执照使用指南”，按照程序要求办理。</w:t>
      </w:r>
    </w:p>
    <w:p w14:paraId="246B0A4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2.2注册</w:t>
      </w:r>
    </w:p>
    <w:p w14:paraId="3230E09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供应商登录北京市政府采购电子交易平台“用户指南”—“操作指南”—“市场主体注册入库操作流程指引”进行自助注册绑定。</w:t>
      </w:r>
    </w:p>
    <w:p w14:paraId="2ACD9E4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2.3驱动、客户端下载</w:t>
      </w:r>
    </w:p>
    <w:p w14:paraId="2CA1E06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bidi="ar"/>
        </w:rPr>
        <w:t>供应商登录北京市政府采购电子交易平台“用户指南”—“工具下载”—“招标采购系统文件驱动安装包”下载相关驱动。</w:t>
      </w:r>
    </w:p>
    <w:p w14:paraId="7A46C06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供应商登录北京市政府采购电子交易平台“用户指南”—“工具下载”—“投标文件编制工具”下载相关客户端。</w:t>
      </w:r>
    </w:p>
    <w:p w14:paraId="4E26DBB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2.4 获取电子竞争性磋商文件</w:t>
      </w:r>
    </w:p>
    <w:p w14:paraId="598A14D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供应商使用CA数字证书或电子营业执照登录北京市政府采购电子交易平台获取电子竞争性磋商文件。</w:t>
      </w:r>
    </w:p>
    <w:p w14:paraId="6F03E24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6BE5EE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2.5编制电子响应文件</w:t>
      </w:r>
    </w:p>
    <w:p w14:paraId="4A01C6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36CC1E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zh-TW" w:bidi="ar"/>
        </w:rPr>
      </w:pPr>
      <w:r>
        <w:rPr>
          <w:rFonts w:hint="eastAsia" w:ascii="仿宋" w:hAnsi="仿宋" w:eastAsia="仿宋" w:cs="仿宋"/>
          <w:b w:val="0"/>
          <w:bCs/>
          <w:color w:val="auto"/>
          <w:sz w:val="21"/>
          <w:szCs w:val="21"/>
          <w:highlight w:val="none"/>
          <w:lang w:bidi="ar"/>
        </w:rPr>
        <w:t>2</w:t>
      </w:r>
      <w:r>
        <w:rPr>
          <w:rFonts w:hint="eastAsia" w:ascii="仿宋" w:hAnsi="仿宋" w:eastAsia="仿宋" w:cs="仿宋"/>
          <w:b w:val="0"/>
          <w:bCs/>
          <w:color w:val="auto"/>
          <w:sz w:val="21"/>
          <w:szCs w:val="21"/>
          <w:highlight w:val="none"/>
          <w:lang w:val="zh-TW" w:eastAsia="zh-TW" w:bidi="ar"/>
        </w:rPr>
        <w:t>.6</w:t>
      </w:r>
      <w:r>
        <w:rPr>
          <w:rFonts w:hint="eastAsia" w:ascii="仿宋" w:hAnsi="仿宋" w:eastAsia="仿宋" w:cs="仿宋"/>
          <w:b w:val="0"/>
          <w:bCs/>
          <w:color w:val="auto"/>
          <w:sz w:val="21"/>
          <w:szCs w:val="21"/>
          <w:highlight w:val="none"/>
          <w:lang w:val="zh-TW" w:bidi="ar"/>
        </w:rPr>
        <w:t>递交电子响应文件</w:t>
      </w:r>
    </w:p>
    <w:p w14:paraId="054462E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供应商应于</w:t>
      </w:r>
      <w:r>
        <w:rPr>
          <w:rFonts w:hint="eastAsia" w:ascii="仿宋" w:hAnsi="仿宋" w:eastAsia="仿宋" w:cs="仿宋"/>
          <w:b w:val="0"/>
          <w:bCs/>
          <w:color w:val="auto"/>
          <w:sz w:val="21"/>
          <w:szCs w:val="21"/>
          <w:highlight w:val="none"/>
        </w:rPr>
        <w:t>响应文件提交</w:t>
      </w:r>
      <w:r>
        <w:rPr>
          <w:rFonts w:hint="eastAsia" w:ascii="仿宋" w:hAnsi="仿宋" w:eastAsia="仿宋" w:cs="仿宋"/>
          <w:b w:val="0"/>
          <w:bCs/>
          <w:color w:val="auto"/>
          <w:sz w:val="21"/>
          <w:szCs w:val="21"/>
          <w:highlight w:val="none"/>
          <w:lang w:bidi="ar"/>
        </w:rPr>
        <w:t>截止时间前在平台提交电子响应文件，上传电子响应文件过程中请保持与互联网的连接畅通。</w:t>
      </w:r>
    </w:p>
    <w:p w14:paraId="1EE0A9DA">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eastAsia="zh-TW"/>
        </w:rPr>
      </w:pPr>
      <w:r>
        <w:rPr>
          <w:rFonts w:hint="eastAsia" w:ascii="仿宋" w:hAnsi="仿宋" w:eastAsia="仿宋" w:cs="仿宋"/>
          <w:b w:val="0"/>
          <w:bCs/>
          <w:color w:val="auto"/>
          <w:sz w:val="21"/>
          <w:szCs w:val="21"/>
          <w:highlight w:val="none"/>
          <w:lang w:bidi="ar"/>
        </w:rPr>
        <w:t>2</w:t>
      </w:r>
      <w:r>
        <w:rPr>
          <w:rFonts w:hint="eastAsia" w:ascii="仿宋" w:hAnsi="仿宋" w:eastAsia="仿宋" w:cs="仿宋"/>
          <w:b w:val="0"/>
          <w:bCs/>
          <w:color w:val="auto"/>
          <w:sz w:val="21"/>
          <w:szCs w:val="21"/>
          <w:highlight w:val="none"/>
          <w:lang w:val="zh-TW" w:bidi="ar"/>
        </w:rPr>
        <w:t>.</w:t>
      </w:r>
      <w:r>
        <w:rPr>
          <w:rFonts w:hint="eastAsia" w:ascii="仿宋" w:hAnsi="仿宋" w:eastAsia="仿宋" w:cs="仿宋"/>
          <w:b w:val="0"/>
          <w:bCs/>
          <w:color w:val="auto"/>
          <w:sz w:val="21"/>
          <w:szCs w:val="21"/>
          <w:highlight w:val="none"/>
          <w:lang w:val="zh-TW" w:eastAsia="zh-TW" w:bidi="ar"/>
        </w:rPr>
        <w:t>7</w:t>
      </w:r>
      <w:r>
        <w:rPr>
          <w:rFonts w:hint="eastAsia" w:ascii="仿宋" w:hAnsi="仿宋" w:eastAsia="仿宋" w:cs="仿宋"/>
          <w:b w:val="0"/>
          <w:bCs/>
          <w:color w:val="auto"/>
          <w:sz w:val="21"/>
          <w:szCs w:val="21"/>
          <w:highlight w:val="none"/>
          <w:lang w:val="zh-TW" w:bidi="ar"/>
        </w:rPr>
        <w:t>开启响应文件</w:t>
      </w:r>
    </w:p>
    <w:p w14:paraId="1438CC8C">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rPr>
        <w:t>供应商于</w:t>
      </w:r>
      <w:r>
        <w:rPr>
          <w:rFonts w:hint="eastAsia" w:ascii="仿宋" w:hAnsi="仿宋" w:eastAsia="仿宋" w:cs="仿宋"/>
          <w:b w:val="0"/>
          <w:bCs/>
          <w:color w:val="auto"/>
          <w:sz w:val="21"/>
          <w:szCs w:val="21"/>
          <w:highlight w:val="none"/>
          <w:lang w:val="zh-TW" w:eastAsia="zh-CN" w:bidi="ar"/>
        </w:rPr>
        <w:t>竞争性磋商文件</w:t>
      </w:r>
      <w:r>
        <w:rPr>
          <w:rFonts w:hint="eastAsia" w:ascii="仿宋" w:hAnsi="仿宋" w:eastAsia="仿宋" w:cs="仿宋"/>
          <w:b w:val="0"/>
          <w:bCs/>
          <w:color w:val="auto"/>
          <w:sz w:val="21"/>
          <w:szCs w:val="21"/>
          <w:highlight w:val="none"/>
          <w:lang w:val="zh-TW" w:bidi="ar"/>
        </w:rPr>
        <w:t>规定的开启时间、在开启地点使用</w:t>
      </w:r>
      <w:r>
        <w:rPr>
          <w:rFonts w:hint="eastAsia" w:ascii="仿宋" w:hAnsi="仿宋" w:eastAsia="仿宋" w:cs="仿宋"/>
          <w:b w:val="0"/>
          <w:bCs/>
          <w:color w:val="auto"/>
          <w:sz w:val="21"/>
          <w:szCs w:val="21"/>
          <w:highlight w:val="none"/>
          <w:lang w:bidi="ar"/>
        </w:rPr>
        <w:t>CA数字证书或电子营业执照</w:t>
      </w:r>
      <w:r>
        <w:rPr>
          <w:rFonts w:hint="eastAsia" w:ascii="仿宋" w:hAnsi="仿宋" w:eastAsia="仿宋" w:cs="仿宋"/>
          <w:b w:val="0"/>
          <w:bCs/>
          <w:color w:val="auto"/>
          <w:sz w:val="21"/>
          <w:szCs w:val="21"/>
          <w:highlight w:val="none"/>
          <w:lang w:val="zh-TW" w:bidi="ar"/>
        </w:rPr>
        <w:t>登录</w:t>
      </w:r>
      <w:r>
        <w:rPr>
          <w:rFonts w:hint="eastAsia" w:ascii="仿宋" w:hAnsi="仿宋" w:eastAsia="仿宋" w:cs="仿宋"/>
          <w:b w:val="0"/>
          <w:bCs/>
          <w:color w:val="auto"/>
          <w:sz w:val="21"/>
          <w:szCs w:val="21"/>
          <w:highlight w:val="none"/>
          <w:lang w:bidi="ar"/>
        </w:rPr>
        <w:t>北京市政府采购电子交易平台解密并开启响应文件。如因供应商问题，解密不成功，则响应无效。</w:t>
      </w:r>
    </w:p>
    <w:p w14:paraId="0468D524">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lang w:bidi="ar"/>
        </w:rPr>
        <w:t>2.8最后报价填报</w:t>
      </w:r>
    </w:p>
    <w:p w14:paraId="72BE36E3">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供应商在规定时间内将最后报价提交至本平台，未在规定时间内提交的系统将自动默认供应商放弃最后报价，其价格以第一次报价为准。</w:t>
      </w:r>
      <w:bookmarkStart w:id="26" w:name="_Toc28359008"/>
      <w:bookmarkStart w:id="27" w:name="_Toc28359085"/>
      <w:bookmarkStart w:id="28" w:name="_Toc35393796"/>
      <w:bookmarkStart w:id="29" w:name="_Toc35393627"/>
    </w:p>
    <w:p w14:paraId="0D7B1BC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评</w:t>
      </w:r>
      <w:r>
        <w:rPr>
          <w:rFonts w:hint="eastAsia" w:ascii="仿宋" w:hAnsi="仿宋" w:eastAsia="仿宋" w:cs="仿宋"/>
          <w:b w:val="0"/>
          <w:bCs/>
          <w:color w:val="auto"/>
          <w:sz w:val="21"/>
          <w:szCs w:val="21"/>
          <w:highlight w:val="none"/>
          <w:lang w:val="en-US" w:eastAsia="zh-CN"/>
        </w:rPr>
        <w:t>审</w:t>
      </w:r>
      <w:r>
        <w:rPr>
          <w:rFonts w:hint="eastAsia" w:ascii="仿宋" w:hAnsi="仿宋" w:eastAsia="仿宋" w:cs="仿宋"/>
          <w:b w:val="0"/>
          <w:bCs/>
          <w:color w:val="auto"/>
          <w:sz w:val="21"/>
          <w:szCs w:val="21"/>
          <w:highlight w:val="none"/>
        </w:rPr>
        <w:t>方法：综合评分法，具体详见</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w:t>
      </w:r>
    </w:p>
    <w:p w14:paraId="4685770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公告媒体：本公告在中国政府采购网、北京市政府采购网上发布。</w:t>
      </w:r>
    </w:p>
    <w:p w14:paraId="5DF428D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成交供应商在领取成交通知书的当日，需提供加盖单位公章的纸质版响应文件2份及2份最后报价一览表和最后分项报价表。（响应文件必须与上传电子交易平台的电子文件内容保持一致）。</w:t>
      </w:r>
    </w:p>
    <w:p w14:paraId="583A0773">
      <w:pPr>
        <w:keepNext w:val="0"/>
        <w:keepLines w:val="0"/>
        <w:pageBreakBefore w:val="0"/>
        <w:widowControl w:val="0"/>
        <w:kinsoku/>
        <w:wordWrap w:val="0"/>
        <w:overflowPunct/>
        <w:topLinePunct/>
        <w:autoSpaceDE/>
        <w:autoSpaceDN/>
        <w:bidi w:val="0"/>
        <w:spacing w:before="0"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八、对本项目提出询问，请按以下方式联系。</w:t>
      </w:r>
      <w:bookmarkEnd w:id="26"/>
      <w:bookmarkEnd w:id="27"/>
      <w:bookmarkEnd w:id="28"/>
      <w:bookmarkEnd w:id="29"/>
    </w:p>
    <w:p w14:paraId="2073143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1.采购人信息</w:t>
      </w:r>
    </w:p>
    <w:p w14:paraId="0862184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bookmarkStart w:id="30" w:name="_Toc28359086"/>
      <w:bookmarkStart w:id="31" w:name="_Toc28359009"/>
      <w:r>
        <w:rPr>
          <w:rFonts w:hint="eastAsia" w:ascii="仿宋" w:hAnsi="仿宋" w:eastAsia="仿宋" w:cs="仿宋"/>
          <w:b w:val="0"/>
          <w:bCs/>
          <w:color w:val="auto"/>
          <w:sz w:val="21"/>
          <w:szCs w:val="21"/>
          <w:highlight w:val="none"/>
        </w:rPr>
        <w:t>名    称：</w:t>
      </w:r>
      <w:r>
        <w:rPr>
          <w:rFonts w:hint="eastAsia" w:ascii="仿宋" w:hAnsi="仿宋" w:eastAsia="仿宋" w:cs="仿宋"/>
          <w:b w:val="0"/>
          <w:bCs/>
          <w:color w:val="auto"/>
          <w:sz w:val="21"/>
          <w:szCs w:val="21"/>
          <w:highlight w:val="none"/>
          <w:lang w:eastAsia="zh-CN"/>
        </w:rPr>
        <w:t>北京市顺义区张镇人民政府</w:t>
      </w:r>
    </w:p>
    <w:p w14:paraId="73FBD2B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 xml:space="preserve">地 </w:t>
      </w:r>
      <w:r>
        <w:rPr>
          <w:rFonts w:hint="eastAsia" w:ascii="仿宋" w:hAnsi="仿宋" w:eastAsia="仿宋" w:cs="仿宋"/>
          <w:b w:val="0"/>
          <w:bCs/>
          <w:color w:val="auto"/>
          <w:sz w:val="21"/>
          <w:szCs w:val="21"/>
          <w:highlight w:val="none"/>
          <w:lang w:val="en-US" w:eastAsia="zh-CN"/>
        </w:rPr>
        <w:t xml:space="preserve">   </w:t>
      </w:r>
      <w:r>
        <w:rPr>
          <w:rFonts w:hint="eastAsia" w:ascii="仿宋" w:hAnsi="仿宋" w:eastAsia="仿宋" w:cs="仿宋"/>
          <w:b w:val="0"/>
          <w:bCs/>
          <w:color w:val="auto"/>
          <w:sz w:val="21"/>
          <w:szCs w:val="21"/>
          <w:highlight w:val="none"/>
        </w:rPr>
        <w:t>址：北京市顺义区张镇大街3号</w:t>
      </w:r>
    </w:p>
    <w:p w14:paraId="67B7C28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联系方式：于翔潜</w:t>
      </w:r>
      <w:r>
        <w:rPr>
          <w:rFonts w:hint="eastAsia" w:ascii="仿宋" w:hAnsi="仿宋" w:eastAsia="仿宋" w:cs="仿宋"/>
          <w:b w:val="0"/>
          <w:bCs/>
          <w:color w:val="auto"/>
          <w:sz w:val="21"/>
          <w:szCs w:val="21"/>
          <w:highlight w:val="none"/>
          <w:lang w:val="en-US" w:eastAsia="zh-CN"/>
        </w:rPr>
        <w:t>/61484889</w:t>
      </w:r>
    </w:p>
    <w:p w14:paraId="59D0DDC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2.采购代理机构信息</w:t>
      </w:r>
      <w:bookmarkEnd w:id="30"/>
      <w:bookmarkEnd w:id="31"/>
    </w:p>
    <w:p w14:paraId="65FF550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2" w:name="_Toc28359087"/>
      <w:bookmarkStart w:id="33" w:name="_Toc28359010"/>
      <w:r>
        <w:rPr>
          <w:rFonts w:hint="eastAsia" w:ascii="仿宋" w:hAnsi="仿宋" w:eastAsia="仿宋" w:cs="仿宋"/>
          <w:b w:val="0"/>
          <w:bCs/>
          <w:color w:val="auto"/>
          <w:sz w:val="21"/>
          <w:szCs w:val="21"/>
          <w:highlight w:val="none"/>
        </w:rPr>
        <w:t>名    称：北京中盛宇工程管理有限公司</w:t>
      </w:r>
    </w:p>
    <w:p w14:paraId="69941C4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地    址：北京市顺义区双丰街道顺安南路12号一区26号楼北侧三层</w:t>
      </w:r>
    </w:p>
    <w:p w14:paraId="282B981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联系方式：</w:t>
      </w:r>
      <w:r>
        <w:rPr>
          <w:rFonts w:hint="eastAsia" w:ascii="仿宋" w:hAnsi="仿宋" w:eastAsia="仿宋" w:cs="仿宋"/>
          <w:b w:val="0"/>
          <w:bCs/>
          <w:color w:val="auto"/>
          <w:sz w:val="21"/>
          <w:szCs w:val="21"/>
          <w:highlight w:val="none"/>
          <w:lang w:eastAsia="zh-CN"/>
        </w:rPr>
        <w:t>张池阳</w:t>
      </w:r>
      <w:r>
        <w:rPr>
          <w:rFonts w:hint="eastAsia" w:ascii="仿宋" w:hAnsi="仿宋" w:eastAsia="仿宋" w:cs="仿宋"/>
          <w:b w:val="0"/>
          <w:bCs/>
          <w:color w:val="auto"/>
          <w:sz w:val="21"/>
          <w:szCs w:val="21"/>
          <w:highlight w:val="none"/>
        </w:rPr>
        <w:t>/69415773</w:t>
      </w:r>
    </w:p>
    <w:p w14:paraId="0FA88B7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3.项目联系方式</w:t>
      </w:r>
      <w:bookmarkEnd w:id="32"/>
      <w:bookmarkEnd w:id="33"/>
    </w:p>
    <w:p w14:paraId="381F717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项目联系人：</w:t>
      </w:r>
      <w:r>
        <w:rPr>
          <w:rFonts w:hint="eastAsia" w:ascii="仿宋" w:hAnsi="仿宋" w:eastAsia="仿宋" w:cs="仿宋"/>
          <w:b w:val="0"/>
          <w:bCs/>
          <w:color w:val="auto"/>
          <w:sz w:val="21"/>
          <w:szCs w:val="21"/>
          <w:highlight w:val="none"/>
          <w:lang w:eastAsia="zh-CN"/>
        </w:rPr>
        <w:t>张池阳</w:t>
      </w:r>
    </w:p>
    <w:p w14:paraId="77A7437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电      话：69415773</w:t>
      </w:r>
    </w:p>
    <w:p w14:paraId="17230EF3">
      <w:pPr>
        <w:keepNext w:val="0"/>
        <w:keepLines w:val="0"/>
        <w:pageBreakBefore w:val="0"/>
        <w:widowControl w:val="0"/>
        <w:kinsoku/>
        <w:wordWrap w:val="0"/>
        <w:overflowPunct/>
        <w:topLinePunct/>
        <w:autoSpaceDE/>
        <w:autoSpaceDN/>
        <w:bidi w:val="0"/>
        <w:spacing w:line="360" w:lineRule="auto"/>
        <w:ind w:firstLine="5145" w:firstLineChars="2450"/>
        <w:jc w:val="right"/>
        <w:outlineLvl w:val="9"/>
        <w:rPr>
          <w:rFonts w:hint="eastAsia" w:ascii="仿宋" w:hAnsi="仿宋" w:eastAsia="仿宋" w:cs="仿宋"/>
          <w:b w:val="0"/>
          <w:bCs/>
          <w:color w:val="auto"/>
          <w:sz w:val="21"/>
          <w:szCs w:val="21"/>
          <w:highlight w:val="none"/>
        </w:rPr>
      </w:pPr>
    </w:p>
    <w:p w14:paraId="40E83AA3">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bookmarkStart w:id="34" w:name="_Toc353825548"/>
      <w:bookmarkStart w:id="35" w:name="_Toc150774783"/>
      <w:bookmarkStart w:id="36" w:name="_Toc226965856"/>
      <w:bookmarkStart w:id="37" w:name="_Toc265228423"/>
      <w:bookmarkStart w:id="38" w:name="_Toc2290"/>
      <w:bookmarkStart w:id="39" w:name="_Toc305158928"/>
      <w:bookmarkStart w:id="40" w:name="_Toc305158854"/>
      <w:bookmarkStart w:id="41" w:name="_Toc264969275"/>
      <w:bookmarkStart w:id="42" w:name="_Toc127161488"/>
      <w:bookmarkStart w:id="43" w:name="_Toc512937850"/>
      <w:bookmarkStart w:id="44" w:name="_Toc353873938"/>
      <w:bookmarkStart w:id="45" w:name="_Toc127151777"/>
      <w:bookmarkStart w:id="46" w:name="_Toc195842950"/>
      <w:r>
        <w:rPr>
          <w:rFonts w:hint="eastAsia" w:ascii="仿宋" w:hAnsi="仿宋" w:eastAsia="仿宋" w:cs="仿宋"/>
          <w:b w:val="0"/>
          <w:bCs/>
          <w:color w:val="auto"/>
          <w:sz w:val="21"/>
          <w:szCs w:val="21"/>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DC36023">
      <w:pPr>
        <w:keepNext w:val="0"/>
        <w:keepLines w:val="0"/>
        <w:pageBreakBefore w:val="0"/>
        <w:widowControl w:val="0"/>
        <w:tabs>
          <w:tab w:val="center" w:pos="4592"/>
          <w:tab w:val="left" w:pos="7860"/>
        </w:tabs>
        <w:kinsoku/>
        <w:wordWrap w:val="0"/>
        <w:overflowPunct/>
        <w:topLinePunct/>
        <w:autoSpaceDE/>
        <w:autoSpaceDN/>
        <w:bidi w:val="0"/>
        <w:spacing w:before="0" w:line="360" w:lineRule="auto"/>
        <w:jc w:val="center"/>
        <w:outlineLvl w:val="9"/>
        <w:rPr>
          <w:rFonts w:hint="eastAsia" w:ascii="仿宋" w:hAnsi="仿宋" w:eastAsia="仿宋" w:cs="仿宋"/>
          <w:b w:val="0"/>
          <w:bCs/>
          <w:color w:val="auto"/>
          <w:sz w:val="21"/>
          <w:szCs w:val="21"/>
          <w:highlight w:val="none"/>
        </w:rPr>
      </w:pPr>
      <w:bookmarkStart w:id="47" w:name="_Toc127151519"/>
      <w:bookmarkStart w:id="48" w:name="_Toc127161433"/>
      <w:bookmarkStart w:id="49" w:name="_Toc151193689"/>
      <w:bookmarkStart w:id="50" w:name="_Toc142311021"/>
      <w:bookmarkStart w:id="51" w:name="_Toc150774724"/>
      <w:bookmarkStart w:id="52" w:name="_Toc226965792"/>
      <w:bookmarkStart w:id="53" w:name="_Toc520356144"/>
      <w:bookmarkStart w:id="54" w:name="_Toc151190146"/>
      <w:bookmarkStart w:id="55" w:name="_Toc150774619"/>
      <w:bookmarkStart w:id="56" w:name="_Toc151193833"/>
      <w:bookmarkStart w:id="57" w:name="_Toc195842884"/>
      <w:bookmarkStart w:id="58" w:name="_Toc226965709"/>
      <w:bookmarkStart w:id="59" w:name="_Toc127151720"/>
      <w:bookmarkStart w:id="60" w:name="_Toc164608788"/>
      <w:bookmarkStart w:id="61" w:name="_Toc164351613"/>
      <w:bookmarkStart w:id="62" w:name="_Toc164608633"/>
      <w:bookmarkStart w:id="63" w:name="_Toc150509270"/>
      <w:bookmarkStart w:id="64" w:name="_Toc149720812"/>
      <w:bookmarkStart w:id="65" w:name="_Toc150480757"/>
      <w:bookmarkStart w:id="66" w:name="_Toc226309763"/>
      <w:bookmarkStart w:id="67" w:name="_Toc151193761"/>
      <w:bookmarkStart w:id="68" w:name="_Toc151193907"/>
      <w:bookmarkStart w:id="69" w:name="_Toc164229214"/>
      <w:bookmarkStart w:id="70" w:name="_Toc151193617"/>
      <w:bookmarkStart w:id="71" w:name="_Toc164229360"/>
      <w:bookmarkStart w:id="72" w:name="_Toc226337215"/>
      <w:r>
        <w:rPr>
          <w:rFonts w:hint="eastAsia" w:ascii="仿宋" w:hAnsi="仿宋" w:eastAsia="仿宋" w:cs="仿宋"/>
          <w:b w:val="0"/>
          <w:bCs/>
          <w:color w:val="auto"/>
          <w:sz w:val="21"/>
          <w:szCs w:val="21"/>
          <w:highlight w:val="none"/>
        </w:rPr>
        <w:t>供应商须知资料表</w:t>
      </w:r>
    </w:p>
    <w:p w14:paraId="40D43E3E">
      <w:pPr>
        <w:keepNext w:val="0"/>
        <w:keepLines w:val="0"/>
        <w:pageBreakBefore w:val="0"/>
        <w:widowControl w:val="0"/>
        <w:kinsoku/>
        <w:wordWrap w:val="0"/>
        <w:overflowPunct/>
        <w:topLinePunct/>
        <w:autoSpaceDE/>
        <w:autoSpaceDN/>
        <w:bidi w:val="0"/>
        <w:spacing w:line="360" w:lineRule="auto"/>
        <w:ind w:firstLine="48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本表是对供应商须知的具体补充和修改，如有矛盾，均以本资料表为准。标记“■”的选项意为适用于本项目，标记“□”的选项意为不适用于本项目。</w:t>
      </w:r>
    </w:p>
    <w:tbl>
      <w:tblPr>
        <w:tblStyle w:val="21"/>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575"/>
        <w:gridCol w:w="7478"/>
      </w:tblGrid>
      <w:tr w14:paraId="4C6A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89" w:type="dxa"/>
            <w:vAlign w:val="center"/>
          </w:tcPr>
          <w:p w14:paraId="6DD426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条款号</w:t>
            </w:r>
          </w:p>
        </w:tc>
        <w:tc>
          <w:tcPr>
            <w:tcW w:w="1575" w:type="dxa"/>
            <w:vAlign w:val="center"/>
          </w:tcPr>
          <w:p w14:paraId="459E24C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条目</w:t>
            </w:r>
          </w:p>
        </w:tc>
        <w:tc>
          <w:tcPr>
            <w:tcW w:w="7478" w:type="dxa"/>
            <w:vAlign w:val="center"/>
          </w:tcPr>
          <w:p w14:paraId="5F22788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内容</w:t>
            </w:r>
          </w:p>
        </w:tc>
      </w:tr>
      <w:tr w14:paraId="202A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952966B">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2.2</w:t>
            </w:r>
          </w:p>
        </w:tc>
        <w:tc>
          <w:tcPr>
            <w:tcW w:w="1575" w:type="dxa"/>
            <w:vAlign w:val="center"/>
          </w:tcPr>
          <w:p w14:paraId="6768159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项目属性</w:t>
            </w:r>
          </w:p>
        </w:tc>
        <w:tc>
          <w:tcPr>
            <w:tcW w:w="7478" w:type="dxa"/>
            <w:vAlign w:val="center"/>
          </w:tcPr>
          <w:p w14:paraId="0377D4C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项目属性：</w:t>
            </w:r>
          </w:p>
          <w:p w14:paraId="66B399B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■服务</w:t>
            </w:r>
          </w:p>
          <w:p w14:paraId="258EAD6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□货物</w:t>
            </w:r>
          </w:p>
          <w:p w14:paraId="2427C48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□工程</w:t>
            </w:r>
          </w:p>
        </w:tc>
      </w:tr>
      <w:tr w14:paraId="1A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EF32BAA">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2.3</w:t>
            </w:r>
          </w:p>
        </w:tc>
        <w:tc>
          <w:tcPr>
            <w:tcW w:w="1575" w:type="dxa"/>
            <w:vAlign w:val="center"/>
          </w:tcPr>
          <w:p w14:paraId="0076CD1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科研仪器设备</w:t>
            </w:r>
          </w:p>
        </w:tc>
        <w:tc>
          <w:tcPr>
            <w:tcW w:w="7478" w:type="dxa"/>
            <w:vAlign w:val="center"/>
          </w:tcPr>
          <w:p w14:paraId="19F3756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是否属于科研仪器设备采购项目：</w:t>
            </w:r>
          </w:p>
          <w:p w14:paraId="0C1BA71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w:t>
            </w:r>
          </w:p>
          <w:p w14:paraId="3899A14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■否</w:t>
            </w:r>
          </w:p>
        </w:tc>
      </w:tr>
      <w:tr w14:paraId="19B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restart"/>
            <w:vAlign w:val="center"/>
          </w:tcPr>
          <w:p w14:paraId="3F809666">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3.1</w:t>
            </w:r>
          </w:p>
        </w:tc>
        <w:tc>
          <w:tcPr>
            <w:tcW w:w="1575" w:type="dxa"/>
            <w:vAlign w:val="center"/>
          </w:tcPr>
          <w:p w14:paraId="62760E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现场考察</w:t>
            </w:r>
          </w:p>
        </w:tc>
        <w:tc>
          <w:tcPr>
            <w:tcW w:w="7478" w:type="dxa"/>
            <w:vAlign w:val="center"/>
          </w:tcPr>
          <w:p w14:paraId="0B69D24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■不组织</w:t>
            </w:r>
          </w:p>
          <w:p w14:paraId="586511B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□组织，考察时间：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日</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分</w:t>
            </w:r>
          </w:p>
          <w:p w14:paraId="32019DE5">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考察地点：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4FE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continue"/>
            <w:vAlign w:val="center"/>
          </w:tcPr>
          <w:p w14:paraId="2B027335">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575" w:type="dxa"/>
            <w:vAlign w:val="center"/>
          </w:tcPr>
          <w:p w14:paraId="7D13135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磋商前答疑会</w:t>
            </w:r>
          </w:p>
        </w:tc>
        <w:tc>
          <w:tcPr>
            <w:tcW w:w="7478" w:type="dxa"/>
            <w:vAlign w:val="center"/>
          </w:tcPr>
          <w:p w14:paraId="3E3A702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■不召开</w:t>
            </w:r>
          </w:p>
          <w:p w14:paraId="2722C51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□召开，召开时间：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年</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日</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bidi="ar"/>
              </w:rPr>
              <w:t>分</w:t>
            </w:r>
          </w:p>
          <w:p w14:paraId="26E89AA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召开地点：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35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89" w:type="dxa"/>
            <w:vAlign w:val="center"/>
          </w:tcPr>
          <w:p w14:paraId="44ACF9E4">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4.2.5</w:t>
            </w:r>
          </w:p>
        </w:tc>
        <w:tc>
          <w:tcPr>
            <w:tcW w:w="1575" w:type="dxa"/>
            <w:vAlign w:val="center"/>
          </w:tcPr>
          <w:p w14:paraId="62E25AE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标的所属行业</w:t>
            </w:r>
          </w:p>
        </w:tc>
        <w:tc>
          <w:tcPr>
            <w:tcW w:w="7478" w:type="dxa"/>
            <w:vAlign w:val="center"/>
          </w:tcPr>
          <w:p w14:paraId="1ADCA0C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本项目采购标的对应的中小企业划分标准所属行业：</w:t>
            </w:r>
          </w:p>
          <w:tbl>
            <w:tblPr>
              <w:tblStyle w:val="21"/>
              <w:tblW w:w="7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439"/>
            </w:tblGrid>
            <w:tr w14:paraId="77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8" w:type="dxa"/>
                  <w:tcBorders>
                    <w:top w:val="single" w:color="auto" w:sz="4" w:space="0"/>
                    <w:left w:val="single" w:color="auto" w:sz="4" w:space="0"/>
                    <w:bottom w:val="single" w:color="auto" w:sz="4" w:space="0"/>
                    <w:right w:val="single" w:color="auto" w:sz="4" w:space="0"/>
                  </w:tcBorders>
                  <w:vAlign w:val="center"/>
                </w:tcPr>
                <w:p w14:paraId="422953A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标的名称</w:t>
                  </w:r>
                </w:p>
              </w:tc>
              <w:tc>
                <w:tcPr>
                  <w:tcW w:w="3439" w:type="dxa"/>
                  <w:tcBorders>
                    <w:top w:val="single" w:color="auto" w:sz="4" w:space="0"/>
                    <w:left w:val="single" w:color="auto" w:sz="4" w:space="0"/>
                    <w:bottom w:val="single" w:color="auto" w:sz="4" w:space="0"/>
                    <w:right w:val="single" w:color="auto" w:sz="4" w:space="0"/>
                  </w:tcBorders>
                  <w:vAlign w:val="center"/>
                </w:tcPr>
                <w:p w14:paraId="7BD1724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中小企业划分标准所属行业</w:t>
                  </w:r>
                </w:p>
              </w:tc>
            </w:tr>
            <w:tr w14:paraId="3AE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8" w:type="dxa"/>
                  <w:tcBorders>
                    <w:top w:val="single" w:color="auto" w:sz="4" w:space="0"/>
                    <w:left w:val="single" w:color="auto" w:sz="4" w:space="0"/>
                    <w:bottom w:val="single" w:color="auto" w:sz="4" w:space="0"/>
                    <w:right w:val="single" w:color="auto" w:sz="4" w:space="0"/>
                  </w:tcBorders>
                  <w:vAlign w:val="center"/>
                </w:tcPr>
                <w:p w14:paraId="2A1F054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张镇常年法律顾问服务项目</w:t>
                  </w:r>
                </w:p>
              </w:tc>
              <w:tc>
                <w:tcPr>
                  <w:tcW w:w="3439" w:type="dxa"/>
                  <w:tcBorders>
                    <w:top w:val="single" w:color="auto" w:sz="4" w:space="0"/>
                    <w:left w:val="single" w:color="auto" w:sz="4" w:space="0"/>
                    <w:bottom w:val="single" w:color="auto" w:sz="4" w:space="0"/>
                    <w:right w:val="single" w:color="auto" w:sz="4" w:space="0"/>
                  </w:tcBorders>
                  <w:vAlign w:val="center"/>
                </w:tcPr>
                <w:p w14:paraId="37E5A40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租赁和商务服务业</w:t>
                  </w:r>
                </w:p>
              </w:tc>
            </w:tr>
          </w:tbl>
          <w:p w14:paraId="283BF5A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r>
      <w:tr w14:paraId="4C0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89" w:type="dxa"/>
            <w:vAlign w:val="center"/>
          </w:tcPr>
          <w:p w14:paraId="2F7D15A5">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10.2</w:t>
            </w:r>
          </w:p>
        </w:tc>
        <w:tc>
          <w:tcPr>
            <w:tcW w:w="1575" w:type="dxa"/>
            <w:vAlign w:val="center"/>
          </w:tcPr>
          <w:p w14:paraId="6E9455F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7478" w:type="dxa"/>
            <w:vAlign w:val="center"/>
          </w:tcPr>
          <w:p w14:paraId="0D64F3F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报价的特殊规定：</w:t>
            </w:r>
          </w:p>
          <w:p w14:paraId="241C9E9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w:t>
            </w:r>
          </w:p>
          <w:p w14:paraId="794CE0D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■有，具体情形：</w:t>
            </w:r>
            <w:r>
              <w:rPr>
                <w:rFonts w:hint="eastAsia" w:ascii="仿宋" w:hAnsi="仿宋" w:eastAsia="仿宋" w:cs="仿宋"/>
                <w:b w:val="0"/>
                <w:bCs/>
                <w:color w:val="auto"/>
                <w:sz w:val="21"/>
                <w:szCs w:val="21"/>
                <w:highlight w:val="none"/>
                <w:u w:val="single"/>
              </w:rPr>
              <w:t>暂定工程量为1</w:t>
            </w:r>
            <w:r>
              <w:rPr>
                <w:rFonts w:hint="eastAsia" w:ascii="仿宋" w:hAnsi="仿宋" w:eastAsia="仿宋" w:cs="仿宋"/>
                <w:b w:val="0"/>
                <w:bCs/>
                <w:color w:val="auto"/>
                <w:sz w:val="21"/>
                <w:szCs w:val="21"/>
                <w:highlight w:val="none"/>
                <w:u w:val="single"/>
                <w:lang w:eastAsia="zh-CN"/>
              </w:rPr>
              <w:t>，</w:t>
            </w:r>
            <w:r>
              <w:rPr>
                <w:rFonts w:hint="eastAsia" w:ascii="仿宋" w:hAnsi="仿宋" w:eastAsia="仿宋" w:cs="仿宋"/>
                <w:b w:val="0"/>
                <w:bCs/>
                <w:color w:val="auto"/>
                <w:sz w:val="21"/>
                <w:szCs w:val="21"/>
                <w:highlight w:val="none"/>
                <w:u w:val="single"/>
              </w:rPr>
              <w:t>本项目实行分项控制，供应商各分项单价均不得超过采购人给定的各分项单价。</w:t>
            </w:r>
          </w:p>
        </w:tc>
      </w:tr>
      <w:tr w14:paraId="093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B9E9046">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11.1</w:t>
            </w:r>
          </w:p>
        </w:tc>
        <w:tc>
          <w:tcPr>
            <w:tcW w:w="1575" w:type="dxa"/>
            <w:vMerge w:val="restart"/>
            <w:vAlign w:val="center"/>
          </w:tcPr>
          <w:p w14:paraId="5EC8FCF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磋商保证金</w:t>
            </w:r>
          </w:p>
        </w:tc>
        <w:tc>
          <w:tcPr>
            <w:tcW w:w="7478" w:type="dxa"/>
            <w:vAlign w:val="center"/>
          </w:tcPr>
          <w:p w14:paraId="687F1FA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本项目（</w:t>
            </w:r>
            <w:r>
              <w:rPr>
                <w:rFonts w:hint="eastAsia" w:ascii="仿宋" w:hAnsi="仿宋" w:eastAsia="仿宋" w:cs="仿宋"/>
                <w:b w:val="0"/>
                <w:bCs/>
                <w:color w:val="auto"/>
                <w:sz w:val="21"/>
                <w:szCs w:val="21"/>
                <w:highlight w:val="none"/>
                <w:lang w:val="en-US" w:eastAsia="zh-CN"/>
              </w:rPr>
              <w:sym w:font="Wingdings 2" w:char="00A3"/>
            </w:r>
            <w:r>
              <w:rPr>
                <w:rFonts w:hint="eastAsia" w:ascii="仿宋" w:hAnsi="仿宋" w:eastAsia="仿宋" w:cs="仿宋"/>
                <w:b w:val="0"/>
                <w:bCs/>
                <w:color w:val="auto"/>
                <w:sz w:val="21"/>
                <w:szCs w:val="21"/>
                <w:highlight w:val="none"/>
                <w:lang w:val="en-US" w:eastAsia="zh-CN"/>
              </w:rPr>
              <w:t>收取 ■不收取）磋商保证金</w:t>
            </w:r>
          </w:p>
          <w:p w14:paraId="3D7A1311">
            <w:pPr>
              <w:keepNext w:val="0"/>
              <w:keepLines w:val="0"/>
              <w:pageBreakBefore w:val="0"/>
              <w:widowControl w:val="0"/>
              <w:shd w:val="clear"/>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磋商保证金金额</w:t>
            </w:r>
            <w:r>
              <w:rPr>
                <w:rFonts w:hint="eastAsia" w:ascii="仿宋" w:hAnsi="仿宋" w:eastAsia="仿宋" w:cs="仿宋"/>
                <w:b w:val="0"/>
                <w:bCs/>
                <w:color w:val="auto"/>
                <w:sz w:val="21"/>
                <w:szCs w:val="21"/>
                <w:highlight w:val="none"/>
                <w:lang w:val="en-US" w:eastAsia="zh-CN"/>
              </w:rPr>
              <w:t>（人民币）</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p w14:paraId="137390F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保证金递交截止</w:t>
            </w:r>
            <w:r>
              <w:rPr>
                <w:rFonts w:hint="eastAsia" w:ascii="仿宋" w:hAnsi="仿宋" w:eastAsia="仿宋" w:cs="仿宋"/>
                <w:b w:val="0"/>
                <w:bCs/>
                <w:color w:val="auto"/>
                <w:sz w:val="21"/>
                <w:szCs w:val="21"/>
                <w:highlight w:val="none"/>
                <w:lang w:val="en-US" w:eastAsia="zh-CN"/>
              </w:rPr>
              <w:t>时间</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28CDB24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有效期：</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6E5796A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保证金形式：</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739A398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注</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保证金必须于</w:t>
            </w:r>
            <w:r>
              <w:rPr>
                <w:rFonts w:hint="eastAsia" w:ascii="仿宋" w:hAnsi="仿宋" w:eastAsia="仿宋" w:cs="仿宋"/>
                <w:b w:val="0"/>
                <w:bCs/>
                <w:color w:val="auto"/>
                <w:sz w:val="21"/>
                <w:szCs w:val="21"/>
                <w:highlight w:val="none"/>
                <w:lang w:val="en-US" w:eastAsia="zh-CN"/>
              </w:rPr>
              <w:t>响应文件递交</w:t>
            </w:r>
            <w:r>
              <w:rPr>
                <w:rFonts w:hint="eastAsia" w:ascii="仿宋" w:hAnsi="仿宋" w:eastAsia="仿宋" w:cs="仿宋"/>
                <w:b w:val="0"/>
                <w:bCs/>
                <w:color w:val="auto"/>
                <w:sz w:val="21"/>
                <w:szCs w:val="21"/>
                <w:highlight w:val="none"/>
              </w:rPr>
              <w:t>截止时间以前到达上述指定账户；</w:t>
            </w:r>
            <w:r>
              <w:rPr>
                <w:rFonts w:hint="eastAsia" w:ascii="仿宋" w:hAnsi="仿宋" w:eastAsia="仿宋" w:cs="仿宋"/>
                <w:b w:val="0"/>
                <w:bCs/>
                <w:color w:val="auto"/>
                <w:sz w:val="21"/>
                <w:szCs w:val="21"/>
                <w:highlight w:val="none"/>
                <w:lang w:val="en-US" w:eastAsia="zh-CN"/>
              </w:rPr>
              <w:t>递交保证金需备注项目名称或项目编号，如遇备注字数限制可备注项目简称</w:t>
            </w:r>
            <w:r>
              <w:rPr>
                <w:rFonts w:hint="eastAsia" w:ascii="仿宋" w:hAnsi="仿宋" w:eastAsia="仿宋" w:cs="仿宋"/>
                <w:b w:val="0"/>
                <w:bCs/>
                <w:color w:val="auto"/>
                <w:sz w:val="21"/>
                <w:szCs w:val="21"/>
                <w:highlight w:val="none"/>
              </w:rPr>
              <w:t>。</w:t>
            </w:r>
          </w:p>
        </w:tc>
      </w:tr>
      <w:tr w14:paraId="6FDD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5F8F07EA">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w:t>
            </w: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.5</w:t>
            </w:r>
          </w:p>
        </w:tc>
        <w:tc>
          <w:tcPr>
            <w:tcW w:w="1575" w:type="dxa"/>
            <w:vMerge w:val="continue"/>
            <w:vAlign w:val="center"/>
          </w:tcPr>
          <w:p w14:paraId="5E26067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7478" w:type="dxa"/>
            <w:vAlign w:val="center"/>
          </w:tcPr>
          <w:p w14:paraId="5489C59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磋商保证金不予退还的其他情形：</w:t>
            </w:r>
          </w:p>
          <w:p w14:paraId="7645A38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w:t>
            </w:r>
          </w:p>
          <w:p w14:paraId="64C4B5A2">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□有，具体情形：</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51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C783489">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12.1</w:t>
            </w:r>
          </w:p>
        </w:tc>
        <w:tc>
          <w:tcPr>
            <w:tcW w:w="1575" w:type="dxa"/>
            <w:vAlign w:val="center"/>
          </w:tcPr>
          <w:p w14:paraId="4DAD16C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响应有效期</w:t>
            </w:r>
          </w:p>
        </w:tc>
        <w:tc>
          <w:tcPr>
            <w:tcW w:w="7478" w:type="dxa"/>
            <w:vAlign w:val="center"/>
          </w:tcPr>
          <w:p w14:paraId="4F88304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自提交响应文件的截止之日起算90日历天。</w:t>
            </w:r>
          </w:p>
        </w:tc>
      </w:tr>
      <w:tr w14:paraId="3F0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4C33ECDA">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17.2</w:t>
            </w:r>
          </w:p>
        </w:tc>
        <w:tc>
          <w:tcPr>
            <w:tcW w:w="1575" w:type="dxa"/>
            <w:vAlign w:val="center"/>
          </w:tcPr>
          <w:p w14:paraId="7426599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解密时间</w:t>
            </w:r>
          </w:p>
        </w:tc>
        <w:tc>
          <w:tcPr>
            <w:tcW w:w="7478" w:type="dxa"/>
            <w:vAlign w:val="center"/>
          </w:tcPr>
          <w:p w14:paraId="16CAC56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解密时间：</w:t>
            </w:r>
            <w:r>
              <w:rPr>
                <w:rFonts w:hint="eastAsia" w:ascii="仿宋" w:hAnsi="仿宋" w:eastAsia="仿宋" w:cs="仿宋"/>
                <w:b w:val="0"/>
                <w:bCs/>
                <w:color w:val="auto"/>
                <w:sz w:val="21"/>
                <w:szCs w:val="21"/>
                <w:highlight w:val="none"/>
                <w:u w:val="single"/>
                <w:lang w:val="en-US" w:eastAsia="zh-CN"/>
              </w:rPr>
              <w:t>30</w:t>
            </w:r>
            <w:r>
              <w:rPr>
                <w:rFonts w:hint="eastAsia" w:ascii="仿宋" w:hAnsi="仿宋" w:eastAsia="仿宋" w:cs="仿宋"/>
                <w:b w:val="0"/>
                <w:bCs/>
                <w:color w:val="auto"/>
                <w:sz w:val="21"/>
                <w:szCs w:val="21"/>
                <w:highlight w:val="none"/>
              </w:rPr>
              <w:t>分钟</w:t>
            </w:r>
          </w:p>
        </w:tc>
      </w:tr>
      <w:tr w14:paraId="0AF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0240EC39">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20.1</w:t>
            </w:r>
          </w:p>
        </w:tc>
        <w:tc>
          <w:tcPr>
            <w:tcW w:w="1575" w:type="dxa"/>
            <w:vAlign w:val="center"/>
          </w:tcPr>
          <w:p w14:paraId="5D33B48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成交供应商的确认</w:t>
            </w:r>
          </w:p>
        </w:tc>
        <w:tc>
          <w:tcPr>
            <w:tcW w:w="7478" w:type="dxa"/>
            <w:vAlign w:val="center"/>
          </w:tcPr>
          <w:p w14:paraId="18A030DF">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采购人是否授权磋商小组直接确定成交供应商：</w:t>
            </w:r>
          </w:p>
          <w:p w14:paraId="45B5FE12">
            <w:pPr>
              <w:pStyle w:val="12"/>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■否</w:t>
            </w:r>
          </w:p>
          <w:p w14:paraId="2480A1A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w:t>
            </w:r>
          </w:p>
          <w:p w14:paraId="2851F7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成交候选人并列的，按照以下方式确定成交供应商：按照最后报价由低到高的顺序推荐。评审得分且最后报价相同的，按照技术指标优劣顺序推荐。</w:t>
            </w:r>
          </w:p>
        </w:tc>
      </w:tr>
      <w:tr w14:paraId="639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691CFD24">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23.5</w:t>
            </w:r>
          </w:p>
        </w:tc>
        <w:tc>
          <w:tcPr>
            <w:tcW w:w="1575" w:type="dxa"/>
            <w:vAlign w:val="center"/>
          </w:tcPr>
          <w:p w14:paraId="2CB4D9D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分包</w:t>
            </w:r>
          </w:p>
        </w:tc>
        <w:tc>
          <w:tcPr>
            <w:tcW w:w="7478" w:type="dxa"/>
            <w:vAlign w:val="center"/>
          </w:tcPr>
          <w:p w14:paraId="524AC66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本项目是否允许分包： </w:t>
            </w:r>
          </w:p>
          <w:p w14:paraId="70B708C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■不允许</w:t>
            </w:r>
          </w:p>
          <w:p w14:paraId="26781CB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□允许，具体要求：</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u w:val="none"/>
                <w:lang w:val="en-US" w:eastAsia="zh-CN"/>
              </w:rPr>
              <w:t>。</w:t>
            </w:r>
          </w:p>
          <w:p w14:paraId="2F73382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（1）可以分包履行的具体内容：</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059F873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（2）允许分包的金额或者比例：</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p w14:paraId="1F2F242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（3）其他要求：</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rPr>
              <w:t>。</w:t>
            </w:r>
          </w:p>
        </w:tc>
      </w:tr>
      <w:tr w14:paraId="615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331BC225">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23.6</w:t>
            </w:r>
          </w:p>
        </w:tc>
        <w:tc>
          <w:tcPr>
            <w:tcW w:w="1575" w:type="dxa"/>
            <w:vAlign w:val="center"/>
          </w:tcPr>
          <w:p w14:paraId="64C71C75">
            <w:pPr>
              <w:keepNext w:val="0"/>
              <w:keepLines w:val="0"/>
              <w:pageBreakBefore w:val="0"/>
              <w:widowControl w:val="0"/>
              <w:suppressLineNumbers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lang w:val="en-US" w:eastAsia="zh-CN" w:bidi="ar"/>
              </w:rPr>
              <w:t>政采贷</w:t>
            </w:r>
          </w:p>
        </w:tc>
        <w:tc>
          <w:tcPr>
            <w:tcW w:w="7478" w:type="dxa"/>
            <w:vAlign w:val="center"/>
          </w:tcPr>
          <w:p w14:paraId="078AE20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6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28FD239F">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24.1.1</w:t>
            </w:r>
          </w:p>
        </w:tc>
        <w:tc>
          <w:tcPr>
            <w:tcW w:w="1575" w:type="dxa"/>
            <w:vAlign w:val="center"/>
          </w:tcPr>
          <w:p w14:paraId="2B0E6D8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询问</w:t>
            </w:r>
          </w:p>
        </w:tc>
        <w:tc>
          <w:tcPr>
            <w:tcW w:w="7478" w:type="dxa"/>
            <w:vAlign w:val="center"/>
          </w:tcPr>
          <w:p w14:paraId="5CFEDB6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询问送达形式：</w:t>
            </w:r>
            <w:r>
              <w:rPr>
                <w:rFonts w:hint="eastAsia" w:ascii="仿宋" w:hAnsi="仿宋" w:eastAsia="仿宋" w:cs="仿宋"/>
                <w:b w:val="0"/>
                <w:bCs/>
                <w:color w:val="auto"/>
                <w:sz w:val="21"/>
                <w:szCs w:val="21"/>
                <w:highlight w:val="none"/>
                <w:u w:val="single"/>
              </w:rPr>
              <w:t>纸质文件并加盖公章</w:t>
            </w:r>
            <w:r>
              <w:rPr>
                <w:rFonts w:hint="eastAsia" w:ascii="仿宋" w:hAnsi="仿宋" w:eastAsia="仿宋" w:cs="仿宋"/>
                <w:b w:val="0"/>
                <w:bCs/>
                <w:color w:val="auto"/>
                <w:sz w:val="21"/>
                <w:szCs w:val="21"/>
                <w:highlight w:val="none"/>
              </w:rPr>
              <w:t>。</w:t>
            </w:r>
          </w:p>
        </w:tc>
      </w:tr>
      <w:tr w14:paraId="2C4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3143709B">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24.3</w:t>
            </w:r>
          </w:p>
        </w:tc>
        <w:tc>
          <w:tcPr>
            <w:tcW w:w="1575" w:type="dxa"/>
            <w:vAlign w:val="center"/>
          </w:tcPr>
          <w:p w14:paraId="3589EB5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联系方式</w:t>
            </w:r>
          </w:p>
        </w:tc>
        <w:tc>
          <w:tcPr>
            <w:tcW w:w="7478" w:type="dxa"/>
            <w:vAlign w:val="center"/>
          </w:tcPr>
          <w:p w14:paraId="7B79130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接收询问和质疑的联系方式</w:t>
            </w:r>
          </w:p>
          <w:p w14:paraId="4D15336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联系部门：</w:t>
            </w:r>
            <w:r>
              <w:rPr>
                <w:rFonts w:hint="eastAsia" w:ascii="仿宋" w:hAnsi="仿宋" w:eastAsia="仿宋" w:cs="仿宋"/>
                <w:b w:val="0"/>
                <w:bCs/>
                <w:color w:val="auto"/>
                <w:sz w:val="21"/>
                <w:szCs w:val="21"/>
                <w:highlight w:val="none"/>
                <w:u w:val="single"/>
              </w:rPr>
              <w:t>北京中盛宇工程管理有限公司-招标部</w:t>
            </w:r>
            <w:r>
              <w:rPr>
                <w:rFonts w:hint="eastAsia" w:ascii="仿宋" w:hAnsi="仿宋" w:eastAsia="仿宋" w:cs="仿宋"/>
                <w:b w:val="0"/>
                <w:bCs/>
                <w:color w:val="auto"/>
                <w:sz w:val="21"/>
                <w:szCs w:val="21"/>
                <w:highlight w:val="none"/>
              </w:rPr>
              <w:t>；</w:t>
            </w:r>
          </w:p>
          <w:p w14:paraId="64B37A2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联系电话：</w:t>
            </w:r>
            <w:r>
              <w:rPr>
                <w:rFonts w:hint="eastAsia" w:ascii="仿宋" w:hAnsi="仿宋" w:eastAsia="仿宋" w:cs="仿宋"/>
                <w:b w:val="0"/>
                <w:bCs/>
                <w:color w:val="auto"/>
                <w:sz w:val="21"/>
                <w:szCs w:val="21"/>
                <w:highlight w:val="none"/>
                <w:u w:val="single"/>
                <w:lang w:eastAsia="zh-CN"/>
              </w:rPr>
              <w:t>张池阳</w:t>
            </w:r>
            <w:r>
              <w:rPr>
                <w:rFonts w:hint="eastAsia" w:ascii="仿宋" w:hAnsi="仿宋" w:eastAsia="仿宋" w:cs="仿宋"/>
                <w:b w:val="0"/>
                <w:bCs/>
                <w:color w:val="auto"/>
                <w:sz w:val="21"/>
                <w:szCs w:val="21"/>
                <w:highlight w:val="none"/>
                <w:u w:val="single"/>
              </w:rPr>
              <w:t>/69415773</w:t>
            </w:r>
            <w:r>
              <w:rPr>
                <w:rFonts w:hint="eastAsia" w:ascii="仿宋" w:hAnsi="仿宋" w:eastAsia="仿宋" w:cs="仿宋"/>
                <w:b w:val="0"/>
                <w:bCs/>
                <w:color w:val="auto"/>
                <w:sz w:val="21"/>
                <w:szCs w:val="21"/>
                <w:highlight w:val="none"/>
              </w:rPr>
              <w:t>；</w:t>
            </w:r>
          </w:p>
          <w:p w14:paraId="14DA148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通讯地址：</w:t>
            </w:r>
            <w:r>
              <w:rPr>
                <w:rFonts w:hint="eastAsia" w:ascii="仿宋" w:hAnsi="仿宋" w:eastAsia="仿宋" w:cs="仿宋"/>
                <w:b w:val="0"/>
                <w:bCs/>
                <w:color w:val="auto"/>
                <w:sz w:val="21"/>
                <w:szCs w:val="21"/>
                <w:highlight w:val="none"/>
                <w:u w:val="single"/>
              </w:rPr>
              <w:t>北京市顺义区双丰街道顺安南路12号一区26号楼北侧三层</w:t>
            </w:r>
            <w:r>
              <w:rPr>
                <w:rFonts w:hint="eastAsia" w:ascii="仿宋" w:hAnsi="仿宋" w:eastAsia="仿宋" w:cs="仿宋"/>
                <w:b w:val="0"/>
                <w:bCs/>
                <w:color w:val="auto"/>
                <w:sz w:val="21"/>
                <w:szCs w:val="21"/>
                <w:highlight w:val="none"/>
              </w:rPr>
              <w:t>。</w:t>
            </w:r>
          </w:p>
        </w:tc>
      </w:tr>
      <w:tr w14:paraId="090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Align w:val="center"/>
          </w:tcPr>
          <w:p w14:paraId="69DA32B9">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25</w:t>
            </w:r>
          </w:p>
        </w:tc>
        <w:tc>
          <w:tcPr>
            <w:tcW w:w="1575" w:type="dxa"/>
            <w:vAlign w:val="center"/>
          </w:tcPr>
          <w:p w14:paraId="728CD6A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代理服务费</w:t>
            </w:r>
          </w:p>
        </w:tc>
        <w:tc>
          <w:tcPr>
            <w:tcW w:w="7478" w:type="dxa"/>
            <w:vAlign w:val="center"/>
          </w:tcPr>
          <w:p w14:paraId="321C030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收费对象：</w:t>
            </w:r>
          </w:p>
          <w:p w14:paraId="64B0BE5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采购人</w:t>
            </w:r>
          </w:p>
          <w:p w14:paraId="3065204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■成交供应商</w:t>
            </w:r>
          </w:p>
          <w:p w14:paraId="36FD5A0B">
            <w:pPr>
              <w:keepNext w:val="0"/>
              <w:keepLines w:val="0"/>
              <w:pageBreakBefore w:val="0"/>
              <w:widowControl w:val="0"/>
              <w:numPr>
                <w:ilvl w:val="0"/>
                <w:numId w:val="0"/>
              </w:numPr>
              <w:tabs>
                <w:tab w:val="left" w:pos="156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rPr>
              <w:t>收费标准：</w:t>
            </w:r>
            <w:r>
              <w:rPr>
                <w:rFonts w:hint="eastAsia" w:ascii="仿宋" w:hAnsi="仿宋" w:eastAsia="仿宋" w:cs="仿宋"/>
                <w:b w:val="0"/>
                <w:bCs/>
                <w:color w:val="auto"/>
                <w:sz w:val="21"/>
                <w:szCs w:val="21"/>
                <w:highlight w:val="none"/>
                <w:u w:val="single"/>
                <w:lang w:val="en-US" w:eastAsia="zh-CN"/>
              </w:rPr>
              <w:t>参照附件1：代理服务费收费标准进行差额定率累进法计算，以预算金额为基数并按70%计取代理服务费。</w:t>
            </w:r>
          </w:p>
          <w:p w14:paraId="4FD2473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附件1：代理服务费收费标准</w:t>
            </w:r>
          </w:p>
          <w:tbl>
            <w:tblPr>
              <w:tblStyle w:val="21"/>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326"/>
              <w:gridCol w:w="968"/>
              <w:gridCol w:w="968"/>
              <w:gridCol w:w="970"/>
            </w:tblGrid>
            <w:tr w14:paraId="63420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508" w:type="dxa"/>
                  <w:vMerge w:val="restart"/>
                  <w:tcBorders>
                    <w:top w:val="single" w:color="auto" w:sz="4" w:space="0"/>
                    <w:left w:val="outset" w:color="auto" w:sz="6" w:space="0"/>
                    <w:bottom w:val="single" w:color="auto" w:sz="4" w:space="0"/>
                    <w:right w:val="single" w:color="auto" w:sz="4" w:space="0"/>
                    <w:tl2br w:val="outset" w:color="auto" w:sz="6" w:space="0"/>
                  </w:tcBorders>
                  <w:noWrap w:val="0"/>
                  <w:vAlign w:val="center"/>
                </w:tcPr>
                <w:p w14:paraId="68013C4A">
                  <w:pPr>
                    <w:keepNext w:val="0"/>
                    <w:keepLines w:val="0"/>
                    <w:pageBreakBefore w:val="0"/>
                    <w:widowControl w:val="0"/>
                    <w:kinsoku/>
                    <w:wordWrap w:val="0"/>
                    <w:overflowPunct/>
                    <w:topLinePunct/>
                    <w:autoSpaceDE/>
                    <w:autoSpaceDN/>
                    <w:bidi w:val="0"/>
                    <w:spacing w:line="360" w:lineRule="auto"/>
                    <w:ind w:firstLine="3150" w:firstLineChars="1500"/>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项目类别</w:t>
                  </w:r>
                </w:p>
                <w:p w14:paraId="0FC009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中标</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成交</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金额</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万元</w:t>
                  </w:r>
                  <w:r>
                    <w:rPr>
                      <w:rFonts w:hint="eastAsia" w:ascii="仿宋" w:hAnsi="仿宋" w:eastAsia="仿宋" w:cs="仿宋"/>
                      <w:b w:val="0"/>
                      <w:bCs/>
                      <w:color w:val="auto"/>
                      <w:sz w:val="21"/>
                      <w:szCs w:val="21"/>
                      <w:highlight w:val="none"/>
                      <w:lang w:eastAsia="zh-CN"/>
                    </w:rPr>
                    <w:t>）</w:t>
                  </w:r>
                </w:p>
              </w:tc>
              <w:tc>
                <w:tcPr>
                  <w:tcW w:w="964" w:type="dxa"/>
                  <w:gridSpan w:val="3"/>
                  <w:tcBorders>
                    <w:top w:val="single" w:color="auto" w:sz="4" w:space="0"/>
                    <w:left w:val="single" w:color="auto" w:sz="4" w:space="0"/>
                    <w:bottom w:val="single" w:color="auto" w:sz="4" w:space="0"/>
                    <w:right w:val="single" w:color="auto" w:sz="4" w:space="0"/>
                  </w:tcBorders>
                  <w:noWrap w:val="0"/>
                  <w:vAlign w:val="center"/>
                </w:tcPr>
                <w:p w14:paraId="69A65EA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标准费率（%）</w:t>
                  </w:r>
                </w:p>
              </w:tc>
            </w:tr>
            <w:tr w14:paraId="3CAEB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508" w:type="dxa"/>
                  <w:vMerge w:val="continue"/>
                  <w:tcBorders>
                    <w:top w:val="single" w:color="auto" w:sz="4" w:space="0"/>
                    <w:left w:val="single" w:color="auto" w:sz="4" w:space="0"/>
                    <w:bottom w:val="single" w:color="auto" w:sz="4" w:space="0"/>
                    <w:right w:val="single" w:color="auto" w:sz="4" w:space="0"/>
                    <w:tl2br w:val="outset" w:color="auto" w:sz="6" w:space="0"/>
                  </w:tcBorders>
                  <w:noWrap w:val="0"/>
                  <w:vAlign w:val="center"/>
                </w:tcPr>
                <w:p w14:paraId="002BADA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10FF909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货物</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531C71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服务</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C4A85D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工程</w:t>
                  </w:r>
                </w:p>
              </w:tc>
            </w:tr>
            <w:tr w14:paraId="73271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single" w:color="auto" w:sz="4" w:space="0"/>
                    <w:left w:val="single" w:color="auto" w:sz="4" w:space="0"/>
                    <w:bottom w:val="single" w:color="auto" w:sz="4" w:space="0"/>
                    <w:right w:val="single" w:color="auto" w:sz="4" w:space="0"/>
                  </w:tcBorders>
                  <w:noWrap w:val="0"/>
                  <w:vAlign w:val="center"/>
                </w:tcPr>
                <w:p w14:paraId="016FE89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100以下</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3DC10DB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1.5</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85F65B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1.5</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EFAA75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w:t>
                  </w:r>
                </w:p>
              </w:tc>
            </w:tr>
            <w:tr w14:paraId="6AFAF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single" w:color="auto" w:sz="4" w:space="0"/>
                    <w:left w:val="single" w:color="auto" w:sz="4" w:space="0"/>
                    <w:bottom w:val="single" w:color="auto" w:sz="4" w:space="0"/>
                    <w:right w:val="single" w:color="auto" w:sz="4" w:space="0"/>
                  </w:tcBorders>
                  <w:noWrap w:val="0"/>
                  <w:vAlign w:val="center"/>
                </w:tcPr>
                <w:p w14:paraId="43CCB50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100—500</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F1654B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8793B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0.8</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1847B2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0.7</w:t>
                  </w:r>
                </w:p>
              </w:tc>
            </w:tr>
            <w:tr w14:paraId="068F52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single" w:color="auto" w:sz="4" w:space="0"/>
                    <w:left w:val="single" w:color="auto" w:sz="4" w:space="0"/>
                    <w:bottom w:val="single" w:color="auto" w:sz="4" w:space="0"/>
                    <w:right w:val="single" w:color="auto" w:sz="4" w:space="0"/>
                  </w:tcBorders>
                  <w:noWrap w:val="0"/>
                  <w:vAlign w:val="center"/>
                </w:tcPr>
                <w:p w14:paraId="769A787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500—1000</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FB63EE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0.8</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C46C6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0.45</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818B12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0.55</w:t>
                  </w:r>
                </w:p>
              </w:tc>
            </w:tr>
          </w:tbl>
          <w:p w14:paraId="68DDF8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r>
      <w:tr w14:paraId="23E0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restart"/>
            <w:vAlign w:val="center"/>
          </w:tcPr>
          <w:p w14:paraId="3FC65930">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26</w:t>
            </w:r>
          </w:p>
        </w:tc>
        <w:tc>
          <w:tcPr>
            <w:tcW w:w="1575" w:type="dxa"/>
            <w:shd w:val="clear" w:color="auto" w:fill="auto"/>
            <w:vAlign w:val="center"/>
          </w:tcPr>
          <w:p w14:paraId="03DD668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其他要求</w:t>
            </w:r>
          </w:p>
        </w:tc>
        <w:tc>
          <w:tcPr>
            <w:tcW w:w="7478" w:type="dxa"/>
            <w:shd w:val="clear" w:color="auto" w:fill="auto"/>
            <w:vAlign w:val="center"/>
          </w:tcPr>
          <w:p w14:paraId="65D8E30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成交人在领取成交通知书的当日，需提供加盖单位公章的纸质版响应文件2份及2份最后报价一览表和最后分项报价表。（响应文件必须与上传电子交易平台的电子文件内容保持一致）。</w:t>
            </w:r>
          </w:p>
        </w:tc>
      </w:tr>
      <w:tr w14:paraId="6D16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9" w:type="dxa"/>
            <w:vMerge w:val="continue"/>
            <w:shd w:val="clear" w:color="auto" w:fill="auto"/>
            <w:vAlign w:val="center"/>
          </w:tcPr>
          <w:p w14:paraId="187FC07E">
            <w:pPr>
              <w:pStyle w:val="12"/>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575" w:type="dxa"/>
            <w:shd w:val="clear" w:color="auto" w:fill="auto"/>
            <w:vAlign w:val="center"/>
          </w:tcPr>
          <w:p w14:paraId="168FCEA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磋商会方式</w:t>
            </w:r>
          </w:p>
        </w:tc>
        <w:tc>
          <w:tcPr>
            <w:tcW w:w="7478" w:type="dxa"/>
            <w:shd w:val="clear" w:color="auto" w:fill="auto"/>
            <w:vAlign w:val="center"/>
          </w:tcPr>
          <w:p w14:paraId="6F7EF7C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bidi="ar"/>
              </w:rPr>
            </w:pPr>
            <w:r>
              <w:rPr>
                <w:rFonts w:hint="eastAsia" w:ascii="仿宋" w:hAnsi="仿宋" w:eastAsia="仿宋" w:cs="仿宋"/>
                <w:b w:val="0"/>
                <w:bCs/>
                <w:color w:val="auto"/>
                <w:sz w:val="21"/>
                <w:szCs w:val="21"/>
                <w:highlight w:val="none"/>
              </w:rPr>
              <w:t>1.本项目采用远程磋商方式；参与本项目的供应商无需到场；供应商于</w:t>
            </w:r>
            <w:r>
              <w:rPr>
                <w:rFonts w:hint="eastAsia" w:ascii="仿宋" w:hAnsi="仿宋" w:eastAsia="仿宋" w:cs="仿宋"/>
                <w:b w:val="0"/>
                <w:bCs/>
                <w:color w:val="auto"/>
                <w:sz w:val="21"/>
                <w:szCs w:val="21"/>
                <w:highlight w:val="none"/>
                <w:lang w:val="zh-TW" w:eastAsia="zh-CN" w:bidi="ar"/>
              </w:rPr>
              <w:t>竞争性磋商文件</w:t>
            </w:r>
            <w:r>
              <w:rPr>
                <w:rFonts w:hint="eastAsia" w:ascii="仿宋" w:hAnsi="仿宋" w:eastAsia="仿宋" w:cs="仿宋"/>
                <w:b w:val="0"/>
                <w:bCs/>
                <w:color w:val="auto"/>
                <w:sz w:val="21"/>
                <w:szCs w:val="21"/>
                <w:highlight w:val="none"/>
                <w:lang w:val="zh-TW" w:bidi="ar"/>
              </w:rPr>
              <w:t>规定的开启时间使用</w:t>
            </w:r>
            <w:r>
              <w:rPr>
                <w:rFonts w:hint="eastAsia" w:ascii="仿宋" w:hAnsi="仿宋" w:eastAsia="仿宋" w:cs="仿宋"/>
                <w:b w:val="0"/>
                <w:bCs/>
                <w:color w:val="auto"/>
                <w:sz w:val="21"/>
                <w:szCs w:val="21"/>
                <w:highlight w:val="none"/>
                <w:lang w:bidi="ar"/>
              </w:rPr>
              <w:t>CA认证证书</w:t>
            </w:r>
            <w:r>
              <w:rPr>
                <w:rFonts w:hint="eastAsia" w:ascii="仿宋" w:hAnsi="仿宋" w:eastAsia="仿宋" w:cs="仿宋"/>
                <w:b w:val="0"/>
                <w:bCs/>
                <w:color w:val="auto"/>
                <w:sz w:val="21"/>
                <w:szCs w:val="21"/>
                <w:highlight w:val="none"/>
                <w:lang w:val="zh-TW" w:bidi="ar"/>
              </w:rPr>
              <w:t>登录</w:t>
            </w:r>
            <w:r>
              <w:rPr>
                <w:rFonts w:hint="eastAsia" w:ascii="仿宋" w:hAnsi="仿宋" w:eastAsia="仿宋" w:cs="仿宋"/>
                <w:b w:val="0"/>
                <w:bCs/>
                <w:color w:val="auto"/>
                <w:sz w:val="21"/>
                <w:szCs w:val="21"/>
                <w:highlight w:val="none"/>
                <w:lang w:bidi="ar"/>
              </w:rPr>
              <w:t>北京市政府采购电子交易平台解密并开启响应文件。如因供应商问题，解密不成功，则响应无效。</w:t>
            </w:r>
          </w:p>
          <w:p w14:paraId="41BE79C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2.响应人应在规定的时间内对响应文件进行解密，因非系统原因导致的解密失败，视为投标无效。</w:t>
            </w:r>
          </w:p>
          <w:p w14:paraId="729964F0">
            <w:pPr>
              <w:pStyle w:val="13"/>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3.待磋商小组下达最终报价指令后，供应商应在规定时间内在评标系统中上传最终报价。</w:t>
            </w:r>
          </w:p>
        </w:tc>
      </w:tr>
    </w:tbl>
    <w:p w14:paraId="6979F100">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outlineLvl w:val="9"/>
        <w:rPr>
          <w:rFonts w:hint="eastAsia" w:ascii="仿宋" w:hAnsi="仿宋" w:eastAsia="仿宋" w:cs="仿宋"/>
          <w:b w:val="0"/>
          <w:bCs/>
          <w:color w:val="auto"/>
          <w:sz w:val="21"/>
          <w:szCs w:val="21"/>
          <w:highlight w:val="none"/>
        </w:rPr>
        <w:sectPr>
          <w:footerReference r:id="rId8" w:type="first"/>
          <w:footerReference r:id="rId7" w:type="default"/>
          <w:pgSz w:w="11905" w:h="16838"/>
          <w:pgMar w:top="1440" w:right="1080" w:bottom="1440" w:left="1080" w:header="851" w:footer="850" w:gutter="0"/>
          <w:pgNumType w:fmt="decimal" w:start="1"/>
          <w:cols w:space="0" w:num="1"/>
          <w:titlePg/>
          <w:rtlGutter w:val="0"/>
          <w:docGrid w:linePitch="462" w:charSpace="0"/>
        </w:sectPr>
      </w:pPr>
    </w:p>
    <w:p w14:paraId="197E2D9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3" w:name="_Toc25824"/>
      <w:r>
        <w:rPr>
          <w:rFonts w:hint="eastAsia" w:ascii="仿宋" w:hAnsi="仿宋" w:eastAsia="仿宋" w:cs="仿宋"/>
          <w:b w:val="0"/>
          <w:bCs/>
          <w:color w:val="auto"/>
          <w:sz w:val="21"/>
          <w:szCs w:val="21"/>
          <w:highlight w:val="none"/>
        </w:rPr>
        <w:t>供应商须知</w:t>
      </w:r>
      <w:bookmarkEnd w:id="73"/>
    </w:p>
    <w:p w14:paraId="194B241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4" w:name="_Toc226965708"/>
      <w:bookmarkStart w:id="75" w:name="_Toc151190145"/>
      <w:bookmarkStart w:id="76" w:name="_Toc226965791"/>
      <w:bookmarkStart w:id="77" w:name="_Toc151193906"/>
      <w:bookmarkStart w:id="78" w:name="_Toc127151518"/>
      <w:bookmarkStart w:id="79" w:name="_Toc150774723"/>
      <w:bookmarkStart w:id="80" w:name="_Toc195842883"/>
      <w:bookmarkStart w:id="81" w:name="_Toc150774618"/>
      <w:bookmarkStart w:id="82" w:name="_Toc305158786"/>
      <w:bookmarkStart w:id="83" w:name="_Toc142311020"/>
      <w:bookmarkStart w:id="84" w:name="_Toc305158860"/>
      <w:bookmarkStart w:id="85" w:name="_Toc226337214"/>
      <w:bookmarkStart w:id="86" w:name="_Toc520356143"/>
      <w:bookmarkStart w:id="87" w:name="_Toc150480756"/>
      <w:bookmarkStart w:id="88" w:name="_Toc265228356"/>
      <w:bookmarkStart w:id="89" w:name="_Toc151193616"/>
      <w:bookmarkStart w:id="90" w:name="_Toc13149"/>
      <w:bookmarkStart w:id="91" w:name="_Toc151193688"/>
      <w:bookmarkStart w:id="92" w:name="_Toc226309762"/>
      <w:bookmarkStart w:id="93" w:name="_Toc151193832"/>
      <w:bookmarkStart w:id="94" w:name="_Toc151193760"/>
      <w:bookmarkStart w:id="95" w:name="_Toc264969208"/>
      <w:bookmarkStart w:id="96" w:name="_Toc150509269"/>
      <w:r>
        <w:rPr>
          <w:rFonts w:hint="eastAsia" w:ascii="仿宋" w:hAnsi="仿宋" w:eastAsia="仿宋" w:cs="仿宋"/>
          <w:b w:val="0"/>
          <w:bCs/>
          <w:color w:val="auto"/>
          <w:sz w:val="21"/>
          <w:szCs w:val="21"/>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AB3DCF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97" w:name="_Toc264969209"/>
      <w:bookmarkStart w:id="98" w:name="_Toc305158861"/>
      <w:bookmarkStart w:id="99" w:name="_Toc305158787"/>
      <w:bookmarkStart w:id="100" w:name="_Toc265228357"/>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采购人、采购代理机构、供应商</w:t>
      </w:r>
      <w:bookmarkEnd w:id="97"/>
      <w:bookmarkEnd w:id="98"/>
      <w:bookmarkEnd w:id="99"/>
      <w:bookmarkEnd w:id="100"/>
      <w:r>
        <w:rPr>
          <w:rFonts w:hint="eastAsia" w:ascii="仿宋" w:hAnsi="仿宋" w:eastAsia="仿宋" w:cs="仿宋"/>
          <w:b w:val="0"/>
          <w:bCs/>
          <w:color w:val="auto"/>
          <w:sz w:val="21"/>
          <w:szCs w:val="21"/>
          <w:highlight w:val="none"/>
        </w:rPr>
        <w:t>、联合体</w:t>
      </w:r>
    </w:p>
    <w:p w14:paraId="5BF5BA8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采购人、采购代理机构：指依法进行政府采购的国家机关、事业单位、团体组织，及其委托的采购代理机构。本项目采购人、采购代理机构见第一章《采购邀请》。</w:t>
      </w:r>
    </w:p>
    <w:p w14:paraId="153EC81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供应商（也称“申请人”）：指向采购人提供货物、工程或者服务的法人、其他组织或者自然人。</w:t>
      </w:r>
    </w:p>
    <w:p w14:paraId="0DDF0A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1.3</w:t>
      </w:r>
      <w:r>
        <w:rPr>
          <w:rFonts w:hint="eastAsia" w:ascii="仿宋" w:hAnsi="仿宋" w:eastAsia="仿宋" w:cs="仿宋"/>
          <w:b w:val="0"/>
          <w:bCs/>
          <w:color w:val="auto"/>
          <w:sz w:val="21"/>
          <w:szCs w:val="21"/>
          <w:highlight w:val="none"/>
        </w:rPr>
        <w:t>联合体：指两个以上的自然人、法人或者其他组织组成一个联合体，以一个供应商的身份共同参加政府采购。</w:t>
      </w:r>
    </w:p>
    <w:p w14:paraId="65F145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101" w:name="_Toc164351614"/>
      <w:bookmarkStart w:id="102" w:name="_Toc164229361"/>
      <w:bookmarkStart w:id="103" w:name="_Toc265228358"/>
      <w:bookmarkStart w:id="104" w:name="_Toc164608634"/>
      <w:bookmarkStart w:id="105" w:name="_Toc127151520"/>
      <w:bookmarkStart w:id="106" w:name="_Toc150774725"/>
      <w:bookmarkStart w:id="107" w:name="_Toc151193834"/>
      <w:bookmarkStart w:id="108" w:name="_Toc151193690"/>
      <w:bookmarkStart w:id="109" w:name="_Toc226337216"/>
      <w:bookmarkStart w:id="110" w:name="_Toc226309764"/>
      <w:bookmarkStart w:id="111" w:name="_Toc226965793"/>
      <w:bookmarkStart w:id="112" w:name="_Toc150774620"/>
      <w:bookmarkStart w:id="113" w:name="_Toc127161434"/>
      <w:bookmarkStart w:id="114" w:name="_Toc150509271"/>
      <w:bookmarkStart w:id="115" w:name="_Toc127151721"/>
      <w:bookmarkStart w:id="116" w:name="_Toc164229215"/>
      <w:bookmarkStart w:id="117" w:name="_Toc142311022"/>
      <w:bookmarkStart w:id="118" w:name="_Toc151190147"/>
      <w:bookmarkStart w:id="119" w:name="_Toc195842885"/>
      <w:bookmarkStart w:id="120" w:name="_Toc149720813"/>
      <w:bookmarkStart w:id="121" w:name="_Toc305158862"/>
      <w:bookmarkStart w:id="122" w:name="_Toc264969210"/>
      <w:bookmarkStart w:id="123" w:name="_Toc150480758"/>
      <w:bookmarkStart w:id="124" w:name="_Toc226965710"/>
      <w:bookmarkStart w:id="125" w:name="_Toc151193618"/>
      <w:bookmarkStart w:id="126" w:name="_Toc305158788"/>
      <w:bookmarkStart w:id="127" w:name="_Toc151193762"/>
      <w:bookmarkStart w:id="128" w:name="_Toc164608789"/>
      <w:bookmarkStart w:id="129" w:name="_Toc151193908"/>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val="0"/>
          <w:bCs/>
          <w:color w:val="auto"/>
          <w:sz w:val="21"/>
          <w:szCs w:val="21"/>
          <w:highlight w:val="none"/>
        </w:rPr>
        <w:t>、项目属性、科研仪器设备采购</w:t>
      </w:r>
    </w:p>
    <w:p w14:paraId="302C669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w:t>
      </w:r>
      <w:r>
        <w:rPr>
          <w:rFonts w:hint="eastAsia" w:ascii="仿宋" w:hAnsi="仿宋" w:eastAsia="仿宋" w:cs="仿宋"/>
          <w:b w:val="0"/>
          <w:bCs/>
          <w:color w:val="auto"/>
          <w:sz w:val="21"/>
          <w:szCs w:val="21"/>
          <w:highlight w:val="none"/>
        </w:rPr>
        <w:t>资金来源为财政性资金和/或本项目采购中无法与财政性资金分割的非财政性资金。</w:t>
      </w:r>
    </w:p>
    <w:p w14:paraId="3E15F87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w:t>
      </w:r>
      <w:r>
        <w:rPr>
          <w:rFonts w:hint="eastAsia" w:ascii="仿宋" w:hAnsi="仿宋" w:eastAsia="仿宋" w:cs="仿宋"/>
          <w:b w:val="0"/>
          <w:bCs/>
          <w:color w:val="auto"/>
          <w:sz w:val="21"/>
          <w:szCs w:val="21"/>
          <w:highlight w:val="none"/>
        </w:rPr>
        <w:t>项目属性见《供应商须知资料表》。</w:t>
      </w:r>
    </w:p>
    <w:p w14:paraId="08B24DE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w:t>
      </w:r>
      <w:r>
        <w:rPr>
          <w:rFonts w:hint="eastAsia" w:ascii="仿宋" w:hAnsi="仿宋" w:eastAsia="仿宋" w:cs="仿宋"/>
          <w:b w:val="0"/>
          <w:bCs/>
          <w:color w:val="auto"/>
          <w:sz w:val="21"/>
          <w:szCs w:val="21"/>
          <w:highlight w:val="none"/>
        </w:rPr>
        <w:t>是否属于科研仪器设备采购见《供应商须知资料表》。</w:t>
      </w:r>
    </w:p>
    <w:p w14:paraId="542A7E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现场考察、磋商前答疑会</w:t>
      </w:r>
    </w:p>
    <w:p w14:paraId="4A073AA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3.1</w:t>
      </w:r>
      <w:r>
        <w:rPr>
          <w:rFonts w:hint="eastAsia" w:ascii="仿宋" w:hAnsi="仿宋" w:eastAsia="仿宋" w:cs="仿宋"/>
          <w:b w:val="0"/>
          <w:bCs/>
          <w:color w:val="auto"/>
          <w:sz w:val="21"/>
          <w:szCs w:val="21"/>
          <w:highlight w:val="none"/>
        </w:rPr>
        <w:t>若《供应商须知资料表》中规定了组织现场考察、召开磋商前答疑会，则供应商应按要求在规定的时间和地点参加。</w:t>
      </w:r>
      <w:bookmarkStart w:id="130" w:name="_Toc151190149"/>
      <w:bookmarkStart w:id="131" w:name="_Toc305158864"/>
      <w:bookmarkStart w:id="132" w:name="_Toc151193620"/>
      <w:bookmarkStart w:id="133" w:name="_Toc150509273"/>
      <w:bookmarkStart w:id="134" w:name="_Toc151193764"/>
      <w:bookmarkStart w:id="135" w:name="_Toc265228360"/>
      <w:bookmarkStart w:id="136" w:name="_Toc151193836"/>
      <w:bookmarkStart w:id="137" w:name="_Toc127151522"/>
      <w:bookmarkStart w:id="138" w:name="_Toc150774622"/>
      <w:bookmarkStart w:id="139" w:name="_Toc226337218"/>
      <w:bookmarkStart w:id="140" w:name="_Toc151193910"/>
      <w:bookmarkStart w:id="141" w:name="_Toc226309766"/>
      <w:bookmarkStart w:id="142" w:name="_Toc520356146"/>
      <w:bookmarkStart w:id="143" w:name="_Toc151193692"/>
      <w:bookmarkStart w:id="144" w:name="_Toc150774727"/>
      <w:bookmarkStart w:id="145" w:name="_Toc195842887"/>
      <w:bookmarkStart w:id="146" w:name="_Toc226965712"/>
      <w:bookmarkStart w:id="147" w:name="_Toc264969212"/>
      <w:bookmarkStart w:id="148" w:name="_Toc226965795"/>
      <w:bookmarkStart w:id="149" w:name="_Toc150480760"/>
      <w:bookmarkStart w:id="150" w:name="_Toc142311024"/>
      <w:bookmarkStart w:id="151" w:name="_Toc305158790"/>
    </w:p>
    <w:p w14:paraId="0590C30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3.2</w:t>
      </w:r>
      <w:r>
        <w:rPr>
          <w:rFonts w:hint="eastAsia" w:ascii="仿宋" w:hAnsi="仿宋" w:eastAsia="仿宋" w:cs="仿宋"/>
          <w:b w:val="0"/>
          <w:bCs/>
          <w:color w:val="auto"/>
          <w:sz w:val="21"/>
          <w:szCs w:val="21"/>
          <w:highlight w:val="none"/>
        </w:rPr>
        <w:t>由于未参加现场考察或磋商前答疑会而导致对项目实际情况不了解，影响响应文件编制、报价准确性、综合因素响应不全面等问题的，由供应商自行承担不利评审后果。</w:t>
      </w:r>
    </w:p>
    <w:p w14:paraId="0E1A558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政府采购政策（包括但不限于下列具体政策要求）</w:t>
      </w:r>
    </w:p>
    <w:p w14:paraId="0C5154E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w:t>
      </w:r>
      <w:r>
        <w:rPr>
          <w:rFonts w:hint="eastAsia" w:ascii="仿宋" w:hAnsi="仿宋" w:eastAsia="仿宋" w:cs="仿宋"/>
          <w:b w:val="0"/>
          <w:bCs/>
          <w:color w:val="auto"/>
          <w:sz w:val="21"/>
          <w:szCs w:val="21"/>
          <w:highlight w:val="none"/>
        </w:rPr>
        <w:t>采购本国货物、工程和服务</w:t>
      </w:r>
    </w:p>
    <w:p w14:paraId="4678923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4.1.1</w:t>
      </w:r>
      <w:r>
        <w:rPr>
          <w:rFonts w:hint="eastAsia" w:ascii="仿宋" w:hAnsi="仿宋" w:eastAsia="仿宋" w:cs="仿宋"/>
          <w:b w:val="0"/>
          <w:bCs/>
          <w:color w:val="auto"/>
          <w:sz w:val="21"/>
          <w:szCs w:val="21"/>
          <w:highlight w:val="none"/>
        </w:rPr>
        <w:t>政府采购应当采购本国货物、工程和服务。但有《中华人民共和国政府采购法》第十条规定情形的除外。</w:t>
      </w:r>
    </w:p>
    <w:p w14:paraId="0B01404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4.1.2</w:t>
      </w:r>
      <w:r>
        <w:rPr>
          <w:rFonts w:hint="eastAsia" w:ascii="仿宋" w:hAnsi="仿宋" w:eastAsia="仿宋" w:cs="仿宋"/>
          <w:b w:val="0"/>
          <w:bCs/>
          <w:color w:val="auto"/>
          <w:sz w:val="21"/>
          <w:szCs w:val="21"/>
          <w:highlight w:val="none"/>
        </w:rPr>
        <w:t>本项目如接受非本国货物、工程、服务参与响应，则具体要求见第四章《采购需求》。</w:t>
      </w:r>
    </w:p>
    <w:p w14:paraId="2DFC9E8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4.1.3</w:t>
      </w:r>
      <w:r>
        <w:rPr>
          <w:rFonts w:hint="eastAsia" w:ascii="仿宋" w:hAnsi="仿宋" w:eastAsia="仿宋" w:cs="仿宋"/>
          <w:b w:val="0"/>
          <w:bCs/>
          <w:color w:val="auto"/>
          <w:sz w:val="21"/>
          <w:szCs w:val="21"/>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18942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w:t>
      </w:r>
      <w:r>
        <w:rPr>
          <w:rFonts w:hint="eastAsia" w:ascii="仿宋" w:hAnsi="仿宋" w:eastAsia="仿宋" w:cs="仿宋"/>
          <w:b w:val="0"/>
          <w:bCs/>
          <w:color w:val="auto"/>
          <w:sz w:val="21"/>
          <w:szCs w:val="21"/>
          <w:highlight w:val="none"/>
        </w:rPr>
        <w:t>中小企业、监狱企业及残疾人福利性单位</w:t>
      </w:r>
    </w:p>
    <w:p w14:paraId="69E488B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w:t>
      </w:r>
      <w:r>
        <w:rPr>
          <w:rFonts w:hint="eastAsia" w:ascii="仿宋" w:hAnsi="仿宋" w:eastAsia="仿宋" w:cs="仿宋"/>
          <w:b w:val="0"/>
          <w:bCs/>
          <w:color w:val="auto"/>
          <w:sz w:val="21"/>
          <w:szCs w:val="21"/>
          <w:highlight w:val="none"/>
        </w:rPr>
        <w:t>中小企业定义：</w:t>
      </w:r>
    </w:p>
    <w:p w14:paraId="3F699CD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4.2.1.1</w:t>
      </w:r>
      <w:r>
        <w:rPr>
          <w:rFonts w:hint="eastAsia" w:ascii="仿宋" w:hAnsi="仿宋" w:eastAsia="仿宋" w:cs="仿宋"/>
          <w:b w:val="0"/>
          <w:bCs/>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F9AA7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4.2.1.2</w:t>
      </w:r>
      <w:r>
        <w:rPr>
          <w:rFonts w:hint="eastAsia" w:ascii="仿宋" w:hAnsi="仿宋" w:eastAsia="仿宋" w:cs="仿宋"/>
          <w:b w:val="0"/>
          <w:bCs/>
          <w:color w:val="auto"/>
          <w:sz w:val="21"/>
          <w:szCs w:val="21"/>
          <w:highlight w:val="none"/>
        </w:rPr>
        <w:t>供应商提供的货物、工程或者服务符合下列情形的，享受中小企业扶持政策：</w:t>
      </w:r>
    </w:p>
    <w:p w14:paraId="493754D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（1）在货物采购项目中，货物由中小企业制造，即货物由中小企业生产且使用该中小企业商号或者注册商标；</w:t>
      </w:r>
    </w:p>
    <w:p w14:paraId="70CF588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（2）在工程采购项目中，工程由中小企业承建，即工程施工单位为中小企业；</w:t>
      </w:r>
    </w:p>
    <w:p w14:paraId="0C3A9C7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（3）在服务采购项目中，服务由中小企业承接，即提供服务的人员为中小企业依照《中华人民共和国劳动合同法》订立劳动合同的从业人员。</w:t>
      </w:r>
    </w:p>
    <w:p w14:paraId="6ACBCA2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4.2.1.3</w:t>
      </w:r>
      <w:r>
        <w:rPr>
          <w:rFonts w:hint="eastAsia" w:ascii="仿宋" w:hAnsi="仿宋" w:eastAsia="仿宋" w:cs="仿宋"/>
          <w:b w:val="0"/>
          <w:bCs/>
          <w:color w:val="auto"/>
          <w:sz w:val="21"/>
          <w:szCs w:val="21"/>
          <w:highlight w:val="none"/>
        </w:rPr>
        <w:t>在货物采购项目中，供应商提供的货物既有中小企业制造货物，也有大型企业制造货物的，不享受中小企业扶持政策。</w:t>
      </w:r>
    </w:p>
    <w:p w14:paraId="063975E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4.2.1.4</w:t>
      </w:r>
      <w:r>
        <w:rPr>
          <w:rFonts w:hint="eastAsia" w:ascii="仿宋" w:hAnsi="仿宋" w:eastAsia="仿宋" w:cs="仿宋"/>
          <w:b w:val="0"/>
          <w:bCs/>
          <w:color w:val="auto"/>
          <w:sz w:val="21"/>
          <w:szCs w:val="21"/>
          <w:highlight w:val="none"/>
        </w:rPr>
        <w:t>以联合体形式参加政府采购活动，联合体各方均为中小企业的，联合体视同中小企业。其中，联合体各方均为小微企业的，联合体视同小微企业。</w:t>
      </w:r>
    </w:p>
    <w:p w14:paraId="0E96C34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4.2.2</w:t>
      </w:r>
      <w:r>
        <w:rPr>
          <w:rFonts w:hint="eastAsia" w:ascii="仿宋" w:hAnsi="仿宋" w:eastAsia="仿宋" w:cs="仿宋"/>
          <w:b w:val="0"/>
          <w:bCs/>
          <w:color w:val="auto"/>
          <w:sz w:val="21"/>
          <w:szCs w:val="21"/>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73688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w:t>
      </w:r>
      <w:r>
        <w:rPr>
          <w:rFonts w:hint="eastAsia" w:ascii="仿宋" w:hAnsi="仿宋" w:eastAsia="仿宋" w:cs="仿宋"/>
          <w:b w:val="0"/>
          <w:bCs/>
          <w:color w:val="auto"/>
          <w:sz w:val="21"/>
          <w:szCs w:val="21"/>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FEC2E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4.2.3.1</w:t>
      </w:r>
      <w:r>
        <w:rPr>
          <w:rFonts w:hint="eastAsia" w:ascii="仿宋" w:hAnsi="仿宋" w:eastAsia="仿宋" w:cs="仿宋"/>
          <w:b w:val="0"/>
          <w:bCs/>
          <w:color w:val="auto"/>
          <w:sz w:val="21"/>
          <w:szCs w:val="21"/>
          <w:highlight w:val="none"/>
        </w:rPr>
        <w:t>安置的残疾人占本单位在职职工人数的比例不低于25%（含25%），并且安置的残疾人人数不少于10人（含10人）；</w:t>
      </w:r>
    </w:p>
    <w:p w14:paraId="3604917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4.2.3.2</w:t>
      </w:r>
      <w:r>
        <w:rPr>
          <w:rFonts w:hint="eastAsia" w:ascii="仿宋" w:hAnsi="仿宋" w:eastAsia="仿宋" w:cs="仿宋"/>
          <w:b w:val="0"/>
          <w:bCs/>
          <w:color w:val="auto"/>
          <w:sz w:val="21"/>
          <w:szCs w:val="21"/>
          <w:highlight w:val="none"/>
        </w:rPr>
        <w:t>依法与安置的每位残疾人签订了一年以上（含一年）的劳动合同或服务协议；</w:t>
      </w:r>
    </w:p>
    <w:p w14:paraId="6F587FB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4.2.3.3</w:t>
      </w:r>
      <w:r>
        <w:rPr>
          <w:rFonts w:hint="eastAsia" w:ascii="仿宋" w:hAnsi="仿宋" w:eastAsia="仿宋" w:cs="仿宋"/>
          <w:b w:val="0"/>
          <w:bCs/>
          <w:color w:val="auto"/>
          <w:sz w:val="21"/>
          <w:szCs w:val="21"/>
          <w:highlight w:val="none"/>
        </w:rPr>
        <w:t>为安置的每位残疾人按月足额缴纳了基本养老保险、基本医疗保险、失业保险、工伤保险和生育保险等社会保险费；</w:t>
      </w:r>
    </w:p>
    <w:p w14:paraId="75D6CE5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4.2.3.4</w:t>
      </w:r>
      <w:r>
        <w:rPr>
          <w:rFonts w:hint="eastAsia" w:ascii="仿宋" w:hAnsi="仿宋" w:eastAsia="仿宋" w:cs="仿宋"/>
          <w:b w:val="0"/>
          <w:bCs/>
          <w:color w:val="auto"/>
          <w:sz w:val="21"/>
          <w:szCs w:val="21"/>
          <w:highlight w:val="none"/>
        </w:rPr>
        <w:t>通过银行等金融机构向安置的每位残疾人，按月支付了不低于单位所在区县适用的经省级人民政府批准的月最低工资标准的工资；</w:t>
      </w:r>
    </w:p>
    <w:p w14:paraId="3D52BD4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4.2.3.5</w:t>
      </w:r>
      <w:r>
        <w:rPr>
          <w:rFonts w:hint="eastAsia" w:ascii="仿宋" w:hAnsi="仿宋" w:eastAsia="仿宋" w:cs="仿宋"/>
          <w:b w:val="0"/>
          <w:bCs/>
          <w:color w:val="auto"/>
          <w:sz w:val="21"/>
          <w:szCs w:val="21"/>
          <w:highlight w:val="none"/>
        </w:rPr>
        <w:t>提供本单位制造的货物、承担的工程或者服务（以下简称产品），或者提供其他残疾人福利性单位制造的货物（不包括使用非残疾人福利性单位注册商标的货物）；</w:t>
      </w:r>
    </w:p>
    <w:p w14:paraId="095E148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4.2.3.6</w:t>
      </w:r>
      <w:r>
        <w:rPr>
          <w:rFonts w:hint="eastAsia" w:ascii="仿宋" w:hAnsi="仿宋" w:eastAsia="仿宋" w:cs="仿宋"/>
          <w:b w:val="0"/>
          <w:bCs/>
          <w:color w:val="auto"/>
          <w:sz w:val="21"/>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51F9C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4.2.4</w:t>
      </w:r>
      <w:r>
        <w:rPr>
          <w:rFonts w:hint="eastAsia" w:ascii="仿宋" w:hAnsi="仿宋" w:eastAsia="仿宋" w:cs="仿宋"/>
          <w:b w:val="0"/>
          <w:bCs/>
          <w:color w:val="auto"/>
          <w:sz w:val="21"/>
          <w:szCs w:val="21"/>
          <w:highlight w:val="none"/>
        </w:rPr>
        <w:t>本项目是否专门面向中小企业预留采购份额见第一章《采购邀请》。</w:t>
      </w:r>
    </w:p>
    <w:p w14:paraId="3413B17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4.2.5</w:t>
      </w:r>
      <w:r>
        <w:rPr>
          <w:rFonts w:hint="eastAsia" w:ascii="仿宋" w:hAnsi="仿宋" w:eastAsia="仿宋" w:cs="仿宋"/>
          <w:b w:val="0"/>
          <w:bCs/>
          <w:color w:val="auto"/>
          <w:sz w:val="21"/>
          <w:szCs w:val="21"/>
          <w:highlight w:val="none"/>
        </w:rPr>
        <w:t>采购标的对应的中小企业划分标准所属行业见《供应商须知资料表》。</w:t>
      </w:r>
    </w:p>
    <w:p w14:paraId="0B54250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4.2.6</w:t>
      </w:r>
      <w:r>
        <w:rPr>
          <w:rFonts w:hint="eastAsia" w:ascii="仿宋" w:hAnsi="仿宋" w:eastAsia="仿宋" w:cs="仿宋"/>
          <w:b w:val="0"/>
          <w:bCs/>
          <w:color w:val="auto"/>
          <w:sz w:val="21"/>
          <w:szCs w:val="21"/>
          <w:highlight w:val="none"/>
        </w:rPr>
        <w:t>小微企业价格评审优惠的政策调整：见第三章《评审方法和评审标准》。</w:t>
      </w:r>
    </w:p>
    <w:p w14:paraId="525705D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w:t>
      </w:r>
      <w:r>
        <w:rPr>
          <w:rFonts w:hint="eastAsia" w:ascii="仿宋" w:hAnsi="仿宋" w:eastAsia="仿宋" w:cs="仿宋"/>
          <w:b w:val="0"/>
          <w:bCs/>
          <w:color w:val="auto"/>
          <w:sz w:val="21"/>
          <w:szCs w:val="21"/>
          <w:highlight w:val="none"/>
        </w:rPr>
        <w:t>政府采购节能产品、环境标志产品</w:t>
      </w:r>
    </w:p>
    <w:p w14:paraId="303FBFD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4.3.1</w:t>
      </w:r>
      <w:r>
        <w:rPr>
          <w:rFonts w:hint="eastAsia" w:ascii="仿宋" w:hAnsi="仿宋" w:eastAsia="仿宋" w:cs="仿宋"/>
          <w:b w:val="0"/>
          <w:bCs/>
          <w:color w:val="auto"/>
          <w:sz w:val="21"/>
          <w:szCs w:val="21"/>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812A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4.3.2</w:t>
      </w:r>
      <w:r>
        <w:rPr>
          <w:rFonts w:hint="eastAsia" w:ascii="仿宋" w:hAnsi="仿宋" w:eastAsia="仿宋" w:cs="仿宋"/>
          <w:b w:val="0"/>
          <w:bCs/>
          <w:color w:val="auto"/>
          <w:sz w:val="21"/>
          <w:szCs w:val="21"/>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262BF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4.3.3</w:t>
      </w:r>
      <w:r>
        <w:rPr>
          <w:rFonts w:hint="eastAsia" w:ascii="仿宋" w:hAnsi="仿宋" w:eastAsia="仿宋" w:cs="仿宋"/>
          <w:b w:val="0"/>
          <w:bCs/>
          <w:color w:val="auto"/>
          <w:sz w:val="21"/>
          <w:szCs w:val="21"/>
          <w:highlight w:val="none"/>
        </w:rPr>
        <w:t>如本项目采购产品属于实施政府强制采购品目清单范围的节能产品，则供应商所报产品必须获得国家确定的认证机构出具的、处于有效期之内的节能产品认证证书，否则响应无效；</w:t>
      </w:r>
    </w:p>
    <w:p w14:paraId="1E910EF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4.3.4</w:t>
      </w:r>
      <w:r>
        <w:rPr>
          <w:rFonts w:hint="eastAsia" w:ascii="仿宋" w:hAnsi="仿宋" w:eastAsia="仿宋" w:cs="仿宋"/>
          <w:b w:val="0"/>
          <w:bCs/>
          <w:color w:val="auto"/>
          <w:sz w:val="21"/>
          <w:szCs w:val="21"/>
          <w:highlight w:val="none"/>
        </w:rPr>
        <w:t>非政府强制采购的节能产品或环境标志产品，依据品目清单和认证证书实施政府优先采购。优先采购的具体规定见第三章《评审方法和评审标准》（如涉及）。</w:t>
      </w:r>
    </w:p>
    <w:p w14:paraId="5C2C8F1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4.4</w:t>
      </w:r>
      <w:r>
        <w:rPr>
          <w:rFonts w:hint="eastAsia" w:ascii="仿宋" w:hAnsi="仿宋" w:eastAsia="仿宋" w:cs="仿宋"/>
          <w:b w:val="0"/>
          <w:bCs/>
          <w:color w:val="auto"/>
          <w:sz w:val="21"/>
          <w:szCs w:val="21"/>
          <w:highlight w:val="none"/>
        </w:rPr>
        <w:t>正版软件</w:t>
      </w:r>
    </w:p>
    <w:p w14:paraId="11B8CA5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4.4.1</w:t>
      </w:r>
      <w:r>
        <w:rPr>
          <w:rFonts w:hint="eastAsia" w:ascii="仿宋" w:hAnsi="仿宋" w:eastAsia="仿宋" w:cs="仿宋"/>
          <w:b w:val="0"/>
          <w:bCs/>
          <w:color w:val="auto"/>
          <w:sz w:val="21"/>
          <w:szCs w:val="21"/>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322D75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4.5</w:t>
      </w:r>
      <w:r>
        <w:rPr>
          <w:rFonts w:hint="eastAsia" w:ascii="仿宋" w:hAnsi="仿宋" w:eastAsia="仿宋" w:cs="仿宋"/>
          <w:b w:val="0"/>
          <w:bCs/>
          <w:color w:val="auto"/>
          <w:sz w:val="21"/>
          <w:szCs w:val="21"/>
          <w:highlight w:val="none"/>
        </w:rPr>
        <w:t>网络安全专用产品</w:t>
      </w:r>
    </w:p>
    <w:p w14:paraId="32EF30F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4.5.1</w:t>
      </w:r>
      <w:r>
        <w:rPr>
          <w:rFonts w:hint="eastAsia" w:ascii="仿宋" w:hAnsi="仿宋" w:eastAsia="仿宋" w:cs="仿宋"/>
          <w:b w:val="0"/>
          <w:bCs/>
          <w:color w:val="auto"/>
          <w:sz w:val="21"/>
          <w:szCs w:val="21"/>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3BF9B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4.6</w:t>
      </w:r>
      <w:r>
        <w:rPr>
          <w:rFonts w:hint="eastAsia" w:ascii="仿宋" w:hAnsi="仿宋" w:eastAsia="仿宋" w:cs="仿宋"/>
          <w:b w:val="0"/>
          <w:bCs/>
          <w:color w:val="auto"/>
          <w:sz w:val="21"/>
          <w:szCs w:val="21"/>
          <w:highlight w:val="none"/>
        </w:rPr>
        <w:t>推广使用低挥发性有机化合物（VOCs）</w:t>
      </w:r>
    </w:p>
    <w:p w14:paraId="068422C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4.6.1</w:t>
      </w:r>
      <w:r>
        <w:rPr>
          <w:rFonts w:hint="eastAsia" w:ascii="仿宋" w:hAnsi="仿宋" w:eastAsia="仿宋" w:cs="仿宋"/>
          <w:b w:val="0"/>
          <w:bCs/>
          <w:color w:val="auto"/>
          <w:sz w:val="21"/>
          <w:szCs w:val="21"/>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2738EE5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4.7</w:t>
      </w:r>
      <w:r>
        <w:rPr>
          <w:rFonts w:hint="eastAsia" w:ascii="仿宋" w:hAnsi="仿宋" w:eastAsia="仿宋" w:cs="仿宋"/>
          <w:b w:val="0"/>
          <w:bCs/>
          <w:color w:val="auto"/>
          <w:sz w:val="21"/>
          <w:szCs w:val="21"/>
          <w:highlight w:val="none"/>
        </w:rPr>
        <w:t>采购需求标准</w:t>
      </w:r>
    </w:p>
    <w:p w14:paraId="2A51977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4.7.1</w:t>
      </w:r>
      <w:r>
        <w:rPr>
          <w:rFonts w:hint="eastAsia" w:ascii="仿宋" w:hAnsi="仿宋" w:eastAsia="仿宋" w:cs="仿宋"/>
          <w:b w:val="0"/>
          <w:bCs/>
          <w:color w:val="auto"/>
          <w:sz w:val="21"/>
          <w:szCs w:val="21"/>
          <w:highlight w:val="none"/>
        </w:rPr>
        <w:t>商品包装、快递包装政府采购需求标准（试行）</w:t>
      </w:r>
    </w:p>
    <w:p w14:paraId="414352B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2054E4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4.7.2</w:t>
      </w:r>
      <w:r>
        <w:rPr>
          <w:rFonts w:hint="eastAsia" w:ascii="仿宋" w:hAnsi="仿宋" w:eastAsia="仿宋" w:cs="仿宋"/>
          <w:b w:val="0"/>
          <w:bCs/>
          <w:color w:val="auto"/>
          <w:sz w:val="21"/>
          <w:szCs w:val="21"/>
          <w:highlight w:val="none"/>
        </w:rPr>
        <w:t>其他政府采购需求标准</w:t>
      </w:r>
    </w:p>
    <w:p w14:paraId="3ABE977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0346706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响应费用</w:t>
      </w:r>
    </w:p>
    <w:p w14:paraId="20D24D8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5.1</w:t>
      </w:r>
      <w:r>
        <w:rPr>
          <w:rFonts w:hint="eastAsia" w:ascii="仿宋" w:hAnsi="仿宋" w:eastAsia="仿宋" w:cs="仿宋"/>
          <w:b w:val="0"/>
          <w:bCs/>
          <w:color w:val="auto"/>
          <w:sz w:val="21"/>
          <w:szCs w:val="21"/>
          <w:highlight w:val="none"/>
        </w:rPr>
        <w:t>供应商应自行承担所有与准备和参加磋商有关的费用，无论磋商的结果如何，采购人或采购代理机构在任何情况下均无承担这些费用的义务和责任。</w:t>
      </w:r>
    </w:p>
    <w:p w14:paraId="41B4F5A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152" w:name="_1.8_计量单位"/>
      <w:bookmarkEnd w:id="152"/>
      <w:bookmarkStart w:id="153" w:name="_Toc14794"/>
      <w:r>
        <w:rPr>
          <w:rFonts w:hint="eastAsia" w:ascii="仿宋" w:hAnsi="仿宋" w:eastAsia="仿宋" w:cs="仿宋"/>
          <w:b w:val="0"/>
          <w:bCs/>
          <w:color w:val="auto"/>
          <w:sz w:val="21"/>
          <w:szCs w:val="21"/>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3"/>
    </w:p>
    <w:p w14:paraId="3D0444D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154" w:name="_Toc226965713"/>
      <w:bookmarkStart w:id="155" w:name="_Toc127151724"/>
      <w:bookmarkStart w:id="156" w:name="_Toc151193765"/>
      <w:bookmarkStart w:id="157" w:name="_Toc264969213"/>
      <w:bookmarkStart w:id="158" w:name="_Toc520356147"/>
      <w:bookmarkStart w:id="159" w:name="_Toc164351617"/>
      <w:bookmarkStart w:id="160" w:name="_Toc151193837"/>
      <w:bookmarkStart w:id="161" w:name="_Toc151193621"/>
      <w:bookmarkStart w:id="162" w:name="_Toc151190150"/>
      <w:bookmarkStart w:id="163" w:name="_Toc164229364"/>
      <w:bookmarkStart w:id="164" w:name="_Toc226965796"/>
      <w:bookmarkStart w:id="165" w:name="_Toc150480761"/>
      <w:bookmarkStart w:id="166" w:name="_Toc142311025"/>
      <w:bookmarkStart w:id="167" w:name="_Toc265228361"/>
      <w:bookmarkStart w:id="168" w:name="_Toc127151523"/>
      <w:bookmarkStart w:id="169" w:name="_Toc226337219"/>
      <w:bookmarkStart w:id="170" w:name="_Toc151193693"/>
      <w:bookmarkStart w:id="171" w:name="_Toc164608792"/>
      <w:bookmarkStart w:id="172" w:name="_Toc150774728"/>
      <w:bookmarkStart w:id="173" w:name="_Toc149720816"/>
      <w:bookmarkStart w:id="174" w:name="_Toc305158791"/>
      <w:bookmarkStart w:id="175" w:name="_Toc127161437"/>
      <w:bookmarkStart w:id="176" w:name="_Toc226309767"/>
      <w:bookmarkStart w:id="177" w:name="_Toc195842888"/>
      <w:bookmarkStart w:id="178" w:name="_Toc151193911"/>
      <w:bookmarkStart w:id="179" w:name="_Toc150774623"/>
      <w:bookmarkStart w:id="180" w:name="_Toc305158865"/>
      <w:bookmarkStart w:id="181" w:name="_Toc164608637"/>
      <w:bookmarkStart w:id="182" w:name="_Toc150509274"/>
      <w:bookmarkStart w:id="183" w:name="_Toc164229218"/>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ascii="仿宋" w:hAnsi="仿宋" w:eastAsia="仿宋" w:cs="仿宋"/>
          <w:b w:val="0"/>
          <w:bCs/>
          <w:color w:val="auto"/>
          <w:sz w:val="21"/>
          <w:szCs w:val="21"/>
          <w:highlight w:val="none"/>
        </w:rPr>
        <w:t>成</w:t>
      </w:r>
    </w:p>
    <w:p w14:paraId="7424D93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6.1</w:t>
      </w:r>
      <w:r>
        <w:rPr>
          <w:rFonts w:hint="eastAsia" w:ascii="仿宋" w:hAnsi="仿宋" w:eastAsia="仿宋" w:cs="仿宋"/>
          <w:b w:val="0"/>
          <w:bCs/>
          <w:color w:val="auto"/>
          <w:sz w:val="21"/>
          <w:szCs w:val="21"/>
          <w:highlight w:val="none"/>
        </w:rPr>
        <w:t>竞争性磋商文件包括以下部分：</w:t>
      </w:r>
    </w:p>
    <w:p w14:paraId="101A09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 xml:space="preserve">第一章  </w:t>
      </w:r>
      <w:r>
        <w:rPr>
          <w:rFonts w:hint="eastAsia" w:ascii="仿宋" w:hAnsi="仿宋" w:eastAsia="仿宋" w:cs="仿宋"/>
          <w:b w:val="0"/>
          <w:bCs/>
          <w:color w:val="auto"/>
          <w:sz w:val="21"/>
          <w:szCs w:val="21"/>
          <w:highlight w:val="none"/>
        </w:rPr>
        <w:t>采购邀请</w:t>
      </w:r>
    </w:p>
    <w:p w14:paraId="5501B22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 xml:space="preserve">第二章  </w:t>
      </w:r>
      <w:r>
        <w:rPr>
          <w:rFonts w:hint="eastAsia" w:ascii="仿宋" w:hAnsi="仿宋" w:eastAsia="仿宋" w:cs="仿宋"/>
          <w:b w:val="0"/>
          <w:bCs/>
          <w:color w:val="auto"/>
          <w:sz w:val="21"/>
          <w:szCs w:val="21"/>
          <w:highlight w:val="none"/>
        </w:rPr>
        <w:t>供应商须知</w:t>
      </w:r>
    </w:p>
    <w:p w14:paraId="5C76DEE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 xml:space="preserve">第三章  </w:t>
      </w:r>
      <w:r>
        <w:rPr>
          <w:rFonts w:hint="eastAsia" w:ascii="仿宋" w:hAnsi="仿宋" w:eastAsia="仿宋" w:cs="仿宋"/>
          <w:b w:val="0"/>
          <w:bCs/>
          <w:color w:val="auto"/>
          <w:sz w:val="21"/>
          <w:szCs w:val="21"/>
          <w:highlight w:val="none"/>
        </w:rPr>
        <w:t>评审方法和评审标准</w:t>
      </w:r>
    </w:p>
    <w:p w14:paraId="5174939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 xml:space="preserve">第四章  </w:t>
      </w:r>
      <w:r>
        <w:rPr>
          <w:rFonts w:hint="eastAsia" w:ascii="仿宋" w:hAnsi="仿宋" w:eastAsia="仿宋" w:cs="仿宋"/>
          <w:b w:val="0"/>
          <w:bCs/>
          <w:color w:val="auto"/>
          <w:sz w:val="21"/>
          <w:szCs w:val="21"/>
          <w:highlight w:val="none"/>
        </w:rPr>
        <w:t>采购需求</w:t>
      </w:r>
    </w:p>
    <w:p w14:paraId="094DAE2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 xml:space="preserve">第五章  </w:t>
      </w:r>
      <w:r>
        <w:rPr>
          <w:rFonts w:hint="eastAsia" w:ascii="仿宋" w:hAnsi="仿宋" w:eastAsia="仿宋" w:cs="仿宋"/>
          <w:b w:val="0"/>
          <w:bCs/>
          <w:color w:val="auto"/>
          <w:sz w:val="21"/>
          <w:szCs w:val="21"/>
          <w:highlight w:val="none"/>
        </w:rPr>
        <w:t>合同草案条款</w:t>
      </w:r>
    </w:p>
    <w:p w14:paraId="5D71FF8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 xml:space="preserve">第六章  </w:t>
      </w:r>
      <w:r>
        <w:rPr>
          <w:rFonts w:hint="eastAsia" w:ascii="仿宋" w:hAnsi="仿宋" w:eastAsia="仿宋" w:cs="仿宋"/>
          <w:b w:val="0"/>
          <w:bCs/>
          <w:color w:val="auto"/>
          <w:sz w:val="21"/>
          <w:szCs w:val="21"/>
          <w:highlight w:val="none"/>
        </w:rPr>
        <w:t>响应文件格式</w:t>
      </w:r>
    </w:p>
    <w:p w14:paraId="6CD566B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6.2</w:t>
      </w:r>
      <w:r>
        <w:rPr>
          <w:rFonts w:hint="eastAsia" w:ascii="仿宋" w:hAnsi="仿宋" w:eastAsia="仿宋" w:cs="仿宋"/>
          <w:b w:val="0"/>
          <w:bCs/>
          <w:color w:val="auto"/>
          <w:sz w:val="21"/>
          <w:szCs w:val="21"/>
          <w:highlight w:val="none"/>
        </w:rPr>
        <w:t>供应商应认真阅读竞争性磋商文件的全部内容。供应商应按照竞争性磋商文件要求提交响应文件并保证所提供的全部资料的真实性，并对竞争性磋商文件做出实质性响应，否则响应无效。</w:t>
      </w:r>
    </w:p>
    <w:p w14:paraId="0E7F406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对竞争性磋商文件的澄清或修改</w:t>
      </w:r>
    </w:p>
    <w:p w14:paraId="49F19F2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7.1</w:t>
      </w:r>
      <w:r>
        <w:rPr>
          <w:rFonts w:hint="eastAsia" w:ascii="仿宋" w:hAnsi="仿宋" w:eastAsia="仿宋" w:cs="仿宋"/>
          <w:b w:val="0"/>
          <w:bCs/>
          <w:color w:val="auto"/>
          <w:sz w:val="21"/>
          <w:szCs w:val="21"/>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6B5CDE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7.2</w:t>
      </w:r>
      <w:r>
        <w:rPr>
          <w:rFonts w:hint="eastAsia" w:ascii="仿宋" w:hAnsi="仿宋" w:eastAsia="仿宋" w:cs="仿宋"/>
          <w:b w:val="0"/>
          <w:bCs/>
          <w:color w:val="auto"/>
          <w:sz w:val="21"/>
          <w:szCs w:val="21"/>
          <w:highlight w:val="none"/>
        </w:rPr>
        <w:t>上述书面通知，按照获取竞争性磋商文件的潜在供应商提供的联系方式发出，因提供的信息有误导致通知延迟或无法通知的，采购人或采购代理机构不承担责任。</w:t>
      </w:r>
    </w:p>
    <w:p w14:paraId="4B8F36D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7.3</w:t>
      </w:r>
      <w:r>
        <w:rPr>
          <w:rFonts w:hint="eastAsia" w:ascii="仿宋" w:hAnsi="仿宋" w:eastAsia="仿宋" w:cs="仿宋"/>
          <w:b w:val="0"/>
          <w:bCs/>
          <w:color w:val="auto"/>
          <w:sz w:val="21"/>
          <w:szCs w:val="21"/>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DEFCB2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184" w:name="_Toc516367020"/>
      <w:bookmarkStart w:id="185" w:name="_Toc226337222"/>
      <w:bookmarkStart w:id="186" w:name="_Toc226965799"/>
      <w:bookmarkStart w:id="187" w:name="_Toc150509277"/>
      <w:bookmarkStart w:id="188" w:name="_Toc151190153"/>
      <w:bookmarkStart w:id="189" w:name="_Toc142311028"/>
      <w:bookmarkStart w:id="190" w:name="_Toc151193696"/>
      <w:bookmarkStart w:id="191" w:name="_Toc4043"/>
      <w:bookmarkStart w:id="192" w:name="_Toc264969216"/>
      <w:bookmarkStart w:id="193" w:name="_Toc305158794"/>
      <w:bookmarkStart w:id="194" w:name="_Toc150774626"/>
      <w:bookmarkStart w:id="195" w:name="_Toc127151526"/>
      <w:bookmarkStart w:id="196" w:name="_Toc150774731"/>
      <w:bookmarkStart w:id="197" w:name="_Toc150480764"/>
      <w:bookmarkStart w:id="198" w:name="_Toc226309770"/>
      <w:bookmarkStart w:id="199" w:name="_Toc151193624"/>
      <w:bookmarkStart w:id="200" w:name="_Toc195842891"/>
      <w:bookmarkStart w:id="201" w:name="_Toc520356150"/>
      <w:bookmarkStart w:id="202" w:name="_Toc305158868"/>
      <w:bookmarkStart w:id="203" w:name="_Toc265228364"/>
      <w:bookmarkStart w:id="204" w:name="_Toc226965716"/>
      <w:bookmarkStart w:id="205" w:name="_Toc151193840"/>
      <w:bookmarkStart w:id="206" w:name="_Toc151193914"/>
      <w:bookmarkStart w:id="207" w:name="_Toc151193768"/>
      <w:r>
        <w:rPr>
          <w:rFonts w:hint="eastAsia" w:ascii="仿宋" w:hAnsi="仿宋" w:eastAsia="仿宋" w:cs="仿宋"/>
          <w:b w:val="0"/>
          <w:bCs/>
          <w:color w:val="auto"/>
          <w:sz w:val="21"/>
          <w:szCs w:val="21"/>
          <w:highlight w:val="none"/>
        </w:rPr>
        <w:t>三   响应文件</w:t>
      </w:r>
      <w:bookmarkEnd w:id="184"/>
      <w:r>
        <w:rPr>
          <w:rFonts w:hint="eastAsia" w:ascii="仿宋" w:hAnsi="仿宋" w:eastAsia="仿宋" w:cs="仿宋"/>
          <w:b w:val="0"/>
          <w:bCs/>
          <w:color w:val="auto"/>
          <w:sz w:val="21"/>
          <w:szCs w:val="21"/>
          <w:highlight w:val="none"/>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0F4A4D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08" w:name="_Toc150774732"/>
      <w:bookmarkStart w:id="209" w:name="_Toc150480765"/>
      <w:bookmarkStart w:id="210" w:name="_Toc150774627"/>
      <w:bookmarkStart w:id="211" w:name="_Toc305158869"/>
      <w:bookmarkStart w:id="212" w:name="_Toc127161441"/>
      <w:bookmarkStart w:id="213" w:name="_Toc226309771"/>
      <w:bookmarkStart w:id="214" w:name="_Toc142311029"/>
      <w:bookmarkStart w:id="215" w:name="_Toc164351621"/>
      <w:bookmarkStart w:id="216" w:name="_Toc164229222"/>
      <w:bookmarkStart w:id="217" w:name="_Toc127151527"/>
      <w:bookmarkStart w:id="218" w:name="_Toc264969217"/>
      <w:bookmarkStart w:id="219" w:name="_Toc520356151"/>
      <w:bookmarkStart w:id="220" w:name="_Toc226965717"/>
      <w:bookmarkStart w:id="221" w:name="_Toc151193915"/>
      <w:bookmarkStart w:id="222" w:name="_Toc226965800"/>
      <w:bookmarkStart w:id="223" w:name="_Toc127151728"/>
      <w:bookmarkStart w:id="224" w:name="_Toc305158795"/>
      <w:bookmarkStart w:id="225" w:name="_Toc151193769"/>
      <w:bookmarkStart w:id="226" w:name="_Toc265228365"/>
      <w:bookmarkStart w:id="227" w:name="_Toc164608641"/>
      <w:bookmarkStart w:id="228" w:name="_Toc195842892"/>
      <w:bookmarkStart w:id="229" w:name="_Toc150509278"/>
      <w:bookmarkStart w:id="230" w:name="_Toc151193697"/>
      <w:bookmarkStart w:id="231" w:name="_Toc151190154"/>
      <w:bookmarkStart w:id="232" w:name="_Toc151193625"/>
      <w:bookmarkStart w:id="233" w:name="_Toc226337223"/>
      <w:bookmarkStart w:id="234" w:name="_Toc164608796"/>
      <w:bookmarkStart w:id="235" w:name="_Toc164229368"/>
      <w:bookmarkStart w:id="236" w:name="_Toc151193841"/>
      <w:bookmarkStart w:id="237" w:name="_Toc149720820"/>
      <w:bookmarkStart w:id="238" w:name="_Toc516367021"/>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仿宋" w:hAnsi="仿宋" w:eastAsia="仿宋" w:cs="仿宋"/>
          <w:b w:val="0"/>
          <w:bCs/>
          <w:color w:val="auto"/>
          <w:sz w:val="21"/>
          <w:szCs w:val="21"/>
          <w:highlight w:val="none"/>
        </w:rPr>
        <w:t>及磋商语言</w:t>
      </w:r>
    </w:p>
    <w:p w14:paraId="5DF7C64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8.1</w:t>
      </w:r>
      <w:r>
        <w:rPr>
          <w:rFonts w:hint="eastAsia" w:ascii="仿宋" w:hAnsi="仿宋" w:eastAsia="仿宋" w:cs="仿宋"/>
          <w:b w:val="0"/>
          <w:bCs/>
          <w:color w:val="auto"/>
          <w:sz w:val="21"/>
          <w:szCs w:val="21"/>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响应无效。</w:t>
      </w:r>
    </w:p>
    <w:p w14:paraId="14D8FC9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8.2</w:t>
      </w:r>
      <w:r>
        <w:rPr>
          <w:rFonts w:hint="eastAsia" w:ascii="仿宋" w:hAnsi="仿宋" w:eastAsia="仿宋" w:cs="仿宋"/>
          <w:b w:val="0"/>
          <w:bCs/>
          <w:color w:val="auto"/>
          <w:sz w:val="21"/>
          <w:szCs w:val="21"/>
          <w:highlight w:val="none"/>
        </w:rPr>
        <w:t>除竞争性磋商文件有特殊要求外，本项目磋商所使用的计量单位，应采用中华人民共和国法定计量单位。</w:t>
      </w:r>
    </w:p>
    <w:p w14:paraId="6453D3A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8.3</w:t>
      </w:r>
      <w:r>
        <w:rPr>
          <w:rFonts w:hint="eastAsia" w:ascii="仿宋" w:hAnsi="仿宋" w:eastAsia="仿宋" w:cs="仿宋"/>
          <w:b w:val="0"/>
          <w:bCs/>
          <w:color w:val="auto"/>
          <w:sz w:val="21"/>
          <w:szCs w:val="21"/>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67BCB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39" w:name="_Toc516367022"/>
      <w:bookmarkStart w:id="240" w:name="_Ref467306676"/>
      <w:bookmarkStart w:id="241" w:name="_Ref467306195"/>
      <w:bookmarkStart w:id="242" w:name="_Toc226965801"/>
      <w:bookmarkStart w:id="243" w:name="_Toc226965718"/>
      <w:bookmarkStart w:id="244" w:name="_Toc164608642"/>
      <w:bookmarkStart w:id="245" w:name="_Toc164229369"/>
      <w:bookmarkStart w:id="246" w:name="_Toc150480766"/>
      <w:bookmarkStart w:id="247" w:name="_Toc265228366"/>
      <w:bookmarkStart w:id="248" w:name="_Toc150774628"/>
      <w:bookmarkStart w:id="249" w:name="_Toc226337224"/>
      <w:bookmarkStart w:id="250" w:name="_Toc164351622"/>
      <w:bookmarkStart w:id="251" w:name="_Toc149720821"/>
      <w:bookmarkStart w:id="252" w:name="_Toc264969218"/>
      <w:bookmarkStart w:id="253" w:name="_Toc151193770"/>
      <w:bookmarkStart w:id="254" w:name="_Toc164229223"/>
      <w:bookmarkStart w:id="255" w:name="_Toc305158796"/>
      <w:bookmarkStart w:id="256" w:name="_Toc151193842"/>
      <w:bookmarkStart w:id="257" w:name="_Toc127151528"/>
      <w:bookmarkStart w:id="258" w:name="_Toc150509279"/>
      <w:bookmarkStart w:id="259" w:name="_Toc226309772"/>
      <w:bookmarkStart w:id="260" w:name="_Toc305158870"/>
      <w:bookmarkStart w:id="261" w:name="_Toc150774733"/>
      <w:bookmarkStart w:id="262" w:name="_Toc127161442"/>
      <w:bookmarkStart w:id="263" w:name="_Toc151193626"/>
      <w:bookmarkStart w:id="264" w:name="_Toc142311030"/>
      <w:bookmarkStart w:id="265" w:name="_Toc151193698"/>
      <w:bookmarkStart w:id="266" w:name="_Toc127151729"/>
      <w:bookmarkStart w:id="267" w:name="_Toc151190155"/>
      <w:bookmarkStart w:id="268" w:name="_Toc520356152"/>
      <w:bookmarkStart w:id="269" w:name="_Toc195842893"/>
      <w:bookmarkStart w:id="270" w:name="_Toc164608797"/>
      <w:bookmarkStart w:id="271" w:name="_Toc151193916"/>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响应文件</w:t>
      </w:r>
      <w:bookmarkEnd w:id="239"/>
      <w:bookmarkEnd w:id="240"/>
      <w:bookmarkEnd w:id="241"/>
      <w:r>
        <w:rPr>
          <w:rFonts w:hint="eastAsia" w:ascii="仿宋" w:hAnsi="仿宋" w:eastAsia="仿宋" w:cs="仿宋"/>
          <w:b w:val="0"/>
          <w:bCs/>
          <w:color w:val="auto"/>
          <w:sz w:val="21"/>
          <w:szCs w:val="21"/>
          <w:highlight w:val="none"/>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24FD86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72" w:name="_Ref467052588"/>
      <w:r>
        <w:rPr>
          <w:rFonts w:hint="eastAsia" w:ascii="仿宋" w:hAnsi="仿宋" w:eastAsia="仿宋" w:cs="仿宋"/>
          <w:b w:val="0"/>
          <w:bCs/>
          <w:color w:val="auto"/>
          <w:sz w:val="21"/>
          <w:szCs w:val="21"/>
          <w:highlight w:val="none"/>
          <w:lang w:val="en-US" w:eastAsia="zh-CN"/>
        </w:rPr>
        <w:t>9.1</w:t>
      </w:r>
      <w:r>
        <w:rPr>
          <w:rFonts w:hint="eastAsia" w:ascii="仿宋" w:hAnsi="仿宋" w:eastAsia="仿宋" w:cs="仿宋"/>
          <w:b w:val="0"/>
          <w:bCs/>
          <w:color w:val="auto"/>
          <w:sz w:val="21"/>
          <w:szCs w:val="21"/>
          <w:highlight w:val="none"/>
        </w:rPr>
        <w:t>供应商应当按照竞争性磋商文件的要求编制响应文件，并对其提交的响应文件的真实性、合法性承担法律责任。响应文件的部分格式要求，见第六章《响应文件格式》。</w:t>
      </w:r>
    </w:p>
    <w:p w14:paraId="06EE60C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9.2</w:t>
      </w:r>
      <w:r>
        <w:rPr>
          <w:rFonts w:hint="eastAsia" w:ascii="仿宋" w:hAnsi="仿宋" w:eastAsia="仿宋" w:cs="仿宋"/>
          <w:b w:val="0"/>
          <w:bCs/>
          <w:color w:val="auto"/>
          <w:sz w:val="21"/>
          <w:szCs w:val="21"/>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288EB3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9.3</w:t>
      </w:r>
      <w:r>
        <w:rPr>
          <w:rFonts w:hint="eastAsia" w:ascii="仿宋" w:hAnsi="仿宋" w:eastAsia="仿宋" w:cs="仿宋"/>
          <w:b w:val="0"/>
          <w:bCs/>
          <w:color w:val="auto"/>
          <w:sz w:val="21"/>
          <w:szCs w:val="21"/>
          <w:highlight w:val="none"/>
        </w:rPr>
        <w:t>第三章《评审方法和评审标准》中涉及的证明文件。</w:t>
      </w:r>
    </w:p>
    <w:p w14:paraId="523160F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9.4</w:t>
      </w:r>
      <w:r>
        <w:rPr>
          <w:rFonts w:hint="eastAsia" w:ascii="仿宋" w:hAnsi="仿宋" w:eastAsia="仿宋" w:cs="仿宋"/>
          <w:b w:val="0"/>
          <w:bCs/>
          <w:color w:val="auto"/>
          <w:sz w:val="21"/>
          <w:szCs w:val="21"/>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21F8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9.5</w:t>
      </w:r>
      <w:r>
        <w:rPr>
          <w:rFonts w:hint="eastAsia" w:ascii="仿宋" w:hAnsi="仿宋" w:eastAsia="仿宋" w:cs="仿宋"/>
          <w:b w:val="0"/>
          <w:bCs/>
          <w:color w:val="auto"/>
          <w:sz w:val="21"/>
          <w:szCs w:val="21"/>
          <w:highlight w:val="none"/>
        </w:rPr>
        <w:t>供应商认为应附的其他材料。</w:t>
      </w:r>
      <w:bookmarkEnd w:id="272"/>
    </w:p>
    <w:p w14:paraId="508E93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73" w:name="_Toc127161444"/>
      <w:bookmarkStart w:id="274" w:name="_Toc151193918"/>
      <w:bookmarkStart w:id="275" w:name="_Toc150480768"/>
      <w:bookmarkStart w:id="276" w:name="_Toc151193700"/>
      <w:bookmarkStart w:id="277" w:name="_Toc164229371"/>
      <w:bookmarkStart w:id="278" w:name="_Toc151193628"/>
      <w:bookmarkStart w:id="279" w:name="_Toc150509281"/>
      <w:bookmarkStart w:id="280" w:name="_Toc149720823"/>
      <w:bookmarkStart w:id="281" w:name="_Toc151190157"/>
      <w:bookmarkStart w:id="282" w:name="_Toc164229225"/>
      <w:bookmarkStart w:id="283" w:name="_Toc151193844"/>
      <w:bookmarkStart w:id="284" w:name="_Toc164608799"/>
      <w:bookmarkStart w:id="285" w:name="_Toc150774630"/>
      <w:bookmarkStart w:id="286" w:name="_Toc195842895"/>
      <w:bookmarkStart w:id="287" w:name="_Toc164351624"/>
      <w:bookmarkStart w:id="288" w:name="_Toc164608644"/>
      <w:bookmarkStart w:id="289" w:name="_Toc151193772"/>
      <w:bookmarkStart w:id="290" w:name="_Toc142311032"/>
      <w:bookmarkStart w:id="291" w:name="_Toc520356155"/>
      <w:bookmarkStart w:id="292" w:name="_Toc127151530"/>
      <w:bookmarkStart w:id="293" w:name="_Toc127151731"/>
      <w:bookmarkStart w:id="294" w:name="_Toc150774735"/>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E2ADC1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10.1</w:t>
      </w:r>
      <w:r>
        <w:rPr>
          <w:rFonts w:hint="eastAsia" w:ascii="仿宋" w:hAnsi="仿宋" w:eastAsia="仿宋" w:cs="仿宋"/>
          <w:b w:val="0"/>
          <w:bCs/>
          <w:color w:val="auto"/>
          <w:sz w:val="21"/>
          <w:szCs w:val="21"/>
          <w:highlight w:val="none"/>
        </w:rPr>
        <w:t>所有响应均以人民币为计价货币。</w:t>
      </w:r>
    </w:p>
    <w:p w14:paraId="32171AD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10.2</w:t>
      </w:r>
      <w:r>
        <w:rPr>
          <w:rFonts w:hint="eastAsia" w:ascii="仿宋" w:hAnsi="仿宋" w:eastAsia="仿宋" w:cs="仿宋"/>
          <w:b w:val="0"/>
          <w:bCs/>
          <w:color w:val="auto"/>
          <w:sz w:val="21"/>
          <w:szCs w:val="21"/>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5C7A892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10.2.1</w:t>
      </w:r>
      <w:r>
        <w:rPr>
          <w:rFonts w:hint="eastAsia" w:ascii="仿宋" w:hAnsi="仿宋" w:eastAsia="仿宋" w:cs="仿宋"/>
          <w:b w:val="0"/>
          <w:bCs/>
          <w:color w:val="auto"/>
          <w:sz w:val="21"/>
          <w:szCs w:val="21"/>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 </w:t>
      </w:r>
    </w:p>
    <w:p w14:paraId="1C40137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10.2.2</w:t>
      </w:r>
      <w:r>
        <w:rPr>
          <w:rFonts w:hint="eastAsia" w:ascii="仿宋" w:hAnsi="仿宋" w:eastAsia="仿宋" w:cs="仿宋"/>
          <w:b w:val="0"/>
          <w:bCs/>
          <w:color w:val="auto"/>
          <w:sz w:val="21"/>
          <w:szCs w:val="21"/>
          <w:highlight w:val="none"/>
        </w:rPr>
        <w:t>按照竞争性磋商文件要求完成本项目的全部相关费用。</w:t>
      </w:r>
    </w:p>
    <w:p w14:paraId="6879A9C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10.3</w:t>
      </w:r>
      <w:r>
        <w:rPr>
          <w:rFonts w:hint="eastAsia" w:ascii="仿宋" w:hAnsi="仿宋" w:eastAsia="仿宋" w:cs="仿宋"/>
          <w:b w:val="0"/>
          <w:bCs/>
          <w:color w:val="auto"/>
          <w:sz w:val="21"/>
          <w:szCs w:val="21"/>
          <w:highlight w:val="none"/>
        </w:rPr>
        <w:t>采购人不得向供应商索要或者接受其给予的赠品、回扣或者与采购无关的其他商品、服务。</w:t>
      </w:r>
    </w:p>
    <w:p w14:paraId="2FB15EF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10.4</w:t>
      </w:r>
      <w:r>
        <w:rPr>
          <w:rFonts w:hint="eastAsia" w:ascii="仿宋" w:hAnsi="仿宋" w:eastAsia="仿宋" w:cs="仿宋"/>
          <w:b w:val="0"/>
          <w:bCs/>
          <w:color w:val="auto"/>
          <w:sz w:val="21"/>
          <w:szCs w:val="21"/>
          <w:highlight w:val="none"/>
        </w:rPr>
        <w:t>供应商不能提供任何有选择性或可调整的最后报价（竞争性磋商文件另有规定的除外），否则其响应无效。</w:t>
      </w:r>
    </w:p>
    <w:p w14:paraId="396E9EC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磋商保证金</w:t>
      </w:r>
    </w:p>
    <w:p w14:paraId="14316D2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11.1</w:t>
      </w:r>
      <w:r>
        <w:rPr>
          <w:rFonts w:hint="eastAsia" w:ascii="仿宋" w:hAnsi="仿宋" w:eastAsia="仿宋" w:cs="仿宋"/>
          <w:b w:val="0"/>
          <w:bCs/>
          <w:color w:val="auto"/>
          <w:sz w:val="21"/>
          <w:szCs w:val="21"/>
          <w:highlight w:val="none"/>
        </w:rPr>
        <w:t>供应商应按《供应商须知资料表》中规定的金额及要求交纳磋商保证金。</w:t>
      </w:r>
      <w:r>
        <w:rPr>
          <w:rFonts w:hint="eastAsia" w:ascii="仿宋" w:hAnsi="仿宋" w:eastAsia="仿宋" w:cs="仿宋"/>
          <w:b w:val="0"/>
          <w:bCs/>
          <w:color w:val="auto"/>
          <w:sz w:val="21"/>
          <w:szCs w:val="21"/>
          <w:highlight w:val="none"/>
          <w:lang w:val="en-US" w:eastAsia="zh-CN"/>
        </w:rPr>
        <w:t>供</w:t>
      </w:r>
      <w:r>
        <w:rPr>
          <w:rFonts w:hint="eastAsia" w:ascii="仿宋" w:hAnsi="仿宋" w:eastAsia="仿宋" w:cs="仿宋"/>
          <w:b w:val="0"/>
          <w:bCs/>
          <w:color w:val="auto"/>
          <w:sz w:val="21"/>
          <w:szCs w:val="21"/>
          <w:highlight w:val="none"/>
        </w:rPr>
        <w:t>应商自愿超额缴纳磋商保证金的，响应文件不做无效处理。</w:t>
      </w:r>
    </w:p>
    <w:p w14:paraId="4A3FB3F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11.2</w:t>
      </w:r>
      <w:r>
        <w:rPr>
          <w:rFonts w:hint="eastAsia" w:ascii="仿宋" w:hAnsi="仿宋" w:eastAsia="仿宋" w:cs="仿宋"/>
          <w:b w:val="0"/>
          <w:bCs/>
          <w:color w:val="auto"/>
          <w:sz w:val="21"/>
          <w:szCs w:val="21"/>
          <w:highlight w:val="none"/>
        </w:rPr>
        <w:t>交纳磋商保证金可采用的形式：政府采购法律法规接受的支票、汇票、本票、网上银行支付或者金融机构、担保机构出具的保函等非现金形式。</w:t>
      </w:r>
    </w:p>
    <w:p w14:paraId="3D13638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11.3</w:t>
      </w:r>
      <w:r>
        <w:rPr>
          <w:rFonts w:hint="eastAsia" w:ascii="仿宋" w:hAnsi="仿宋" w:eastAsia="仿宋" w:cs="仿宋"/>
          <w:b w:val="0"/>
          <w:bCs/>
          <w:color w:val="auto"/>
          <w:sz w:val="21"/>
          <w:szCs w:val="21"/>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r>
        <w:rPr>
          <w:rFonts w:hint="eastAsia" w:ascii="仿宋" w:hAnsi="仿宋" w:eastAsia="仿宋" w:cs="仿宋"/>
          <w:b w:val="0"/>
          <w:bCs/>
          <w:color w:val="auto"/>
          <w:sz w:val="21"/>
          <w:szCs w:val="21"/>
          <w:highlight w:val="none"/>
          <w:lang w:eastAsia="zh-CN"/>
        </w:rPr>
        <w:t>；以电子保函形式提交磋商保证金的，应在首次响应文件提交截止时间前通过北京市政府采购电子交易平台完成电子保函在线办理。未按上述要求缴纳保证金的，其响应无效</w:t>
      </w:r>
      <w:r>
        <w:rPr>
          <w:rFonts w:hint="eastAsia" w:ascii="仿宋" w:hAnsi="仿宋" w:eastAsia="仿宋" w:cs="仿宋"/>
          <w:b w:val="0"/>
          <w:bCs/>
          <w:color w:val="auto"/>
          <w:sz w:val="21"/>
          <w:szCs w:val="21"/>
          <w:highlight w:val="none"/>
        </w:rPr>
        <w:t>。</w:t>
      </w:r>
    </w:p>
    <w:p w14:paraId="530DB82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11.4</w:t>
      </w:r>
      <w:r>
        <w:rPr>
          <w:rFonts w:hint="eastAsia" w:ascii="仿宋" w:hAnsi="仿宋" w:eastAsia="仿宋" w:cs="仿宋"/>
          <w:b w:val="0"/>
          <w:bCs/>
          <w:color w:val="auto"/>
          <w:sz w:val="21"/>
          <w:szCs w:val="21"/>
          <w:highlight w:val="none"/>
        </w:rPr>
        <w:t>供应商除需在响应文件中提供“磋商保证金凭证/交款单据电子件”，还需在首次响应文件提交截止时间前，通过电子交易平台上传“磋商保证金凭证/交款单据电子件”。</w:t>
      </w:r>
    </w:p>
    <w:p w14:paraId="59EA4C5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11.5</w:t>
      </w:r>
      <w:r>
        <w:rPr>
          <w:rFonts w:hint="eastAsia" w:ascii="仿宋" w:hAnsi="仿宋" w:eastAsia="仿宋" w:cs="仿宋"/>
          <w:b w:val="0"/>
          <w:bCs/>
          <w:color w:val="auto"/>
          <w:sz w:val="21"/>
          <w:szCs w:val="21"/>
          <w:highlight w:val="none"/>
        </w:rPr>
        <w:t>磋商保证金有效期同响应有效期。</w:t>
      </w:r>
    </w:p>
    <w:p w14:paraId="38567A1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11.6</w:t>
      </w:r>
      <w:r>
        <w:rPr>
          <w:rFonts w:hint="eastAsia" w:ascii="仿宋" w:hAnsi="仿宋" w:eastAsia="仿宋" w:cs="仿宋"/>
          <w:b w:val="0"/>
          <w:bCs/>
          <w:color w:val="auto"/>
          <w:sz w:val="21"/>
          <w:szCs w:val="21"/>
          <w:highlight w:val="none"/>
        </w:rPr>
        <w:t>供应商为联合体的，可以由联合体中的一方或者多方共同交纳磋商保证金，其交纳的保证金对联合体各方均具有约束力。</w:t>
      </w:r>
    </w:p>
    <w:p w14:paraId="0436CEA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w:t>
      </w:r>
      <w:r>
        <w:rPr>
          <w:rFonts w:hint="eastAsia" w:ascii="仿宋" w:hAnsi="仿宋" w:eastAsia="仿宋" w:cs="仿宋"/>
          <w:b w:val="0"/>
          <w:bCs/>
          <w:color w:val="auto"/>
          <w:sz w:val="21"/>
          <w:szCs w:val="21"/>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52F8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11.7.1</w:t>
      </w:r>
      <w:r>
        <w:rPr>
          <w:rFonts w:hint="eastAsia" w:ascii="仿宋" w:hAnsi="仿宋" w:eastAsia="仿宋" w:cs="仿宋"/>
          <w:b w:val="0"/>
          <w:bCs/>
          <w:color w:val="auto"/>
          <w:sz w:val="21"/>
          <w:szCs w:val="21"/>
          <w:highlight w:val="none"/>
        </w:rPr>
        <w:t>已提交响应文件的供应商，在提交最后报价之前，可以根据磋商情况退出磋商。采购人、采购代理机构将退还退出磋商的供应商的磋商保证金；</w:t>
      </w:r>
    </w:p>
    <w:p w14:paraId="4246C27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11.7.2</w:t>
      </w:r>
      <w:r>
        <w:rPr>
          <w:rFonts w:hint="eastAsia" w:ascii="仿宋" w:hAnsi="仿宋" w:eastAsia="仿宋" w:cs="仿宋"/>
          <w:b w:val="0"/>
          <w:bCs/>
          <w:color w:val="auto"/>
          <w:sz w:val="21"/>
          <w:szCs w:val="21"/>
          <w:highlight w:val="none"/>
        </w:rPr>
        <w:t>成交供应商的磋商保证金，在采购合同签订后5个工作日内退还成交供应商；</w:t>
      </w:r>
    </w:p>
    <w:p w14:paraId="6B3E45E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11.7.3</w:t>
      </w:r>
      <w:r>
        <w:rPr>
          <w:rFonts w:hint="eastAsia" w:ascii="仿宋" w:hAnsi="仿宋" w:eastAsia="仿宋" w:cs="仿宋"/>
          <w:b w:val="0"/>
          <w:bCs/>
          <w:color w:val="auto"/>
          <w:sz w:val="21"/>
          <w:szCs w:val="21"/>
          <w:highlight w:val="none"/>
        </w:rPr>
        <w:t>未成交供应商的磋商保证金，在成交通知书发出后5个工作日内退还。</w:t>
      </w:r>
    </w:p>
    <w:p w14:paraId="6FA34AE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w:t>
      </w:r>
      <w:r>
        <w:rPr>
          <w:rFonts w:hint="eastAsia" w:ascii="仿宋" w:hAnsi="仿宋" w:eastAsia="仿宋" w:cs="仿宋"/>
          <w:b w:val="0"/>
          <w:bCs/>
          <w:color w:val="auto"/>
          <w:sz w:val="21"/>
          <w:szCs w:val="21"/>
          <w:highlight w:val="none"/>
        </w:rPr>
        <w:t>有下列情形之一的，采购人或采购代理机构不予退还磋商保证金：</w:t>
      </w:r>
    </w:p>
    <w:p w14:paraId="7CE65F2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11.8.1</w:t>
      </w:r>
      <w:r>
        <w:rPr>
          <w:rFonts w:hint="eastAsia" w:ascii="仿宋" w:hAnsi="仿宋" w:eastAsia="仿宋" w:cs="仿宋"/>
          <w:b w:val="0"/>
          <w:bCs/>
          <w:color w:val="auto"/>
          <w:sz w:val="21"/>
          <w:szCs w:val="21"/>
          <w:highlight w:val="none"/>
        </w:rPr>
        <w:t>供应商在提交响应文件截止时间后撤回响应文件的；</w:t>
      </w:r>
    </w:p>
    <w:p w14:paraId="0A9510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11.8.2</w:t>
      </w:r>
      <w:r>
        <w:rPr>
          <w:rFonts w:hint="eastAsia" w:ascii="仿宋" w:hAnsi="仿宋" w:eastAsia="仿宋" w:cs="仿宋"/>
          <w:b w:val="0"/>
          <w:bCs/>
          <w:color w:val="auto"/>
          <w:sz w:val="21"/>
          <w:szCs w:val="21"/>
          <w:highlight w:val="none"/>
        </w:rPr>
        <w:t>供应商在响应文件中提供虚假材料的；</w:t>
      </w:r>
    </w:p>
    <w:p w14:paraId="557D5F2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11.8.3</w:t>
      </w:r>
      <w:r>
        <w:rPr>
          <w:rFonts w:hint="eastAsia" w:ascii="仿宋" w:hAnsi="仿宋" w:eastAsia="仿宋" w:cs="仿宋"/>
          <w:b w:val="0"/>
          <w:bCs/>
          <w:color w:val="auto"/>
          <w:sz w:val="21"/>
          <w:szCs w:val="21"/>
          <w:highlight w:val="none"/>
        </w:rPr>
        <w:t>除因不可抗力或</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认可的情形以外，成交供应商不与采购人签订合同的；</w:t>
      </w:r>
    </w:p>
    <w:p w14:paraId="4B5E317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11.8.4</w:t>
      </w:r>
      <w:r>
        <w:rPr>
          <w:rFonts w:hint="eastAsia" w:ascii="仿宋" w:hAnsi="仿宋" w:eastAsia="仿宋" w:cs="仿宋"/>
          <w:b w:val="0"/>
          <w:bCs/>
          <w:color w:val="auto"/>
          <w:sz w:val="21"/>
          <w:szCs w:val="21"/>
          <w:highlight w:val="none"/>
        </w:rPr>
        <w:t>供应商与采购人、其他供应商或者采购代理机构恶意串通的；</w:t>
      </w:r>
    </w:p>
    <w:p w14:paraId="7B469C7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11.8.5</w:t>
      </w:r>
      <w:r>
        <w:rPr>
          <w:rFonts w:hint="eastAsia" w:ascii="仿宋" w:hAnsi="仿宋" w:eastAsia="仿宋" w:cs="仿宋"/>
          <w:b w:val="0"/>
          <w:bCs/>
          <w:color w:val="auto"/>
          <w:sz w:val="21"/>
          <w:szCs w:val="21"/>
          <w:highlight w:val="none"/>
        </w:rPr>
        <w:t>《供应商须知资料表》规定的其他情形。</w:t>
      </w:r>
    </w:p>
    <w:p w14:paraId="4724545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响应有效期</w:t>
      </w:r>
    </w:p>
    <w:p w14:paraId="610BD2B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12.1</w:t>
      </w:r>
      <w:r>
        <w:rPr>
          <w:rFonts w:hint="eastAsia" w:ascii="仿宋" w:hAnsi="仿宋" w:eastAsia="仿宋" w:cs="仿宋"/>
          <w:b w:val="0"/>
          <w:bCs/>
          <w:color w:val="auto"/>
          <w:sz w:val="21"/>
          <w:szCs w:val="21"/>
          <w:highlight w:val="none"/>
        </w:rPr>
        <w:t>响应文件应在本竞争性磋商文件《供应商须知资料表》中规定的响应有效期内保持有效，响应有效期少于竞争性磋商文件规定期限的，其响应无效。</w:t>
      </w:r>
    </w:p>
    <w:p w14:paraId="0A47640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295" w:name="_Toc151193847"/>
      <w:bookmarkStart w:id="296" w:name="_Toc164351627"/>
      <w:bookmarkStart w:id="297" w:name="_Toc226309777"/>
      <w:bookmarkStart w:id="298" w:name="_Toc151193775"/>
      <w:bookmarkStart w:id="299" w:name="_Toc150774738"/>
      <w:bookmarkStart w:id="300" w:name="_Toc164608647"/>
      <w:bookmarkStart w:id="301" w:name="_Toc150509284"/>
      <w:bookmarkStart w:id="302" w:name="_Toc164608802"/>
      <w:bookmarkStart w:id="303" w:name="_Toc149720826"/>
      <w:bookmarkStart w:id="304" w:name="_Toc520356158"/>
      <w:bookmarkStart w:id="305" w:name="_Toc264969223"/>
      <w:bookmarkStart w:id="306" w:name="_Toc164229228"/>
      <w:bookmarkStart w:id="307" w:name="_Toc151193703"/>
      <w:bookmarkStart w:id="308" w:name="_Toc151190160"/>
      <w:bookmarkStart w:id="309" w:name="_Toc305158875"/>
      <w:bookmarkStart w:id="310" w:name="_Toc164229374"/>
      <w:bookmarkStart w:id="311" w:name="_Toc195842898"/>
      <w:bookmarkStart w:id="312" w:name="_Toc226965806"/>
      <w:bookmarkStart w:id="313" w:name="_Toc265228371"/>
      <w:bookmarkStart w:id="314" w:name="_Toc127151734"/>
      <w:bookmarkStart w:id="315" w:name="_Toc127151533"/>
      <w:bookmarkStart w:id="316" w:name="_Toc151193921"/>
      <w:bookmarkStart w:id="317" w:name="_Toc305158801"/>
      <w:bookmarkStart w:id="318" w:name="_Toc226965723"/>
      <w:bookmarkStart w:id="319" w:name="_Toc150480771"/>
      <w:bookmarkStart w:id="320" w:name="_Toc150774633"/>
      <w:bookmarkStart w:id="321" w:name="_Toc142311035"/>
      <w:bookmarkStart w:id="322" w:name="_Toc151193631"/>
      <w:bookmarkStart w:id="323" w:name="_Toc226337229"/>
      <w:bookmarkStart w:id="324" w:name="_Toc127161447"/>
      <w:r>
        <w:rPr>
          <w:rFonts w:hint="eastAsia" w:ascii="仿宋" w:hAnsi="仿宋" w:eastAsia="仿宋" w:cs="仿宋"/>
          <w:b w:val="0"/>
          <w:bCs/>
          <w:color w:val="auto"/>
          <w:sz w:val="21"/>
          <w:szCs w:val="21"/>
          <w:highlight w:val="none"/>
          <w:lang w:val="en-US" w:eastAsia="zh-CN"/>
        </w:rPr>
        <w:t>13</w:t>
      </w:r>
      <w:r>
        <w:rPr>
          <w:rFonts w:hint="eastAsia" w:ascii="仿宋" w:hAnsi="仿宋" w:eastAsia="仿宋" w:cs="仿宋"/>
          <w:b w:val="0"/>
          <w:bCs/>
          <w:color w:val="auto"/>
          <w:sz w:val="21"/>
          <w:szCs w:val="21"/>
          <w:highlight w:val="none"/>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ascii="仿宋" w:hAnsi="仿宋" w:eastAsia="仿宋" w:cs="仿宋"/>
          <w:b w:val="0"/>
          <w:bCs/>
          <w:color w:val="auto"/>
          <w:sz w:val="21"/>
          <w:szCs w:val="21"/>
          <w:highlight w:val="none"/>
        </w:rPr>
        <w:t>、盖章</w:t>
      </w:r>
    </w:p>
    <w:p w14:paraId="1EB5DA1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25" w:name="_Toc151193922"/>
      <w:bookmarkStart w:id="326" w:name="_Toc226965807"/>
      <w:bookmarkStart w:id="327" w:name="_Toc195842899"/>
      <w:bookmarkStart w:id="328" w:name="_Toc226337230"/>
      <w:bookmarkStart w:id="329" w:name="_Toc151193704"/>
      <w:bookmarkStart w:id="330" w:name="_Toc151193776"/>
      <w:bookmarkStart w:id="331" w:name="_Toc264969224"/>
      <w:bookmarkStart w:id="332" w:name="_Toc150774634"/>
      <w:bookmarkStart w:id="333" w:name="_Toc151190161"/>
      <w:bookmarkStart w:id="334" w:name="_Toc150480772"/>
      <w:bookmarkStart w:id="335" w:name="_Toc151193848"/>
      <w:bookmarkStart w:id="336" w:name="_Toc151193632"/>
      <w:bookmarkStart w:id="337" w:name="_Toc142311036"/>
      <w:bookmarkStart w:id="338" w:name="_Toc305158876"/>
      <w:bookmarkStart w:id="339" w:name="_Toc150774739"/>
      <w:bookmarkStart w:id="340" w:name="_Toc305158802"/>
      <w:bookmarkStart w:id="341" w:name="_Toc520356159"/>
      <w:bookmarkStart w:id="342" w:name="_Toc226309778"/>
      <w:bookmarkStart w:id="343" w:name="_Toc150509285"/>
      <w:bookmarkStart w:id="344" w:name="_Toc127151534"/>
      <w:bookmarkStart w:id="345" w:name="_Toc226965724"/>
      <w:bookmarkStart w:id="346" w:name="_Toc265228372"/>
      <w:r>
        <w:rPr>
          <w:rFonts w:hint="eastAsia" w:ascii="仿宋" w:hAnsi="仿宋" w:eastAsia="仿宋" w:cs="仿宋"/>
          <w:b w:val="0"/>
          <w:bCs/>
          <w:color w:val="auto"/>
          <w:sz w:val="21"/>
          <w:szCs w:val="21"/>
          <w:highlight w:val="none"/>
          <w:lang w:val="en-US" w:eastAsia="zh-CN"/>
        </w:rPr>
        <w:t>13.1</w:t>
      </w:r>
      <w:r>
        <w:rPr>
          <w:rFonts w:hint="eastAsia" w:ascii="仿宋" w:hAnsi="仿宋" w:eastAsia="仿宋" w:cs="仿宋"/>
          <w:b w:val="0"/>
          <w:bCs/>
          <w:color w:val="auto"/>
          <w:sz w:val="21"/>
          <w:szCs w:val="21"/>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0EC4396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13.2</w:t>
      </w:r>
      <w:r>
        <w:rPr>
          <w:rFonts w:hint="eastAsia" w:ascii="仿宋" w:hAnsi="仿宋" w:eastAsia="仿宋" w:cs="仿宋"/>
          <w:b w:val="0"/>
          <w:bCs/>
          <w:color w:val="auto"/>
          <w:sz w:val="21"/>
          <w:szCs w:val="21"/>
          <w:highlight w:val="none"/>
        </w:rPr>
        <w:t>竞争性磋商文件要求盖章的内容，一般通过投标文件编制工具加盖电子签章。</w:t>
      </w:r>
    </w:p>
    <w:p w14:paraId="2BA61DC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347" w:name="_Toc21794"/>
      <w:r>
        <w:rPr>
          <w:rFonts w:hint="eastAsia" w:ascii="仿宋" w:hAnsi="仿宋" w:eastAsia="仿宋" w:cs="仿宋"/>
          <w:b w:val="0"/>
          <w:bCs/>
          <w:color w:val="auto"/>
          <w:sz w:val="21"/>
          <w:szCs w:val="21"/>
          <w:highlight w:val="none"/>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D6F5E3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48" w:name="_Toc265228373"/>
      <w:bookmarkStart w:id="349" w:name="_Toc305158877"/>
      <w:bookmarkStart w:id="350" w:name="_Toc164229376"/>
      <w:bookmarkStart w:id="351" w:name="_Toc226965725"/>
      <w:bookmarkStart w:id="352" w:name="_Toc151190162"/>
      <w:bookmarkStart w:id="353" w:name="_Toc127151736"/>
      <w:bookmarkStart w:id="354" w:name="_Toc151193633"/>
      <w:bookmarkStart w:id="355" w:name="_Toc149720828"/>
      <w:bookmarkStart w:id="356" w:name="_Toc150774635"/>
      <w:bookmarkStart w:id="357" w:name="_Toc226965808"/>
      <w:bookmarkStart w:id="358" w:name="_Toc164351629"/>
      <w:bookmarkStart w:id="359" w:name="_Toc150774740"/>
      <w:bookmarkStart w:id="360" w:name="_Toc164608804"/>
      <w:bookmarkStart w:id="361" w:name="_Toc151193849"/>
      <w:bookmarkStart w:id="362" w:name="_Toc264969225"/>
      <w:bookmarkStart w:id="363" w:name="_Toc520356160"/>
      <w:bookmarkStart w:id="364" w:name="_Toc151193777"/>
      <w:bookmarkStart w:id="365" w:name="_Toc142311037"/>
      <w:bookmarkStart w:id="366" w:name="_Toc127161449"/>
      <w:bookmarkStart w:id="367" w:name="_Toc150480773"/>
      <w:bookmarkStart w:id="368" w:name="_Toc151193923"/>
      <w:bookmarkStart w:id="369" w:name="_Toc151193705"/>
      <w:bookmarkStart w:id="370" w:name="_Toc164229230"/>
      <w:bookmarkStart w:id="371" w:name="_Toc226337231"/>
      <w:bookmarkStart w:id="372" w:name="_Toc305158803"/>
      <w:bookmarkStart w:id="373" w:name="_Toc150509286"/>
      <w:bookmarkStart w:id="374" w:name="_Toc127151535"/>
      <w:bookmarkStart w:id="375" w:name="_Toc195842900"/>
      <w:bookmarkStart w:id="376" w:name="_Toc164608649"/>
      <w:bookmarkStart w:id="377" w:name="_Toc226309779"/>
      <w:r>
        <w:rPr>
          <w:rFonts w:hint="eastAsia" w:ascii="仿宋" w:hAnsi="仿宋" w:eastAsia="仿宋" w:cs="仿宋"/>
          <w:b w:val="0"/>
          <w:bCs/>
          <w:color w:val="auto"/>
          <w:sz w:val="21"/>
          <w:szCs w:val="21"/>
          <w:highlight w:val="none"/>
          <w:lang w:val="en-US" w:eastAsia="zh-CN"/>
        </w:rPr>
        <w:t>14</w:t>
      </w:r>
      <w:r>
        <w:rPr>
          <w:rFonts w:hint="eastAsia" w:ascii="仿宋" w:hAnsi="仿宋" w:eastAsia="仿宋" w:cs="仿宋"/>
          <w:b w:val="0"/>
          <w:bCs/>
          <w:color w:val="auto"/>
          <w:sz w:val="21"/>
          <w:szCs w:val="21"/>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b w:val="0"/>
          <w:bCs/>
          <w:color w:val="auto"/>
          <w:sz w:val="21"/>
          <w:szCs w:val="21"/>
          <w:highlight w:val="none"/>
        </w:rPr>
        <w:t>提交</w:t>
      </w:r>
    </w:p>
    <w:p w14:paraId="6CD127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14.1</w:t>
      </w:r>
      <w:r>
        <w:rPr>
          <w:rFonts w:hint="eastAsia" w:ascii="仿宋" w:hAnsi="仿宋" w:eastAsia="仿宋" w:cs="仿宋"/>
          <w:b w:val="0"/>
          <w:bCs/>
          <w:color w:val="auto"/>
          <w:sz w:val="21"/>
          <w:szCs w:val="21"/>
          <w:highlight w:val="none"/>
        </w:rPr>
        <w:t>本项目使用北京市政府采购电子交易平台。供应商根据竞争性磋商文件及北京市政府采购电子交易平台供应商操作手册要求编制、生成并提交电子响应文件。</w:t>
      </w:r>
    </w:p>
    <w:p w14:paraId="18EDDC3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14.2</w:t>
      </w:r>
      <w:r>
        <w:rPr>
          <w:rFonts w:hint="eastAsia" w:ascii="仿宋" w:hAnsi="仿宋" w:eastAsia="仿宋" w:cs="仿宋"/>
          <w:b w:val="0"/>
          <w:bCs/>
          <w:color w:val="auto"/>
          <w:sz w:val="21"/>
          <w:szCs w:val="21"/>
          <w:highlight w:val="none"/>
        </w:rPr>
        <w:t>采购人及采购代理机构拒绝接受通过电子交易平台以外任何形式提交的首次响应文件，磋商保证金除外。</w:t>
      </w:r>
    </w:p>
    <w:p w14:paraId="435F245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378" w:name="_Toc142311038"/>
      <w:bookmarkStart w:id="379" w:name="_Toc127151737"/>
      <w:bookmarkStart w:id="380" w:name="_Toc164351630"/>
      <w:bookmarkStart w:id="381" w:name="_Toc305158804"/>
      <w:bookmarkStart w:id="382" w:name="_Toc150774741"/>
      <w:bookmarkStart w:id="383" w:name="_Toc164608650"/>
      <w:bookmarkStart w:id="384" w:name="_Toc520356161"/>
      <w:bookmarkStart w:id="385" w:name="_Toc127161450"/>
      <w:bookmarkStart w:id="386" w:name="_Toc264969226"/>
      <w:bookmarkStart w:id="387" w:name="_Toc226309780"/>
      <w:bookmarkStart w:id="388" w:name="_Toc226965809"/>
      <w:bookmarkStart w:id="389" w:name="_Toc265228374"/>
      <w:bookmarkStart w:id="390" w:name="_Toc164229231"/>
      <w:bookmarkStart w:id="391" w:name="_Toc151193706"/>
      <w:bookmarkStart w:id="392" w:name="_Toc164608805"/>
      <w:bookmarkStart w:id="393" w:name="_Toc150480774"/>
      <w:bookmarkStart w:id="394" w:name="_Toc164229377"/>
      <w:bookmarkStart w:id="395" w:name="_Toc151193634"/>
      <w:bookmarkStart w:id="396" w:name="_Toc226337232"/>
      <w:bookmarkStart w:id="397" w:name="_Toc226965726"/>
      <w:bookmarkStart w:id="398" w:name="_Toc151190163"/>
      <w:bookmarkStart w:id="399" w:name="_Toc151193778"/>
      <w:bookmarkStart w:id="400" w:name="_Toc151193924"/>
      <w:bookmarkStart w:id="401" w:name="_Toc150774636"/>
      <w:bookmarkStart w:id="402" w:name="_Toc150509287"/>
      <w:bookmarkStart w:id="403" w:name="_Toc127151536"/>
      <w:bookmarkStart w:id="404" w:name="_Toc149720829"/>
      <w:bookmarkStart w:id="405" w:name="_Toc195842901"/>
      <w:bookmarkStart w:id="406" w:name="_Toc305158878"/>
      <w:bookmarkStart w:id="407" w:name="_Toc151193850"/>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响应文件</w:t>
      </w:r>
      <w:r>
        <w:rPr>
          <w:rFonts w:hint="eastAsia" w:ascii="仿宋" w:hAnsi="仿宋" w:eastAsia="仿宋" w:cs="仿宋"/>
          <w:b w:val="0"/>
          <w:bCs/>
          <w:color w:val="auto"/>
          <w:sz w:val="21"/>
          <w:szCs w:val="21"/>
          <w:highlight w:val="none"/>
          <w:lang w:val="en-US" w:eastAsia="zh-CN"/>
        </w:rPr>
        <w:t>提交</w:t>
      </w:r>
      <w:r>
        <w:rPr>
          <w:rFonts w:hint="eastAsia" w:ascii="仿宋" w:hAnsi="仿宋" w:eastAsia="仿宋" w:cs="仿宋"/>
          <w:b w:val="0"/>
          <w:bCs/>
          <w:color w:val="auto"/>
          <w:sz w:val="21"/>
          <w:szCs w:val="21"/>
          <w:highlight w:val="none"/>
        </w:rPr>
        <w:t>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b w:val="0"/>
          <w:bCs/>
          <w:color w:val="auto"/>
          <w:sz w:val="21"/>
          <w:szCs w:val="21"/>
          <w:highlight w:val="none"/>
        </w:rPr>
        <w:t>时间</w:t>
      </w:r>
    </w:p>
    <w:p w14:paraId="3F30A24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15.1</w:t>
      </w:r>
      <w:r>
        <w:rPr>
          <w:rFonts w:hint="eastAsia" w:ascii="仿宋" w:hAnsi="仿宋" w:eastAsia="仿宋" w:cs="仿宋"/>
          <w:b w:val="0"/>
          <w:bCs/>
          <w:color w:val="auto"/>
          <w:sz w:val="21"/>
          <w:szCs w:val="21"/>
          <w:highlight w:val="none"/>
        </w:rPr>
        <w:t>供应商应在竞争性磋商文件要求提交响应文件截止时间前，将电子响应文件提交至北京市政府采购电子交易平台。</w:t>
      </w:r>
    </w:p>
    <w:p w14:paraId="2DA1896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408" w:name="_Toc150774742"/>
      <w:bookmarkStart w:id="409" w:name="_Toc226337233"/>
      <w:bookmarkStart w:id="410" w:name="_Toc142311039"/>
      <w:bookmarkStart w:id="411" w:name="_Toc164608651"/>
      <w:bookmarkStart w:id="412" w:name="_Toc149720830"/>
      <w:bookmarkStart w:id="413" w:name="_Toc164229232"/>
      <w:bookmarkStart w:id="414" w:name="_Toc265228375"/>
      <w:bookmarkStart w:id="415" w:name="_Toc164608806"/>
      <w:bookmarkStart w:id="416" w:name="_Toc127151738"/>
      <w:bookmarkStart w:id="417" w:name="_Toc226309781"/>
      <w:bookmarkStart w:id="418" w:name="_Toc151193635"/>
      <w:bookmarkStart w:id="419" w:name="_Toc151193707"/>
      <w:bookmarkStart w:id="420" w:name="_Toc151193851"/>
      <w:bookmarkStart w:id="421" w:name="_Toc305158879"/>
      <w:bookmarkStart w:id="422" w:name="_Toc520356162"/>
      <w:bookmarkStart w:id="423" w:name="_Toc164229378"/>
      <w:bookmarkStart w:id="424" w:name="_Toc150774637"/>
      <w:bookmarkStart w:id="425" w:name="_Toc195842902"/>
      <w:bookmarkStart w:id="426" w:name="_Toc151193925"/>
      <w:bookmarkStart w:id="427" w:name="_Toc164351631"/>
      <w:bookmarkStart w:id="428" w:name="_Toc127151537"/>
      <w:bookmarkStart w:id="429" w:name="_Toc305158805"/>
      <w:bookmarkStart w:id="430" w:name="_Toc150480775"/>
      <w:bookmarkStart w:id="431" w:name="_Toc151193779"/>
      <w:bookmarkStart w:id="432" w:name="_Toc150509288"/>
      <w:bookmarkStart w:id="433" w:name="_Toc264969227"/>
      <w:bookmarkStart w:id="434" w:name="_Toc226965810"/>
      <w:bookmarkStart w:id="435" w:name="_Toc151190164"/>
      <w:bookmarkStart w:id="436" w:name="_Toc127161451"/>
      <w:bookmarkStart w:id="437" w:name="_Toc226965727"/>
      <w:r>
        <w:rPr>
          <w:rFonts w:hint="eastAsia" w:ascii="仿宋" w:hAnsi="仿宋" w:eastAsia="仿宋" w:cs="仿宋"/>
          <w:b w:val="0"/>
          <w:bCs/>
          <w:color w:val="auto"/>
          <w:sz w:val="21"/>
          <w:szCs w:val="21"/>
          <w:highlight w:val="none"/>
          <w:lang w:val="en-US" w:eastAsia="zh-CN"/>
        </w:rPr>
        <w:t>16</w:t>
      </w:r>
      <w:r>
        <w:rPr>
          <w:rFonts w:hint="eastAsia" w:ascii="仿宋" w:hAnsi="仿宋" w:eastAsia="仿宋" w:cs="仿宋"/>
          <w:b w:val="0"/>
          <w:bCs/>
          <w:color w:val="auto"/>
          <w:sz w:val="21"/>
          <w:szCs w:val="21"/>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30452D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16.1</w:t>
      </w:r>
      <w:r>
        <w:rPr>
          <w:rFonts w:hint="eastAsia" w:ascii="仿宋" w:hAnsi="仿宋" w:eastAsia="仿宋" w:cs="仿宋"/>
          <w:b w:val="0"/>
          <w:bCs/>
          <w:color w:val="auto"/>
          <w:sz w:val="21"/>
          <w:szCs w:val="21"/>
          <w:highlight w:val="none"/>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17E955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16.2</w:t>
      </w:r>
      <w:r>
        <w:rPr>
          <w:rFonts w:hint="eastAsia" w:ascii="仿宋" w:hAnsi="仿宋" w:eastAsia="仿宋" w:cs="仿宋"/>
          <w:b w:val="0"/>
          <w:bCs/>
          <w:color w:val="auto"/>
          <w:sz w:val="21"/>
          <w:szCs w:val="21"/>
          <w:highlight w:val="none"/>
        </w:rPr>
        <w:t>供应商对响应文件的补充、修改的内容应当按照竞争性磋商文件要求签署、盖章，作为响应文件的组成部分。补充、修改的内容与响应文件不一致的，以补充、修改的内容为准。</w:t>
      </w:r>
    </w:p>
    <w:p w14:paraId="49458DA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438" w:name="_Toc264969228"/>
      <w:bookmarkStart w:id="439" w:name="_Toc151193636"/>
      <w:bookmarkStart w:id="440" w:name="_Toc151193852"/>
      <w:bookmarkStart w:id="441" w:name="_Toc195842903"/>
      <w:bookmarkStart w:id="442" w:name="_Toc151193926"/>
      <w:bookmarkStart w:id="443" w:name="_Toc226965728"/>
      <w:bookmarkStart w:id="444" w:name="_Toc226309782"/>
      <w:bookmarkStart w:id="445" w:name="_Toc305158806"/>
      <w:bookmarkStart w:id="446" w:name="_Toc142311040"/>
      <w:bookmarkStart w:id="447" w:name="_Toc151190165"/>
      <w:bookmarkStart w:id="448" w:name="_Toc226965811"/>
      <w:bookmarkStart w:id="449" w:name="_Toc150509289"/>
      <w:bookmarkStart w:id="450" w:name="_Toc226337234"/>
      <w:bookmarkStart w:id="451" w:name="_Toc305158880"/>
      <w:bookmarkStart w:id="452" w:name="_Toc151193708"/>
      <w:bookmarkStart w:id="453" w:name="_Toc150480776"/>
      <w:bookmarkStart w:id="454" w:name="_Toc151193780"/>
      <w:bookmarkStart w:id="455" w:name="_Toc127151538"/>
      <w:bookmarkStart w:id="456" w:name="_Toc150774743"/>
      <w:bookmarkStart w:id="457" w:name="_Toc150774638"/>
      <w:bookmarkStart w:id="458" w:name="_Toc520356163"/>
      <w:bookmarkStart w:id="459" w:name="_Toc265228376"/>
      <w:bookmarkStart w:id="460" w:name="_Toc25978"/>
      <w:r>
        <w:rPr>
          <w:rFonts w:hint="eastAsia" w:ascii="仿宋" w:hAnsi="仿宋" w:eastAsia="仿宋" w:cs="仿宋"/>
          <w:b w:val="0"/>
          <w:bCs/>
          <w:color w:val="auto"/>
          <w:sz w:val="21"/>
          <w:szCs w:val="21"/>
          <w:highlight w:val="none"/>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仿宋" w:hAnsi="仿宋" w:eastAsia="仿宋" w:cs="仿宋"/>
          <w:b w:val="0"/>
          <w:bCs/>
          <w:color w:val="auto"/>
          <w:sz w:val="21"/>
          <w:szCs w:val="21"/>
          <w:highlight w:val="none"/>
        </w:rPr>
        <w:t>评审</w:t>
      </w:r>
      <w:bookmarkEnd w:id="460"/>
    </w:p>
    <w:p w14:paraId="087F868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w:t>
      </w:r>
      <w:r>
        <w:rPr>
          <w:rFonts w:hint="eastAsia" w:ascii="仿宋" w:hAnsi="仿宋" w:eastAsia="仿宋" w:cs="仿宋"/>
          <w:b w:val="0"/>
          <w:bCs/>
          <w:color w:val="auto"/>
          <w:sz w:val="21"/>
          <w:szCs w:val="21"/>
          <w:highlight w:val="none"/>
        </w:rPr>
        <w:t>响应文件的解密与开启</w:t>
      </w:r>
    </w:p>
    <w:p w14:paraId="5333154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17.1</w:t>
      </w:r>
      <w:r>
        <w:rPr>
          <w:rFonts w:hint="eastAsia" w:ascii="仿宋" w:hAnsi="仿宋" w:eastAsia="仿宋" w:cs="仿宋"/>
          <w:b w:val="0"/>
          <w:bCs/>
          <w:color w:val="auto"/>
          <w:sz w:val="21"/>
          <w:szCs w:val="21"/>
          <w:highlight w:val="none"/>
        </w:rPr>
        <w:t>采购人或采购代理机构将按竞争性磋商文件的规定，在响应文件提交截止时间的同一时间和竞争性磋商文件预先确定的地点开启响应文件。</w:t>
      </w:r>
    </w:p>
    <w:p w14:paraId="3BF5015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17.2</w:t>
      </w:r>
      <w:r>
        <w:rPr>
          <w:rFonts w:hint="eastAsia" w:ascii="仿宋" w:hAnsi="仿宋" w:eastAsia="仿宋" w:cs="仿宋"/>
          <w:b w:val="0"/>
          <w:bCs/>
          <w:color w:val="auto"/>
          <w:sz w:val="21"/>
          <w:szCs w:val="21"/>
          <w:highlight w:val="none"/>
        </w:rPr>
        <w:t>本项目解密使用北京市政府采购电子交易平台。供应商应在《供应商须知资料表》规定的时间内对响应文件进行解密，因非系统原因导致的解密失败，视为响应无效。</w:t>
      </w:r>
    </w:p>
    <w:p w14:paraId="001885F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17.3</w:t>
      </w:r>
      <w:r>
        <w:rPr>
          <w:rFonts w:hint="eastAsia" w:ascii="仿宋" w:hAnsi="仿宋" w:eastAsia="仿宋" w:cs="仿宋"/>
          <w:b w:val="0"/>
          <w:bCs/>
          <w:color w:val="auto"/>
          <w:sz w:val="21"/>
          <w:szCs w:val="21"/>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11CB2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17.4</w:t>
      </w:r>
      <w:r>
        <w:rPr>
          <w:rFonts w:hint="eastAsia" w:ascii="仿宋" w:hAnsi="仿宋" w:eastAsia="仿宋" w:cs="仿宋"/>
          <w:b w:val="0"/>
          <w:bCs/>
          <w:color w:val="auto"/>
          <w:sz w:val="21"/>
          <w:szCs w:val="21"/>
          <w:highlight w:val="none"/>
        </w:rPr>
        <w:t>供应商不足3家的，不予解密。</w:t>
      </w:r>
    </w:p>
    <w:p w14:paraId="5EDB224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461" w:name="_Toc520356165"/>
      <w:r>
        <w:rPr>
          <w:rFonts w:hint="eastAsia" w:ascii="仿宋" w:hAnsi="仿宋" w:eastAsia="仿宋" w:cs="仿宋"/>
          <w:b w:val="0"/>
          <w:bCs/>
          <w:color w:val="auto"/>
          <w:sz w:val="21"/>
          <w:szCs w:val="21"/>
          <w:highlight w:val="none"/>
          <w:lang w:val="en-US" w:eastAsia="zh-CN"/>
        </w:rPr>
        <w:t>17.5</w:t>
      </w:r>
      <w:r>
        <w:rPr>
          <w:rFonts w:hint="eastAsia" w:ascii="仿宋" w:hAnsi="仿宋" w:eastAsia="仿宋" w:cs="仿宋"/>
          <w:b w:val="0"/>
          <w:bCs/>
          <w:color w:val="auto"/>
          <w:sz w:val="21"/>
          <w:szCs w:val="21"/>
          <w:highlight w:val="none"/>
        </w:rPr>
        <w:t>本项目不公开报价。</w:t>
      </w:r>
    </w:p>
    <w:bookmarkEnd w:id="461"/>
    <w:p w14:paraId="27F205B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18</w:t>
      </w:r>
      <w:r>
        <w:rPr>
          <w:rFonts w:hint="eastAsia" w:ascii="仿宋" w:hAnsi="仿宋" w:eastAsia="仿宋" w:cs="仿宋"/>
          <w:b w:val="0"/>
          <w:bCs/>
          <w:color w:val="auto"/>
          <w:sz w:val="21"/>
          <w:szCs w:val="21"/>
          <w:highlight w:val="none"/>
        </w:rPr>
        <w:t>磋商小组</w:t>
      </w:r>
    </w:p>
    <w:p w14:paraId="0938B16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18.1</w:t>
      </w:r>
      <w:r>
        <w:rPr>
          <w:rFonts w:hint="eastAsia" w:ascii="仿宋" w:hAnsi="仿宋" w:eastAsia="仿宋" w:cs="仿宋"/>
          <w:b w:val="0"/>
          <w:bCs/>
          <w:color w:val="auto"/>
          <w:sz w:val="21"/>
          <w:szCs w:val="21"/>
          <w:highlight w:val="none"/>
        </w:rPr>
        <w:t>磋商小组根据政府采购有关规定和本次采购项目的特点进行组建，并负责具体评审事务，独立履行职责。</w:t>
      </w:r>
      <w:bookmarkStart w:id="462" w:name="_Toc520356166"/>
    </w:p>
    <w:p w14:paraId="6DCFF06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18.2</w:t>
      </w:r>
      <w:r>
        <w:rPr>
          <w:rFonts w:hint="eastAsia" w:ascii="仿宋" w:hAnsi="仿宋" w:eastAsia="仿宋" w:cs="仿宋"/>
          <w:b w:val="0"/>
          <w:bCs/>
          <w:color w:val="auto"/>
          <w:sz w:val="21"/>
          <w:szCs w:val="21"/>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35595B3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19</w:t>
      </w:r>
      <w:r>
        <w:rPr>
          <w:rFonts w:hint="eastAsia" w:ascii="仿宋" w:hAnsi="仿宋" w:eastAsia="仿宋" w:cs="仿宋"/>
          <w:b w:val="0"/>
          <w:bCs/>
          <w:color w:val="auto"/>
          <w:sz w:val="21"/>
          <w:szCs w:val="21"/>
          <w:highlight w:val="none"/>
        </w:rPr>
        <w:t>评审方法和评审标准</w:t>
      </w:r>
    </w:p>
    <w:p w14:paraId="3B2AE74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19.1</w:t>
      </w:r>
      <w:r>
        <w:rPr>
          <w:rFonts w:hint="eastAsia" w:ascii="仿宋" w:hAnsi="仿宋" w:eastAsia="仿宋" w:cs="仿宋"/>
          <w:b w:val="0"/>
          <w:bCs/>
          <w:color w:val="auto"/>
          <w:sz w:val="21"/>
          <w:szCs w:val="21"/>
          <w:highlight w:val="none"/>
        </w:rPr>
        <w:t>见第三章《评审方法和评审标准》。</w:t>
      </w:r>
    </w:p>
    <w:p w14:paraId="216709E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464" w:name="_Toc151193933"/>
      <w:bookmarkStart w:id="465" w:name="_Toc142311047"/>
      <w:bookmarkStart w:id="466" w:name="_Toc151193787"/>
      <w:bookmarkStart w:id="467" w:name="_Toc150509296"/>
      <w:bookmarkStart w:id="468" w:name="_Toc151190172"/>
      <w:bookmarkStart w:id="469" w:name="_Toc151193859"/>
      <w:bookmarkStart w:id="470" w:name="_Toc150480783"/>
      <w:bookmarkStart w:id="471" w:name="_Toc195842910"/>
      <w:bookmarkStart w:id="472" w:name="_Toc151193715"/>
      <w:bookmarkStart w:id="473" w:name="_Toc226965735"/>
      <w:bookmarkStart w:id="474" w:name="_Toc305158887"/>
      <w:bookmarkStart w:id="475" w:name="_Toc226309789"/>
      <w:bookmarkStart w:id="476" w:name="_Toc150774750"/>
      <w:bookmarkStart w:id="477" w:name="_Toc226337241"/>
      <w:bookmarkStart w:id="478" w:name="_Toc265228383"/>
      <w:bookmarkStart w:id="479" w:name="_Toc264969235"/>
      <w:bookmarkStart w:id="480" w:name="_Toc226965818"/>
      <w:bookmarkStart w:id="481" w:name="_Toc150774645"/>
      <w:bookmarkStart w:id="482" w:name="_Toc127151545"/>
      <w:bookmarkStart w:id="483" w:name="_Toc151193643"/>
      <w:bookmarkStart w:id="484" w:name="_Toc305158813"/>
      <w:bookmarkStart w:id="485" w:name="_Toc12292"/>
      <w:r>
        <w:rPr>
          <w:rFonts w:hint="eastAsia" w:ascii="仿宋" w:hAnsi="仿宋" w:eastAsia="仿宋" w:cs="仿宋"/>
          <w:b w:val="0"/>
          <w:bCs/>
          <w:color w:val="auto"/>
          <w:sz w:val="21"/>
          <w:szCs w:val="21"/>
          <w:highlight w:val="none"/>
        </w:rPr>
        <w:t xml:space="preserve">六   </w:t>
      </w:r>
      <w:bookmarkEnd w:id="463"/>
      <w:r>
        <w:rPr>
          <w:rFonts w:hint="eastAsia" w:ascii="仿宋" w:hAnsi="仿宋" w:eastAsia="仿宋" w:cs="仿宋"/>
          <w:b w:val="0"/>
          <w:bCs/>
          <w:color w:val="auto"/>
          <w:sz w:val="21"/>
          <w:szCs w:val="21"/>
          <w:highlight w:val="none"/>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仿宋" w:hAnsi="仿宋" w:eastAsia="仿宋" w:cs="仿宋"/>
          <w:b w:val="0"/>
          <w:bCs/>
          <w:color w:val="auto"/>
          <w:sz w:val="21"/>
          <w:szCs w:val="21"/>
          <w:highlight w:val="none"/>
        </w:rPr>
        <w:t>成交</w:t>
      </w:r>
      <w:bookmarkEnd w:id="485"/>
    </w:p>
    <w:p w14:paraId="0515482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486" w:name="_Toc150774752"/>
      <w:bookmarkStart w:id="487" w:name="_Toc305158815"/>
      <w:bookmarkStart w:id="488" w:name="_Toc305158889"/>
      <w:bookmarkStart w:id="489" w:name="_Toc151193861"/>
      <w:bookmarkStart w:id="490" w:name="_Toc226965820"/>
      <w:bookmarkStart w:id="491" w:name="_Toc127151748"/>
      <w:bookmarkStart w:id="492" w:name="_Toc150774647"/>
      <w:bookmarkStart w:id="493" w:name="_Toc151193645"/>
      <w:bookmarkStart w:id="494" w:name="_Toc127151547"/>
      <w:bookmarkStart w:id="495" w:name="_Toc151193789"/>
      <w:bookmarkStart w:id="496" w:name="_Toc164229388"/>
      <w:bookmarkStart w:id="497" w:name="_Toc127161461"/>
      <w:bookmarkStart w:id="498" w:name="_Toc264969237"/>
      <w:bookmarkStart w:id="499" w:name="_Toc151190174"/>
      <w:bookmarkStart w:id="500" w:name="_Toc226309791"/>
      <w:bookmarkStart w:id="501" w:name="_Toc265228385"/>
      <w:bookmarkStart w:id="502" w:name="_Toc164229242"/>
      <w:bookmarkStart w:id="503" w:name="_Toc164608661"/>
      <w:bookmarkStart w:id="504" w:name="_Toc164351641"/>
      <w:bookmarkStart w:id="505" w:name="_Toc149720840"/>
      <w:bookmarkStart w:id="506" w:name="_Toc195842912"/>
      <w:bookmarkStart w:id="507" w:name="_Toc150509298"/>
      <w:bookmarkStart w:id="508" w:name="_Toc142311049"/>
      <w:bookmarkStart w:id="509" w:name="_Toc150480785"/>
      <w:bookmarkStart w:id="510" w:name="_Toc226337243"/>
      <w:bookmarkStart w:id="511" w:name="_Toc151193717"/>
      <w:bookmarkStart w:id="512" w:name="_Toc151193935"/>
      <w:bookmarkStart w:id="513" w:name="_Toc164608816"/>
      <w:bookmarkStart w:id="514" w:name="_Toc226965737"/>
      <w:r>
        <w:rPr>
          <w:rFonts w:hint="eastAsia" w:ascii="仿宋" w:hAnsi="仿宋" w:eastAsia="仿宋" w:cs="仿宋"/>
          <w:b w:val="0"/>
          <w:bCs/>
          <w:color w:val="auto"/>
          <w:sz w:val="21"/>
          <w:szCs w:val="21"/>
          <w:highlight w:val="none"/>
          <w:lang w:val="en-US" w:eastAsia="zh-CN"/>
        </w:rPr>
        <w:t>20</w:t>
      </w:r>
      <w:r>
        <w:rPr>
          <w:rFonts w:hint="eastAsia" w:ascii="仿宋" w:hAnsi="仿宋" w:eastAsia="仿宋" w:cs="仿宋"/>
          <w:b w:val="0"/>
          <w:bCs/>
          <w:color w:val="auto"/>
          <w:sz w:val="21"/>
          <w:szCs w:val="21"/>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1D5A10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20.1</w:t>
      </w:r>
      <w:r>
        <w:rPr>
          <w:rFonts w:hint="eastAsia" w:ascii="仿宋" w:hAnsi="仿宋" w:eastAsia="仿宋" w:cs="仿宋"/>
          <w:b w:val="0"/>
          <w:bCs/>
          <w:color w:val="auto"/>
          <w:sz w:val="21"/>
          <w:szCs w:val="21"/>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02774C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515" w:name="_Toc305158891"/>
      <w:bookmarkStart w:id="516" w:name="_Toc305158817"/>
      <w:bookmarkStart w:id="517" w:name="_Toc195842914"/>
      <w:bookmarkStart w:id="518" w:name="_Toc164608663"/>
      <w:bookmarkStart w:id="519" w:name="_Toc151193719"/>
      <w:bookmarkStart w:id="520" w:name="_Toc151193937"/>
      <w:bookmarkStart w:id="521" w:name="_Toc151190176"/>
      <w:bookmarkStart w:id="522" w:name="_Toc150774754"/>
      <w:bookmarkStart w:id="523" w:name="_Toc127151549"/>
      <w:bookmarkStart w:id="524" w:name="_Toc151193791"/>
      <w:bookmarkStart w:id="525" w:name="_Toc226337245"/>
      <w:bookmarkStart w:id="526" w:name="_Toc149720842"/>
      <w:bookmarkStart w:id="527" w:name="_Toc151193647"/>
      <w:bookmarkStart w:id="528" w:name="_Toc150509300"/>
      <w:bookmarkStart w:id="529" w:name="_Toc226309793"/>
      <w:bookmarkStart w:id="530" w:name="_Toc164351643"/>
      <w:bookmarkStart w:id="531" w:name="_Toc164608818"/>
      <w:bookmarkStart w:id="532" w:name="_Toc127151750"/>
      <w:bookmarkStart w:id="533" w:name="_Toc265228387"/>
      <w:bookmarkStart w:id="534" w:name="_Toc226965739"/>
      <w:bookmarkStart w:id="535" w:name="_Toc127161463"/>
      <w:bookmarkStart w:id="536" w:name="_Toc150774649"/>
      <w:bookmarkStart w:id="537" w:name="_Toc164229390"/>
      <w:bookmarkStart w:id="538" w:name="_Toc142311051"/>
      <w:bookmarkStart w:id="539" w:name="_Toc151193863"/>
      <w:bookmarkStart w:id="540" w:name="_Toc164229244"/>
      <w:bookmarkStart w:id="541" w:name="_Toc264969239"/>
      <w:bookmarkStart w:id="542" w:name="_Toc150480787"/>
      <w:bookmarkStart w:id="543" w:name="_Toc226965822"/>
      <w:bookmarkStart w:id="544" w:name="_Ref467307090"/>
      <w:bookmarkStart w:id="545" w:name="_Toc520356176"/>
      <w:bookmarkStart w:id="546" w:name="_Ref467306425"/>
      <w:r>
        <w:rPr>
          <w:rFonts w:hint="eastAsia" w:ascii="仿宋" w:hAnsi="仿宋" w:eastAsia="仿宋" w:cs="仿宋"/>
          <w:b w:val="0"/>
          <w:bCs/>
          <w:color w:val="auto"/>
          <w:sz w:val="21"/>
          <w:szCs w:val="21"/>
          <w:highlight w:val="none"/>
          <w:lang w:val="en-US" w:eastAsia="zh-CN"/>
        </w:rPr>
        <w:t>21</w:t>
      </w:r>
      <w:r>
        <w:rPr>
          <w:rFonts w:hint="eastAsia" w:ascii="仿宋" w:hAnsi="仿宋" w:eastAsia="仿宋" w:cs="仿宋"/>
          <w:b w:val="0"/>
          <w:bCs/>
          <w:color w:val="auto"/>
          <w:sz w:val="21"/>
          <w:szCs w:val="21"/>
          <w:highlight w:val="none"/>
        </w:rPr>
        <w:t>成交公告与成交通知书</w:t>
      </w:r>
      <w:bookmarkEnd w:id="515"/>
      <w:bookmarkEnd w:id="516"/>
    </w:p>
    <w:p w14:paraId="7C50BF4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21.1</w:t>
      </w:r>
      <w:r>
        <w:rPr>
          <w:rFonts w:hint="eastAsia" w:ascii="仿宋" w:hAnsi="仿宋" w:eastAsia="仿宋" w:cs="仿宋"/>
          <w:b w:val="0"/>
          <w:bCs/>
          <w:color w:val="auto"/>
          <w:sz w:val="21"/>
          <w:szCs w:val="21"/>
          <w:highlight w:val="none"/>
        </w:rPr>
        <w:t>采购人或采购代理机构将在成交供应商确定后2个工作日内，在中国政府采购网、北京市政府采购网公告成交结果，同时向成交供应商发出成交通知书，成交公告期限为1个工作日。</w:t>
      </w:r>
    </w:p>
    <w:p w14:paraId="270DDCF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21.2</w:t>
      </w:r>
      <w:r>
        <w:rPr>
          <w:rFonts w:hint="eastAsia" w:ascii="仿宋" w:hAnsi="仿宋" w:eastAsia="仿宋" w:cs="仿宋"/>
          <w:b w:val="0"/>
          <w:bCs/>
          <w:color w:val="auto"/>
          <w:sz w:val="21"/>
          <w:szCs w:val="21"/>
          <w:highlight w:val="none"/>
        </w:rPr>
        <w:t>成交通知书对采购人和成交供应商均具有法律效力。成交通知书发出后，采购人改变成交结果的，或者成交供应商放弃成交项目的， 应当依法承担法律责任。</w:t>
      </w:r>
    </w:p>
    <w:p w14:paraId="5B1557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w:t>
      </w:r>
      <w:r>
        <w:rPr>
          <w:rFonts w:hint="eastAsia" w:ascii="仿宋" w:hAnsi="仿宋" w:eastAsia="仿宋" w:cs="仿宋"/>
          <w:b w:val="0"/>
          <w:bCs/>
          <w:color w:val="auto"/>
          <w:sz w:val="21"/>
          <w:szCs w:val="21"/>
          <w:highlight w:val="none"/>
        </w:rPr>
        <w:t>终止</w:t>
      </w:r>
    </w:p>
    <w:p w14:paraId="3D2BC7F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w:t>
      </w:r>
      <w:r>
        <w:rPr>
          <w:rFonts w:hint="eastAsia" w:ascii="仿宋" w:hAnsi="仿宋" w:eastAsia="仿宋" w:cs="仿宋"/>
          <w:b w:val="0"/>
          <w:bCs/>
          <w:color w:val="auto"/>
          <w:sz w:val="21"/>
          <w:szCs w:val="21"/>
          <w:highlight w:val="none"/>
        </w:rPr>
        <w:t>在采购中，出现下列情形之一的，采购人或采购代理机构将终止竞争性磋商采购活动，发布项目终止公告并说明原因，重新开展采购活动：</w:t>
      </w:r>
    </w:p>
    <w:p w14:paraId="33E42C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22.1.1</w:t>
      </w:r>
      <w:r>
        <w:rPr>
          <w:rFonts w:hint="eastAsia" w:ascii="仿宋" w:hAnsi="仿宋" w:eastAsia="仿宋" w:cs="仿宋"/>
          <w:b w:val="0"/>
          <w:bCs/>
          <w:color w:val="auto"/>
          <w:sz w:val="21"/>
          <w:szCs w:val="21"/>
          <w:highlight w:val="none"/>
        </w:rPr>
        <w:t>因情况变化，不再符合规定的竞争性磋商采购方式适用情形的；</w:t>
      </w:r>
    </w:p>
    <w:p w14:paraId="386871E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22.1.2</w:t>
      </w:r>
      <w:r>
        <w:rPr>
          <w:rFonts w:hint="eastAsia" w:ascii="仿宋" w:hAnsi="仿宋" w:eastAsia="仿宋" w:cs="仿宋"/>
          <w:b w:val="0"/>
          <w:bCs/>
          <w:color w:val="auto"/>
          <w:sz w:val="21"/>
          <w:szCs w:val="21"/>
          <w:highlight w:val="none"/>
        </w:rPr>
        <w:t>出现影响采购公正的违法、违规行为的；</w:t>
      </w:r>
    </w:p>
    <w:p w14:paraId="155571B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22.1.3</w:t>
      </w:r>
      <w:r>
        <w:rPr>
          <w:rFonts w:hint="eastAsia" w:ascii="仿宋" w:hAnsi="仿宋" w:eastAsia="仿宋" w:cs="仿宋"/>
          <w:b w:val="0"/>
          <w:bCs/>
          <w:color w:val="auto"/>
          <w:sz w:val="21"/>
          <w:szCs w:val="21"/>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2374950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547" w:name="_Toc151190177"/>
      <w:bookmarkStart w:id="548" w:name="_Toc149720843"/>
      <w:bookmarkStart w:id="549" w:name="_Toc226965823"/>
      <w:bookmarkStart w:id="550" w:name="_Ref467307204"/>
      <w:bookmarkStart w:id="551" w:name="_Toc150774755"/>
      <w:bookmarkStart w:id="552" w:name="_Toc164229245"/>
      <w:bookmarkStart w:id="553" w:name="_Toc164351644"/>
      <w:bookmarkStart w:id="554" w:name="_Toc226965740"/>
      <w:bookmarkStart w:id="555" w:name="_Ref467307062"/>
      <w:bookmarkStart w:id="556" w:name="_Toc305158818"/>
      <w:bookmarkStart w:id="557" w:name="_Ref467306377"/>
      <w:bookmarkStart w:id="558" w:name="_Toc195842915"/>
      <w:bookmarkStart w:id="559" w:name="_Toc127151550"/>
      <w:bookmarkStart w:id="560" w:name="_Toc150509301"/>
      <w:bookmarkStart w:id="561" w:name="_Toc151193720"/>
      <w:bookmarkStart w:id="562" w:name="_Toc226337246"/>
      <w:bookmarkStart w:id="563" w:name="_Toc151193648"/>
      <w:bookmarkStart w:id="564" w:name="_Toc265228388"/>
      <w:bookmarkStart w:id="565" w:name="_Toc264969240"/>
      <w:bookmarkStart w:id="566" w:name="_Ref467306978"/>
      <w:bookmarkStart w:id="567" w:name="_Toc150774650"/>
      <w:bookmarkStart w:id="568" w:name="_Toc164608664"/>
      <w:bookmarkStart w:id="569" w:name="_Toc520356175"/>
      <w:bookmarkStart w:id="570" w:name="_Toc226309794"/>
      <w:bookmarkStart w:id="571" w:name="_Toc151193864"/>
      <w:bookmarkStart w:id="572" w:name="_Toc127151751"/>
      <w:bookmarkStart w:id="573" w:name="_Toc305158892"/>
      <w:bookmarkStart w:id="574" w:name="_Toc127161464"/>
      <w:bookmarkStart w:id="575" w:name="_Toc151193938"/>
      <w:bookmarkStart w:id="576" w:name="_Toc164229391"/>
      <w:bookmarkStart w:id="577" w:name="_Toc142311052"/>
      <w:bookmarkStart w:id="578" w:name="_Toc164608819"/>
      <w:bookmarkStart w:id="579" w:name="_Toc151193792"/>
      <w:bookmarkStart w:id="580" w:name="_Toc150480788"/>
      <w:r>
        <w:rPr>
          <w:rFonts w:hint="eastAsia" w:ascii="仿宋" w:hAnsi="仿宋" w:eastAsia="仿宋" w:cs="仿宋"/>
          <w:b w:val="0"/>
          <w:bCs/>
          <w:color w:val="auto"/>
          <w:sz w:val="21"/>
          <w:szCs w:val="21"/>
          <w:highlight w:val="none"/>
          <w:lang w:val="en-US" w:eastAsia="zh-CN"/>
        </w:rPr>
        <w:t>23</w:t>
      </w:r>
      <w:r>
        <w:rPr>
          <w:rFonts w:hint="eastAsia" w:ascii="仿宋" w:hAnsi="仿宋" w:eastAsia="仿宋" w:cs="仿宋"/>
          <w:b w:val="0"/>
          <w:bCs/>
          <w:color w:val="auto"/>
          <w:sz w:val="21"/>
          <w:szCs w:val="21"/>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81461B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23.1</w:t>
      </w:r>
      <w:r>
        <w:rPr>
          <w:rFonts w:hint="eastAsia" w:ascii="仿宋" w:hAnsi="仿宋" w:eastAsia="仿宋" w:cs="仿宋"/>
          <w:b w:val="0"/>
          <w:bCs/>
          <w:color w:val="auto"/>
          <w:sz w:val="21"/>
          <w:szCs w:val="21"/>
          <w:highlight w:val="none"/>
        </w:rPr>
        <w:t>采购人与成交供应商将在成交通知书发出之日起30日内，按照</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确定的合同文本以及采购标的、规格型号、采购金额、采购数量、技术和服务要求等事项签订政府采购合同。</w:t>
      </w:r>
    </w:p>
    <w:p w14:paraId="58BCECF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23.2</w:t>
      </w:r>
      <w:r>
        <w:rPr>
          <w:rFonts w:hint="eastAsia" w:ascii="仿宋" w:hAnsi="仿宋" w:eastAsia="仿宋" w:cs="仿宋"/>
          <w:b w:val="0"/>
          <w:bCs/>
          <w:color w:val="auto"/>
          <w:sz w:val="21"/>
          <w:szCs w:val="21"/>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EB84A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23.3</w:t>
      </w:r>
      <w:r>
        <w:rPr>
          <w:rFonts w:hint="eastAsia" w:ascii="仿宋" w:hAnsi="仿宋" w:eastAsia="仿宋" w:cs="仿宋"/>
          <w:b w:val="0"/>
          <w:bCs/>
          <w:color w:val="auto"/>
          <w:sz w:val="21"/>
          <w:szCs w:val="21"/>
          <w:highlight w:val="none"/>
        </w:rPr>
        <w:t>联合体获得成交资格的，联合体各方应当共同与采购人签订合同，就成交项目向采购人承担连带责任。</w:t>
      </w:r>
    </w:p>
    <w:p w14:paraId="603E760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23.4</w:t>
      </w:r>
      <w:r>
        <w:rPr>
          <w:rFonts w:hint="eastAsia" w:ascii="仿宋" w:hAnsi="仿宋" w:eastAsia="仿宋" w:cs="仿宋"/>
          <w:b w:val="0"/>
          <w:bCs/>
          <w:color w:val="auto"/>
          <w:sz w:val="21"/>
          <w:szCs w:val="21"/>
          <w:highlight w:val="none"/>
        </w:rPr>
        <w:t>政府采购合同不能转包。</w:t>
      </w:r>
    </w:p>
    <w:p w14:paraId="4D9A8C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23.5</w:t>
      </w:r>
      <w:r>
        <w:rPr>
          <w:rFonts w:hint="eastAsia" w:ascii="仿宋" w:hAnsi="仿宋" w:eastAsia="仿宋" w:cs="仿宋"/>
          <w:b w:val="0"/>
          <w:bCs/>
          <w:color w:val="auto"/>
          <w:sz w:val="21"/>
          <w:szCs w:val="21"/>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4F01C6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23.6</w:t>
      </w:r>
      <w:r>
        <w:rPr>
          <w:rFonts w:hint="eastAsia" w:ascii="仿宋" w:hAnsi="仿宋" w:eastAsia="仿宋" w:cs="仿宋"/>
          <w:b w:val="0"/>
          <w:bCs/>
          <w:color w:val="auto"/>
          <w:sz w:val="21"/>
          <w:szCs w:val="21"/>
          <w:highlight w:val="none"/>
        </w:rPr>
        <w:t>“政采贷”融资指引：详见《供应商须知资料表》。</w:t>
      </w:r>
    </w:p>
    <w:bookmarkEnd w:id="544"/>
    <w:bookmarkEnd w:id="545"/>
    <w:bookmarkEnd w:id="546"/>
    <w:p w14:paraId="412246E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w:t>
      </w:r>
      <w:r>
        <w:rPr>
          <w:rFonts w:hint="eastAsia" w:ascii="仿宋" w:hAnsi="仿宋" w:eastAsia="仿宋" w:cs="仿宋"/>
          <w:b w:val="0"/>
          <w:bCs/>
          <w:color w:val="auto"/>
          <w:sz w:val="21"/>
          <w:szCs w:val="21"/>
          <w:highlight w:val="none"/>
        </w:rPr>
        <w:t>询问与质疑</w:t>
      </w:r>
    </w:p>
    <w:p w14:paraId="34CA88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24.1</w:t>
      </w:r>
      <w:r>
        <w:rPr>
          <w:rFonts w:hint="eastAsia" w:ascii="仿宋" w:hAnsi="仿宋" w:eastAsia="仿宋" w:cs="仿宋"/>
          <w:b w:val="0"/>
          <w:bCs/>
          <w:color w:val="auto"/>
          <w:sz w:val="21"/>
          <w:szCs w:val="21"/>
          <w:highlight w:val="none"/>
        </w:rPr>
        <w:t>询问</w:t>
      </w:r>
    </w:p>
    <w:p w14:paraId="04D63B2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24.1.1</w:t>
      </w:r>
      <w:r>
        <w:rPr>
          <w:rFonts w:hint="eastAsia" w:ascii="仿宋" w:hAnsi="仿宋" w:eastAsia="仿宋" w:cs="仿宋"/>
          <w:b w:val="0"/>
          <w:bCs/>
          <w:color w:val="auto"/>
          <w:sz w:val="21"/>
          <w:szCs w:val="21"/>
          <w:highlight w:val="none"/>
        </w:rPr>
        <w:t>供应商对政府采购活动事项有疑问的，可依法向采购人或采购代理机构提出询问，提出形式见《供应商须知资料表》。</w:t>
      </w:r>
    </w:p>
    <w:p w14:paraId="65D6D3D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24.1.2</w:t>
      </w:r>
      <w:r>
        <w:rPr>
          <w:rFonts w:hint="eastAsia" w:ascii="仿宋" w:hAnsi="仿宋" w:eastAsia="仿宋" w:cs="仿宋"/>
          <w:b w:val="0"/>
          <w:bCs/>
          <w:color w:val="auto"/>
          <w:sz w:val="21"/>
          <w:szCs w:val="21"/>
          <w:highlight w:val="none"/>
        </w:rPr>
        <w:t>采购人或采购代理机构对供应商依法提出的询问，在3个工作日内作出答复，但答复的内容不得涉及商业秘密。</w:t>
      </w:r>
    </w:p>
    <w:p w14:paraId="61A5E75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w:t>
      </w:r>
      <w:r>
        <w:rPr>
          <w:rFonts w:hint="eastAsia" w:ascii="仿宋" w:hAnsi="仿宋" w:eastAsia="仿宋" w:cs="仿宋"/>
          <w:b w:val="0"/>
          <w:bCs/>
          <w:color w:val="auto"/>
          <w:sz w:val="21"/>
          <w:szCs w:val="21"/>
          <w:highlight w:val="none"/>
        </w:rPr>
        <w:t>质疑</w:t>
      </w:r>
    </w:p>
    <w:p w14:paraId="2E90780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24.2.1</w:t>
      </w:r>
      <w:r>
        <w:rPr>
          <w:rFonts w:hint="eastAsia" w:ascii="仿宋" w:hAnsi="仿宋" w:eastAsia="仿宋" w:cs="仿宋"/>
          <w:b w:val="0"/>
          <w:bCs/>
          <w:color w:val="auto"/>
          <w:sz w:val="21"/>
          <w:szCs w:val="21"/>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29D42F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24.2.2</w:t>
      </w:r>
      <w:r>
        <w:rPr>
          <w:rFonts w:hint="eastAsia" w:ascii="仿宋" w:hAnsi="仿宋" w:eastAsia="仿宋" w:cs="仿宋"/>
          <w:b w:val="0"/>
          <w:bCs/>
          <w:color w:val="auto"/>
          <w:sz w:val="21"/>
          <w:szCs w:val="21"/>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A5B21A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24.2.3</w:t>
      </w:r>
      <w:r>
        <w:rPr>
          <w:rFonts w:hint="eastAsia" w:ascii="仿宋" w:hAnsi="仿宋" w:eastAsia="仿宋" w:cs="仿宋"/>
          <w:b w:val="0"/>
          <w:bCs/>
          <w:color w:val="auto"/>
          <w:sz w:val="21"/>
          <w:szCs w:val="21"/>
          <w:highlight w:val="none"/>
        </w:rPr>
        <w:t>供应商委托代理人进行质疑的，应当随质疑函同时提交供应商签署的授权委托书。授权委托书应当载明代理人的姓名或者名称、代理事项、具体权限、期限和相关事项。供应商为自然人的，应当由本人签字； 供应商为法人或者其他组织的，应当由法定代表人、主要负责人签字或者盖章，并加盖公章。</w:t>
      </w:r>
    </w:p>
    <w:p w14:paraId="6E249D9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24.2.4</w:t>
      </w:r>
      <w:r>
        <w:rPr>
          <w:rFonts w:hint="eastAsia" w:ascii="仿宋" w:hAnsi="仿宋" w:eastAsia="仿宋" w:cs="仿宋"/>
          <w:b w:val="0"/>
          <w:bCs/>
          <w:color w:val="auto"/>
          <w:sz w:val="21"/>
          <w:szCs w:val="21"/>
          <w:highlight w:val="none"/>
        </w:rPr>
        <w:t>供应商应在法定质疑期内一次性提出针对同一采购程序环节的质疑，法定质疑期内针对同一采购程序环节再次提出的质疑，采购人、采购代理机构有权不予答复。</w:t>
      </w:r>
    </w:p>
    <w:p w14:paraId="7795EB3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24.3</w:t>
      </w:r>
      <w:r>
        <w:rPr>
          <w:rFonts w:hint="eastAsia" w:ascii="仿宋" w:hAnsi="仿宋" w:eastAsia="仿宋" w:cs="仿宋"/>
          <w:b w:val="0"/>
          <w:bCs/>
          <w:color w:val="auto"/>
          <w:sz w:val="21"/>
          <w:szCs w:val="21"/>
          <w:highlight w:val="none"/>
        </w:rPr>
        <w:t>接收询问和质疑的联系部门、联系电话和通讯地址见《供应商须知资料表》。</w:t>
      </w:r>
    </w:p>
    <w:p w14:paraId="66E7A5C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25</w:t>
      </w:r>
      <w:r>
        <w:rPr>
          <w:rFonts w:hint="eastAsia" w:ascii="仿宋" w:hAnsi="仿宋" w:eastAsia="仿宋" w:cs="仿宋"/>
          <w:b w:val="0"/>
          <w:bCs/>
          <w:color w:val="auto"/>
          <w:sz w:val="21"/>
          <w:szCs w:val="21"/>
          <w:highlight w:val="none"/>
          <w:lang w:eastAsia="zh-CN"/>
        </w:rPr>
        <w:t>代理服务费</w:t>
      </w:r>
    </w:p>
    <w:p w14:paraId="066D333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25.1</w:t>
      </w:r>
      <w:r>
        <w:rPr>
          <w:rFonts w:hint="eastAsia" w:ascii="仿宋" w:hAnsi="仿宋" w:eastAsia="仿宋" w:cs="仿宋"/>
          <w:b w:val="0"/>
          <w:bCs/>
          <w:color w:val="auto"/>
          <w:sz w:val="21"/>
          <w:szCs w:val="21"/>
          <w:highlight w:val="none"/>
        </w:rPr>
        <w:t>收费对象、收费标准及缴纳时间见《供应商须知资料表》。由成交供应商支付的，成交供应商须一次性向采购代理机构缴纳</w:t>
      </w:r>
      <w:r>
        <w:rPr>
          <w:rFonts w:hint="eastAsia" w:ascii="仿宋" w:hAnsi="仿宋" w:eastAsia="仿宋" w:cs="仿宋"/>
          <w:b w:val="0"/>
          <w:bCs/>
          <w:color w:val="auto"/>
          <w:sz w:val="21"/>
          <w:szCs w:val="21"/>
          <w:highlight w:val="none"/>
          <w:lang w:eastAsia="zh-CN"/>
        </w:rPr>
        <w:t>代理服务费</w:t>
      </w:r>
      <w:r>
        <w:rPr>
          <w:rFonts w:hint="eastAsia" w:ascii="仿宋" w:hAnsi="仿宋" w:eastAsia="仿宋" w:cs="仿宋"/>
          <w:b w:val="0"/>
          <w:bCs/>
          <w:color w:val="auto"/>
          <w:sz w:val="21"/>
          <w:szCs w:val="21"/>
          <w:highlight w:val="none"/>
        </w:rPr>
        <w:t>，报价应包含</w:t>
      </w:r>
      <w:r>
        <w:rPr>
          <w:rFonts w:hint="eastAsia" w:ascii="仿宋" w:hAnsi="仿宋" w:eastAsia="仿宋" w:cs="仿宋"/>
          <w:b w:val="0"/>
          <w:bCs/>
          <w:color w:val="auto"/>
          <w:sz w:val="21"/>
          <w:szCs w:val="21"/>
          <w:highlight w:val="none"/>
          <w:lang w:eastAsia="zh-CN"/>
        </w:rPr>
        <w:t>代理服务费</w:t>
      </w:r>
      <w:r>
        <w:rPr>
          <w:rFonts w:hint="eastAsia" w:ascii="仿宋" w:hAnsi="仿宋" w:eastAsia="仿宋" w:cs="仿宋"/>
          <w:b w:val="0"/>
          <w:bCs/>
          <w:color w:val="auto"/>
          <w:sz w:val="21"/>
          <w:szCs w:val="21"/>
          <w:highlight w:val="none"/>
        </w:rPr>
        <w:t>用。</w:t>
      </w:r>
    </w:p>
    <w:p w14:paraId="59D5F9D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bookmarkStart w:id="581" w:name="_Toc353873664"/>
      <w:bookmarkStart w:id="582" w:name="_Toc127151554"/>
      <w:bookmarkStart w:id="583" w:name="_Toc265228392"/>
      <w:bookmarkStart w:id="584" w:name="_Toc226337250"/>
      <w:bookmarkStart w:id="585" w:name="_Toc305158896"/>
      <w:bookmarkStart w:id="586" w:name="_Toc305158822"/>
      <w:bookmarkStart w:id="587" w:name="_Toc226965827"/>
      <w:bookmarkStart w:id="588" w:name="_Toc150480792"/>
      <w:bookmarkStart w:id="589" w:name="_Toc150774759"/>
      <w:bookmarkStart w:id="590" w:name="_Toc353873934"/>
      <w:bookmarkStart w:id="591" w:name="_Toc264969244"/>
      <w:bookmarkStart w:id="592" w:name="_Toc353825544"/>
      <w:bookmarkStart w:id="593" w:name="_Toc142311056"/>
      <w:r>
        <w:rPr>
          <w:rFonts w:hint="eastAsia" w:ascii="仿宋" w:hAnsi="仿宋" w:eastAsia="仿宋" w:cs="仿宋"/>
          <w:b w:val="0"/>
          <w:bCs/>
          <w:color w:val="auto"/>
          <w:sz w:val="21"/>
          <w:szCs w:val="21"/>
          <w:highlight w:val="none"/>
          <w:lang w:val="en-US" w:eastAsia="zh-CN"/>
        </w:rPr>
        <w:t>26</w:t>
      </w:r>
      <w:r>
        <w:rPr>
          <w:rFonts w:hint="eastAsia" w:ascii="仿宋" w:hAnsi="仿宋" w:eastAsia="仿宋" w:cs="仿宋"/>
          <w:b w:val="0"/>
          <w:bCs/>
          <w:color w:val="auto"/>
          <w:sz w:val="21"/>
          <w:szCs w:val="21"/>
          <w:highlight w:val="none"/>
        </w:rPr>
        <w:t>其他要求</w:t>
      </w:r>
    </w:p>
    <w:p w14:paraId="69F2636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详</w:t>
      </w:r>
      <w:r>
        <w:rPr>
          <w:rFonts w:hint="eastAsia" w:ascii="仿宋" w:hAnsi="仿宋" w:eastAsia="仿宋" w:cs="仿宋"/>
          <w:b w:val="0"/>
          <w:bCs/>
          <w:color w:val="auto"/>
          <w:sz w:val="21"/>
          <w:szCs w:val="21"/>
          <w:highlight w:val="none"/>
        </w:rPr>
        <w:t>见《供应商须知资料表》。</w:t>
      </w:r>
    </w:p>
    <w:p w14:paraId="7A9A3477">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bookmarkStart w:id="594" w:name="_Toc32686"/>
      <w:r>
        <w:rPr>
          <w:rFonts w:hint="eastAsia" w:ascii="仿宋" w:hAnsi="仿宋" w:eastAsia="仿宋" w:cs="仿宋"/>
          <w:b w:val="0"/>
          <w:bCs/>
          <w:color w:val="auto"/>
          <w:sz w:val="21"/>
          <w:szCs w:val="21"/>
          <w:highlight w:val="none"/>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ascii="仿宋" w:hAnsi="仿宋" w:eastAsia="仿宋" w:cs="仿宋"/>
          <w:b w:val="0"/>
          <w:bCs/>
          <w:color w:val="auto"/>
          <w:sz w:val="21"/>
          <w:szCs w:val="21"/>
          <w:highlight w:val="none"/>
        </w:rPr>
        <w:t>评审方法和评审标准</w:t>
      </w:r>
      <w:bookmarkEnd w:id="594"/>
      <w:bookmarkStart w:id="595" w:name="_Toc487900382"/>
    </w:p>
    <w:p w14:paraId="32C773E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596" w:name="_Toc7499"/>
      <w:r>
        <w:rPr>
          <w:rFonts w:hint="eastAsia" w:ascii="仿宋" w:hAnsi="仿宋" w:eastAsia="仿宋" w:cs="仿宋"/>
          <w:b w:val="0"/>
          <w:bCs/>
          <w:color w:val="auto"/>
          <w:sz w:val="21"/>
          <w:szCs w:val="21"/>
          <w:highlight w:val="none"/>
        </w:rPr>
        <w:t>一、资格审查程序</w:t>
      </w:r>
      <w:bookmarkEnd w:id="59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5"/>
    <w:p w14:paraId="4CC12C9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bookmarkStart w:id="597" w:name="_Toc195842906"/>
      <w:bookmarkStart w:id="598" w:name="_Toc226309785"/>
      <w:bookmarkStart w:id="599" w:name="_Toc151193639"/>
      <w:bookmarkStart w:id="600" w:name="_Toc127161455"/>
      <w:bookmarkStart w:id="601" w:name="_Toc151193783"/>
      <w:bookmarkStart w:id="602" w:name="_Toc149720834"/>
      <w:bookmarkStart w:id="603" w:name="_Toc150774641"/>
      <w:bookmarkStart w:id="604" w:name="_Toc150480779"/>
      <w:bookmarkStart w:id="605" w:name="_Toc305158809"/>
      <w:bookmarkStart w:id="606" w:name="_Toc264969231"/>
      <w:bookmarkStart w:id="607" w:name="_Toc151193711"/>
      <w:bookmarkStart w:id="608" w:name="_Toc151193855"/>
      <w:bookmarkStart w:id="609" w:name="_Toc164608655"/>
      <w:bookmarkStart w:id="610" w:name="_Toc164608810"/>
      <w:bookmarkStart w:id="611" w:name="_Toc150509292"/>
      <w:bookmarkStart w:id="612" w:name="_Toc127151742"/>
      <w:bookmarkStart w:id="613" w:name="_Toc265228379"/>
      <w:bookmarkStart w:id="614" w:name="_Toc226965731"/>
      <w:bookmarkStart w:id="615" w:name="_Toc226965814"/>
      <w:bookmarkStart w:id="616" w:name="_Toc164351635"/>
      <w:bookmarkStart w:id="617" w:name="_Toc151190168"/>
      <w:bookmarkStart w:id="618" w:name="_Toc164229382"/>
      <w:bookmarkStart w:id="619" w:name="_Toc142311043"/>
      <w:bookmarkStart w:id="620" w:name="_Toc151193929"/>
      <w:bookmarkStart w:id="621" w:name="_Toc127151541"/>
      <w:bookmarkStart w:id="622" w:name="_Toc164229236"/>
      <w:bookmarkStart w:id="623" w:name="_Toc305158883"/>
      <w:bookmarkStart w:id="624" w:name="_Toc226337237"/>
      <w:bookmarkStart w:id="625" w:name="_Toc150774746"/>
      <w:bookmarkStart w:id="626" w:name="_Toc353825551"/>
      <w:bookmarkStart w:id="627" w:name="_Toc353873941"/>
      <w:bookmarkStart w:id="628" w:name="_Toc305158897"/>
      <w:bookmarkStart w:id="629" w:name="_Toc142311057"/>
      <w:bookmarkStart w:id="630" w:name="_Toc353825545"/>
      <w:bookmarkStart w:id="631" w:name="_Toc226965828"/>
      <w:bookmarkStart w:id="632" w:name="_Toc264969245"/>
      <w:bookmarkStart w:id="633" w:name="_Toc150774760"/>
      <w:bookmarkStart w:id="634" w:name="_Toc353873665"/>
      <w:bookmarkStart w:id="635" w:name="_Toc195842920"/>
      <w:bookmarkStart w:id="636" w:name="_Toc150480793"/>
      <w:bookmarkStart w:id="637" w:name="_Toc127151555"/>
      <w:bookmarkStart w:id="638" w:name="_Toc305158823"/>
      <w:bookmarkStart w:id="639" w:name="_Toc353873935"/>
      <w:bookmarkStart w:id="640" w:name="_Toc265228393"/>
      <w:bookmarkStart w:id="641" w:name="_Toc226337251"/>
      <w:r>
        <w:rPr>
          <w:rFonts w:hint="eastAsia" w:ascii="仿宋" w:hAnsi="仿宋" w:eastAsia="仿宋" w:cs="仿宋"/>
          <w:b w:val="0"/>
          <w:bCs/>
          <w:color w:val="auto"/>
          <w:sz w:val="21"/>
          <w:szCs w:val="21"/>
          <w:highlight w:val="none"/>
          <w:lang w:val="en-US" w:eastAsia="zh-CN"/>
        </w:rPr>
        <w:t>1响应文件的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ascii="仿宋" w:hAnsi="仿宋" w:eastAsia="仿宋" w:cs="仿宋"/>
          <w:b w:val="0"/>
          <w:bCs/>
          <w:color w:val="auto"/>
          <w:sz w:val="21"/>
          <w:szCs w:val="21"/>
          <w:highlight w:val="none"/>
          <w:lang w:val="en-US" w:eastAsia="zh-CN"/>
        </w:rPr>
        <w:t>资格性检查和符合性审查</w:t>
      </w:r>
    </w:p>
    <w:p w14:paraId="526A1BC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磋商小组将根据《资格性检查要求》和《符合性审查要求》中规定的内容，对供应商进行检查，并形成检查结果。供应商《响应文件》有任何一项不符合《资格性检查要求》和《符合性审查要求》要求的，视为未实质性响应竞争性磋商文件。未实质性响应竞争性磋商文件的响应文件按无效响应处理，磋商小组应当告知提交响应文件的供应商。</w:t>
      </w:r>
    </w:p>
    <w:p w14:paraId="583ADE7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1.2《资格性检查要求》中对格式有要求的，除竞争性磋商文件另有规定外，均为“实质性格式”文件。</w:t>
      </w:r>
    </w:p>
    <w:p w14:paraId="5F27219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1.3《资格性检查要求》见下表：</w:t>
      </w:r>
    </w:p>
    <w:p w14:paraId="350C528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642" w:name="_Toc62"/>
      <w:r>
        <w:rPr>
          <w:rFonts w:hint="eastAsia" w:ascii="仿宋" w:hAnsi="仿宋" w:eastAsia="仿宋" w:cs="仿宋"/>
          <w:b w:val="0"/>
          <w:bCs/>
          <w:color w:val="auto"/>
          <w:sz w:val="21"/>
          <w:szCs w:val="21"/>
          <w:highlight w:val="none"/>
        </w:rPr>
        <w:t>资格性检查要求</w:t>
      </w:r>
      <w:bookmarkEnd w:id="642"/>
    </w:p>
    <w:tbl>
      <w:tblPr>
        <w:tblStyle w:val="21"/>
        <w:tblW w:w="972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1770"/>
        <w:gridCol w:w="4950"/>
        <w:gridCol w:w="1976"/>
      </w:tblGrid>
      <w:tr w14:paraId="257F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024" w:type="dxa"/>
            <w:vAlign w:val="center"/>
          </w:tcPr>
          <w:p w14:paraId="7419C59C">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bookmarkStart w:id="643" w:name="_Hlt487972895"/>
            <w:bookmarkEnd w:id="643"/>
            <w:r>
              <w:rPr>
                <w:rFonts w:hint="eastAsia" w:ascii="仿宋" w:hAnsi="仿宋" w:eastAsia="仿宋" w:cs="仿宋"/>
                <w:b w:val="0"/>
                <w:bCs/>
                <w:color w:val="auto"/>
                <w:sz w:val="21"/>
                <w:szCs w:val="21"/>
                <w:highlight w:val="none"/>
              </w:rPr>
              <w:t>序号</w:t>
            </w:r>
          </w:p>
        </w:tc>
        <w:tc>
          <w:tcPr>
            <w:tcW w:w="1770" w:type="dxa"/>
            <w:vAlign w:val="center"/>
          </w:tcPr>
          <w:p w14:paraId="420AA0DB">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检查因素</w:t>
            </w:r>
          </w:p>
        </w:tc>
        <w:tc>
          <w:tcPr>
            <w:tcW w:w="4950" w:type="dxa"/>
            <w:vAlign w:val="center"/>
          </w:tcPr>
          <w:p w14:paraId="4D277FA9">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检查内容</w:t>
            </w:r>
          </w:p>
        </w:tc>
        <w:tc>
          <w:tcPr>
            <w:tcW w:w="1976" w:type="dxa"/>
            <w:vAlign w:val="center"/>
          </w:tcPr>
          <w:p w14:paraId="17C37D06">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格式要求</w:t>
            </w:r>
          </w:p>
        </w:tc>
      </w:tr>
      <w:tr w14:paraId="27A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28413DB7">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1770" w:type="dxa"/>
            <w:vAlign w:val="center"/>
          </w:tcPr>
          <w:p w14:paraId="7305FCC5">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满足《中华人民共和国政府采购法》第二十二条规定及法律法规的其他规定</w:t>
            </w:r>
          </w:p>
        </w:tc>
        <w:tc>
          <w:tcPr>
            <w:tcW w:w="4950" w:type="dxa"/>
            <w:vAlign w:val="center"/>
          </w:tcPr>
          <w:p w14:paraId="6ADF67F6">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具体规定见第一章《采购邀请》</w:t>
            </w:r>
          </w:p>
        </w:tc>
        <w:tc>
          <w:tcPr>
            <w:tcW w:w="1976" w:type="dxa"/>
            <w:vAlign w:val="center"/>
          </w:tcPr>
          <w:p w14:paraId="217D4D4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r w14:paraId="69F6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333DF821">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w:t>
            </w:r>
          </w:p>
        </w:tc>
        <w:tc>
          <w:tcPr>
            <w:tcW w:w="1770" w:type="dxa"/>
            <w:vAlign w:val="center"/>
          </w:tcPr>
          <w:p w14:paraId="2785B81E">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营业执照等证明文件</w:t>
            </w:r>
          </w:p>
        </w:tc>
        <w:tc>
          <w:tcPr>
            <w:tcW w:w="4950" w:type="dxa"/>
            <w:vAlign w:val="center"/>
          </w:tcPr>
          <w:p w14:paraId="6C6925BB">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供应商为企业（包括合伙企业）的，应提供有效的“营业执照”；</w:t>
            </w:r>
          </w:p>
          <w:p w14:paraId="46A0434B">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供应商为事业单位的，应提供有效的“事业单位法人证书”；</w:t>
            </w:r>
          </w:p>
          <w:p w14:paraId="3F90E9E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供应商是非企业机构的，应提供有效的“执业许可证”、“登记证书”等证明文件；</w:t>
            </w:r>
          </w:p>
          <w:p w14:paraId="0F0BD58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供应商是个体工商户的，应提供有效的“个体工商户营业执照”；</w:t>
            </w:r>
          </w:p>
          <w:p w14:paraId="6E42E816">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供应商是自然人的，应提供有效的自然人身份证明。</w:t>
            </w:r>
          </w:p>
          <w:p w14:paraId="7A198D9F">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分支机构参加响应的，应</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供该分支机构或其所属法人/其他组织的相应证明文件；同时还应</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供其所属法人/其他组织出具的授权其参与本项目的授权书（格式自拟，须加盖其所属法人/其他组织的公章）；对于银行、保险、石油石化、电力、电信等行业的分支机构，可以</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供上述授权，也可以</w:t>
            </w:r>
            <w:r>
              <w:rPr>
                <w:rFonts w:hint="eastAsia" w:ascii="仿宋" w:hAnsi="仿宋" w:eastAsia="仿宋" w:cs="仿宋"/>
                <w:b w:val="0"/>
                <w:bCs/>
                <w:color w:val="auto"/>
                <w:sz w:val="21"/>
                <w:szCs w:val="21"/>
                <w:highlight w:val="none"/>
                <w:lang w:val="en-US" w:eastAsia="zh-CN"/>
              </w:rPr>
              <w:t>提</w:t>
            </w:r>
            <w:r>
              <w:rPr>
                <w:rFonts w:hint="eastAsia" w:ascii="仿宋" w:hAnsi="仿宋" w:eastAsia="仿宋" w:cs="仿宋"/>
                <w:b w:val="0"/>
                <w:bCs/>
                <w:color w:val="auto"/>
                <w:sz w:val="21"/>
                <w:szCs w:val="21"/>
                <w:highlight w:val="none"/>
              </w:rPr>
              <w:t>供其所属法人/其他组织的有关文件或制度等能够证明授权其独立开展业务的证明材料。</w:t>
            </w:r>
          </w:p>
        </w:tc>
        <w:tc>
          <w:tcPr>
            <w:tcW w:w="1976" w:type="dxa"/>
            <w:vAlign w:val="center"/>
          </w:tcPr>
          <w:p w14:paraId="3AFECB7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提供证明文件的电子件或电子证照</w:t>
            </w:r>
          </w:p>
        </w:tc>
      </w:tr>
      <w:tr w14:paraId="267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5F7618CF">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1-2</w:t>
            </w:r>
          </w:p>
        </w:tc>
        <w:tc>
          <w:tcPr>
            <w:tcW w:w="1770" w:type="dxa"/>
            <w:vAlign w:val="center"/>
          </w:tcPr>
          <w:p w14:paraId="0CF279CC">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供应商资格声明书</w:t>
            </w:r>
          </w:p>
        </w:tc>
        <w:tc>
          <w:tcPr>
            <w:tcW w:w="4950" w:type="dxa"/>
            <w:vAlign w:val="center"/>
          </w:tcPr>
          <w:p w14:paraId="35D9EC74">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提供了符合竞争性磋商文件要求的《供应商资格声明书》。</w:t>
            </w:r>
          </w:p>
        </w:tc>
        <w:tc>
          <w:tcPr>
            <w:tcW w:w="1976" w:type="dxa"/>
            <w:vAlign w:val="center"/>
          </w:tcPr>
          <w:p w14:paraId="6A6EE734">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格式见《响应文件格式》</w:t>
            </w:r>
          </w:p>
        </w:tc>
      </w:tr>
      <w:tr w14:paraId="2EFE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6714A37C">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1-3</w:t>
            </w:r>
          </w:p>
        </w:tc>
        <w:tc>
          <w:tcPr>
            <w:tcW w:w="1770" w:type="dxa"/>
            <w:vAlign w:val="center"/>
          </w:tcPr>
          <w:p w14:paraId="1A8D08AD">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供应商信用记录</w:t>
            </w:r>
          </w:p>
        </w:tc>
        <w:tc>
          <w:tcPr>
            <w:tcW w:w="4950" w:type="dxa"/>
            <w:vAlign w:val="center"/>
          </w:tcPr>
          <w:p w14:paraId="418F2F6F">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查询渠道：信用中国网站和中国政府采购网（www.creditchina.gov.cn、www.ccgp.gov.cn）；</w:t>
            </w:r>
          </w:p>
          <w:p w14:paraId="3FA68A94">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截止时点：</w:t>
            </w:r>
            <w:r>
              <w:rPr>
                <w:rFonts w:hint="eastAsia" w:ascii="仿宋" w:hAnsi="仿宋" w:eastAsia="仿宋" w:cs="仿宋"/>
                <w:b w:val="0"/>
                <w:bCs/>
                <w:color w:val="auto"/>
                <w:kern w:val="0"/>
                <w:sz w:val="21"/>
                <w:szCs w:val="21"/>
                <w:highlight w:val="none"/>
              </w:rPr>
              <w:t>首次响应文件提交截止时间以后</w:t>
            </w:r>
            <w:r>
              <w:rPr>
                <w:rFonts w:hint="eastAsia" w:ascii="仿宋" w:hAnsi="仿宋" w:eastAsia="仿宋" w:cs="仿宋"/>
                <w:b w:val="0"/>
                <w:bCs/>
                <w:color w:val="auto"/>
                <w:sz w:val="21"/>
                <w:szCs w:val="21"/>
                <w:highlight w:val="none"/>
              </w:rPr>
              <w:t>、资格性检查阶段采购人或采购代理机构的实际查询时间为准；</w:t>
            </w:r>
          </w:p>
          <w:p w14:paraId="52083A3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信用信息查询记录和证据留存具体方式：查询结果网页打印页作为查询记录和证据，与其他竞争性磋商文件一并保存；</w:t>
            </w:r>
          </w:p>
          <w:p w14:paraId="0470AC50">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信用信息的使用原则：经认定的被列入失信被执行人、重大税收违法失信主体、政府采购严重违法失信行为记录名单的供应商，其响应无效。联合体形式磋商的，联合体成员存在不良信用记录，视同联合体存在不良信用记录。</w:t>
            </w:r>
          </w:p>
        </w:tc>
        <w:tc>
          <w:tcPr>
            <w:tcW w:w="1976" w:type="dxa"/>
            <w:vAlign w:val="center"/>
          </w:tcPr>
          <w:p w14:paraId="0D5E9A09">
            <w:pPr>
              <w:keepNext w:val="0"/>
              <w:keepLines w:val="0"/>
              <w:pageBreakBefore w:val="0"/>
              <w:widowControl w:val="0"/>
              <w:tabs>
                <w:tab w:val="left" w:pos="108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无须供应商提供，由采购人或采购代理机构查询。</w:t>
            </w:r>
          </w:p>
        </w:tc>
      </w:tr>
      <w:tr w14:paraId="18A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43A9917C">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lang w:eastAsia="en-US"/>
              </w:rPr>
            </w:pPr>
            <w:r>
              <w:rPr>
                <w:rFonts w:hint="eastAsia" w:ascii="仿宋" w:hAnsi="仿宋" w:eastAsia="仿宋" w:cs="仿宋"/>
                <w:b w:val="0"/>
                <w:bCs/>
                <w:color w:val="auto"/>
                <w:sz w:val="21"/>
                <w:szCs w:val="21"/>
                <w:highlight w:val="none"/>
              </w:rPr>
              <w:t>1-4</w:t>
            </w:r>
          </w:p>
        </w:tc>
        <w:tc>
          <w:tcPr>
            <w:tcW w:w="1770" w:type="dxa"/>
          </w:tcPr>
          <w:p w14:paraId="23EB4CBE">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法律、行政法规规定的其他条件</w:t>
            </w:r>
          </w:p>
        </w:tc>
        <w:tc>
          <w:tcPr>
            <w:tcW w:w="4950" w:type="dxa"/>
            <w:vAlign w:val="center"/>
          </w:tcPr>
          <w:p w14:paraId="5D9AE71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法律、行政法规规定的其他条件</w:t>
            </w:r>
          </w:p>
        </w:tc>
        <w:tc>
          <w:tcPr>
            <w:tcW w:w="1976" w:type="dxa"/>
            <w:vAlign w:val="center"/>
          </w:tcPr>
          <w:p w14:paraId="7B6ABC26">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p>
        </w:tc>
      </w:tr>
      <w:tr w14:paraId="746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58CE4D2E">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1770" w:type="dxa"/>
            <w:vAlign w:val="center"/>
          </w:tcPr>
          <w:p w14:paraId="1B053D9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落实政府采购政策需满足的资格要求</w:t>
            </w:r>
          </w:p>
        </w:tc>
        <w:tc>
          <w:tcPr>
            <w:tcW w:w="4950" w:type="dxa"/>
            <w:vAlign w:val="center"/>
          </w:tcPr>
          <w:p w14:paraId="042C1801">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具体要求见第一章《采购邀请》</w:t>
            </w:r>
          </w:p>
        </w:tc>
        <w:tc>
          <w:tcPr>
            <w:tcW w:w="1976" w:type="dxa"/>
            <w:vAlign w:val="center"/>
          </w:tcPr>
          <w:p w14:paraId="00D80B0E">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r w14:paraId="368C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shd w:val="clear" w:color="auto" w:fill="auto"/>
            <w:vAlign w:val="center"/>
          </w:tcPr>
          <w:p w14:paraId="365BD441">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w:t>
            </w:r>
          </w:p>
        </w:tc>
        <w:tc>
          <w:tcPr>
            <w:tcW w:w="1770" w:type="dxa"/>
            <w:shd w:val="clear" w:color="auto" w:fill="auto"/>
            <w:vAlign w:val="center"/>
          </w:tcPr>
          <w:p w14:paraId="69E9B6A5">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其它落实政府采购政策的资格要求</w:t>
            </w:r>
          </w:p>
        </w:tc>
        <w:tc>
          <w:tcPr>
            <w:tcW w:w="4950" w:type="dxa"/>
            <w:shd w:val="clear" w:color="auto" w:fill="auto"/>
            <w:vAlign w:val="center"/>
          </w:tcPr>
          <w:p w14:paraId="55BD587A">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如有，见第一章《采购邀请》</w:t>
            </w:r>
          </w:p>
        </w:tc>
        <w:tc>
          <w:tcPr>
            <w:tcW w:w="1976" w:type="dxa"/>
            <w:shd w:val="clear" w:color="auto" w:fill="auto"/>
            <w:vAlign w:val="center"/>
          </w:tcPr>
          <w:p w14:paraId="7339B38B">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提供证明文件的电子件或电子证照</w:t>
            </w:r>
          </w:p>
        </w:tc>
      </w:tr>
      <w:tr w14:paraId="1429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0C898E35">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1770" w:type="dxa"/>
            <w:vAlign w:val="center"/>
          </w:tcPr>
          <w:p w14:paraId="5ED6906A">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本项目的特定资格要求</w:t>
            </w:r>
          </w:p>
        </w:tc>
        <w:tc>
          <w:tcPr>
            <w:tcW w:w="4950" w:type="dxa"/>
            <w:vAlign w:val="center"/>
          </w:tcPr>
          <w:p w14:paraId="1ED49E62">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如有，见第一章《采购邀请》</w:t>
            </w:r>
          </w:p>
        </w:tc>
        <w:tc>
          <w:tcPr>
            <w:tcW w:w="1976" w:type="dxa"/>
            <w:vAlign w:val="center"/>
          </w:tcPr>
          <w:p w14:paraId="6580AF8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r w14:paraId="77AA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47028DBD">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3-1</w:t>
            </w:r>
          </w:p>
        </w:tc>
        <w:tc>
          <w:tcPr>
            <w:tcW w:w="1770" w:type="dxa"/>
            <w:vAlign w:val="center"/>
          </w:tcPr>
          <w:p w14:paraId="63FC58C2">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其他特定资格要求</w:t>
            </w:r>
          </w:p>
        </w:tc>
        <w:tc>
          <w:tcPr>
            <w:tcW w:w="4950" w:type="dxa"/>
            <w:vAlign w:val="center"/>
          </w:tcPr>
          <w:p w14:paraId="23EEE822">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供应商须具有司法行政部门颁发且有效的《律师事务所执业许可证》；</w:t>
            </w:r>
          </w:p>
          <w:p w14:paraId="511E7E88">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供应商拟派项目负责人须具有司法行政部门颁发且有效的《律师执业证》。</w:t>
            </w:r>
          </w:p>
        </w:tc>
        <w:tc>
          <w:tcPr>
            <w:tcW w:w="1976" w:type="dxa"/>
            <w:vAlign w:val="center"/>
          </w:tcPr>
          <w:p w14:paraId="420F843D">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提供证明文件的电子件或电子证照</w:t>
            </w:r>
          </w:p>
        </w:tc>
      </w:tr>
      <w:tr w14:paraId="30DA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79E39BD3">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3-2</w:t>
            </w:r>
          </w:p>
        </w:tc>
        <w:tc>
          <w:tcPr>
            <w:tcW w:w="1770" w:type="dxa"/>
            <w:shd w:val="clear" w:color="auto" w:fill="auto"/>
            <w:vAlign w:val="center"/>
          </w:tcPr>
          <w:p w14:paraId="0D1881AA">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政府购买服务承接主体的要求</w:t>
            </w:r>
          </w:p>
        </w:tc>
        <w:tc>
          <w:tcPr>
            <w:tcW w:w="4950" w:type="dxa"/>
            <w:shd w:val="clear" w:color="auto" w:fill="auto"/>
            <w:vAlign w:val="center"/>
          </w:tcPr>
          <w:p w14:paraId="6AA11459">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如本项目属于政府购买服务，供应商不属于公益一类事业单位、使用事业编制且由财政拨款保障的群团组织。</w:t>
            </w:r>
          </w:p>
        </w:tc>
        <w:tc>
          <w:tcPr>
            <w:tcW w:w="1976" w:type="dxa"/>
            <w:shd w:val="clear" w:color="auto" w:fill="auto"/>
            <w:vAlign w:val="center"/>
          </w:tcPr>
          <w:p w14:paraId="3CE211DF">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格式见《响应文件格</w:t>
            </w:r>
            <w:r>
              <w:rPr>
                <w:rFonts w:hint="eastAsia" w:ascii="仿宋" w:hAnsi="仿宋" w:eastAsia="仿宋" w:cs="仿宋"/>
                <w:b w:val="0"/>
                <w:bCs/>
                <w:color w:val="auto"/>
                <w:sz w:val="21"/>
                <w:szCs w:val="21"/>
                <w:highlight w:val="none"/>
                <w:lang w:val="en-US" w:eastAsia="zh-CN"/>
              </w:rPr>
              <w:t>式</w:t>
            </w:r>
            <w:r>
              <w:rPr>
                <w:rFonts w:hint="eastAsia" w:ascii="仿宋" w:hAnsi="仿宋" w:eastAsia="仿宋" w:cs="仿宋"/>
                <w:b w:val="0"/>
                <w:bCs/>
                <w:color w:val="auto"/>
                <w:sz w:val="21"/>
                <w:szCs w:val="21"/>
                <w:highlight w:val="none"/>
              </w:rPr>
              <w:t>》</w:t>
            </w:r>
          </w:p>
        </w:tc>
      </w:tr>
      <w:tr w14:paraId="1FEB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024" w:type="dxa"/>
            <w:vAlign w:val="center"/>
          </w:tcPr>
          <w:p w14:paraId="59148BE3">
            <w:pPr>
              <w:keepNext w:val="0"/>
              <w:keepLines w:val="0"/>
              <w:pageBreakBefore w:val="0"/>
              <w:widowControl w:val="0"/>
              <w:tabs>
                <w:tab w:val="left" w:pos="1080"/>
              </w:tabs>
              <w:kinsoku/>
              <w:wordWrap w:val="0"/>
              <w:overflowPunct/>
              <w:topLinePunct/>
              <w:autoSpaceDE/>
              <w:autoSpaceDN/>
              <w:bidi w:val="0"/>
              <w:snapToGrid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p>
        </w:tc>
        <w:tc>
          <w:tcPr>
            <w:tcW w:w="1770" w:type="dxa"/>
            <w:vAlign w:val="center"/>
          </w:tcPr>
          <w:p w14:paraId="4E75A0F4">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获取</w:t>
            </w:r>
            <w:r>
              <w:rPr>
                <w:rFonts w:hint="eastAsia" w:ascii="仿宋" w:hAnsi="仿宋" w:eastAsia="仿宋" w:cs="仿宋"/>
                <w:b w:val="0"/>
                <w:bCs/>
                <w:color w:val="auto"/>
                <w:sz w:val="21"/>
                <w:szCs w:val="21"/>
                <w:highlight w:val="none"/>
                <w:lang w:eastAsia="zh-CN"/>
              </w:rPr>
              <w:t>竞争性磋商文件</w:t>
            </w:r>
          </w:p>
        </w:tc>
        <w:tc>
          <w:tcPr>
            <w:tcW w:w="4950" w:type="dxa"/>
            <w:vAlign w:val="center"/>
          </w:tcPr>
          <w:p w14:paraId="22BD400F">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在规定期限内通过北京市政府采购电子交易平台获取所参与包的</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w:t>
            </w:r>
          </w:p>
          <w:p w14:paraId="568F5D78">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注：如本项目接受联合体，且供应商为联合体时，联合体中任一成员获取文件即视为满足要求。</w:t>
            </w:r>
          </w:p>
        </w:tc>
        <w:tc>
          <w:tcPr>
            <w:tcW w:w="1976" w:type="dxa"/>
            <w:vAlign w:val="center"/>
          </w:tcPr>
          <w:p w14:paraId="0378B32C">
            <w:pPr>
              <w:keepNext w:val="0"/>
              <w:keepLines w:val="0"/>
              <w:pageBreakBefore w:val="0"/>
              <w:widowControl w:val="0"/>
              <w:tabs>
                <w:tab w:val="left" w:pos="1080"/>
              </w:tabs>
              <w:kinsoku/>
              <w:wordWrap w:val="0"/>
              <w:overflowPunct/>
              <w:topLinePunct/>
              <w:autoSpaceDE/>
              <w:autoSpaceDN/>
              <w:bidi w:val="0"/>
              <w:snapToGrid w:val="0"/>
              <w:spacing w:line="360" w:lineRule="auto"/>
              <w:jc w:val="left"/>
              <w:outlineLvl w:val="9"/>
              <w:rPr>
                <w:rFonts w:hint="eastAsia" w:ascii="仿宋" w:hAnsi="仿宋" w:eastAsia="仿宋" w:cs="仿宋"/>
                <w:b w:val="0"/>
                <w:bCs/>
                <w:color w:val="auto"/>
                <w:sz w:val="21"/>
                <w:szCs w:val="21"/>
                <w:highlight w:val="none"/>
              </w:rPr>
            </w:pPr>
          </w:p>
        </w:tc>
      </w:tr>
    </w:tbl>
    <w:p w14:paraId="4F09876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F8C9EA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1.4《符合性审查要求》见下表：</w:t>
      </w:r>
    </w:p>
    <w:p w14:paraId="32B2277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644" w:name="_Toc16194"/>
      <w:r>
        <w:rPr>
          <w:rFonts w:hint="eastAsia" w:ascii="仿宋" w:hAnsi="仿宋" w:eastAsia="仿宋" w:cs="仿宋"/>
          <w:b w:val="0"/>
          <w:bCs/>
          <w:color w:val="auto"/>
          <w:sz w:val="21"/>
          <w:szCs w:val="21"/>
          <w:highlight w:val="none"/>
        </w:rPr>
        <w:t>符合性审查要求</w:t>
      </w:r>
      <w:bookmarkEnd w:id="644"/>
    </w:p>
    <w:tbl>
      <w:tblPr>
        <w:tblStyle w:val="2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100"/>
        <w:gridCol w:w="4965"/>
        <w:gridCol w:w="1859"/>
      </w:tblGrid>
      <w:tr w14:paraId="15A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03ABC46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序号</w:t>
            </w:r>
          </w:p>
        </w:tc>
        <w:tc>
          <w:tcPr>
            <w:tcW w:w="2100" w:type="dxa"/>
            <w:shd w:val="clear" w:color="000000" w:fill="FFFFFF"/>
            <w:vAlign w:val="center"/>
          </w:tcPr>
          <w:p w14:paraId="3FB1C02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rPr>
              <w:t>检查</w:t>
            </w:r>
            <w:r>
              <w:rPr>
                <w:rFonts w:hint="eastAsia" w:ascii="仿宋" w:hAnsi="仿宋" w:eastAsia="仿宋" w:cs="仿宋"/>
                <w:b w:val="0"/>
                <w:bCs/>
                <w:color w:val="auto"/>
                <w:kern w:val="0"/>
                <w:sz w:val="21"/>
                <w:szCs w:val="21"/>
                <w:highlight w:val="none"/>
              </w:rPr>
              <w:t>因素</w:t>
            </w:r>
          </w:p>
        </w:tc>
        <w:tc>
          <w:tcPr>
            <w:tcW w:w="4965" w:type="dxa"/>
            <w:shd w:val="clear" w:color="000000" w:fill="FFFFFF"/>
            <w:vAlign w:val="center"/>
          </w:tcPr>
          <w:p w14:paraId="6DE325A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rPr>
              <w:t>检查</w:t>
            </w:r>
            <w:r>
              <w:rPr>
                <w:rFonts w:hint="eastAsia" w:ascii="仿宋" w:hAnsi="仿宋" w:eastAsia="仿宋" w:cs="仿宋"/>
                <w:b w:val="0"/>
                <w:bCs/>
                <w:color w:val="auto"/>
                <w:kern w:val="0"/>
                <w:sz w:val="21"/>
                <w:szCs w:val="21"/>
                <w:highlight w:val="none"/>
              </w:rPr>
              <w:t>内容</w:t>
            </w:r>
          </w:p>
        </w:tc>
        <w:tc>
          <w:tcPr>
            <w:tcW w:w="1859" w:type="dxa"/>
            <w:shd w:val="clear" w:color="000000" w:fill="FFFFFF"/>
            <w:vAlign w:val="center"/>
          </w:tcPr>
          <w:p w14:paraId="254210C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是否允许澄清、说明或者更正</w:t>
            </w:r>
          </w:p>
        </w:tc>
      </w:tr>
      <w:tr w14:paraId="1B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5EE76E7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2100" w:type="dxa"/>
            <w:shd w:val="clear" w:color="000000" w:fill="FFFFFF"/>
            <w:vAlign w:val="center"/>
          </w:tcPr>
          <w:p w14:paraId="2581B28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响应文件的签署</w:t>
            </w:r>
          </w:p>
        </w:tc>
        <w:tc>
          <w:tcPr>
            <w:tcW w:w="4965" w:type="dxa"/>
            <w:shd w:val="clear" w:color="000000" w:fill="FFFFFF"/>
            <w:vAlign w:val="center"/>
          </w:tcPr>
          <w:p w14:paraId="6B21205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响应文件的签字或盖章或签章符合竞争性磋商文件要求；</w:t>
            </w:r>
          </w:p>
        </w:tc>
        <w:tc>
          <w:tcPr>
            <w:tcW w:w="1859" w:type="dxa"/>
            <w:shd w:val="clear" w:color="000000" w:fill="FFFFFF"/>
            <w:vAlign w:val="center"/>
          </w:tcPr>
          <w:p w14:paraId="3BF22AC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4BA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2C711D1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2100" w:type="dxa"/>
            <w:shd w:val="clear" w:color="000000" w:fill="FFFFFF"/>
            <w:vAlign w:val="center"/>
          </w:tcPr>
          <w:p w14:paraId="5C34706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响应文件格式</w:t>
            </w:r>
          </w:p>
        </w:tc>
        <w:tc>
          <w:tcPr>
            <w:tcW w:w="4965" w:type="dxa"/>
            <w:shd w:val="clear" w:color="000000" w:fill="FFFFFF"/>
            <w:vAlign w:val="center"/>
          </w:tcPr>
          <w:p w14:paraId="7804064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响应文件按规定的格式填写；</w:t>
            </w:r>
          </w:p>
        </w:tc>
        <w:tc>
          <w:tcPr>
            <w:tcW w:w="1859" w:type="dxa"/>
            <w:shd w:val="clear" w:color="000000" w:fill="FFFFFF"/>
            <w:vAlign w:val="center"/>
          </w:tcPr>
          <w:p w14:paraId="1ACE412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DC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7FDA2A6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2100" w:type="dxa"/>
            <w:shd w:val="clear" w:color="000000" w:fill="FFFFFF"/>
            <w:vAlign w:val="center"/>
          </w:tcPr>
          <w:p w14:paraId="0C982AF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响应文件编制</w:t>
            </w:r>
          </w:p>
        </w:tc>
        <w:tc>
          <w:tcPr>
            <w:tcW w:w="4965" w:type="dxa"/>
            <w:shd w:val="clear" w:color="000000" w:fill="FFFFFF"/>
            <w:vAlign w:val="center"/>
          </w:tcPr>
          <w:p w14:paraId="059FBEE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响应文件未有内容不全或关键字迹模糊、无法辨认情况；</w:t>
            </w:r>
          </w:p>
        </w:tc>
        <w:tc>
          <w:tcPr>
            <w:tcW w:w="1859" w:type="dxa"/>
            <w:shd w:val="clear" w:color="000000" w:fill="FFFFFF"/>
            <w:vAlign w:val="center"/>
          </w:tcPr>
          <w:p w14:paraId="73DF940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AE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34BD1A8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2100" w:type="dxa"/>
            <w:shd w:val="clear" w:color="000000" w:fill="FFFFFF"/>
            <w:vAlign w:val="center"/>
          </w:tcPr>
          <w:p w14:paraId="6B29DAC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响应文件内容及报价唯一</w:t>
            </w:r>
          </w:p>
        </w:tc>
        <w:tc>
          <w:tcPr>
            <w:tcW w:w="4965" w:type="dxa"/>
            <w:shd w:val="clear" w:color="000000" w:fill="FFFFFF"/>
            <w:vAlign w:val="center"/>
          </w:tcPr>
          <w:p w14:paraId="6584410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lang w:eastAsia="zh-CN"/>
              </w:rPr>
            </w:pPr>
            <w:r>
              <w:rPr>
                <w:rFonts w:hint="eastAsia" w:ascii="仿宋" w:hAnsi="仿宋" w:eastAsia="仿宋" w:cs="仿宋"/>
                <w:b w:val="0"/>
                <w:bCs/>
                <w:color w:val="auto"/>
                <w:kern w:val="0"/>
                <w:sz w:val="21"/>
                <w:szCs w:val="21"/>
                <w:highlight w:val="none"/>
              </w:rPr>
              <w:t>供应商未递交两份或多份内容不同的响应文件</w:t>
            </w:r>
            <w:r>
              <w:rPr>
                <w:rFonts w:hint="eastAsia" w:ascii="仿宋" w:hAnsi="仿宋" w:eastAsia="仿宋" w:cs="仿宋"/>
                <w:b w:val="0"/>
                <w:bCs/>
                <w:color w:val="auto"/>
                <w:kern w:val="0"/>
                <w:sz w:val="21"/>
                <w:szCs w:val="21"/>
                <w:highlight w:val="none"/>
                <w:lang w:eastAsia="zh-CN"/>
              </w:rPr>
              <w:t>；</w:t>
            </w:r>
          </w:p>
          <w:p w14:paraId="4A6BD88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响应</w:t>
            </w:r>
            <w:r>
              <w:rPr>
                <w:rFonts w:hint="eastAsia" w:ascii="仿宋" w:hAnsi="仿宋" w:eastAsia="仿宋" w:cs="仿宋"/>
                <w:b w:val="0"/>
                <w:bCs/>
                <w:color w:val="auto"/>
                <w:kern w:val="0"/>
                <w:sz w:val="21"/>
                <w:szCs w:val="21"/>
                <w:highlight w:val="none"/>
              </w:rPr>
              <w:t>文件未出现可选择性或可调整的报价（</w:t>
            </w:r>
            <w:r>
              <w:rPr>
                <w:rFonts w:hint="eastAsia" w:ascii="仿宋" w:hAnsi="仿宋" w:eastAsia="仿宋" w:cs="仿宋"/>
                <w:b w:val="0"/>
                <w:bCs/>
                <w:color w:val="auto"/>
                <w:kern w:val="0"/>
                <w:sz w:val="21"/>
                <w:szCs w:val="21"/>
                <w:highlight w:val="none"/>
                <w:lang w:val="en-US" w:eastAsia="zh-CN"/>
              </w:rPr>
              <w:t>竞争性磋商文件</w:t>
            </w:r>
            <w:r>
              <w:rPr>
                <w:rFonts w:hint="eastAsia" w:ascii="仿宋" w:hAnsi="仿宋" w:eastAsia="仿宋" w:cs="仿宋"/>
                <w:b w:val="0"/>
                <w:bCs/>
                <w:color w:val="auto"/>
                <w:kern w:val="0"/>
                <w:sz w:val="21"/>
                <w:szCs w:val="21"/>
                <w:highlight w:val="none"/>
              </w:rPr>
              <w:t>另有规定的除外）；</w:t>
            </w:r>
          </w:p>
        </w:tc>
        <w:tc>
          <w:tcPr>
            <w:tcW w:w="1859" w:type="dxa"/>
            <w:shd w:val="clear" w:color="000000" w:fill="FFFFFF"/>
            <w:vAlign w:val="center"/>
          </w:tcPr>
          <w:p w14:paraId="73B487E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1F3F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6F1755A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2100" w:type="dxa"/>
            <w:shd w:val="clear" w:color="000000" w:fill="FFFFFF"/>
            <w:vAlign w:val="center"/>
          </w:tcPr>
          <w:p w14:paraId="7680A4D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无串通行为</w:t>
            </w:r>
          </w:p>
        </w:tc>
        <w:tc>
          <w:tcPr>
            <w:tcW w:w="4965" w:type="dxa"/>
            <w:shd w:val="clear" w:color="000000" w:fill="FFFFFF"/>
            <w:vAlign w:val="center"/>
          </w:tcPr>
          <w:p w14:paraId="1745F79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1.供应商未以他人的名义投标、串通投标、以行贿手段谋取成交或者以其他弄虚作假方式投标；</w:t>
            </w:r>
          </w:p>
          <w:p w14:paraId="78C1163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2.不同供应商的响应文件未出现由同一单位或者个人编制的；</w:t>
            </w:r>
          </w:p>
          <w:p w14:paraId="039C435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3.不同供应商未委托同一单位或者个人办理投标事宜的；</w:t>
            </w:r>
          </w:p>
          <w:p w14:paraId="7DA1A79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4.不同供应商的响应文件载明的项目管理机构成员未出现同一人的；</w:t>
            </w:r>
          </w:p>
          <w:p w14:paraId="5AACD91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5.不同供应商的响应文件无异常一致或者磋商报价呈规律性差异；</w:t>
            </w:r>
          </w:p>
        </w:tc>
        <w:tc>
          <w:tcPr>
            <w:tcW w:w="1859" w:type="dxa"/>
            <w:shd w:val="clear" w:color="000000" w:fill="FFFFFF"/>
            <w:vAlign w:val="center"/>
          </w:tcPr>
          <w:p w14:paraId="5D7F8BC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3AB0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265F989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6</w:t>
            </w:r>
          </w:p>
        </w:tc>
        <w:tc>
          <w:tcPr>
            <w:tcW w:w="2100" w:type="dxa"/>
            <w:shd w:val="clear" w:color="000000" w:fill="FFFFFF"/>
            <w:vAlign w:val="center"/>
          </w:tcPr>
          <w:p w14:paraId="3450444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供应商名称</w:t>
            </w:r>
          </w:p>
        </w:tc>
        <w:tc>
          <w:tcPr>
            <w:tcW w:w="4965" w:type="dxa"/>
            <w:shd w:val="clear" w:color="000000" w:fill="FFFFFF"/>
            <w:vAlign w:val="center"/>
          </w:tcPr>
          <w:p w14:paraId="1CB1745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供应商名称与法人登记证书或法人营业执照一致；</w:t>
            </w:r>
          </w:p>
        </w:tc>
        <w:tc>
          <w:tcPr>
            <w:tcW w:w="1859" w:type="dxa"/>
            <w:shd w:val="clear" w:color="000000" w:fill="FFFFFF"/>
            <w:vAlign w:val="center"/>
          </w:tcPr>
          <w:p w14:paraId="227982F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1D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3BF85CB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7</w:t>
            </w:r>
          </w:p>
        </w:tc>
        <w:tc>
          <w:tcPr>
            <w:tcW w:w="2100" w:type="dxa"/>
            <w:shd w:val="clear" w:color="000000" w:fill="FFFFFF"/>
            <w:vAlign w:val="center"/>
          </w:tcPr>
          <w:p w14:paraId="5A30EB7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响应文件澄清</w:t>
            </w:r>
          </w:p>
        </w:tc>
        <w:tc>
          <w:tcPr>
            <w:tcW w:w="4965" w:type="dxa"/>
            <w:shd w:val="clear" w:color="000000" w:fill="FFFFFF"/>
            <w:vAlign w:val="center"/>
          </w:tcPr>
          <w:p w14:paraId="51E71B7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对评审委员会提出的质疑能够合理解释或提供证明材料，根据评委会建议进行修正；（如有）</w:t>
            </w:r>
          </w:p>
        </w:tc>
        <w:tc>
          <w:tcPr>
            <w:tcW w:w="1859" w:type="dxa"/>
            <w:shd w:val="clear" w:color="000000" w:fill="FFFFFF"/>
            <w:vAlign w:val="center"/>
          </w:tcPr>
          <w:p w14:paraId="110D68C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6EF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664B08A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8</w:t>
            </w:r>
          </w:p>
        </w:tc>
        <w:tc>
          <w:tcPr>
            <w:tcW w:w="2100" w:type="dxa"/>
            <w:shd w:val="clear" w:color="000000" w:fill="FFFFFF"/>
            <w:vAlign w:val="center"/>
          </w:tcPr>
          <w:p w14:paraId="659AA7F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磋商有效期</w:t>
            </w:r>
          </w:p>
        </w:tc>
        <w:tc>
          <w:tcPr>
            <w:tcW w:w="4965" w:type="dxa"/>
            <w:shd w:val="clear" w:color="000000" w:fill="FFFFFF"/>
            <w:vAlign w:val="center"/>
          </w:tcPr>
          <w:p w14:paraId="7891FE6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磋商有效期满足竞争性磋商文件要求；</w:t>
            </w:r>
          </w:p>
        </w:tc>
        <w:tc>
          <w:tcPr>
            <w:tcW w:w="1859" w:type="dxa"/>
            <w:shd w:val="clear" w:color="000000" w:fill="FFFFFF"/>
            <w:vAlign w:val="center"/>
          </w:tcPr>
          <w:p w14:paraId="07F07C8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09D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0FB68E9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9</w:t>
            </w:r>
          </w:p>
        </w:tc>
        <w:tc>
          <w:tcPr>
            <w:tcW w:w="2100" w:type="dxa"/>
            <w:shd w:val="clear" w:color="000000" w:fill="FFFFFF"/>
            <w:vAlign w:val="center"/>
          </w:tcPr>
          <w:p w14:paraId="757A1BF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实质性响应竞争性磋商文件</w:t>
            </w:r>
          </w:p>
        </w:tc>
        <w:tc>
          <w:tcPr>
            <w:tcW w:w="4965" w:type="dxa"/>
            <w:shd w:val="clear" w:color="000000" w:fill="FFFFFF"/>
            <w:vAlign w:val="center"/>
          </w:tcPr>
          <w:p w14:paraId="38D94A3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1.响应文件未含有采购人不能接受的附加条件；</w:t>
            </w:r>
          </w:p>
          <w:p w14:paraId="603039A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2.未出现法律、法规和竞争性磋商文件规定的其他无效情形；</w:t>
            </w:r>
          </w:p>
          <w:p w14:paraId="18B4690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3.不存在其他未实质性响应竞争性磋商文件要求的；</w:t>
            </w:r>
          </w:p>
          <w:p w14:paraId="01E18CC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4</w:t>
            </w:r>
            <w:r>
              <w:rPr>
                <w:rFonts w:hint="eastAsia" w:ascii="仿宋" w:hAnsi="仿宋" w:eastAsia="仿宋" w:cs="仿宋"/>
                <w:b w:val="0"/>
                <w:bCs/>
                <w:color w:val="auto"/>
                <w:kern w:val="0"/>
                <w:sz w:val="21"/>
                <w:szCs w:val="21"/>
                <w:highlight w:val="none"/>
                <w:lang w:val="en-US" w:eastAsia="zh-CN"/>
              </w:rPr>
              <w:t>.</w:t>
            </w:r>
            <w:r>
              <w:rPr>
                <w:rFonts w:hint="eastAsia" w:ascii="仿宋" w:hAnsi="仿宋" w:eastAsia="仿宋" w:cs="仿宋"/>
                <w:b w:val="0"/>
                <w:bCs/>
                <w:color w:val="auto"/>
                <w:kern w:val="0"/>
                <w:sz w:val="21"/>
                <w:szCs w:val="21"/>
                <w:highlight w:val="none"/>
              </w:rPr>
              <w:t>满足</w:t>
            </w:r>
            <w:r>
              <w:rPr>
                <w:rFonts w:hint="eastAsia" w:ascii="仿宋" w:hAnsi="仿宋" w:eastAsia="仿宋" w:cs="仿宋"/>
                <w:b w:val="0"/>
                <w:bCs/>
                <w:color w:val="auto"/>
                <w:kern w:val="0"/>
                <w:sz w:val="21"/>
                <w:szCs w:val="21"/>
                <w:highlight w:val="none"/>
                <w:lang w:eastAsia="zh-CN"/>
              </w:rPr>
              <w:t>竞争性磋商文件</w:t>
            </w:r>
            <w:r>
              <w:rPr>
                <w:rFonts w:hint="eastAsia" w:ascii="仿宋" w:hAnsi="仿宋" w:eastAsia="仿宋" w:cs="仿宋"/>
                <w:b w:val="0"/>
                <w:bCs/>
                <w:color w:val="auto"/>
                <w:kern w:val="0"/>
                <w:sz w:val="21"/>
                <w:szCs w:val="21"/>
                <w:highlight w:val="none"/>
              </w:rPr>
              <w:t>★号条款的。</w:t>
            </w:r>
          </w:p>
        </w:tc>
        <w:tc>
          <w:tcPr>
            <w:tcW w:w="1859" w:type="dxa"/>
            <w:shd w:val="clear" w:color="000000" w:fill="FFFFFF"/>
            <w:vAlign w:val="center"/>
          </w:tcPr>
          <w:p w14:paraId="746D1AB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0F7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097D664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10</w:t>
            </w:r>
          </w:p>
        </w:tc>
        <w:tc>
          <w:tcPr>
            <w:tcW w:w="2100" w:type="dxa"/>
            <w:shd w:val="clear" w:color="000000" w:fill="FFFFFF"/>
            <w:vAlign w:val="center"/>
          </w:tcPr>
          <w:p w14:paraId="45C3164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磋商报价</w:t>
            </w:r>
          </w:p>
        </w:tc>
        <w:tc>
          <w:tcPr>
            <w:tcW w:w="4965" w:type="dxa"/>
            <w:shd w:val="clear" w:color="000000" w:fill="FFFFFF"/>
            <w:vAlign w:val="center"/>
          </w:tcPr>
          <w:p w14:paraId="7AD99C1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磋商报价未超出竞争性磋商文件规定的最高限价</w:t>
            </w:r>
            <w:r>
              <w:rPr>
                <w:rFonts w:hint="eastAsia" w:ascii="仿宋" w:hAnsi="仿宋" w:eastAsia="仿宋" w:cs="仿宋"/>
                <w:b w:val="0"/>
                <w:bCs/>
                <w:color w:val="auto"/>
                <w:kern w:val="0"/>
                <w:sz w:val="21"/>
                <w:szCs w:val="21"/>
                <w:highlight w:val="none"/>
                <w:lang w:val="en-US" w:eastAsia="zh-CN"/>
              </w:rPr>
              <w:t>及</w:t>
            </w:r>
            <w:r>
              <w:rPr>
                <w:rFonts w:hint="eastAsia" w:ascii="仿宋" w:hAnsi="仿宋" w:eastAsia="仿宋" w:cs="仿宋"/>
                <w:b w:val="0"/>
                <w:bCs/>
                <w:color w:val="auto"/>
                <w:kern w:val="0"/>
                <w:sz w:val="21"/>
                <w:szCs w:val="21"/>
                <w:highlight w:val="none"/>
              </w:rPr>
              <w:t>最高</w:t>
            </w:r>
            <w:r>
              <w:rPr>
                <w:rFonts w:hint="eastAsia" w:ascii="仿宋" w:hAnsi="仿宋" w:eastAsia="仿宋" w:cs="仿宋"/>
                <w:b w:val="0"/>
                <w:bCs/>
                <w:color w:val="auto"/>
                <w:sz w:val="21"/>
                <w:szCs w:val="21"/>
                <w:highlight w:val="none"/>
                <w:lang w:val="en-US"/>
              </w:rPr>
              <w:t>分项单价</w:t>
            </w:r>
            <w:r>
              <w:rPr>
                <w:rFonts w:hint="eastAsia" w:ascii="仿宋" w:hAnsi="仿宋" w:eastAsia="仿宋" w:cs="仿宋"/>
                <w:b w:val="0"/>
                <w:bCs/>
                <w:color w:val="auto"/>
                <w:kern w:val="0"/>
                <w:sz w:val="21"/>
                <w:szCs w:val="21"/>
                <w:highlight w:val="none"/>
              </w:rPr>
              <w:t>；</w:t>
            </w:r>
          </w:p>
        </w:tc>
        <w:tc>
          <w:tcPr>
            <w:tcW w:w="1859" w:type="dxa"/>
            <w:shd w:val="clear" w:color="000000" w:fill="FFFFFF"/>
            <w:vAlign w:val="center"/>
          </w:tcPr>
          <w:p w14:paraId="2257B4F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r w14:paraId="704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shd w:val="clear" w:color="000000" w:fill="FFFFFF"/>
            <w:vAlign w:val="center"/>
          </w:tcPr>
          <w:p w14:paraId="56E552D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11</w:t>
            </w:r>
          </w:p>
        </w:tc>
        <w:tc>
          <w:tcPr>
            <w:tcW w:w="2100" w:type="dxa"/>
            <w:shd w:val="clear" w:color="000000" w:fill="FFFFFF"/>
            <w:vAlign w:val="center"/>
          </w:tcPr>
          <w:p w14:paraId="14D76E7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代理服务费承诺书</w:t>
            </w:r>
          </w:p>
        </w:tc>
        <w:tc>
          <w:tcPr>
            <w:tcW w:w="4965" w:type="dxa"/>
            <w:shd w:val="clear" w:color="000000" w:fill="FFFFFF"/>
            <w:vAlign w:val="center"/>
          </w:tcPr>
          <w:p w14:paraId="2AF8A611">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按照竞争性磋商文件格式要求提供代理服务费承诺书。</w:t>
            </w:r>
          </w:p>
        </w:tc>
        <w:tc>
          <w:tcPr>
            <w:tcW w:w="1859" w:type="dxa"/>
            <w:shd w:val="clear" w:color="000000" w:fill="FFFFFF"/>
            <w:vAlign w:val="center"/>
          </w:tcPr>
          <w:p w14:paraId="2DB9739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不允许</w:t>
            </w:r>
          </w:p>
        </w:tc>
      </w:tr>
    </w:tbl>
    <w:p w14:paraId="11A8EB2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2磋商、响应文件有关事项的澄清、说明或者更正和最后报价</w:t>
      </w:r>
    </w:p>
    <w:p w14:paraId="6D245A1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2.1磋商小组所有成员应当集中与单一供应商分别进行磋商，并给予所有参加磋商的供应商平等的磋商机会。</w:t>
      </w:r>
    </w:p>
    <w:p w14:paraId="4CE1975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348AC0E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2.3对竞争性磋商文件作出的实质性变动是竞争性磋商文件的有效组成部分，磋商小组应当及时以书面形式同时通知所有参加磋商的供应商。</w:t>
      </w:r>
    </w:p>
    <w:p w14:paraId="4543AF3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2.4供应商应当按照竞争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70D4B7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2.5响应文件的澄清、说明或者更正：</w:t>
      </w:r>
    </w:p>
    <w:p w14:paraId="668658C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43267FC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27E2AC0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11D431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2.6磋商结束后，磋商小组将要求所有实质性响应的供应商在规定时间内提交最后报价。最后报价时间为磋商小组指定的时间，具体时间根据磋商进度另行通知，接到通知后供应商应将最后报价填报至系统，未在规定时间内填报的系统将自动默认供应商放弃最后报价，其价格以第一次报价为准。</w:t>
      </w:r>
    </w:p>
    <w:p w14:paraId="669B5D7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2.7竞争性磋商文件能够详细列明采购标的的技术、服务要求的，磋商结束后，磋商小组应当要求所有实质性响应的供应商在规定时间内提交最后报价，提交最后报价的供应商不得少于3家。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08443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2.8最后报价是供应商响应文件的有效组成部分。</w:t>
      </w:r>
    </w:p>
    <w:p w14:paraId="770AF1F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2.9已提交响应文件的供应商，在提交最后报价之前，可以根据磋商情况退出磋商。</w:t>
      </w:r>
    </w:p>
    <w:p w14:paraId="092035D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3最后报价的算术修正及政策调整</w:t>
      </w:r>
    </w:p>
    <w:p w14:paraId="1F4E98C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12B77DD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3.2最后报价出现前后不一致的，按照下列规定修正：</w:t>
      </w:r>
    </w:p>
    <w:p w14:paraId="70467A9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3.2.1竞争性磋商文件对于报价修正是否另有规定：</w:t>
      </w:r>
    </w:p>
    <w:p w14:paraId="232053A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□有，具体规定为：</w:t>
      </w:r>
      <w:r>
        <w:rPr>
          <w:rFonts w:hint="eastAsia" w:ascii="仿宋" w:hAnsi="仿宋" w:eastAsia="仿宋" w:cs="仿宋"/>
          <w:b w:val="0"/>
          <w:bCs/>
          <w:color w:val="auto"/>
          <w:sz w:val="21"/>
          <w:szCs w:val="21"/>
          <w:highlight w:val="none"/>
          <w:u w:val="single"/>
          <w:lang w:val="en-US" w:eastAsia="zh-CN"/>
        </w:rPr>
        <w:t xml:space="preserve">   /   </w:t>
      </w:r>
    </w:p>
    <w:p w14:paraId="6A5DD80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■无，按下述3.2.2-3.2.6项规定修正。</w:t>
      </w:r>
    </w:p>
    <w:p w14:paraId="4C64674E">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3.2.2大写金额和小写金额不一致的，以大写金额为准；</w:t>
      </w:r>
    </w:p>
    <w:p w14:paraId="208111B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3.2.3单价金额小数点或者百分比有明显错位的，以总价为准，并修改单价；</w:t>
      </w:r>
    </w:p>
    <w:p w14:paraId="3B88B9B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3.2.4总价金额与按单价汇总金额不一致的，以单价金额计算结果为准。</w:t>
      </w:r>
    </w:p>
    <w:p w14:paraId="30682BF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3.2.5同时出现两种以上不一致的，按照前款规定的顺序修正。</w:t>
      </w:r>
    </w:p>
    <w:p w14:paraId="56B6A57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3.2.6修正后的报价经供应商书面确认后产生约束力，供应商不确认的，其响应无效。</w:t>
      </w:r>
    </w:p>
    <w:p w14:paraId="12943E3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3.3落实政府采购政策的价格调整：只有符合第二章《供应商须知》4.2条规定情形的，可以享受中小企业扶持政策，用扣除后的价格参加评审；否则，评审时价格不予扣除。</w:t>
      </w:r>
    </w:p>
    <w:p w14:paraId="634C7D8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3.3.1对于未预留份额专门面向中小企业采购的采购项目，以及预留份额项目中的非预留部分采购包，对小微企业报价给予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%的扣除，用扣除后的价格参加评审。</w:t>
      </w:r>
    </w:p>
    <w:p w14:paraId="4AD7B59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%的扣除，用扣除后的价格参加评审。</w:t>
      </w:r>
    </w:p>
    <w:p w14:paraId="0ECF923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3.3.3组成联合体或者接受分包的小微企业与联合体内其他企业、分包企业之间存在直接控股、管理关系的，不享受价格扣除优惠政策。</w:t>
      </w:r>
    </w:p>
    <w:p w14:paraId="7D2EE43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3.3.4价格扣除比例对小型企业和微型企业同等对待，不作区分。</w:t>
      </w:r>
    </w:p>
    <w:p w14:paraId="62CEEC81">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3.3.5中小企业参加政府采购活动，应当按照竞争性磋商文件给定的格式出具《中小企业声明函》，否则不得享受相关中小企业扶持政策。</w:t>
      </w:r>
    </w:p>
    <w:p w14:paraId="510116B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3.3.6监狱企业提供了由省级以上监狱管理局（北京市含教育矫治局）、戒毒管理局（含新疆生产建设兵团）出具的属于监狱企业的证明文件的，视同小微企业。</w:t>
      </w:r>
    </w:p>
    <w:p w14:paraId="56FE54B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3.3.7残疾人福利性单位按竞争性磋商文件要求提供了《残疾人福利性单位声明函》（见附件）的，视同小微企业。</w:t>
      </w:r>
    </w:p>
    <w:p w14:paraId="09979BB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3.3.8若供应商同时属于小型或微型企业、监狱企业、残疾人福利性单位中的两种及以上，将不重复享受小微企业价格扣减的优惠政策。</w:t>
      </w:r>
    </w:p>
    <w:p w14:paraId="1B40B5A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3.3.9其他为落实政府采购政策实施的优先采购：</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p w14:paraId="3029215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4磋商环节及提交最后报价后如出现以下情况的，供应商的响应文件无效：</w:t>
      </w:r>
    </w:p>
    <w:p w14:paraId="0D68018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4.1供应商对实质性变动不予确认的；</w:t>
      </w:r>
    </w:p>
    <w:p w14:paraId="16D9E09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4.2不满足竞争性磋商文件★号条款或竞争性磋商文件技术指标超出竞争性磋商文件《采购需求》中主要技术参数允许偏差的最大范围的（如有）；</w:t>
      </w:r>
    </w:p>
    <w:p w14:paraId="1F0A0A5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4.3如供应商的最后报价超过竞争性磋商文件中规定的项目/采购包预算金额或者项目/采购包最高限价的；</w:t>
      </w:r>
    </w:p>
    <w:p w14:paraId="69A4835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4.4响应文件中出现可选择性或可调整的报价的（竞争性磋商文件另有规定的除外）；</w:t>
      </w:r>
    </w:p>
    <w:p w14:paraId="02E951C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4.5最后报价出现前后不一致，供应商对修正后的报价不予确认的；</w:t>
      </w:r>
    </w:p>
    <w:p w14:paraId="0054FBA2">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4.6其他：</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bookmarkEnd w:id="626"/>
    <w:bookmarkEnd w:id="627"/>
    <w:p w14:paraId="161C1D0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5评审方法和评审标准</w:t>
      </w:r>
    </w:p>
    <w:p w14:paraId="028B702F">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5.1本项目采用的评审方法为：本项目的评审采用综合评分法。综合评分法，是指响应文件满足竞争性磋商文件全部实质性要求且按评审因素的量化指标评审得分最高的供应商为成交候选供应商的评审方法。</w:t>
      </w:r>
    </w:p>
    <w:p w14:paraId="26F2E96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5.2竞争性磋商文件中没有规定的评审标准不得作为评审依据。</w:t>
      </w:r>
    </w:p>
    <w:p w14:paraId="2B74E83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5.3非政府强制采购的节能产品或环境标志产品，依据品目清单和认证证书实施政府优先采购。优先采购的具体规定（如涉及）</w:t>
      </w:r>
      <w:r>
        <w:rPr>
          <w:rFonts w:hint="eastAsia" w:ascii="仿宋" w:hAnsi="仿宋" w:eastAsia="仿宋" w:cs="仿宋"/>
          <w:b w:val="0"/>
          <w:bCs/>
          <w:color w:val="auto"/>
          <w:sz w:val="21"/>
          <w:szCs w:val="21"/>
          <w:highlight w:val="none"/>
          <w:u w:val="single"/>
          <w:lang w:val="en-US" w:eastAsia="zh-CN"/>
        </w:rPr>
        <w:t xml:space="preserve">   /   </w:t>
      </w:r>
      <w:r>
        <w:rPr>
          <w:rFonts w:hint="eastAsia" w:ascii="仿宋" w:hAnsi="仿宋" w:eastAsia="仿宋" w:cs="仿宋"/>
          <w:b w:val="0"/>
          <w:bCs/>
          <w:color w:val="auto"/>
          <w:sz w:val="21"/>
          <w:szCs w:val="21"/>
          <w:highlight w:val="none"/>
          <w:lang w:val="en-US" w:eastAsia="zh-CN"/>
        </w:rPr>
        <w:t>。</w:t>
      </w:r>
    </w:p>
    <w:p w14:paraId="7497D97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6确定</w:t>
      </w:r>
      <w:bookmarkStart w:id="645" w:name="_Toc305158814"/>
      <w:bookmarkStart w:id="646" w:name="_Toc151193934"/>
      <w:bookmarkStart w:id="647" w:name="_Toc226337242"/>
      <w:bookmarkStart w:id="648" w:name="_Toc305158888"/>
      <w:bookmarkStart w:id="649" w:name="_Toc127161460"/>
      <w:bookmarkStart w:id="650" w:name="_Toc150774751"/>
      <w:bookmarkStart w:id="651" w:name="_Toc520356170"/>
      <w:bookmarkStart w:id="652" w:name="_Toc164351640"/>
      <w:bookmarkStart w:id="653" w:name="_Toc142311048"/>
      <w:bookmarkStart w:id="654" w:name="_Toc226309790"/>
      <w:bookmarkStart w:id="655" w:name="_Toc226965819"/>
      <w:bookmarkStart w:id="656" w:name="_Toc149720839"/>
      <w:bookmarkStart w:id="657" w:name="_Toc151193788"/>
      <w:bookmarkStart w:id="658" w:name="_Toc265228384"/>
      <w:bookmarkStart w:id="659" w:name="_Toc195842911"/>
      <w:bookmarkStart w:id="660" w:name="_Toc127151546"/>
      <w:bookmarkStart w:id="661" w:name="_Toc151193860"/>
      <w:bookmarkStart w:id="662" w:name="_Toc150509297"/>
      <w:bookmarkStart w:id="663" w:name="_Toc164608815"/>
      <w:bookmarkStart w:id="664" w:name="_Toc151193716"/>
      <w:bookmarkStart w:id="665" w:name="_Toc164229387"/>
      <w:bookmarkStart w:id="666" w:name="_Toc264969236"/>
      <w:bookmarkStart w:id="667" w:name="_Ref467307010"/>
      <w:bookmarkStart w:id="668" w:name="_Toc150774646"/>
      <w:bookmarkStart w:id="669" w:name="_Toc151193644"/>
      <w:bookmarkStart w:id="670" w:name="_Toc226965736"/>
      <w:bookmarkStart w:id="671" w:name="_Toc151190173"/>
      <w:bookmarkStart w:id="672" w:name="_Toc127151747"/>
      <w:bookmarkStart w:id="673" w:name="_Toc150480784"/>
      <w:bookmarkStart w:id="674" w:name="_Toc164608660"/>
      <w:bookmarkStart w:id="675" w:name="_Toc164229241"/>
      <w:r>
        <w:rPr>
          <w:rFonts w:hint="eastAsia" w:ascii="仿宋" w:hAnsi="仿宋" w:eastAsia="仿宋" w:cs="仿宋"/>
          <w:b w:val="0"/>
          <w:bCs/>
          <w:color w:val="auto"/>
          <w:sz w:val="21"/>
          <w:szCs w:val="21"/>
          <w:highlight w:val="none"/>
          <w:lang w:val="en-US" w:eastAsia="zh-CN"/>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738AA49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 xml:space="preserve">6.1磋商小组将根据各供应商的评审排序以及竞争性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EAD78A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6.2磋商小组根据上述供应商排序，依次推荐排序前</w:t>
      </w:r>
      <w:r>
        <w:rPr>
          <w:rFonts w:hint="eastAsia" w:ascii="仿宋" w:hAnsi="仿宋" w:eastAsia="仿宋" w:cs="仿宋"/>
          <w:b w:val="0"/>
          <w:bCs/>
          <w:color w:val="auto"/>
          <w:sz w:val="21"/>
          <w:szCs w:val="21"/>
          <w:highlight w:val="none"/>
          <w:u w:val="single"/>
          <w:lang w:val="en-US" w:eastAsia="zh-CN"/>
        </w:rPr>
        <w:t>3</w:t>
      </w:r>
      <w:r>
        <w:rPr>
          <w:rFonts w:hint="eastAsia" w:ascii="仿宋" w:hAnsi="仿宋" w:eastAsia="仿宋" w:cs="仿宋"/>
          <w:b w:val="0"/>
          <w:bCs/>
          <w:color w:val="auto"/>
          <w:sz w:val="21"/>
          <w:szCs w:val="21"/>
          <w:highlight w:val="none"/>
          <w:lang w:val="en-US" w:eastAsia="zh-CN"/>
        </w:rPr>
        <w:t>名的供应商为成交候选供应商（若在竞争性磋商文件允许的情形下提交最后报价的供应商为二家，则依次推荐二名供应商为成交候选供应商），并编写评审报告。</w:t>
      </w:r>
    </w:p>
    <w:p w14:paraId="01D4508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6.3磋商小组要对评分汇总情况进行复核，特别是对排名第一的、报价最低的、响应文件被认定为无效的情形进行重点复核。</w:t>
      </w:r>
    </w:p>
    <w:p w14:paraId="47A38D36">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7报告违法行为</w:t>
      </w:r>
    </w:p>
    <w:p w14:paraId="610A66F0">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7.1磋商小组在评审过程中发现供应商有行贿、提供虚假材料或者串通等违法行为时，有向采购人、采购代理机构或者有关部门报告的职责。</w:t>
      </w:r>
      <w:r>
        <w:rPr>
          <w:rFonts w:hint="eastAsia" w:ascii="仿宋" w:hAnsi="仿宋" w:eastAsia="仿宋" w:cs="仿宋"/>
          <w:b w:val="0"/>
          <w:bCs/>
          <w:color w:val="auto"/>
          <w:sz w:val="21"/>
          <w:szCs w:val="21"/>
          <w:highlight w:val="none"/>
          <w:lang w:val="en-US" w:eastAsia="zh-CN"/>
        </w:rPr>
        <w:br w:type="page"/>
      </w:r>
    </w:p>
    <w:p w14:paraId="229AC5A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676" w:name="_Toc20369"/>
      <w:r>
        <w:rPr>
          <w:rFonts w:hint="eastAsia" w:ascii="仿宋" w:hAnsi="仿宋" w:eastAsia="仿宋" w:cs="仿宋"/>
          <w:b w:val="0"/>
          <w:bCs/>
          <w:color w:val="auto"/>
          <w:sz w:val="21"/>
          <w:szCs w:val="21"/>
          <w:highlight w:val="none"/>
        </w:rPr>
        <w:t>二、评审标准</w:t>
      </w:r>
      <w:bookmarkEnd w:id="676"/>
    </w:p>
    <w:tbl>
      <w:tblPr>
        <w:tblStyle w:val="21"/>
        <w:tblW w:w="970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1260"/>
        <w:gridCol w:w="885"/>
        <w:gridCol w:w="5745"/>
      </w:tblGrid>
      <w:tr w14:paraId="3BAF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05B23C8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110" w:type="dxa"/>
            <w:noWrap w:val="0"/>
            <w:vAlign w:val="center"/>
          </w:tcPr>
          <w:p w14:paraId="4004AD74">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评审项</w:t>
            </w:r>
          </w:p>
        </w:tc>
        <w:tc>
          <w:tcPr>
            <w:tcW w:w="1260" w:type="dxa"/>
            <w:noWrap w:val="0"/>
            <w:vAlign w:val="center"/>
          </w:tcPr>
          <w:p w14:paraId="20A38ED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评分因素</w:t>
            </w:r>
          </w:p>
        </w:tc>
        <w:tc>
          <w:tcPr>
            <w:tcW w:w="885" w:type="dxa"/>
            <w:noWrap w:val="0"/>
            <w:vAlign w:val="center"/>
          </w:tcPr>
          <w:p w14:paraId="3AD4DD1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分值</w:t>
            </w:r>
          </w:p>
        </w:tc>
        <w:tc>
          <w:tcPr>
            <w:tcW w:w="5745" w:type="dxa"/>
            <w:noWrap w:val="0"/>
            <w:vAlign w:val="center"/>
          </w:tcPr>
          <w:p w14:paraId="43B93B22">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评分标准</w:t>
            </w:r>
          </w:p>
        </w:tc>
      </w:tr>
      <w:tr w14:paraId="49B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07F8C612">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p>
        </w:tc>
        <w:tc>
          <w:tcPr>
            <w:tcW w:w="1110" w:type="dxa"/>
            <w:vMerge w:val="restart"/>
            <w:noWrap w:val="0"/>
            <w:vAlign w:val="center"/>
          </w:tcPr>
          <w:p w14:paraId="3BAA7E8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技术评审（</w:t>
            </w:r>
            <w:r>
              <w:rPr>
                <w:rFonts w:hint="eastAsia" w:ascii="仿宋" w:hAnsi="仿宋" w:eastAsia="仿宋" w:cs="仿宋"/>
                <w:b w:val="0"/>
                <w:bCs/>
                <w:color w:val="auto"/>
                <w:sz w:val="21"/>
                <w:szCs w:val="21"/>
                <w:highlight w:val="none"/>
                <w:lang w:val="en-US" w:eastAsia="zh-CN"/>
              </w:rPr>
              <w:t>75</w:t>
            </w:r>
            <w:r>
              <w:rPr>
                <w:rFonts w:hint="eastAsia" w:ascii="仿宋" w:hAnsi="仿宋" w:eastAsia="仿宋" w:cs="仿宋"/>
                <w:b w:val="0"/>
                <w:bCs/>
                <w:color w:val="auto"/>
                <w:sz w:val="21"/>
                <w:szCs w:val="21"/>
                <w:highlight w:val="none"/>
              </w:rPr>
              <w:t>分）</w:t>
            </w:r>
          </w:p>
        </w:tc>
        <w:tc>
          <w:tcPr>
            <w:tcW w:w="1260" w:type="dxa"/>
            <w:noWrap w:val="0"/>
            <w:vAlign w:val="center"/>
          </w:tcPr>
          <w:p w14:paraId="0943DF1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法律咨询</w:t>
            </w:r>
          </w:p>
          <w:p w14:paraId="40629E8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885" w:type="dxa"/>
            <w:noWrap w:val="0"/>
            <w:vAlign w:val="center"/>
          </w:tcPr>
          <w:p w14:paraId="2F858C0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0-15</w:t>
            </w:r>
          </w:p>
        </w:tc>
        <w:tc>
          <w:tcPr>
            <w:tcW w:w="5745" w:type="dxa"/>
            <w:noWrap w:val="0"/>
            <w:vAlign w:val="center"/>
          </w:tcPr>
          <w:p w14:paraId="2E4260AC">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内容完整、合理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针对性强、</w:t>
            </w:r>
            <w:r>
              <w:rPr>
                <w:rFonts w:hint="eastAsia" w:ascii="仿宋" w:hAnsi="仿宋" w:eastAsia="仿宋" w:cs="仿宋"/>
                <w:b w:val="0"/>
                <w:bCs/>
                <w:color w:val="auto"/>
                <w:sz w:val="21"/>
                <w:szCs w:val="21"/>
                <w:highlight w:val="none"/>
              </w:rPr>
              <w:t>可操作性强得</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p w14:paraId="03A38EC5">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基本</w:t>
            </w:r>
            <w:r>
              <w:rPr>
                <w:rFonts w:hint="eastAsia" w:ascii="仿宋" w:hAnsi="仿宋" w:eastAsia="仿宋" w:cs="仿宋"/>
                <w:b w:val="0"/>
                <w:bCs/>
                <w:color w:val="auto"/>
                <w:sz w:val="21"/>
                <w:szCs w:val="21"/>
                <w:highlight w:val="none"/>
              </w:rPr>
              <w:t>完整、合理性一般，具有一定操作性得</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p w14:paraId="5CE7A18D">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内容有欠缺、合理性差，可操作性差的得</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分；</w:t>
            </w:r>
          </w:p>
          <w:p w14:paraId="0822335A">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未提供得0分。</w:t>
            </w:r>
          </w:p>
        </w:tc>
      </w:tr>
      <w:tr w14:paraId="639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72247540">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p>
        </w:tc>
        <w:tc>
          <w:tcPr>
            <w:tcW w:w="1110" w:type="dxa"/>
            <w:vMerge w:val="continue"/>
            <w:noWrap w:val="0"/>
            <w:vAlign w:val="center"/>
          </w:tcPr>
          <w:p w14:paraId="0FAABBB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3E4C4CD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合同审核</w:t>
            </w:r>
          </w:p>
          <w:p w14:paraId="6732F5D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885" w:type="dxa"/>
            <w:noWrap w:val="0"/>
            <w:vAlign w:val="center"/>
          </w:tcPr>
          <w:p w14:paraId="307DBFD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0-15</w:t>
            </w:r>
          </w:p>
        </w:tc>
        <w:tc>
          <w:tcPr>
            <w:tcW w:w="5745" w:type="dxa"/>
            <w:noWrap w:val="0"/>
            <w:vAlign w:val="center"/>
          </w:tcPr>
          <w:p w14:paraId="0FB3C36D">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内容完整、合理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针对性</w:t>
            </w:r>
            <w:r>
              <w:rPr>
                <w:rFonts w:hint="eastAsia" w:ascii="仿宋" w:hAnsi="仿宋" w:eastAsia="仿宋" w:cs="仿宋"/>
                <w:b w:val="0"/>
                <w:bCs/>
                <w:color w:val="auto"/>
                <w:sz w:val="21"/>
                <w:szCs w:val="21"/>
                <w:highlight w:val="none"/>
              </w:rPr>
              <w:t>强得</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p w14:paraId="705A8C9C">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基本</w:t>
            </w:r>
            <w:r>
              <w:rPr>
                <w:rFonts w:hint="eastAsia" w:ascii="仿宋" w:hAnsi="仿宋" w:eastAsia="仿宋" w:cs="仿宋"/>
                <w:b w:val="0"/>
                <w:bCs/>
                <w:color w:val="auto"/>
                <w:sz w:val="21"/>
                <w:szCs w:val="21"/>
                <w:highlight w:val="none"/>
              </w:rPr>
              <w:t>完整、合理性一般，</w:t>
            </w:r>
            <w:r>
              <w:rPr>
                <w:rFonts w:hint="eastAsia" w:ascii="仿宋" w:hAnsi="仿宋" w:eastAsia="仿宋" w:cs="仿宋"/>
                <w:b w:val="0"/>
                <w:bCs/>
                <w:color w:val="auto"/>
                <w:sz w:val="21"/>
                <w:szCs w:val="21"/>
                <w:highlight w:val="none"/>
                <w:lang w:val="en-US" w:eastAsia="zh-CN"/>
              </w:rPr>
              <w:t>针对性较</w:t>
            </w:r>
            <w:r>
              <w:rPr>
                <w:rFonts w:hint="eastAsia" w:ascii="仿宋" w:hAnsi="仿宋" w:eastAsia="仿宋" w:cs="仿宋"/>
                <w:b w:val="0"/>
                <w:bCs/>
                <w:color w:val="auto"/>
                <w:sz w:val="21"/>
                <w:szCs w:val="21"/>
                <w:highlight w:val="none"/>
              </w:rPr>
              <w:t>强得</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p w14:paraId="47308D56">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内容有欠缺、合理性差的得</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分；</w:t>
            </w:r>
          </w:p>
          <w:p w14:paraId="68AB61E6">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未提供得0分。</w:t>
            </w:r>
          </w:p>
        </w:tc>
      </w:tr>
      <w:tr w14:paraId="1725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41341254">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p>
        </w:tc>
        <w:tc>
          <w:tcPr>
            <w:tcW w:w="1110" w:type="dxa"/>
            <w:vMerge w:val="continue"/>
            <w:noWrap w:val="0"/>
            <w:vAlign w:val="center"/>
          </w:tcPr>
          <w:p w14:paraId="32E5CC51">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045E9F8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案件代理</w:t>
            </w:r>
          </w:p>
          <w:p w14:paraId="4B1F80B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885" w:type="dxa"/>
            <w:noWrap w:val="0"/>
            <w:vAlign w:val="center"/>
          </w:tcPr>
          <w:p w14:paraId="4695418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0-15</w:t>
            </w:r>
          </w:p>
        </w:tc>
        <w:tc>
          <w:tcPr>
            <w:tcW w:w="5745" w:type="dxa"/>
            <w:noWrap w:val="0"/>
            <w:vAlign w:val="top"/>
          </w:tcPr>
          <w:p w14:paraId="127783C9">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科学</w:t>
            </w:r>
            <w:r>
              <w:rPr>
                <w:rFonts w:hint="eastAsia" w:ascii="仿宋" w:hAnsi="仿宋" w:eastAsia="仿宋" w:cs="仿宋"/>
                <w:b w:val="0"/>
                <w:bCs/>
                <w:color w:val="auto"/>
                <w:sz w:val="21"/>
                <w:szCs w:val="21"/>
                <w:highlight w:val="none"/>
              </w:rPr>
              <w:t>、合理，</w:t>
            </w:r>
            <w:r>
              <w:rPr>
                <w:rFonts w:hint="eastAsia" w:ascii="仿宋" w:hAnsi="仿宋" w:eastAsia="仿宋" w:cs="仿宋"/>
                <w:b w:val="0"/>
                <w:bCs/>
                <w:color w:val="auto"/>
                <w:sz w:val="21"/>
                <w:szCs w:val="21"/>
                <w:highlight w:val="none"/>
                <w:lang w:val="en-US" w:eastAsia="zh-CN"/>
              </w:rPr>
              <w:t>完全满足项目要求</w:t>
            </w:r>
            <w:r>
              <w:rPr>
                <w:rFonts w:hint="eastAsia" w:ascii="仿宋" w:hAnsi="仿宋" w:eastAsia="仿宋" w:cs="仿宋"/>
                <w:b w:val="0"/>
                <w:bCs/>
                <w:color w:val="auto"/>
                <w:sz w:val="21"/>
                <w:szCs w:val="21"/>
                <w:highlight w:val="none"/>
              </w:rPr>
              <w:t>得</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p w14:paraId="75F4D5A7">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较科学</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较</w:t>
            </w:r>
            <w:r>
              <w:rPr>
                <w:rFonts w:hint="eastAsia" w:ascii="仿宋" w:hAnsi="仿宋" w:eastAsia="仿宋" w:cs="仿宋"/>
                <w:b w:val="0"/>
                <w:bCs/>
                <w:color w:val="auto"/>
                <w:sz w:val="21"/>
                <w:szCs w:val="21"/>
                <w:highlight w:val="none"/>
              </w:rPr>
              <w:t>合理，</w:t>
            </w:r>
            <w:r>
              <w:rPr>
                <w:rFonts w:hint="eastAsia" w:ascii="仿宋" w:hAnsi="仿宋" w:eastAsia="仿宋" w:cs="仿宋"/>
                <w:b w:val="0"/>
                <w:bCs/>
                <w:color w:val="auto"/>
                <w:sz w:val="21"/>
                <w:szCs w:val="21"/>
                <w:highlight w:val="none"/>
                <w:lang w:val="en-US" w:eastAsia="zh-CN"/>
              </w:rPr>
              <w:t>基本满足项目要求</w:t>
            </w:r>
            <w:r>
              <w:rPr>
                <w:rFonts w:hint="eastAsia" w:ascii="仿宋" w:hAnsi="仿宋" w:eastAsia="仿宋" w:cs="仿宋"/>
                <w:b w:val="0"/>
                <w:bCs/>
                <w:color w:val="auto"/>
                <w:sz w:val="21"/>
                <w:szCs w:val="21"/>
                <w:highlight w:val="none"/>
              </w:rPr>
              <w:t>得</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p w14:paraId="41377C25">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内容有欠缺、合理性差，得</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分；</w:t>
            </w:r>
          </w:p>
          <w:p w14:paraId="210185E5">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未提供得0分。</w:t>
            </w:r>
          </w:p>
        </w:tc>
      </w:tr>
      <w:tr w14:paraId="1866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41B0D839">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4</w:t>
            </w:r>
          </w:p>
        </w:tc>
        <w:tc>
          <w:tcPr>
            <w:tcW w:w="1110" w:type="dxa"/>
            <w:vMerge w:val="continue"/>
            <w:noWrap w:val="0"/>
            <w:vAlign w:val="center"/>
          </w:tcPr>
          <w:p w14:paraId="66483817">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5C38FA2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信息公开</w:t>
            </w:r>
          </w:p>
          <w:p w14:paraId="4B0DF7E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885" w:type="dxa"/>
            <w:noWrap w:val="0"/>
            <w:vAlign w:val="center"/>
          </w:tcPr>
          <w:p w14:paraId="7ACC59B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0-15</w:t>
            </w:r>
          </w:p>
        </w:tc>
        <w:tc>
          <w:tcPr>
            <w:tcW w:w="5745" w:type="dxa"/>
            <w:noWrap w:val="0"/>
            <w:vAlign w:val="top"/>
          </w:tcPr>
          <w:p w14:paraId="0F222A20">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内容完整、合理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针对性强、</w:t>
            </w:r>
            <w:r>
              <w:rPr>
                <w:rFonts w:hint="eastAsia" w:ascii="仿宋" w:hAnsi="仿宋" w:eastAsia="仿宋" w:cs="仿宋"/>
                <w:b w:val="0"/>
                <w:bCs/>
                <w:color w:val="auto"/>
                <w:sz w:val="21"/>
                <w:szCs w:val="21"/>
                <w:highlight w:val="none"/>
              </w:rPr>
              <w:t>可操作性强得</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p w14:paraId="18FC0179">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基本</w:t>
            </w:r>
            <w:r>
              <w:rPr>
                <w:rFonts w:hint="eastAsia" w:ascii="仿宋" w:hAnsi="仿宋" w:eastAsia="仿宋" w:cs="仿宋"/>
                <w:b w:val="0"/>
                <w:bCs/>
                <w:color w:val="auto"/>
                <w:sz w:val="21"/>
                <w:szCs w:val="21"/>
                <w:highlight w:val="none"/>
              </w:rPr>
              <w:t>完整、合理性一般，具有一定操作性得</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p w14:paraId="3316A7C5">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内容有欠缺、合理性差，可操作性差的得</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分；</w:t>
            </w:r>
          </w:p>
          <w:p w14:paraId="3BEB4A0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未提供得0分。</w:t>
            </w:r>
          </w:p>
        </w:tc>
      </w:tr>
      <w:tr w14:paraId="2493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2F3EEB59">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5</w:t>
            </w:r>
          </w:p>
        </w:tc>
        <w:tc>
          <w:tcPr>
            <w:tcW w:w="1110" w:type="dxa"/>
            <w:vMerge w:val="continue"/>
            <w:noWrap w:val="0"/>
            <w:vAlign w:val="center"/>
          </w:tcPr>
          <w:p w14:paraId="2A9192E9">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1159649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驻场</w:t>
            </w:r>
            <w:r>
              <w:rPr>
                <w:rFonts w:hint="eastAsia" w:ascii="仿宋" w:hAnsi="仿宋" w:eastAsia="仿宋" w:cs="仿宋"/>
                <w:b w:val="0"/>
                <w:bCs/>
                <w:color w:val="auto"/>
                <w:sz w:val="21"/>
                <w:szCs w:val="21"/>
                <w:highlight w:val="none"/>
                <w:lang w:val="en-US" w:eastAsia="zh-CN"/>
              </w:rPr>
              <w:t>服务</w:t>
            </w:r>
          </w:p>
          <w:p w14:paraId="2514047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885" w:type="dxa"/>
            <w:noWrap w:val="0"/>
            <w:vAlign w:val="center"/>
          </w:tcPr>
          <w:p w14:paraId="517085C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0-15</w:t>
            </w:r>
          </w:p>
        </w:tc>
        <w:tc>
          <w:tcPr>
            <w:tcW w:w="5745" w:type="dxa"/>
            <w:noWrap w:val="0"/>
            <w:vAlign w:val="center"/>
          </w:tcPr>
          <w:p w14:paraId="49FDD21D">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内容完整、合理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针对性强、</w:t>
            </w:r>
            <w:r>
              <w:rPr>
                <w:rFonts w:hint="eastAsia" w:ascii="仿宋" w:hAnsi="仿宋" w:eastAsia="仿宋" w:cs="仿宋"/>
                <w:b w:val="0"/>
                <w:bCs/>
                <w:color w:val="auto"/>
                <w:sz w:val="21"/>
                <w:szCs w:val="21"/>
                <w:highlight w:val="none"/>
              </w:rPr>
              <w:t>可操作性强得</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p w14:paraId="20C40718">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基本</w:t>
            </w:r>
            <w:r>
              <w:rPr>
                <w:rFonts w:hint="eastAsia" w:ascii="仿宋" w:hAnsi="仿宋" w:eastAsia="仿宋" w:cs="仿宋"/>
                <w:b w:val="0"/>
                <w:bCs/>
                <w:color w:val="auto"/>
                <w:sz w:val="21"/>
                <w:szCs w:val="21"/>
                <w:highlight w:val="none"/>
              </w:rPr>
              <w:t>完整、合理性一般，具有一定操作性得</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分；</w:t>
            </w:r>
          </w:p>
          <w:p w14:paraId="3E68A4CA">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内容有欠缺、合理性差，可操作性差的得</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分；</w:t>
            </w:r>
          </w:p>
          <w:p w14:paraId="2E1295F0">
            <w:pPr>
              <w:keepNext w:val="0"/>
              <w:keepLines w:val="0"/>
              <w:pageBreakBefore w:val="0"/>
              <w:widowControl w:val="0"/>
              <w:numPr>
                <w:ilvl w:val="0"/>
                <w:numId w:val="0"/>
              </w:numPr>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未提供得0分。</w:t>
            </w:r>
          </w:p>
        </w:tc>
      </w:tr>
      <w:tr w14:paraId="7184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720370D2">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6</w:t>
            </w:r>
          </w:p>
        </w:tc>
        <w:tc>
          <w:tcPr>
            <w:tcW w:w="1110" w:type="dxa"/>
            <w:vMerge w:val="restart"/>
            <w:noWrap w:val="0"/>
            <w:vAlign w:val="center"/>
          </w:tcPr>
          <w:p w14:paraId="5EBABC5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商务评审</w:t>
            </w:r>
          </w:p>
          <w:p w14:paraId="141F69A0">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15</w:t>
            </w:r>
            <w:r>
              <w:rPr>
                <w:rFonts w:hint="eastAsia" w:ascii="仿宋" w:hAnsi="仿宋" w:eastAsia="仿宋" w:cs="仿宋"/>
                <w:b w:val="0"/>
                <w:bCs/>
                <w:color w:val="auto"/>
                <w:sz w:val="21"/>
                <w:szCs w:val="21"/>
                <w:highlight w:val="none"/>
              </w:rPr>
              <w:t>分）</w:t>
            </w:r>
          </w:p>
        </w:tc>
        <w:tc>
          <w:tcPr>
            <w:tcW w:w="1260" w:type="dxa"/>
            <w:noWrap w:val="0"/>
            <w:vAlign w:val="center"/>
          </w:tcPr>
          <w:p w14:paraId="54C6C1BC">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人员配备</w:t>
            </w:r>
          </w:p>
          <w:p w14:paraId="3FF3470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w:t>
            </w:r>
          </w:p>
        </w:tc>
        <w:tc>
          <w:tcPr>
            <w:tcW w:w="885" w:type="dxa"/>
            <w:noWrap w:val="0"/>
            <w:vAlign w:val="center"/>
          </w:tcPr>
          <w:p w14:paraId="01E42172">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0-3</w:t>
            </w:r>
          </w:p>
        </w:tc>
        <w:tc>
          <w:tcPr>
            <w:tcW w:w="5745" w:type="dxa"/>
            <w:noWrap w:val="0"/>
            <w:vAlign w:val="center"/>
          </w:tcPr>
          <w:p w14:paraId="4E5022A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配备团队成员，组织架构完整，成员职责划分明确，经验丰富，年龄结构合理得</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w:t>
            </w:r>
          </w:p>
          <w:p w14:paraId="5DEEB2C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配备团队成员，组织架构较完整，成员职责划分较明确，综合对比一般、年龄结构一般得</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分。</w:t>
            </w:r>
          </w:p>
          <w:p w14:paraId="3D9A7A7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配备团队成员，组织架构基本完整，成员职责划分基本明确，综合对比差，年龄结构较差得</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分。</w:t>
            </w:r>
          </w:p>
          <w:p w14:paraId="08EC7F2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4</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无组织架构，成员职责划分的得0分。</w:t>
            </w:r>
          </w:p>
        </w:tc>
      </w:tr>
      <w:tr w14:paraId="1787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2F08C92B">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7</w:t>
            </w:r>
          </w:p>
        </w:tc>
        <w:tc>
          <w:tcPr>
            <w:tcW w:w="1110" w:type="dxa"/>
            <w:vMerge w:val="continue"/>
            <w:noWrap w:val="0"/>
            <w:vAlign w:val="center"/>
          </w:tcPr>
          <w:p w14:paraId="2AE5D983">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noWrap w:val="0"/>
            <w:vAlign w:val="center"/>
          </w:tcPr>
          <w:p w14:paraId="5101DC16">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拟派本项目</w:t>
            </w:r>
            <w:r>
              <w:rPr>
                <w:rFonts w:hint="eastAsia" w:ascii="仿宋" w:hAnsi="仿宋" w:eastAsia="仿宋" w:cs="仿宋"/>
                <w:b w:val="0"/>
                <w:bCs/>
                <w:color w:val="auto"/>
                <w:sz w:val="21"/>
                <w:szCs w:val="21"/>
                <w:highlight w:val="none"/>
                <w:lang w:val="en-US" w:eastAsia="zh-CN"/>
              </w:rPr>
              <w:t>负责人</w:t>
            </w:r>
          </w:p>
          <w:p w14:paraId="160AAAD6">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w:t>
            </w:r>
          </w:p>
        </w:tc>
        <w:tc>
          <w:tcPr>
            <w:tcW w:w="885" w:type="dxa"/>
            <w:noWrap w:val="0"/>
            <w:vAlign w:val="center"/>
          </w:tcPr>
          <w:p w14:paraId="1E475C7A">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0-3</w:t>
            </w:r>
          </w:p>
        </w:tc>
        <w:tc>
          <w:tcPr>
            <w:tcW w:w="5745" w:type="dxa"/>
            <w:noWrap w:val="0"/>
            <w:vAlign w:val="center"/>
          </w:tcPr>
          <w:p w14:paraId="749B3CD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项目负责人工作年限10年</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含</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以上得</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w:t>
            </w:r>
          </w:p>
          <w:p w14:paraId="63DFA54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项目负责人工作年限5-10年（不含）的得</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分；</w:t>
            </w:r>
          </w:p>
          <w:p w14:paraId="05DE38C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项目负责人工作年限1-5年（不含）的得1分；</w:t>
            </w:r>
          </w:p>
          <w:p w14:paraId="0266E2E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项目负责人工作年限1年以下（不含）的得0分。</w:t>
            </w:r>
          </w:p>
          <w:p w14:paraId="21B31C2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（提供劳动合同或有效证明材料电子件加盖本单位公章）</w:t>
            </w:r>
          </w:p>
        </w:tc>
      </w:tr>
      <w:tr w14:paraId="29AF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6D3EA81F">
            <w:pPr>
              <w:keepNext w:val="0"/>
              <w:keepLines w:val="0"/>
              <w:pageBreakBefore w:val="0"/>
              <w:widowControl w:val="0"/>
              <w:numPr>
                <w:ilvl w:val="0"/>
                <w:numId w:val="0"/>
              </w:numPr>
              <w:kinsoku/>
              <w:wordWrap w:val="0"/>
              <w:overflowPunct/>
              <w:topLinePunct/>
              <w:autoSpaceDE/>
              <w:autoSpaceDN/>
              <w:bidi w:val="0"/>
              <w:spacing w:line="360" w:lineRule="auto"/>
              <w:ind w:left="425" w:leftChars="0" w:hanging="425" w:firstLineChars="0"/>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8</w:t>
            </w:r>
          </w:p>
        </w:tc>
        <w:tc>
          <w:tcPr>
            <w:tcW w:w="1110" w:type="dxa"/>
            <w:vMerge w:val="continue"/>
            <w:noWrap w:val="0"/>
            <w:vAlign w:val="center"/>
          </w:tcPr>
          <w:p w14:paraId="767DBF14">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p>
        </w:tc>
        <w:tc>
          <w:tcPr>
            <w:tcW w:w="1260" w:type="dxa"/>
            <w:shd w:val="clear" w:color="auto" w:fill="auto"/>
            <w:noWrap w:val="0"/>
            <w:vAlign w:val="center"/>
          </w:tcPr>
          <w:p w14:paraId="5D12BF0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相关业绩</w:t>
            </w:r>
          </w:p>
          <w:p w14:paraId="13EE90F5">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分）</w:t>
            </w:r>
          </w:p>
        </w:tc>
        <w:tc>
          <w:tcPr>
            <w:tcW w:w="885" w:type="dxa"/>
            <w:shd w:val="clear" w:color="auto" w:fill="auto"/>
            <w:noWrap w:val="0"/>
            <w:vAlign w:val="center"/>
          </w:tcPr>
          <w:p w14:paraId="420D3448">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0-9</w:t>
            </w:r>
          </w:p>
        </w:tc>
        <w:tc>
          <w:tcPr>
            <w:tcW w:w="5745" w:type="dxa"/>
            <w:shd w:val="clear" w:color="auto" w:fill="auto"/>
            <w:noWrap w:val="0"/>
            <w:vAlign w:val="center"/>
          </w:tcPr>
          <w:p w14:paraId="0BAB34C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供应商近3年（2022年</w:t>
            </w:r>
            <w:r>
              <w:rPr>
                <w:rFonts w:hint="eastAsia" w:ascii="仿宋" w:hAnsi="仿宋" w:eastAsia="仿宋" w:cs="仿宋"/>
                <w:b w:val="0"/>
                <w:bCs/>
                <w:color w:val="auto"/>
                <w:sz w:val="21"/>
                <w:szCs w:val="21"/>
                <w:highlight w:val="none"/>
                <w:lang w:eastAsia="zh-CN"/>
              </w:rPr>
              <w:t>12月</w:t>
            </w:r>
            <w:r>
              <w:rPr>
                <w:rFonts w:hint="eastAsia" w:ascii="仿宋" w:hAnsi="仿宋" w:eastAsia="仿宋" w:cs="仿宋"/>
                <w:b w:val="0"/>
                <w:bCs/>
                <w:color w:val="auto"/>
                <w:sz w:val="21"/>
                <w:szCs w:val="21"/>
                <w:highlight w:val="none"/>
              </w:rPr>
              <w:t>至今）的与本项目类似的项目业绩（需附合同关键页电子件加盖本单位公章）每提供一份合同得</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分，满分</w:t>
            </w: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分</w:t>
            </w:r>
            <w:r>
              <w:rPr>
                <w:rFonts w:hint="eastAsia" w:ascii="仿宋" w:hAnsi="仿宋" w:eastAsia="仿宋" w:cs="仿宋"/>
                <w:b w:val="0"/>
                <w:bCs/>
                <w:color w:val="auto"/>
                <w:sz w:val="21"/>
                <w:szCs w:val="21"/>
                <w:highlight w:val="none"/>
                <w:lang w:eastAsia="zh-CN"/>
              </w:rPr>
              <w:t>。</w:t>
            </w:r>
          </w:p>
        </w:tc>
      </w:tr>
      <w:tr w14:paraId="334A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13CE9744">
            <w:pPr>
              <w:keepNext w:val="0"/>
              <w:keepLines w:val="0"/>
              <w:pageBreakBefore w:val="0"/>
              <w:widowControl w:val="0"/>
              <w:numPr>
                <w:ilvl w:val="0"/>
                <w:numId w:val="0"/>
              </w:numPr>
              <w:kinsoku/>
              <w:wordWrap w:val="0"/>
              <w:overflowPunct/>
              <w:topLinePunct/>
              <w:autoSpaceDE/>
              <w:autoSpaceDN/>
              <w:bidi w:val="0"/>
              <w:spacing w:line="360" w:lineRule="auto"/>
              <w:ind w:leftChars="0"/>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9</w:t>
            </w:r>
          </w:p>
        </w:tc>
        <w:tc>
          <w:tcPr>
            <w:tcW w:w="2370" w:type="dxa"/>
            <w:gridSpan w:val="2"/>
            <w:noWrap w:val="0"/>
            <w:vAlign w:val="center"/>
          </w:tcPr>
          <w:p w14:paraId="2E4858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报价评审</w:t>
            </w:r>
          </w:p>
          <w:p w14:paraId="7DFCB4A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（10分）</w:t>
            </w:r>
          </w:p>
        </w:tc>
        <w:tc>
          <w:tcPr>
            <w:tcW w:w="885" w:type="dxa"/>
            <w:noWrap w:val="0"/>
            <w:vAlign w:val="center"/>
          </w:tcPr>
          <w:p w14:paraId="21B339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0-10</w:t>
            </w:r>
          </w:p>
        </w:tc>
        <w:tc>
          <w:tcPr>
            <w:tcW w:w="5745" w:type="dxa"/>
            <w:noWrap w:val="0"/>
            <w:vAlign w:val="center"/>
          </w:tcPr>
          <w:p w14:paraId="7E50C4E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满足</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要求的最后报价最低的供应商的价格为磋商基准价，其价格分为满分。其他供应商的价格分统一按照下列公式计算：</w:t>
            </w:r>
          </w:p>
          <w:p w14:paraId="1A7F2AE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磋商报价得分=（磋商基准价/最后报价）×分值</w:t>
            </w:r>
          </w:p>
          <w:p w14:paraId="363CF54B">
            <w:pPr>
              <w:pStyle w:val="27"/>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w:t>
            </w:r>
            <w:r>
              <w:rPr>
                <w:rFonts w:hint="eastAsia" w:ascii="仿宋" w:hAnsi="仿宋" w:eastAsia="仿宋" w:cs="仿宋"/>
                <w:b w:val="0"/>
                <w:bCs/>
                <w:color w:val="auto"/>
                <w:sz w:val="21"/>
                <w:szCs w:val="21"/>
                <w:highlight w:val="none"/>
              </w:rPr>
              <w:t>此处最后报价指经过报价修正，及因落实政府采购政策进行价格调整后的报价，详见第三章《评审方法和评审标准》3.2、3.3</w:t>
            </w:r>
          </w:p>
        </w:tc>
      </w:tr>
      <w:tr w14:paraId="17FF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75" w:type="dxa"/>
            <w:gridSpan w:val="3"/>
            <w:noWrap w:val="0"/>
            <w:vAlign w:val="center"/>
          </w:tcPr>
          <w:p w14:paraId="6703534E">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合计</w:t>
            </w:r>
          </w:p>
        </w:tc>
        <w:tc>
          <w:tcPr>
            <w:tcW w:w="885" w:type="dxa"/>
            <w:noWrap w:val="0"/>
            <w:vAlign w:val="center"/>
          </w:tcPr>
          <w:p w14:paraId="5B784D5D">
            <w:pPr>
              <w:keepNext w:val="0"/>
              <w:keepLines w:val="0"/>
              <w:pageBreakBefore w:val="0"/>
              <w:widowControl w:val="0"/>
              <w:kinsoku/>
              <w:wordWrap w:val="0"/>
              <w:overflowPunct/>
              <w:topLinePunct/>
              <w:autoSpaceDE/>
              <w:autoSpaceDN/>
              <w:bidi w:val="0"/>
              <w:spacing w:line="360" w:lineRule="auto"/>
              <w:ind w:firstLine="28"/>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100</w:t>
            </w:r>
          </w:p>
        </w:tc>
        <w:tc>
          <w:tcPr>
            <w:tcW w:w="5745" w:type="dxa"/>
            <w:noWrap w:val="0"/>
            <w:vAlign w:val="center"/>
          </w:tcPr>
          <w:p w14:paraId="3635F66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bl>
    <w:p w14:paraId="409B6D1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9C36FFA">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677" w:name="_Toc15877"/>
      <w:r>
        <w:rPr>
          <w:rFonts w:hint="eastAsia" w:ascii="仿宋" w:hAnsi="仿宋" w:eastAsia="仿宋" w:cs="仿宋"/>
          <w:b w:val="0"/>
          <w:bCs/>
          <w:color w:val="auto"/>
          <w:sz w:val="21"/>
          <w:szCs w:val="21"/>
          <w:highlight w:val="none"/>
        </w:rPr>
        <w:t>第四章   采购需求</w:t>
      </w:r>
      <w:bookmarkEnd w:id="677"/>
    </w:p>
    <w:p w14:paraId="69D9A31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bookmarkStart w:id="678" w:name="bookmark5"/>
      <w:bookmarkEnd w:id="678"/>
      <w:r>
        <w:rPr>
          <w:rFonts w:hint="eastAsia" w:ascii="仿宋" w:hAnsi="仿宋" w:eastAsia="仿宋" w:cs="仿宋"/>
          <w:b w:val="0"/>
          <w:bCs/>
          <w:color w:val="auto"/>
          <w:sz w:val="21"/>
          <w:szCs w:val="21"/>
          <w:highlight w:val="none"/>
          <w:lang w:val="en-US" w:eastAsia="zh-CN"/>
        </w:rPr>
        <w:t>一、采购标的</w:t>
      </w:r>
    </w:p>
    <w:p w14:paraId="2784377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1.采购标的</w:t>
      </w:r>
    </w:p>
    <w:tbl>
      <w:tblPr>
        <w:tblStyle w:val="22"/>
        <w:tblW w:w="975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82"/>
        <w:gridCol w:w="1499"/>
        <w:gridCol w:w="1352"/>
        <w:gridCol w:w="3854"/>
      </w:tblGrid>
      <w:tr w14:paraId="225D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39DFF3E3">
            <w:pPr>
              <w:pStyle w:val="27"/>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项目名称</w:t>
            </w:r>
          </w:p>
          <w:p w14:paraId="5F160FEC">
            <w:pPr>
              <w:pStyle w:val="27"/>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u w:val="none"/>
                <w:lang w:val="en-US" w:eastAsia="zh-CN"/>
              </w:rPr>
              <w:t>（标的名称）</w:t>
            </w:r>
          </w:p>
        </w:tc>
        <w:tc>
          <w:tcPr>
            <w:tcW w:w="1482" w:type="dxa"/>
            <w:vAlign w:val="center"/>
          </w:tcPr>
          <w:p w14:paraId="20B375F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预算金额</w:t>
            </w:r>
          </w:p>
          <w:p w14:paraId="2E5FCAE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499" w:type="dxa"/>
            <w:vAlign w:val="center"/>
          </w:tcPr>
          <w:p w14:paraId="187ECBF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最高限价</w:t>
            </w:r>
          </w:p>
          <w:p w14:paraId="036DA20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lang w:eastAsia="zh-CN"/>
              </w:rPr>
              <w:t>（</w:t>
            </w:r>
            <w:r>
              <w:rPr>
                <w:rFonts w:hint="eastAsia" w:ascii="仿宋" w:hAnsi="仿宋" w:eastAsia="仿宋" w:cs="仿宋"/>
                <w:b w:val="0"/>
                <w:bCs/>
                <w:color w:val="auto"/>
                <w:sz w:val="21"/>
                <w:szCs w:val="21"/>
                <w:highlight w:val="none"/>
                <w:u w:val="none"/>
                <w:lang w:val="en-US" w:eastAsia="zh-CN"/>
              </w:rPr>
              <w:t>万元</w:t>
            </w:r>
            <w:r>
              <w:rPr>
                <w:rFonts w:hint="eastAsia" w:ascii="仿宋" w:hAnsi="仿宋" w:eastAsia="仿宋" w:cs="仿宋"/>
                <w:b w:val="0"/>
                <w:bCs/>
                <w:color w:val="auto"/>
                <w:sz w:val="21"/>
                <w:szCs w:val="21"/>
                <w:highlight w:val="none"/>
                <w:u w:val="none"/>
                <w:lang w:eastAsia="zh-CN"/>
              </w:rPr>
              <w:t>）</w:t>
            </w:r>
          </w:p>
        </w:tc>
        <w:tc>
          <w:tcPr>
            <w:tcW w:w="1352" w:type="dxa"/>
            <w:vAlign w:val="center"/>
          </w:tcPr>
          <w:p w14:paraId="67387B4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服务地点</w:t>
            </w:r>
          </w:p>
        </w:tc>
        <w:tc>
          <w:tcPr>
            <w:tcW w:w="3854" w:type="dxa"/>
            <w:shd w:val="clear" w:color="auto" w:fill="auto"/>
            <w:vAlign w:val="center"/>
          </w:tcPr>
          <w:p w14:paraId="78B3BDC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rPr>
              <w:t>简要技术需求或服务要求</w:t>
            </w:r>
          </w:p>
        </w:tc>
      </w:tr>
      <w:tr w14:paraId="72F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vAlign w:val="center"/>
          </w:tcPr>
          <w:p w14:paraId="14C91E6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lang w:eastAsia="zh-CN"/>
              </w:rPr>
              <w:t>张镇常年法律顾问服务项目</w:t>
            </w:r>
          </w:p>
        </w:tc>
        <w:tc>
          <w:tcPr>
            <w:tcW w:w="1482" w:type="dxa"/>
            <w:vAlign w:val="center"/>
          </w:tcPr>
          <w:p w14:paraId="2597BA3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rPr>
            </w:pPr>
            <w:r>
              <w:rPr>
                <w:rFonts w:hint="eastAsia" w:ascii="仿宋" w:hAnsi="仿宋" w:eastAsia="仿宋" w:cs="仿宋"/>
                <w:b w:val="0"/>
                <w:bCs/>
                <w:color w:val="auto"/>
                <w:sz w:val="21"/>
                <w:szCs w:val="21"/>
                <w:highlight w:val="none"/>
                <w:u w:val="none"/>
                <w:lang w:val="en-US" w:eastAsia="zh-CN"/>
              </w:rPr>
              <w:t>130</w:t>
            </w:r>
          </w:p>
        </w:tc>
        <w:tc>
          <w:tcPr>
            <w:tcW w:w="1499" w:type="dxa"/>
            <w:vAlign w:val="center"/>
          </w:tcPr>
          <w:p w14:paraId="3B1DD51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12.4400</w:t>
            </w:r>
          </w:p>
        </w:tc>
        <w:tc>
          <w:tcPr>
            <w:tcW w:w="1352" w:type="dxa"/>
            <w:vAlign w:val="center"/>
          </w:tcPr>
          <w:p w14:paraId="53A9844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rPr>
              <w:t>北京市顺义区</w:t>
            </w:r>
            <w:r>
              <w:rPr>
                <w:rFonts w:hint="eastAsia" w:ascii="仿宋" w:hAnsi="仿宋" w:eastAsia="仿宋" w:cs="仿宋"/>
                <w:b w:val="0"/>
                <w:bCs/>
                <w:color w:val="auto"/>
                <w:sz w:val="21"/>
                <w:szCs w:val="21"/>
                <w:highlight w:val="none"/>
                <w:u w:val="none"/>
                <w:lang w:val="en-US" w:eastAsia="zh-CN"/>
              </w:rPr>
              <w:t>张镇</w:t>
            </w:r>
          </w:p>
        </w:tc>
        <w:tc>
          <w:tcPr>
            <w:tcW w:w="3854" w:type="dxa"/>
            <w:shd w:val="clear" w:color="auto" w:fill="auto"/>
            <w:vAlign w:val="center"/>
          </w:tcPr>
          <w:p w14:paraId="2E9BEE72">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color w:val="auto"/>
                <w:sz w:val="21"/>
                <w:szCs w:val="21"/>
                <w:highlight w:val="none"/>
                <w:u w:val="none"/>
                <w:lang w:eastAsia="zh-CN"/>
              </w:rPr>
            </w:pPr>
            <w:r>
              <w:rPr>
                <w:rFonts w:hint="eastAsia" w:ascii="仿宋" w:hAnsi="仿宋" w:eastAsia="仿宋" w:cs="仿宋"/>
                <w:b w:val="0"/>
                <w:bCs/>
                <w:color w:val="auto"/>
                <w:sz w:val="21"/>
                <w:szCs w:val="21"/>
                <w:highlight w:val="none"/>
                <w:u w:val="none"/>
              </w:rPr>
              <w:t>为确保我镇涉法事务顺利开展，</w:t>
            </w:r>
            <w:r>
              <w:rPr>
                <w:rFonts w:hint="eastAsia" w:ascii="仿宋" w:hAnsi="仿宋" w:eastAsia="仿宋" w:cs="仿宋"/>
                <w:b w:val="0"/>
                <w:bCs/>
                <w:color w:val="auto"/>
                <w:sz w:val="21"/>
                <w:szCs w:val="21"/>
                <w:highlight w:val="none"/>
                <w:u w:val="none"/>
                <w:lang w:val="en-US" w:eastAsia="zh-CN"/>
              </w:rPr>
              <w:t>拟采用竞争性磋商方式择优选取</w:t>
            </w:r>
            <w:r>
              <w:rPr>
                <w:rFonts w:hint="eastAsia" w:ascii="仿宋" w:hAnsi="仿宋" w:eastAsia="仿宋" w:cs="仿宋"/>
                <w:b w:val="0"/>
                <w:bCs/>
                <w:color w:val="auto"/>
                <w:sz w:val="21"/>
                <w:szCs w:val="21"/>
                <w:highlight w:val="none"/>
                <w:u w:val="none"/>
              </w:rPr>
              <w:t>一家常年法律顾问服务单位，配合职能部门开展诉讼案件、行政决策、规范性文件制定、重大项目推进及处置突发事件等工作</w:t>
            </w:r>
            <w:r>
              <w:rPr>
                <w:rFonts w:hint="eastAsia" w:ascii="仿宋" w:hAnsi="仿宋" w:eastAsia="仿宋" w:cs="仿宋"/>
                <w:b w:val="0"/>
                <w:bCs/>
                <w:color w:val="auto"/>
                <w:sz w:val="21"/>
                <w:szCs w:val="21"/>
                <w:highlight w:val="none"/>
                <w:u w:val="none"/>
                <w:lang w:eastAsia="zh-CN"/>
              </w:rPr>
              <w:t>。</w:t>
            </w:r>
          </w:p>
        </w:tc>
      </w:tr>
    </w:tbl>
    <w:p w14:paraId="7798AB75">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二、商务要求</w:t>
      </w:r>
    </w:p>
    <w:p w14:paraId="18C3023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实施的期限和范围：</w:t>
      </w:r>
    </w:p>
    <w:p w14:paraId="0D66603A">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1.合同履行期限：1年（具体以合同签订时间为准）</w:t>
      </w:r>
    </w:p>
    <w:p w14:paraId="5F3B9B17">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2.付款条件（进度和方式）：按照</w:t>
      </w:r>
      <w:r>
        <w:rPr>
          <w:rFonts w:hint="eastAsia" w:ascii="仿宋" w:hAnsi="仿宋" w:eastAsia="仿宋" w:cs="仿宋"/>
          <w:b w:val="0"/>
          <w:bCs/>
          <w:color w:val="auto"/>
          <w:sz w:val="21"/>
          <w:szCs w:val="21"/>
          <w:highlight w:val="none"/>
        </w:rPr>
        <w:t>第五章</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合同草案条款</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中付款条件（进度和方式）执行</w:t>
      </w:r>
    </w:p>
    <w:p w14:paraId="062F89FC">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三、技术要求</w:t>
      </w:r>
    </w:p>
    <w:p w14:paraId="6F90638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rPr>
        <w:t>1.法律咨询：不限次提供法律咨询，依法提供建议。应甲方要求，就甲方已经面临或者可能发生的纠纷，进行法律论证，提出解决方案，发表律师意见，或者参与非诉讼谈判、协调；</w:t>
      </w:r>
    </w:p>
    <w:p w14:paraId="25A38B48">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rPr>
        <w:t>2.合同审核：协助草拟、制订、审查或者修改甲方及下属企业北京张镇工业开发中心合同、文件等法律文书；</w:t>
      </w:r>
    </w:p>
    <w:p w14:paraId="5779C30B">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rPr>
        <w:t>3.案件代理：甲方涉及经济、民事、知识产权、劳动、行政、刑事等必须进入诉讼或者仲裁法律程序及非诉讼调解的专案代理事务，及受甲方委托，签署、送达或者接收法律文件；</w:t>
      </w:r>
    </w:p>
    <w:p w14:paraId="7A7BF30D">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rPr>
        <w:t>4.应甲方要求，乙方每年为甲方进行2次法律知识培训，每次培训时间不少于1小时；</w:t>
      </w:r>
    </w:p>
    <w:p w14:paraId="6631F309">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rPr>
        <w:t>5.审核政府信息依申请公开书面材料，草拟信息公开件的答复文书；</w:t>
      </w:r>
    </w:p>
    <w:p w14:paraId="55540C44">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rPr>
        <w:t>6.乙方每周按照甲方要求到甲方办公场所值班半天。</w:t>
      </w:r>
    </w:p>
    <w:tbl>
      <w:tblPr>
        <w:tblStyle w:val="21"/>
        <w:tblW w:w="98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202"/>
        <w:gridCol w:w="2240"/>
        <w:gridCol w:w="990"/>
        <w:gridCol w:w="730"/>
        <w:gridCol w:w="1202"/>
        <w:gridCol w:w="1266"/>
        <w:gridCol w:w="1529"/>
      </w:tblGrid>
      <w:tr w14:paraId="0323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28C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BCD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B1E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工作内容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A65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6C2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D9D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单价</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F31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总价</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EF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备注</w:t>
            </w:r>
          </w:p>
        </w:tc>
      </w:tr>
      <w:tr w14:paraId="1802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AEB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198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合同审核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9F7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协助草拟、制订、审查或者修改甲方及下属企业北京张镇工业开发中心合同、文件等法律文书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C49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B6E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36B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70E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50,000.00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0EB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688E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220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5F0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案件代理</w:t>
            </w: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27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甲方涉及经济、民事、知识产权、劳动、行政、刑事等必须进入诉讼或者仲裁法律程序及非诉讼调解的专案代理事务，及受甲方委托，签署、送达或者接收法律文件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B09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627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8DE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79D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D85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一审</w:t>
            </w:r>
          </w:p>
        </w:tc>
      </w:tr>
      <w:tr w14:paraId="6D1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89C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65B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260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63F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06B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B97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9F6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5,000.00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486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二审</w:t>
            </w:r>
          </w:p>
        </w:tc>
      </w:tr>
      <w:tr w14:paraId="3997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09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F40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421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802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1AE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21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BAF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79A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复议</w:t>
            </w:r>
          </w:p>
        </w:tc>
      </w:tr>
      <w:tr w14:paraId="3782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single" w:color="000000" w:sz="4" w:space="0"/>
              <w:bottom w:val="single" w:color="000000" w:sz="4" w:space="0"/>
              <w:right w:val="nil"/>
            </w:tcBorders>
            <w:shd w:val="clear" w:color="auto" w:fill="auto"/>
            <w:noWrap/>
            <w:vAlign w:val="center"/>
          </w:tcPr>
          <w:p w14:paraId="2EA6AB6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694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信息公开</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B31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审核政府信息依申请公开书面材料，草拟信息公开件的答复文书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208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8FD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97B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97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12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371C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A34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80C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驻场费用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6FAA">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每周按照甲方要求到甲方办公场所值班半天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83B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839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F14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38400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4A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38,400.00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14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每周半天（含路费等）</w:t>
            </w:r>
          </w:p>
        </w:tc>
      </w:tr>
      <w:tr w14:paraId="255E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single" w:color="000000" w:sz="4" w:space="0"/>
              <w:bottom w:val="single" w:color="000000" w:sz="4" w:space="0"/>
              <w:right w:val="nil"/>
            </w:tcBorders>
            <w:shd w:val="clear" w:color="auto" w:fill="auto"/>
            <w:noWrap/>
            <w:vAlign w:val="center"/>
          </w:tcPr>
          <w:p w14:paraId="2822A57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958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法律咨询</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84D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不限次提供法律咨询，依法提供建议。应甲方要求，就甲方已经面临或者可能发生的纠纷，进行法律论证，提出解决方案，发表律师意见，或者参与非诉讼谈判、协调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F93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E0C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ACB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195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10,000.00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82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5F21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D1B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合计（元）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097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124,400.00</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D01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31BB3D5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注：1.</w:t>
      </w:r>
      <w:r>
        <w:rPr>
          <w:rFonts w:hint="eastAsia" w:ascii="仿宋" w:hAnsi="仿宋" w:eastAsia="仿宋" w:cs="仿宋"/>
          <w:b w:val="0"/>
          <w:bCs/>
          <w:color w:val="auto"/>
          <w:sz w:val="21"/>
          <w:szCs w:val="21"/>
          <w:highlight w:val="none"/>
          <w:lang w:val="en-US"/>
        </w:rPr>
        <w:t>本项目实行分项控制，</w:t>
      </w:r>
      <w:r>
        <w:rPr>
          <w:rFonts w:hint="eastAsia" w:ascii="仿宋" w:hAnsi="仿宋" w:eastAsia="仿宋" w:cs="仿宋"/>
          <w:b w:val="0"/>
          <w:bCs/>
          <w:color w:val="auto"/>
          <w:sz w:val="21"/>
          <w:szCs w:val="21"/>
          <w:highlight w:val="none"/>
          <w:lang w:val="en-US" w:eastAsia="zh-CN"/>
        </w:rPr>
        <w:t>供应商</w:t>
      </w:r>
      <w:r>
        <w:rPr>
          <w:rFonts w:hint="eastAsia" w:ascii="仿宋" w:hAnsi="仿宋" w:eastAsia="仿宋" w:cs="仿宋"/>
          <w:b w:val="0"/>
          <w:bCs/>
          <w:color w:val="auto"/>
          <w:sz w:val="21"/>
          <w:szCs w:val="21"/>
          <w:highlight w:val="none"/>
          <w:lang w:val="en-US"/>
        </w:rPr>
        <w:t>各分项单价均不得超过采购人给定的各分项单价。</w:t>
      </w:r>
    </w:p>
    <w:p w14:paraId="3110E8E3">
      <w:pPr>
        <w:keepNext w:val="0"/>
        <w:keepLines w:val="0"/>
        <w:pageBreakBefore w:val="0"/>
        <w:widowControl w:val="0"/>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rPr>
        <w:sectPr>
          <w:headerReference r:id="rId11" w:type="first"/>
          <w:footerReference r:id="rId14" w:type="first"/>
          <w:headerReference r:id="rId9" w:type="default"/>
          <w:footerReference r:id="rId12" w:type="default"/>
          <w:headerReference r:id="rId10" w:type="even"/>
          <w:footerReference r:id="rId13" w:type="even"/>
          <w:pgSz w:w="11905" w:h="16838"/>
          <w:pgMar w:top="1440" w:right="1080" w:bottom="1440" w:left="1080" w:header="851" w:footer="850" w:gutter="0"/>
          <w:pgNumType w:fmt="decimal"/>
          <w:cols w:space="0" w:num="1"/>
          <w:titlePg/>
          <w:rtlGutter w:val="0"/>
          <w:docGrid w:linePitch="462" w:charSpace="0"/>
        </w:sect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lang w:val="en-US"/>
        </w:rPr>
        <w:t>最终结算价款以实际发生量为准（据实结算）。</w:t>
      </w:r>
    </w:p>
    <w:p w14:paraId="6816ED3C">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679" w:name="_Toc3915"/>
      <w:r>
        <w:rPr>
          <w:rFonts w:hint="eastAsia" w:ascii="仿宋" w:hAnsi="仿宋" w:eastAsia="仿宋" w:cs="仿宋"/>
          <w:b w:val="0"/>
          <w:bCs/>
          <w:color w:val="auto"/>
          <w:sz w:val="21"/>
          <w:szCs w:val="21"/>
          <w:highlight w:val="none"/>
        </w:rPr>
        <w:t>第五章   合同草案条款</w:t>
      </w:r>
      <w:bookmarkEnd w:id="679"/>
    </w:p>
    <w:p w14:paraId="5FEB067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0D34FE2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p>
    <w:p w14:paraId="41B0551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p>
    <w:p w14:paraId="6A26007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p>
    <w:p w14:paraId="1286C66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p>
    <w:p w14:paraId="4D15D0B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p>
    <w:p w14:paraId="7E79A31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p>
    <w:p w14:paraId="5D63D3F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r>
        <w:rPr>
          <w:rFonts w:hint="eastAsia" w:ascii="仿宋" w:hAnsi="仿宋" w:eastAsia="仿宋" w:cs="仿宋"/>
          <w:b w:val="0"/>
          <w:bCs/>
          <w:color w:val="auto"/>
          <w:spacing w:val="40"/>
          <w:sz w:val="30"/>
          <w:szCs w:val="30"/>
          <w:highlight w:val="none"/>
        </w:rPr>
        <w:t>张镇常年法律顾问服务项目</w:t>
      </w:r>
    </w:p>
    <w:p w14:paraId="72A1FFC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pacing w:val="40"/>
          <w:sz w:val="30"/>
          <w:szCs w:val="30"/>
          <w:highlight w:val="none"/>
        </w:rPr>
      </w:pPr>
      <w:r>
        <w:rPr>
          <w:rFonts w:hint="eastAsia" w:ascii="仿宋" w:hAnsi="仿宋" w:eastAsia="仿宋" w:cs="仿宋"/>
          <w:b w:val="0"/>
          <w:bCs/>
          <w:color w:val="auto"/>
          <w:spacing w:val="40"/>
          <w:sz w:val="30"/>
          <w:szCs w:val="30"/>
          <w:highlight w:val="none"/>
        </w:rPr>
        <w:t>服务合同</w:t>
      </w:r>
    </w:p>
    <w:p w14:paraId="74D3058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7E69CEF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6ECD399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3FD1B3A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1F628EE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50B14BB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071BBED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3C17AC0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4A46C68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58E8020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1675937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p>
    <w:p w14:paraId="4E9C6C9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u w:val="single"/>
          <w:lang w:val="en-US" w:eastAsia="zh-CN"/>
        </w:rPr>
        <w:t xml:space="preserve">      </w:t>
      </w:r>
      <w:r>
        <w:rPr>
          <w:rFonts w:hint="eastAsia" w:ascii="仿宋" w:hAnsi="仿宋" w:eastAsia="仿宋" w:cs="仿宋"/>
          <w:b w:val="0"/>
          <w:bCs/>
          <w:color w:val="auto"/>
          <w:sz w:val="30"/>
          <w:szCs w:val="30"/>
          <w:highlight w:val="none"/>
        </w:rPr>
        <w:t>年</w:t>
      </w:r>
      <w:r>
        <w:rPr>
          <w:rFonts w:hint="eastAsia" w:ascii="仿宋" w:hAnsi="仿宋" w:eastAsia="仿宋" w:cs="仿宋"/>
          <w:b w:val="0"/>
          <w:bCs/>
          <w:color w:val="auto"/>
          <w:sz w:val="30"/>
          <w:szCs w:val="30"/>
          <w:highlight w:val="none"/>
          <w:u w:val="single"/>
        </w:rPr>
        <w:t xml:space="preserve">  </w:t>
      </w:r>
      <w:r>
        <w:rPr>
          <w:rFonts w:hint="eastAsia" w:ascii="仿宋" w:hAnsi="仿宋" w:eastAsia="仿宋" w:cs="仿宋"/>
          <w:b w:val="0"/>
          <w:bCs/>
          <w:color w:val="auto"/>
          <w:sz w:val="30"/>
          <w:szCs w:val="30"/>
          <w:highlight w:val="none"/>
          <w:u w:val="single"/>
          <w:lang w:val="en-US" w:eastAsia="zh-CN"/>
        </w:rPr>
        <w:t xml:space="preserve"> </w:t>
      </w:r>
      <w:r>
        <w:rPr>
          <w:rFonts w:hint="eastAsia" w:ascii="仿宋" w:hAnsi="仿宋" w:eastAsia="仿宋" w:cs="仿宋"/>
          <w:b w:val="0"/>
          <w:bCs/>
          <w:color w:val="auto"/>
          <w:sz w:val="30"/>
          <w:szCs w:val="30"/>
          <w:highlight w:val="none"/>
        </w:rPr>
        <w:t>月</w:t>
      </w:r>
      <w:r>
        <w:rPr>
          <w:rFonts w:hint="eastAsia" w:ascii="仿宋" w:hAnsi="仿宋" w:eastAsia="仿宋" w:cs="仿宋"/>
          <w:b w:val="0"/>
          <w:bCs/>
          <w:color w:val="auto"/>
          <w:sz w:val="30"/>
          <w:szCs w:val="30"/>
          <w:highlight w:val="none"/>
          <w:u w:val="single"/>
        </w:rPr>
        <w:t xml:space="preserve">  </w:t>
      </w:r>
      <w:r>
        <w:rPr>
          <w:rFonts w:hint="eastAsia" w:ascii="仿宋" w:hAnsi="仿宋" w:eastAsia="仿宋" w:cs="仿宋"/>
          <w:b w:val="0"/>
          <w:bCs/>
          <w:color w:val="auto"/>
          <w:sz w:val="30"/>
          <w:szCs w:val="30"/>
          <w:highlight w:val="none"/>
          <w:u w:val="single"/>
          <w:lang w:val="en-US" w:eastAsia="zh-CN"/>
        </w:rPr>
        <w:t xml:space="preserve"> </w:t>
      </w:r>
      <w:r>
        <w:rPr>
          <w:rFonts w:hint="eastAsia" w:ascii="仿宋" w:hAnsi="仿宋" w:eastAsia="仿宋" w:cs="仿宋"/>
          <w:b w:val="0"/>
          <w:bCs/>
          <w:color w:val="auto"/>
          <w:sz w:val="30"/>
          <w:szCs w:val="30"/>
          <w:highlight w:val="none"/>
        </w:rPr>
        <w:t>日</w:t>
      </w:r>
    </w:p>
    <w:p w14:paraId="37E3662C">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30"/>
          <w:szCs w:val="30"/>
          <w:highlight w:val="none"/>
        </w:rPr>
      </w:pPr>
    </w:p>
    <w:p w14:paraId="4E11BEB4">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30"/>
          <w:szCs w:val="30"/>
          <w:highlight w:val="none"/>
        </w:rPr>
      </w:pPr>
    </w:p>
    <w:p w14:paraId="14EC1BA3">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30"/>
          <w:szCs w:val="30"/>
          <w:highlight w:val="none"/>
        </w:rPr>
      </w:pPr>
    </w:p>
    <w:p w14:paraId="22083466">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color w:val="auto"/>
          <w:sz w:val="30"/>
          <w:szCs w:val="30"/>
          <w:highlight w:val="none"/>
        </w:rPr>
      </w:pPr>
    </w:p>
    <w:p w14:paraId="56DE0A6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委托方：</w:t>
      </w:r>
      <w:r>
        <w:rPr>
          <w:rFonts w:hint="eastAsia" w:ascii="仿宋" w:hAnsi="仿宋" w:eastAsia="仿宋" w:cs="仿宋"/>
          <w:b w:val="0"/>
          <w:bCs/>
          <w:color w:val="auto"/>
          <w:sz w:val="21"/>
          <w:szCs w:val="21"/>
          <w:highlight w:val="none"/>
          <w:u w:val="single"/>
          <w:lang w:val="en-US" w:eastAsia="zh-CN"/>
        </w:rPr>
        <w:t xml:space="preserve">                               </w:t>
      </w:r>
    </w:p>
    <w:p w14:paraId="436BFFE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w:t>
      </w:r>
      <w:r>
        <w:rPr>
          <w:rFonts w:hint="eastAsia" w:ascii="仿宋" w:hAnsi="仿宋" w:eastAsia="仿宋" w:cs="仿宋"/>
          <w:b w:val="0"/>
          <w:bCs/>
          <w:color w:val="auto"/>
          <w:sz w:val="21"/>
          <w:szCs w:val="21"/>
          <w:highlight w:val="none"/>
          <w:u w:val="single"/>
          <w:lang w:val="en-US" w:eastAsia="zh-CN"/>
        </w:rPr>
        <w:t xml:space="preserve">                           </w:t>
      </w:r>
    </w:p>
    <w:p w14:paraId="47B2012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地址：</w:t>
      </w:r>
      <w:r>
        <w:rPr>
          <w:rFonts w:hint="eastAsia" w:ascii="仿宋" w:hAnsi="仿宋" w:eastAsia="仿宋" w:cs="仿宋"/>
          <w:b w:val="0"/>
          <w:bCs/>
          <w:color w:val="auto"/>
          <w:sz w:val="21"/>
          <w:szCs w:val="21"/>
          <w:highlight w:val="none"/>
          <w:u w:val="single"/>
          <w:lang w:val="en-US" w:eastAsia="zh-CN"/>
        </w:rPr>
        <w:t xml:space="preserve">                                 </w:t>
      </w:r>
    </w:p>
    <w:p w14:paraId="60996EE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7110CDB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rPr>
        <w:t>受托方：</w:t>
      </w:r>
      <w:r>
        <w:rPr>
          <w:rFonts w:hint="eastAsia" w:ascii="仿宋" w:hAnsi="仿宋" w:eastAsia="仿宋" w:cs="仿宋"/>
          <w:b w:val="0"/>
          <w:bCs/>
          <w:color w:val="auto"/>
          <w:sz w:val="21"/>
          <w:szCs w:val="21"/>
          <w:highlight w:val="none"/>
          <w:u w:val="single"/>
          <w:lang w:val="en-US" w:eastAsia="zh-CN"/>
        </w:rPr>
        <w:t xml:space="preserve">                               </w:t>
      </w:r>
    </w:p>
    <w:p w14:paraId="245E3E2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法定代表人：</w:t>
      </w:r>
      <w:r>
        <w:rPr>
          <w:rFonts w:hint="eastAsia" w:ascii="仿宋" w:hAnsi="仿宋" w:eastAsia="仿宋" w:cs="仿宋"/>
          <w:b w:val="0"/>
          <w:bCs/>
          <w:color w:val="auto"/>
          <w:sz w:val="21"/>
          <w:szCs w:val="21"/>
          <w:highlight w:val="none"/>
          <w:u w:val="single"/>
          <w:lang w:val="en-US" w:eastAsia="zh-CN"/>
        </w:rPr>
        <w:t xml:space="preserve">                           </w:t>
      </w:r>
    </w:p>
    <w:p w14:paraId="6CF26B5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地址：</w:t>
      </w:r>
      <w:r>
        <w:rPr>
          <w:rFonts w:hint="eastAsia" w:ascii="仿宋" w:hAnsi="仿宋" w:eastAsia="仿宋" w:cs="仿宋"/>
          <w:b w:val="0"/>
          <w:bCs/>
          <w:color w:val="auto"/>
          <w:sz w:val="21"/>
          <w:szCs w:val="21"/>
          <w:highlight w:val="none"/>
          <w:u w:val="single"/>
          <w:lang w:val="en-US" w:eastAsia="zh-CN"/>
        </w:rPr>
        <w:t xml:space="preserve">                                 </w:t>
      </w:r>
    </w:p>
    <w:p w14:paraId="70CA8B1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5C15738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甲方因业务发展和维护自身利益的需要，根据《中华人民共和国民法典》《中华人民共和国律师法》的有关规定，聘请乙方的执业律师作为常年法律顾问。</w:t>
      </w:r>
    </w:p>
    <w:p w14:paraId="4C4E7E7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甲乙双方按照诚实信用原则，经协商一致，立此合同，共同遵守。</w:t>
      </w:r>
    </w:p>
    <w:p w14:paraId="514E30C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第一条  乙方的服务范围</w:t>
      </w:r>
    </w:p>
    <w:p w14:paraId="40B4745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乙方律师的服务内容为协助甲方处理日常法律事务，包括：</w:t>
      </w:r>
    </w:p>
    <w:p w14:paraId="6CE4707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lang w:eastAsia="zh-CN"/>
        </w:rPr>
      </w:pPr>
      <w:r>
        <w:rPr>
          <w:rFonts w:hint="eastAsia" w:ascii="仿宋" w:hAnsi="仿宋" w:eastAsia="仿宋" w:cs="仿宋"/>
          <w:b w:val="0"/>
          <w:bCs/>
          <w:color w:val="auto"/>
          <w:sz w:val="21"/>
          <w:szCs w:val="21"/>
          <w:highlight w:val="none"/>
          <w:u w:val="single"/>
        </w:rPr>
        <w:t>1.法律咨询</w:t>
      </w:r>
      <w:r>
        <w:rPr>
          <w:rFonts w:hint="eastAsia" w:ascii="仿宋" w:hAnsi="仿宋" w:eastAsia="仿宋" w:cs="仿宋"/>
          <w:b w:val="0"/>
          <w:bCs/>
          <w:color w:val="auto"/>
          <w:sz w:val="21"/>
          <w:szCs w:val="21"/>
          <w:highlight w:val="none"/>
          <w:u w:val="single"/>
          <w:lang w:eastAsia="zh-CN"/>
        </w:rPr>
        <w:t>：不限次提供法律咨询，</w:t>
      </w:r>
      <w:r>
        <w:rPr>
          <w:rFonts w:hint="eastAsia" w:ascii="仿宋" w:hAnsi="仿宋" w:eastAsia="仿宋" w:cs="仿宋"/>
          <w:b w:val="0"/>
          <w:bCs/>
          <w:color w:val="auto"/>
          <w:sz w:val="21"/>
          <w:szCs w:val="21"/>
          <w:highlight w:val="none"/>
          <w:u w:val="single"/>
        </w:rPr>
        <w:t>依法提供建议</w:t>
      </w:r>
      <w:r>
        <w:rPr>
          <w:rFonts w:hint="eastAsia" w:ascii="仿宋" w:hAnsi="仿宋" w:eastAsia="仿宋" w:cs="仿宋"/>
          <w:b w:val="0"/>
          <w:bCs/>
          <w:color w:val="auto"/>
          <w:sz w:val="21"/>
          <w:szCs w:val="21"/>
          <w:highlight w:val="none"/>
          <w:u w:val="single"/>
          <w:lang w:eastAsia="zh-CN"/>
        </w:rPr>
        <w:t>。</w:t>
      </w:r>
      <w:r>
        <w:rPr>
          <w:rFonts w:hint="eastAsia" w:ascii="仿宋" w:hAnsi="仿宋" w:eastAsia="仿宋" w:cs="仿宋"/>
          <w:b w:val="0"/>
          <w:bCs/>
          <w:color w:val="auto"/>
          <w:sz w:val="21"/>
          <w:szCs w:val="21"/>
          <w:highlight w:val="none"/>
          <w:u w:val="single"/>
        </w:rPr>
        <w:t>应甲方要求，就甲方已经面临或者可能发生的纠纷，进行法律论证，提出解决方案，发表律师意见，或者参与非诉讼谈判、协调</w:t>
      </w:r>
      <w:r>
        <w:rPr>
          <w:rFonts w:hint="eastAsia" w:ascii="仿宋" w:hAnsi="仿宋" w:eastAsia="仿宋" w:cs="仿宋"/>
          <w:b w:val="0"/>
          <w:bCs/>
          <w:color w:val="auto"/>
          <w:sz w:val="21"/>
          <w:szCs w:val="21"/>
          <w:highlight w:val="none"/>
          <w:u w:val="single"/>
          <w:lang w:eastAsia="zh-CN"/>
        </w:rPr>
        <w:t>；</w:t>
      </w:r>
    </w:p>
    <w:p w14:paraId="2D3AC41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u w:val="single"/>
          <w:lang w:val="en-US" w:eastAsia="zh-CN"/>
        </w:rPr>
        <w:t>2.合同审核：</w:t>
      </w:r>
      <w:r>
        <w:rPr>
          <w:rFonts w:hint="eastAsia" w:ascii="仿宋" w:hAnsi="仿宋" w:eastAsia="仿宋" w:cs="仿宋"/>
          <w:b w:val="0"/>
          <w:bCs/>
          <w:color w:val="auto"/>
          <w:sz w:val="21"/>
          <w:szCs w:val="21"/>
          <w:highlight w:val="none"/>
          <w:u w:val="single"/>
        </w:rPr>
        <w:t>协助草拟、制订、审查或者修改</w:t>
      </w:r>
      <w:r>
        <w:rPr>
          <w:rFonts w:hint="eastAsia" w:ascii="仿宋" w:hAnsi="仿宋" w:eastAsia="仿宋" w:cs="仿宋"/>
          <w:b w:val="0"/>
          <w:bCs/>
          <w:color w:val="auto"/>
          <w:sz w:val="21"/>
          <w:szCs w:val="21"/>
          <w:highlight w:val="none"/>
          <w:u w:val="single"/>
          <w:lang w:eastAsia="zh-CN"/>
        </w:rPr>
        <w:t>甲方及下属企业北京张镇工业开发中心</w:t>
      </w:r>
      <w:r>
        <w:rPr>
          <w:rFonts w:hint="eastAsia" w:ascii="仿宋" w:hAnsi="仿宋" w:eastAsia="仿宋" w:cs="仿宋"/>
          <w:b w:val="0"/>
          <w:bCs/>
          <w:color w:val="auto"/>
          <w:sz w:val="21"/>
          <w:szCs w:val="21"/>
          <w:highlight w:val="none"/>
          <w:u w:val="single"/>
        </w:rPr>
        <w:t>合同</w:t>
      </w:r>
      <w:r>
        <w:rPr>
          <w:rFonts w:hint="eastAsia" w:ascii="仿宋" w:hAnsi="仿宋" w:eastAsia="仿宋" w:cs="仿宋"/>
          <w:b w:val="0"/>
          <w:bCs/>
          <w:color w:val="auto"/>
          <w:sz w:val="21"/>
          <w:szCs w:val="21"/>
          <w:highlight w:val="none"/>
          <w:u w:val="single"/>
          <w:lang w:eastAsia="zh-CN"/>
        </w:rPr>
        <w:t>、文件</w:t>
      </w:r>
      <w:r>
        <w:rPr>
          <w:rFonts w:hint="eastAsia" w:ascii="仿宋" w:hAnsi="仿宋" w:eastAsia="仿宋" w:cs="仿宋"/>
          <w:b w:val="0"/>
          <w:bCs/>
          <w:color w:val="auto"/>
          <w:sz w:val="21"/>
          <w:szCs w:val="21"/>
          <w:highlight w:val="none"/>
          <w:u w:val="single"/>
        </w:rPr>
        <w:t>等法律文书；</w:t>
      </w:r>
    </w:p>
    <w:p w14:paraId="3B0A17A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u w:val="single"/>
          <w:lang w:val="en-US" w:eastAsia="zh-CN"/>
        </w:rPr>
        <w:t>3</w:t>
      </w:r>
      <w:r>
        <w:rPr>
          <w:rFonts w:hint="eastAsia" w:ascii="仿宋" w:hAnsi="仿宋" w:eastAsia="仿宋" w:cs="仿宋"/>
          <w:b w:val="0"/>
          <w:bCs/>
          <w:color w:val="auto"/>
          <w:sz w:val="21"/>
          <w:szCs w:val="21"/>
          <w:highlight w:val="none"/>
          <w:u w:val="single"/>
        </w:rPr>
        <w:t>.</w:t>
      </w:r>
      <w:r>
        <w:rPr>
          <w:rFonts w:hint="eastAsia" w:ascii="仿宋" w:hAnsi="仿宋" w:eastAsia="仿宋" w:cs="仿宋"/>
          <w:b w:val="0"/>
          <w:bCs/>
          <w:color w:val="auto"/>
          <w:sz w:val="21"/>
          <w:szCs w:val="21"/>
          <w:highlight w:val="none"/>
          <w:u w:val="single"/>
          <w:lang w:eastAsia="zh-CN"/>
        </w:rPr>
        <w:t>案件代理：</w:t>
      </w:r>
      <w:r>
        <w:rPr>
          <w:rFonts w:hint="eastAsia" w:ascii="仿宋" w:hAnsi="仿宋" w:eastAsia="仿宋" w:cs="仿宋"/>
          <w:b w:val="0"/>
          <w:bCs/>
          <w:color w:val="auto"/>
          <w:sz w:val="21"/>
          <w:szCs w:val="21"/>
          <w:highlight w:val="none"/>
          <w:u w:val="single"/>
        </w:rPr>
        <w:t>甲方涉及经济、民事、知识产权、劳动、行政、刑事等必须进入诉讼或者仲裁法律程序及非诉讼调解的专案代理事务</w:t>
      </w:r>
      <w:r>
        <w:rPr>
          <w:rFonts w:hint="eastAsia" w:ascii="仿宋" w:hAnsi="仿宋" w:eastAsia="仿宋" w:cs="仿宋"/>
          <w:b w:val="0"/>
          <w:bCs/>
          <w:color w:val="auto"/>
          <w:sz w:val="21"/>
          <w:szCs w:val="21"/>
          <w:highlight w:val="none"/>
          <w:u w:val="single"/>
          <w:lang w:eastAsia="zh-CN"/>
        </w:rPr>
        <w:t>，及</w:t>
      </w:r>
      <w:r>
        <w:rPr>
          <w:rFonts w:hint="eastAsia" w:ascii="仿宋" w:hAnsi="仿宋" w:eastAsia="仿宋" w:cs="仿宋"/>
          <w:b w:val="0"/>
          <w:bCs/>
          <w:color w:val="auto"/>
          <w:sz w:val="21"/>
          <w:szCs w:val="21"/>
          <w:highlight w:val="none"/>
          <w:u w:val="single"/>
        </w:rPr>
        <w:t>受甲方委托，签署、送达或者接收法律文件；</w:t>
      </w:r>
    </w:p>
    <w:p w14:paraId="2A478A2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u w:val="single"/>
          <w:lang w:val="en-US" w:eastAsia="zh-CN"/>
        </w:rPr>
        <w:t>4</w:t>
      </w:r>
      <w:r>
        <w:rPr>
          <w:rFonts w:hint="eastAsia" w:ascii="仿宋" w:hAnsi="仿宋" w:eastAsia="仿宋" w:cs="仿宋"/>
          <w:b w:val="0"/>
          <w:bCs/>
          <w:color w:val="auto"/>
          <w:sz w:val="21"/>
          <w:szCs w:val="21"/>
          <w:highlight w:val="none"/>
          <w:u w:val="single"/>
        </w:rPr>
        <w:t>.应甲方要求，乙方每年为甲方进行</w:t>
      </w:r>
      <w:r>
        <w:rPr>
          <w:rFonts w:hint="eastAsia" w:ascii="仿宋" w:hAnsi="仿宋" w:eastAsia="仿宋" w:cs="仿宋"/>
          <w:b w:val="0"/>
          <w:bCs/>
          <w:color w:val="auto"/>
          <w:sz w:val="21"/>
          <w:szCs w:val="21"/>
          <w:highlight w:val="none"/>
          <w:u w:val="single"/>
          <w:lang w:val="en-US" w:eastAsia="zh-CN"/>
        </w:rPr>
        <w:t>2</w:t>
      </w:r>
      <w:r>
        <w:rPr>
          <w:rFonts w:hint="eastAsia" w:ascii="仿宋" w:hAnsi="仿宋" w:eastAsia="仿宋" w:cs="仿宋"/>
          <w:b w:val="0"/>
          <w:bCs/>
          <w:color w:val="auto"/>
          <w:sz w:val="21"/>
          <w:szCs w:val="21"/>
          <w:highlight w:val="none"/>
          <w:u w:val="single"/>
        </w:rPr>
        <w:t>次法律知识培训，每次培训时间不少于1小时；</w:t>
      </w:r>
    </w:p>
    <w:p w14:paraId="13EE8AE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u w:val="single"/>
          <w:lang w:val="en-US" w:eastAsia="zh-CN"/>
        </w:rPr>
        <w:t>5</w:t>
      </w:r>
      <w:r>
        <w:rPr>
          <w:rFonts w:hint="eastAsia" w:ascii="仿宋" w:hAnsi="仿宋" w:eastAsia="仿宋" w:cs="仿宋"/>
          <w:b w:val="0"/>
          <w:bCs/>
          <w:color w:val="auto"/>
          <w:sz w:val="21"/>
          <w:szCs w:val="21"/>
          <w:highlight w:val="none"/>
          <w:u w:val="single"/>
        </w:rPr>
        <w:t>.审核政府信息依申请公开书面材料，草拟信息公开件的答复文书；</w:t>
      </w:r>
    </w:p>
    <w:p w14:paraId="238EEFF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u w:val="single"/>
          <w:lang w:val="en-US" w:eastAsia="zh-CN"/>
        </w:rPr>
        <w:t>6.</w:t>
      </w:r>
      <w:r>
        <w:rPr>
          <w:rFonts w:hint="eastAsia" w:ascii="仿宋" w:hAnsi="仿宋" w:eastAsia="仿宋" w:cs="仿宋"/>
          <w:b w:val="0"/>
          <w:bCs/>
          <w:color w:val="auto"/>
          <w:sz w:val="21"/>
          <w:szCs w:val="21"/>
          <w:highlight w:val="none"/>
          <w:u w:val="single"/>
          <w:lang w:eastAsia="zh-CN"/>
        </w:rPr>
        <w:t>乙方每周按照甲方要求到甲方办公场所值班半天。</w:t>
      </w:r>
    </w:p>
    <w:p w14:paraId="2BB98F5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第二条  乙方的义务</w:t>
      </w:r>
    </w:p>
    <w:p w14:paraId="4415ED5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1.乙方委托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律师作为甲方常年法律顾问，甲方同意上述律师指派其它律师配合完成前述法律事务工作，但当乙方更换律师担任甲方常年法律顾问应取得甲方认可；</w:t>
      </w:r>
    </w:p>
    <w:p w14:paraId="73EDACB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2.乙方律师应当勤勉、尽责地完成第一条所列法律事务工作；</w:t>
      </w:r>
    </w:p>
    <w:p w14:paraId="251E1DB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3.乙方律师应当以其依据法律作出的判断，尽最大努力维护甲方利益；</w:t>
      </w:r>
    </w:p>
    <w:p w14:paraId="037CEFE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4.乙方律师应当在取得甲方提供的文件资料后，及时完成委托事项，并应甲方要求通报工作进程；</w:t>
      </w:r>
    </w:p>
    <w:p w14:paraId="78C79C5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5.乙方律师在担任常年法律顾问期间，不得为甲方员工个人提供任何不利于甲方的咨询意见；</w:t>
      </w:r>
    </w:p>
    <w:p w14:paraId="216B40A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6.乙方律师在涉及甲方的对抗性案件或者交易活动中，未经甲方同意，不得担任与甲方具有法律上利益冲突的另一方的法律顾问或者代理人</w:t>
      </w:r>
      <w:r>
        <w:rPr>
          <w:rFonts w:hint="eastAsia" w:ascii="仿宋" w:hAnsi="仿宋" w:eastAsia="仿宋" w:cs="仿宋"/>
          <w:b w:val="0"/>
          <w:bCs/>
          <w:color w:val="auto"/>
          <w:sz w:val="21"/>
          <w:szCs w:val="21"/>
          <w:highlight w:val="none"/>
          <w:lang w:eastAsia="zh-CN"/>
        </w:rPr>
        <w:t>。</w:t>
      </w:r>
    </w:p>
    <w:p w14:paraId="10ED5A3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7.乙方律师对其获知的甲方的涉密信息负有保密责任，非由法律规定或者甲方同意，不得向任何第三方披露；</w:t>
      </w:r>
    </w:p>
    <w:p w14:paraId="3AC50E0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8.乙方对甲方业务应当单独建档，并保存完整的工作记录；对涉及甲方的原始证据、法律文件和财物应当妥善保管。</w:t>
      </w:r>
    </w:p>
    <w:p w14:paraId="238E7BD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第三条  甲方的义务</w:t>
      </w:r>
    </w:p>
    <w:p w14:paraId="180EEEB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1.甲方应当全面、客观和及时地向乙方提供与法律事务有关的各种情况、文件、资料；</w:t>
      </w:r>
    </w:p>
    <w:p w14:paraId="550C223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2.甲方应当为乙方律师办理法律事务提出明确、合理的要求；</w:t>
      </w:r>
    </w:p>
    <w:p w14:paraId="2C669A4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3.甲方应当按时、足额向乙方支付法律顾问费和工作费用；</w:t>
      </w:r>
    </w:p>
    <w:p w14:paraId="6CCFD3B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.甲方有责任对委托事项作出独立的判断、决策，甲方根据乙方律师提供的法律意见、建议、方案所作出的决定而导致的损失，非因乙方律师错误运用法律等失职行为造成的，由甲方自行承担。</w:t>
      </w:r>
    </w:p>
    <w:p w14:paraId="459C24C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第四条  法律顾问费及服务费</w:t>
      </w:r>
    </w:p>
    <w:p w14:paraId="175429A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（一）法律顾问费及支付</w:t>
      </w:r>
      <w:r>
        <w:rPr>
          <w:rFonts w:hint="eastAsia" w:ascii="仿宋" w:hAnsi="仿宋" w:eastAsia="仿宋" w:cs="仿宋"/>
          <w:b w:val="0"/>
          <w:bCs/>
          <w:color w:val="auto"/>
          <w:sz w:val="21"/>
          <w:szCs w:val="21"/>
          <w:highlight w:val="none"/>
          <w:lang w:eastAsia="zh-CN"/>
        </w:rPr>
        <w:t>时间</w:t>
      </w:r>
    </w:p>
    <w:p w14:paraId="571E034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收费标准：</w:t>
      </w:r>
    </w:p>
    <w:p w14:paraId="5FE833C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法律</w:t>
      </w:r>
      <w:r>
        <w:rPr>
          <w:rFonts w:hint="eastAsia" w:ascii="仿宋" w:hAnsi="仿宋" w:eastAsia="仿宋" w:cs="仿宋"/>
          <w:b w:val="0"/>
          <w:bCs/>
          <w:color w:val="auto"/>
          <w:sz w:val="21"/>
          <w:szCs w:val="21"/>
          <w:highlight w:val="none"/>
          <w:lang w:eastAsia="zh-CN"/>
        </w:rPr>
        <w:t>咨询费用</w:t>
      </w:r>
      <w:r>
        <w:rPr>
          <w:rFonts w:hint="eastAsia" w:ascii="仿宋" w:hAnsi="仿宋" w:eastAsia="仿宋" w:cs="仿宋"/>
          <w:b w:val="0"/>
          <w:bCs/>
          <w:color w:val="auto"/>
          <w:sz w:val="21"/>
          <w:szCs w:val="21"/>
          <w:highlight w:val="none"/>
        </w:rPr>
        <w:t>人民币</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元</w:t>
      </w:r>
      <w:r>
        <w:rPr>
          <w:rFonts w:hint="eastAsia" w:ascii="仿宋" w:hAnsi="仿宋" w:eastAsia="仿宋" w:cs="仿宋"/>
          <w:b w:val="0"/>
          <w:bCs/>
          <w:color w:val="auto"/>
          <w:sz w:val="21"/>
          <w:szCs w:val="21"/>
          <w:highlight w:val="none"/>
          <w:lang w:val="en-US" w:eastAsia="zh-CN"/>
        </w:rPr>
        <w:t>/年；</w:t>
      </w:r>
    </w:p>
    <w:p w14:paraId="533BDAD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合同审核费用</w:t>
      </w:r>
      <w:r>
        <w:rPr>
          <w:rFonts w:hint="eastAsia" w:ascii="仿宋" w:hAnsi="仿宋" w:eastAsia="仿宋" w:cs="仿宋"/>
          <w:b w:val="0"/>
          <w:bCs/>
          <w:color w:val="auto"/>
          <w:sz w:val="21"/>
          <w:szCs w:val="21"/>
          <w:highlight w:val="none"/>
        </w:rPr>
        <w:t>人民币</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元</w:t>
      </w:r>
      <w:r>
        <w:rPr>
          <w:rFonts w:hint="eastAsia" w:ascii="仿宋" w:hAnsi="仿宋" w:eastAsia="仿宋" w:cs="仿宋"/>
          <w:b w:val="0"/>
          <w:bCs/>
          <w:color w:val="auto"/>
          <w:sz w:val="21"/>
          <w:szCs w:val="21"/>
          <w:highlight w:val="none"/>
          <w:lang w:val="en-US" w:eastAsia="zh-CN"/>
        </w:rPr>
        <w:t>/年；</w:t>
      </w:r>
    </w:p>
    <w:p w14:paraId="6CA3095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律师驻场费用</w:t>
      </w:r>
      <w:r>
        <w:rPr>
          <w:rFonts w:hint="eastAsia" w:ascii="仿宋" w:hAnsi="仿宋" w:eastAsia="仿宋" w:cs="仿宋"/>
          <w:b w:val="0"/>
          <w:bCs/>
          <w:color w:val="auto"/>
          <w:sz w:val="21"/>
          <w:szCs w:val="21"/>
          <w:highlight w:val="none"/>
          <w:lang w:eastAsia="zh-CN"/>
        </w:rPr>
        <w:t>人民币</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元</w:t>
      </w:r>
      <w:r>
        <w:rPr>
          <w:rFonts w:hint="eastAsia" w:ascii="仿宋" w:hAnsi="仿宋" w:eastAsia="仿宋" w:cs="仿宋"/>
          <w:b w:val="0"/>
          <w:bCs/>
          <w:color w:val="auto"/>
          <w:sz w:val="21"/>
          <w:szCs w:val="21"/>
          <w:highlight w:val="none"/>
          <w:lang w:val="en-US" w:eastAsia="zh-CN"/>
        </w:rPr>
        <w:t>/年。</w:t>
      </w:r>
    </w:p>
    <w:p w14:paraId="483EB30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eastAsia="zh-CN"/>
        </w:rPr>
        <w:t>支付时间：</w:t>
      </w:r>
      <w:r>
        <w:rPr>
          <w:rFonts w:hint="eastAsia" w:ascii="仿宋" w:hAnsi="仿宋" w:eastAsia="仿宋" w:cs="仿宋"/>
          <w:b w:val="0"/>
          <w:bCs/>
          <w:color w:val="auto"/>
          <w:sz w:val="21"/>
          <w:szCs w:val="21"/>
          <w:highlight w:val="none"/>
          <w:u w:val="single"/>
        </w:rPr>
        <w:t>自本合同生效后三十个工作日内甲方向乙方支付</w:t>
      </w:r>
      <w:r>
        <w:rPr>
          <w:rFonts w:hint="eastAsia" w:ascii="仿宋" w:hAnsi="仿宋" w:eastAsia="仿宋" w:cs="仿宋"/>
          <w:b w:val="0"/>
          <w:bCs/>
          <w:color w:val="auto"/>
          <w:sz w:val="21"/>
          <w:szCs w:val="21"/>
          <w:highlight w:val="none"/>
          <w:u w:val="single"/>
          <w:lang w:eastAsia="zh-CN"/>
        </w:rPr>
        <w:t>以上三项法律顾问费的</w:t>
      </w:r>
      <w:r>
        <w:rPr>
          <w:rFonts w:hint="eastAsia" w:ascii="仿宋" w:hAnsi="仿宋" w:eastAsia="仿宋" w:cs="仿宋"/>
          <w:b w:val="0"/>
          <w:bCs/>
          <w:color w:val="auto"/>
          <w:sz w:val="21"/>
          <w:szCs w:val="21"/>
          <w:highlight w:val="none"/>
          <w:u w:val="single"/>
          <w:lang w:val="en-US" w:eastAsia="zh-CN"/>
        </w:rPr>
        <w:t>50</w:t>
      </w:r>
      <w:r>
        <w:rPr>
          <w:rFonts w:hint="eastAsia" w:ascii="仿宋" w:hAnsi="仿宋" w:eastAsia="仿宋" w:cs="仿宋"/>
          <w:b w:val="0"/>
          <w:bCs/>
          <w:color w:val="auto"/>
          <w:sz w:val="21"/>
          <w:szCs w:val="21"/>
          <w:highlight w:val="none"/>
          <w:u w:val="single"/>
        </w:rPr>
        <w:t>%，另外</w:t>
      </w:r>
      <w:r>
        <w:rPr>
          <w:rFonts w:hint="eastAsia" w:ascii="仿宋" w:hAnsi="仿宋" w:eastAsia="仿宋" w:cs="仿宋"/>
          <w:b w:val="0"/>
          <w:bCs/>
          <w:color w:val="auto"/>
          <w:sz w:val="21"/>
          <w:szCs w:val="21"/>
          <w:highlight w:val="none"/>
          <w:u w:val="single"/>
          <w:lang w:val="en-US" w:eastAsia="zh-CN"/>
        </w:rPr>
        <w:t>50</w:t>
      </w:r>
      <w:r>
        <w:rPr>
          <w:rFonts w:hint="eastAsia" w:ascii="仿宋" w:hAnsi="仿宋" w:eastAsia="仿宋" w:cs="仿宋"/>
          <w:b w:val="0"/>
          <w:bCs/>
          <w:color w:val="auto"/>
          <w:sz w:val="21"/>
          <w:szCs w:val="21"/>
          <w:highlight w:val="none"/>
          <w:u w:val="single"/>
        </w:rPr>
        <w:t>%</w:t>
      </w:r>
      <w:r>
        <w:rPr>
          <w:rFonts w:hint="eastAsia" w:ascii="仿宋" w:hAnsi="仿宋" w:eastAsia="仿宋" w:cs="仿宋"/>
          <w:b w:val="0"/>
          <w:bCs/>
          <w:color w:val="auto"/>
          <w:sz w:val="21"/>
          <w:szCs w:val="21"/>
          <w:highlight w:val="none"/>
          <w:u w:val="single"/>
          <w:lang w:eastAsia="zh-CN"/>
        </w:rPr>
        <w:t>合同到期后支付</w:t>
      </w:r>
      <w:r>
        <w:rPr>
          <w:rFonts w:hint="eastAsia" w:ascii="仿宋" w:hAnsi="仿宋" w:eastAsia="仿宋" w:cs="仿宋"/>
          <w:b w:val="0"/>
          <w:bCs/>
          <w:color w:val="auto"/>
          <w:sz w:val="21"/>
          <w:szCs w:val="21"/>
          <w:highlight w:val="none"/>
          <w:u w:val="single"/>
        </w:rPr>
        <w:t>。</w:t>
      </w:r>
    </w:p>
    <w:p w14:paraId="4935E5A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（二）</w:t>
      </w:r>
      <w:r>
        <w:rPr>
          <w:rFonts w:hint="eastAsia" w:ascii="仿宋" w:hAnsi="仿宋" w:eastAsia="仿宋" w:cs="仿宋"/>
          <w:b w:val="0"/>
          <w:bCs/>
          <w:color w:val="auto"/>
          <w:sz w:val="21"/>
          <w:szCs w:val="21"/>
          <w:highlight w:val="none"/>
        </w:rPr>
        <w:t>政府信息公开服务费</w:t>
      </w:r>
      <w:r>
        <w:rPr>
          <w:rFonts w:hint="eastAsia" w:ascii="仿宋" w:hAnsi="仿宋" w:eastAsia="仿宋" w:cs="仿宋"/>
          <w:b w:val="0"/>
          <w:bCs/>
          <w:color w:val="auto"/>
          <w:sz w:val="21"/>
          <w:szCs w:val="21"/>
          <w:highlight w:val="none"/>
          <w:lang w:eastAsia="zh-CN"/>
        </w:rPr>
        <w:t>及</w:t>
      </w:r>
      <w:r>
        <w:rPr>
          <w:rFonts w:hint="eastAsia" w:ascii="仿宋" w:hAnsi="仿宋" w:eastAsia="仿宋" w:cs="仿宋"/>
          <w:b w:val="0"/>
          <w:bCs/>
          <w:color w:val="auto"/>
          <w:sz w:val="21"/>
          <w:szCs w:val="21"/>
          <w:highlight w:val="none"/>
        </w:rPr>
        <w:t>支付</w:t>
      </w:r>
      <w:r>
        <w:rPr>
          <w:rFonts w:hint="eastAsia" w:ascii="仿宋" w:hAnsi="仿宋" w:eastAsia="仿宋" w:cs="仿宋"/>
          <w:b w:val="0"/>
          <w:bCs/>
          <w:color w:val="auto"/>
          <w:sz w:val="21"/>
          <w:szCs w:val="21"/>
          <w:highlight w:val="none"/>
          <w:lang w:eastAsia="zh-CN"/>
        </w:rPr>
        <w:t>时间</w:t>
      </w:r>
    </w:p>
    <w:p w14:paraId="65FC555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收费标准：</w:t>
      </w:r>
      <w:r>
        <w:rPr>
          <w:rFonts w:hint="eastAsia" w:ascii="仿宋" w:hAnsi="仿宋" w:eastAsia="仿宋" w:cs="仿宋"/>
          <w:b w:val="0"/>
          <w:bCs/>
          <w:color w:val="auto"/>
          <w:sz w:val="21"/>
          <w:szCs w:val="21"/>
          <w:highlight w:val="none"/>
          <w:u w:val="single"/>
        </w:rPr>
        <w:t>信息公开件每一件收取法律服务费</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rPr>
        <w:t>元。</w:t>
      </w:r>
    </w:p>
    <w:p w14:paraId="1E0B524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eastAsia="zh-CN"/>
        </w:rPr>
        <w:t>支付时间：</w:t>
      </w:r>
      <w:r>
        <w:rPr>
          <w:rFonts w:hint="eastAsia" w:ascii="仿宋" w:hAnsi="仿宋" w:eastAsia="仿宋" w:cs="仿宋"/>
          <w:b w:val="0"/>
          <w:bCs/>
          <w:color w:val="auto"/>
          <w:sz w:val="21"/>
          <w:szCs w:val="21"/>
          <w:highlight w:val="none"/>
          <w:u w:val="single"/>
          <w:lang w:eastAsia="zh-CN"/>
        </w:rPr>
        <w:t>信息公开办结后，由乙方提交案件清单并由双方确认，经甲方财政审批流程后付款。</w:t>
      </w:r>
    </w:p>
    <w:p w14:paraId="1DD0FD3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（三）</w:t>
      </w:r>
      <w:r>
        <w:rPr>
          <w:rFonts w:hint="eastAsia" w:ascii="仿宋" w:hAnsi="仿宋" w:eastAsia="仿宋" w:cs="仿宋"/>
          <w:b w:val="0"/>
          <w:bCs/>
          <w:color w:val="auto"/>
          <w:sz w:val="21"/>
          <w:szCs w:val="21"/>
          <w:highlight w:val="none"/>
          <w:lang w:eastAsia="zh-CN"/>
        </w:rPr>
        <w:t>案件代理</w:t>
      </w:r>
      <w:r>
        <w:rPr>
          <w:rFonts w:hint="eastAsia" w:ascii="仿宋" w:hAnsi="仿宋" w:eastAsia="仿宋" w:cs="仿宋"/>
          <w:b w:val="0"/>
          <w:bCs/>
          <w:color w:val="auto"/>
          <w:sz w:val="21"/>
          <w:szCs w:val="21"/>
          <w:highlight w:val="none"/>
        </w:rPr>
        <w:t>费及支付</w:t>
      </w:r>
      <w:r>
        <w:rPr>
          <w:rFonts w:hint="eastAsia" w:ascii="仿宋" w:hAnsi="仿宋" w:eastAsia="仿宋" w:cs="仿宋"/>
          <w:b w:val="0"/>
          <w:bCs/>
          <w:color w:val="auto"/>
          <w:sz w:val="21"/>
          <w:szCs w:val="21"/>
          <w:highlight w:val="none"/>
          <w:lang w:eastAsia="zh-CN"/>
        </w:rPr>
        <w:t>时间</w:t>
      </w:r>
    </w:p>
    <w:p w14:paraId="307BE19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rPr>
        <w:t>收费标准：</w:t>
      </w:r>
      <w:r>
        <w:rPr>
          <w:rFonts w:hint="eastAsia" w:ascii="仿宋" w:hAnsi="仿宋" w:eastAsia="仿宋" w:cs="仿宋"/>
          <w:b w:val="0"/>
          <w:bCs/>
          <w:color w:val="auto"/>
          <w:sz w:val="21"/>
          <w:szCs w:val="21"/>
          <w:highlight w:val="none"/>
          <w:u w:val="single"/>
          <w:lang w:eastAsia="zh-CN"/>
        </w:rPr>
        <w:t>诉讼案件一审、复议案件、仲裁案件及其它案件代理费用</w:t>
      </w:r>
      <w:r>
        <w:rPr>
          <w:rFonts w:hint="eastAsia" w:ascii="仿宋" w:hAnsi="仿宋" w:eastAsia="仿宋" w:cs="仿宋"/>
          <w:b w:val="0"/>
          <w:bCs/>
          <w:color w:val="auto"/>
          <w:sz w:val="21"/>
          <w:szCs w:val="21"/>
          <w:highlight w:val="none"/>
          <w:u w:val="single"/>
        </w:rPr>
        <w:t>每一件收取</w:t>
      </w:r>
      <w:r>
        <w:rPr>
          <w:rFonts w:hint="eastAsia" w:ascii="仿宋" w:hAnsi="仿宋" w:eastAsia="仿宋" w:cs="仿宋"/>
          <w:b w:val="0"/>
          <w:bCs/>
          <w:color w:val="auto"/>
          <w:sz w:val="21"/>
          <w:szCs w:val="21"/>
          <w:highlight w:val="none"/>
          <w:u w:val="single"/>
          <w:lang w:eastAsia="zh-CN"/>
        </w:rPr>
        <w:t>法律服务费</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rPr>
        <w:t>元</w:t>
      </w:r>
      <w:r>
        <w:rPr>
          <w:rFonts w:hint="eastAsia" w:ascii="仿宋" w:hAnsi="仿宋" w:eastAsia="仿宋" w:cs="仿宋"/>
          <w:b w:val="0"/>
          <w:bCs/>
          <w:color w:val="auto"/>
          <w:sz w:val="21"/>
          <w:szCs w:val="21"/>
          <w:highlight w:val="none"/>
          <w:u w:val="single"/>
          <w:lang w:val="en-US" w:eastAsia="zh-CN"/>
        </w:rPr>
        <w:t>，诉讼案件二审、再审、执行等</w:t>
      </w:r>
      <w:r>
        <w:rPr>
          <w:rFonts w:hint="eastAsia" w:ascii="仿宋" w:hAnsi="仿宋" w:eastAsia="仿宋" w:cs="仿宋"/>
          <w:b w:val="0"/>
          <w:bCs/>
          <w:color w:val="auto"/>
          <w:sz w:val="21"/>
          <w:szCs w:val="21"/>
          <w:highlight w:val="none"/>
          <w:u w:val="single"/>
        </w:rPr>
        <w:t>每一件收取</w:t>
      </w:r>
      <w:r>
        <w:rPr>
          <w:rFonts w:hint="eastAsia" w:ascii="仿宋" w:hAnsi="仿宋" w:eastAsia="仿宋" w:cs="仿宋"/>
          <w:b w:val="0"/>
          <w:bCs/>
          <w:color w:val="auto"/>
          <w:sz w:val="21"/>
          <w:szCs w:val="21"/>
          <w:highlight w:val="none"/>
          <w:u w:val="single"/>
          <w:lang w:eastAsia="zh-CN"/>
        </w:rPr>
        <w:t>法律服务费</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rPr>
        <w:t>元</w:t>
      </w:r>
      <w:r>
        <w:rPr>
          <w:rFonts w:hint="eastAsia" w:ascii="仿宋" w:hAnsi="仿宋" w:eastAsia="仿宋" w:cs="仿宋"/>
          <w:b w:val="0"/>
          <w:bCs/>
          <w:color w:val="auto"/>
          <w:sz w:val="21"/>
          <w:szCs w:val="21"/>
          <w:highlight w:val="none"/>
          <w:u w:val="single"/>
          <w:lang w:val="en-US" w:eastAsia="zh-CN"/>
        </w:rPr>
        <w:t>。</w:t>
      </w:r>
    </w:p>
    <w:p w14:paraId="003F9B1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前述“进入诉讼程序或者仲裁法律程序”的界定为，在相应法院或仲裁机构有对应的案号，即属于进入诉讼程序或仲裁法律程序。进入诉讼程序或仲裁法律程序后，不论甲方所委托的案件是否开庭，案件结果包括但不限于判决、调解、裁定、撤诉、按撤诉处理等，均按照一个案件支付相应</w:t>
      </w:r>
      <w:r>
        <w:rPr>
          <w:rFonts w:hint="eastAsia" w:ascii="仿宋" w:hAnsi="仿宋" w:eastAsia="仿宋" w:cs="仿宋"/>
          <w:b w:val="0"/>
          <w:bCs/>
          <w:color w:val="auto"/>
          <w:sz w:val="21"/>
          <w:szCs w:val="21"/>
          <w:highlight w:val="none"/>
          <w:lang w:eastAsia="zh-CN"/>
        </w:rPr>
        <w:t>法律服务费</w:t>
      </w:r>
      <w:r>
        <w:rPr>
          <w:rFonts w:hint="eastAsia" w:ascii="仿宋" w:hAnsi="仿宋" w:eastAsia="仿宋" w:cs="仿宋"/>
          <w:b w:val="0"/>
          <w:bCs/>
          <w:color w:val="auto"/>
          <w:sz w:val="21"/>
          <w:szCs w:val="21"/>
          <w:highlight w:val="none"/>
        </w:rPr>
        <w:t>费。</w:t>
      </w:r>
    </w:p>
    <w:p w14:paraId="565D150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lang w:eastAsia="zh-CN"/>
        </w:rPr>
      </w:pPr>
      <w:r>
        <w:rPr>
          <w:rFonts w:hint="eastAsia" w:ascii="仿宋" w:hAnsi="仿宋" w:eastAsia="仿宋" w:cs="仿宋"/>
          <w:b w:val="0"/>
          <w:bCs/>
          <w:color w:val="auto"/>
          <w:sz w:val="21"/>
          <w:szCs w:val="21"/>
          <w:highlight w:val="none"/>
          <w:lang w:eastAsia="zh-CN"/>
        </w:rPr>
        <w:t>支付时间：</w:t>
      </w:r>
      <w:r>
        <w:rPr>
          <w:rFonts w:hint="eastAsia" w:ascii="仿宋" w:hAnsi="仿宋" w:eastAsia="仿宋" w:cs="仿宋"/>
          <w:b w:val="0"/>
          <w:bCs/>
          <w:color w:val="auto"/>
          <w:sz w:val="21"/>
          <w:szCs w:val="21"/>
          <w:highlight w:val="none"/>
          <w:u w:val="single"/>
          <w:lang w:eastAsia="zh-CN"/>
        </w:rPr>
        <w:t>案件办结后，依据案件</w:t>
      </w:r>
      <w:r>
        <w:rPr>
          <w:rFonts w:hint="eastAsia" w:ascii="仿宋" w:hAnsi="仿宋" w:eastAsia="仿宋" w:cs="仿宋"/>
          <w:b w:val="0"/>
          <w:bCs/>
          <w:color w:val="auto"/>
          <w:sz w:val="21"/>
          <w:szCs w:val="21"/>
          <w:highlight w:val="none"/>
          <w:u w:val="single"/>
        </w:rPr>
        <w:t>代理标准</w:t>
      </w:r>
      <w:r>
        <w:rPr>
          <w:rFonts w:hint="eastAsia" w:ascii="仿宋" w:hAnsi="仿宋" w:eastAsia="仿宋" w:cs="仿宋"/>
          <w:b w:val="0"/>
          <w:bCs/>
          <w:color w:val="auto"/>
          <w:sz w:val="21"/>
          <w:szCs w:val="21"/>
          <w:highlight w:val="none"/>
          <w:u w:val="single"/>
          <w:lang w:eastAsia="zh-CN"/>
        </w:rPr>
        <w:t>，由乙方提交案件清单并经双方确认，经甲方财政审批流程后付款。</w:t>
      </w:r>
    </w:p>
    <w:p w14:paraId="094D57B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款项的具体支付时间由双方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14:paraId="212E135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（三）乙方账户信息</w:t>
      </w:r>
    </w:p>
    <w:p w14:paraId="0F30700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u w:val="single"/>
          <w:lang w:val="en-US" w:eastAsia="zh-CN"/>
        </w:rPr>
      </w:pPr>
      <w:r>
        <w:rPr>
          <w:rFonts w:hint="eastAsia" w:ascii="仿宋" w:hAnsi="仿宋" w:eastAsia="仿宋" w:cs="仿宋"/>
          <w:b w:val="0"/>
          <w:bCs/>
          <w:color w:val="auto"/>
          <w:sz w:val="21"/>
          <w:szCs w:val="21"/>
          <w:highlight w:val="none"/>
          <w:lang w:val="en-US" w:eastAsia="zh-CN"/>
        </w:rPr>
        <w:t>乙方收款账户名称：</w:t>
      </w:r>
      <w:r>
        <w:rPr>
          <w:rFonts w:hint="eastAsia" w:ascii="仿宋" w:hAnsi="仿宋" w:eastAsia="仿宋" w:cs="仿宋"/>
          <w:b w:val="0"/>
          <w:bCs/>
          <w:color w:val="auto"/>
          <w:sz w:val="21"/>
          <w:szCs w:val="21"/>
          <w:highlight w:val="none"/>
          <w:u w:val="single"/>
          <w:lang w:val="en-US" w:eastAsia="zh-CN"/>
        </w:rPr>
        <w:t xml:space="preserve">                                </w:t>
      </w:r>
    </w:p>
    <w:p w14:paraId="74F0FBC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纳税人识别号：</w:t>
      </w:r>
      <w:r>
        <w:rPr>
          <w:rFonts w:hint="eastAsia" w:ascii="仿宋" w:hAnsi="仿宋" w:eastAsia="仿宋" w:cs="仿宋"/>
          <w:b w:val="0"/>
          <w:bCs/>
          <w:color w:val="auto"/>
          <w:sz w:val="21"/>
          <w:szCs w:val="21"/>
          <w:highlight w:val="none"/>
          <w:u w:val="single"/>
          <w:lang w:val="en-US" w:eastAsia="zh-CN"/>
        </w:rPr>
        <w:t xml:space="preserve">                                    </w:t>
      </w:r>
    </w:p>
    <w:p w14:paraId="16E79F6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地址：</w:t>
      </w:r>
      <w:r>
        <w:rPr>
          <w:rFonts w:hint="eastAsia" w:ascii="仿宋" w:hAnsi="仿宋" w:eastAsia="仿宋" w:cs="仿宋"/>
          <w:b w:val="0"/>
          <w:bCs/>
          <w:color w:val="auto"/>
          <w:sz w:val="21"/>
          <w:szCs w:val="21"/>
          <w:highlight w:val="none"/>
          <w:u w:val="single"/>
          <w:lang w:val="en-US" w:eastAsia="zh-CN"/>
        </w:rPr>
        <w:t xml:space="preserve">                                            </w:t>
      </w:r>
    </w:p>
    <w:p w14:paraId="6915A73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开户行：</w:t>
      </w:r>
      <w:r>
        <w:rPr>
          <w:rFonts w:hint="eastAsia" w:ascii="仿宋" w:hAnsi="仿宋" w:eastAsia="仿宋" w:cs="仿宋"/>
          <w:b w:val="0"/>
          <w:bCs/>
          <w:color w:val="auto"/>
          <w:sz w:val="21"/>
          <w:szCs w:val="21"/>
          <w:highlight w:val="none"/>
          <w:u w:val="single"/>
          <w:lang w:val="en-US" w:eastAsia="zh-CN"/>
        </w:rPr>
        <w:t xml:space="preserve">                                          </w:t>
      </w:r>
    </w:p>
    <w:p w14:paraId="37BB27C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账号：</w:t>
      </w:r>
      <w:r>
        <w:rPr>
          <w:rFonts w:hint="eastAsia" w:ascii="仿宋" w:hAnsi="仿宋" w:eastAsia="仿宋" w:cs="仿宋"/>
          <w:b w:val="0"/>
          <w:bCs/>
          <w:color w:val="auto"/>
          <w:sz w:val="21"/>
          <w:szCs w:val="21"/>
          <w:highlight w:val="none"/>
          <w:u w:val="single"/>
          <w:lang w:val="en-US" w:eastAsia="zh-CN"/>
        </w:rPr>
        <w:t xml:space="preserve">                                            </w:t>
      </w:r>
    </w:p>
    <w:p w14:paraId="31C83AD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本合同到期终止后或者提前解除的，应当由双方书面确认并结清有关费用。</w:t>
      </w:r>
    </w:p>
    <w:p w14:paraId="055E666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第五条  工作费用</w:t>
      </w:r>
    </w:p>
    <w:p w14:paraId="6740DF0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乙方律师办理甲方委托事项所发生的下列工作费用，应当由甲方承担：</w:t>
      </w:r>
    </w:p>
    <w:p w14:paraId="468B436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相关行政、司法、鉴定、公证等部门收取的费用；</w:t>
      </w:r>
    </w:p>
    <w:p w14:paraId="191BE99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北京市外发生的差旅费、食宿费、翻译费、复印费、长途通信费等；</w:t>
      </w:r>
    </w:p>
    <w:p w14:paraId="6A5F3A8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征得甲方同意后支出的其他费用；</w:t>
      </w:r>
    </w:p>
    <w:p w14:paraId="2C0A365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乙方律师应当本着节俭原则合理使用工作费用。</w:t>
      </w:r>
    </w:p>
    <w:p w14:paraId="4B3480E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第六条  合同的解除</w:t>
      </w:r>
    </w:p>
    <w:p w14:paraId="781C690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甲乙双方经协商同意，可以变更或解除合同。</w:t>
      </w:r>
    </w:p>
    <w:p w14:paraId="5AAA082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乙方有下列情形之一的，甲方有权解除合同：</w:t>
      </w:r>
    </w:p>
    <w:p w14:paraId="3BE677C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未经甲方同意，擅自更换作为甲方常年法律顾问的律师的；</w:t>
      </w:r>
    </w:p>
    <w:p w14:paraId="7D7C366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因乙方律师工作延误、失职、失误导致甲方蒙受损失的；</w:t>
      </w:r>
    </w:p>
    <w:p w14:paraId="2606546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违反第二条第5-7项规定义务之一的。</w:t>
      </w:r>
    </w:p>
    <w:p w14:paraId="54851C8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甲方有下列情形之一的，乙方有权解除合同：</w:t>
      </w:r>
    </w:p>
    <w:p w14:paraId="56B7C07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甲方的委托事项违反法律或者违反律师执业规范的；</w:t>
      </w:r>
    </w:p>
    <w:p w14:paraId="14083C2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甲方有捏造事实、伪造证据或者隐瞒重要情节等情形，致使乙方律师不能提供有效的法律服务的；</w:t>
      </w:r>
    </w:p>
    <w:p w14:paraId="64B07F9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第七条  违约责任</w:t>
      </w:r>
    </w:p>
    <w:p w14:paraId="4320FCE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乙方无正当理由不提供第一条规定的法律服务或者违反第二条规定的义务，甲方有权要求乙方退还部分或者全部已付的法律顾问费用。</w:t>
      </w:r>
    </w:p>
    <w:p w14:paraId="3D6EB50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因乙方律师工作延误、失职、失误导致甲方蒙受损失，或者违反第二条第5-7项规定义务之一的，乙方应当通过其所投保的执业保险向甲方承担赔偿责任。</w:t>
      </w:r>
    </w:p>
    <w:p w14:paraId="769D4EE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甲方无正当理由不支付法律顾问费或者工作费用，或者无故终止合同，乙方有权要求甲方支付未付的法律顾问费、未报销的工作费用以及延期支付的利息。</w:t>
      </w:r>
    </w:p>
    <w:p w14:paraId="5779EB9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第八条  争议的解决</w:t>
      </w:r>
    </w:p>
    <w:p w14:paraId="4F99593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甲乙双方如果发生争议，应当友好协商解决。如协商不成，任何一方均有权向北京市顺义区人民法院起诉。</w:t>
      </w:r>
    </w:p>
    <w:p w14:paraId="23BAF06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第九条  合同的生效</w:t>
      </w:r>
    </w:p>
    <w:p w14:paraId="27B32CF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本合同正本一式</w:t>
      </w:r>
      <w:r>
        <w:rPr>
          <w:rFonts w:hint="eastAsia" w:ascii="仿宋" w:hAnsi="仿宋" w:eastAsia="仿宋" w:cs="仿宋"/>
          <w:b w:val="0"/>
          <w:bCs/>
          <w:color w:val="auto"/>
          <w:sz w:val="21"/>
          <w:szCs w:val="21"/>
          <w:highlight w:val="none"/>
          <w:lang w:eastAsia="zh-CN"/>
        </w:rPr>
        <w:t>肆</w:t>
      </w:r>
      <w:r>
        <w:rPr>
          <w:rFonts w:hint="eastAsia" w:ascii="仿宋" w:hAnsi="仿宋" w:eastAsia="仿宋" w:cs="仿宋"/>
          <w:b w:val="0"/>
          <w:bCs/>
          <w:color w:val="auto"/>
          <w:sz w:val="21"/>
          <w:szCs w:val="21"/>
          <w:highlight w:val="none"/>
        </w:rPr>
        <w:t>份，由甲乙双方代表签字并加盖公章</w:t>
      </w:r>
      <w:r>
        <w:rPr>
          <w:rFonts w:hint="eastAsia" w:ascii="仿宋" w:hAnsi="仿宋" w:eastAsia="仿宋" w:cs="仿宋"/>
          <w:b w:val="0"/>
          <w:bCs/>
          <w:color w:val="auto"/>
          <w:sz w:val="21"/>
          <w:szCs w:val="21"/>
          <w:highlight w:val="none"/>
          <w:lang w:val="en-US" w:eastAsia="zh-CN"/>
        </w:rPr>
        <w:t>之日</w:t>
      </w:r>
      <w:r>
        <w:rPr>
          <w:rFonts w:hint="eastAsia" w:ascii="仿宋" w:hAnsi="仿宋" w:eastAsia="仿宋" w:cs="仿宋"/>
          <w:b w:val="0"/>
          <w:bCs/>
          <w:color w:val="auto"/>
          <w:sz w:val="21"/>
          <w:szCs w:val="21"/>
          <w:highlight w:val="none"/>
        </w:rPr>
        <w:t>起生效。</w:t>
      </w:r>
    </w:p>
    <w:p w14:paraId="6936248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第十条  合同的期限</w:t>
      </w:r>
    </w:p>
    <w:p w14:paraId="1678991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本合同的期限为</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u w:val="single"/>
          <w:lang w:val="en-US" w:eastAsia="zh-CN"/>
        </w:rPr>
        <w:t xml:space="preserve"> 1 </w:t>
      </w:r>
      <w:r>
        <w:rPr>
          <w:rFonts w:hint="eastAsia" w:ascii="仿宋" w:hAnsi="仿宋" w:eastAsia="仿宋" w:cs="仿宋"/>
          <w:b w:val="0"/>
          <w:bCs/>
          <w:color w:val="auto"/>
          <w:sz w:val="21"/>
          <w:szCs w:val="21"/>
          <w:highlight w:val="none"/>
          <w:u w:val="none"/>
          <w:lang w:val="en-US" w:eastAsia="zh-CN"/>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日至</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日。</w:t>
      </w:r>
    </w:p>
    <w:p w14:paraId="4539901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第十一条  通知和送达</w:t>
      </w:r>
    </w:p>
    <w:p w14:paraId="4633FF0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甲乙双方因履行本合同而相互发出或者提供的所有通知、文件、资料，均以本合同所列明的地址、传真送达，一方如果迁址或者变更电话，应当书面通知对方。</w:t>
      </w:r>
    </w:p>
    <w:p w14:paraId="67A71B9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通过传真方式的，在发出传真时视为送达；以邮寄方式的，挂号寄出或者投邮当日视为送达。</w:t>
      </w:r>
    </w:p>
    <w:p w14:paraId="73C2A25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048D872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3FA33A9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1CE20E5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377C22A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37E2A2D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4DF82DD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甲方（签章）：</w:t>
      </w:r>
    </w:p>
    <w:p w14:paraId="72D7FB5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法定代表人或授权代表（签字）：</w:t>
      </w:r>
    </w:p>
    <w:p w14:paraId="08A6C08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日</w:t>
      </w:r>
    </w:p>
    <w:p w14:paraId="32F15CE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2875979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p>
    <w:p w14:paraId="0506CC8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乙方（签章）：</w:t>
      </w:r>
    </w:p>
    <w:p w14:paraId="4C00149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法定代表人或授权代表（签字）：</w:t>
      </w:r>
    </w:p>
    <w:p w14:paraId="6588BD7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日</w:t>
      </w:r>
    </w:p>
    <w:p w14:paraId="1F6D9DB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3E9F05C0">
      <w:pPr>
        <w:keepNext w:val="0"/>
        <w:keepLines w:val="0"/>
        <w:pageBreakBefore w:val="0"/>
        <w:widowControl w:val="0"/>
        <w:kinsoku/>
        <w:wordWrap w:val="0"/>
        <w:overflowPunct/>
        <w:topLinePunct/>
        <w:autoSpaceDE/>
        <w:autoSpaceDN/>
        <w:bidi w:val="0"/>
        <w:spacing w:line="360" w:lineRule="auto"/>
        <w:jc w:val="center"/>
        <w:outlineLvl w:val="0"/>
        <w:rPr>
          <w:rFonts w:hint="eastAsia" w:ascii="仿宋" w:hAnsi="仿宋" w:eastAsia="仿宋" w:cs="仿宋"/>
          <w:b w:val="0"/>
          <w:bCs/>
          <w:color w:val="auto"/>
          <w:sz w:val="21"/>
          <w:szCs w:val="21"/>
          <w:highlight w:val="none"/>
        </w:rPr>
      </w:pPr>
      <w:bookmarkStart w:id="680" w:name="_Toc23239"/>
      <w:r>
        <w:rPr>
          <w:rFonts w:hint="eastAsia" w:ascii="仿宋" w:hAnsi="仿宋" w:eastAsia="仿宋" w:cs="仿宋"/>
          <w:b w:val="0"/>
          <w:bCs/>
          <w:color w:val="auto"/>
          <w:sz w:val="21"/>
          <w:szCs w:val="21"/>
          <w:highlight w:val="none"/>
        </w:rPr>
        <w:t>第六章   响应文件格式</w:t>
      </w:r>
      <w:bookmarkEnd w:id="680"/>
    </w:p>
    <w:p w14:paraId="5ED4A92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供应商编制文件须知</w:t>
      </w:r>
    </w:p>
    <w:p w14:paraId="32B7F58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1、供应商按照本部分的顺序编制响应文件，编制中涉及格式资料的，应按照本部分提供的内容和格式（所有表格的格式可扩展）填写提交。</w:t>
      </w:r>
    </w:p>
    <w:p w14:paraId="6E69A57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13F40ED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3、全部声明和问题的回答及所附材料必须是真实的、准确的和完整的。</w:t>
      </w:r>
    </w:p>
    <w:p w14:paraId="20F7D0A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48254D7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30"/>
          <w:szCs w:val="30"/>
          <w:highlight w:val="none"/>
        </w:rPr>
      </w:pPr>
      <w:r>
        <w:rPr>
          <w:rFonts w:hint="eastAsia" w:ascii="仿宋" w:hAnsi="仿宋" w:eastAsia="仿宋" w:cs="仿宋"/>
          <w:b w:val="0"/>
          <w:bCs/>
          <w:color w:val="auto"/>
          <w:spacing w:val="20"/>
          <w:sz w:val="30"/>
          <w:szCs w:val="30"/>
          <w:highlight w:val="none"/>
        </w:rPr>
        <w:t>响应文件</w:t>
      </w:r>
      <w:r>
        <w:rPr>
          <w:rFonts w:hint="eastAsia" w:ascii="仿宋" w:hAnsi="仿宋" w:eastAsia="仿宋" w:cs="仿宋"/>
          <w:b w:val="0"/>
          <w:bCs/>
          <w:color w:val="auto"/>
          <w:sz w:val="30"/>
          <w:szCs w:val="30"/>
          <w:highlight w:val="none"/>
        </w:rPr>
        <w:t>封面（非实质性格式）</w:t>
      </w:r>
    </w:p>
    <w:p w14:paraId="2546299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7005B61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2BF7F12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6F6D355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7DAE1C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1F2BC11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218CC96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p>
    <w:p w14:paraId="512B5CB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pacing w:val="60"/>
          <w:sz w:val="30"/>
          <w:szCs w:val="30"/>
          <w:highlight w:val="none"/>
        </w:rPr>
      </w:pPr>
      <w:r>
        <w:rPr>
          <w:rFonts w:hint="eastAsia" w:ascii="仿宋" w:hAnsi="仿宋" w:eastAsia="仿宋" w:cs="仿宋"/>
          <w:b w:val="0"/>
          <w:bCs/>
          <w:color w:val="auto"/>
          <w:spacing w:val="60"/>
          <w:sz w:val="30"/>
          <w:szCs w:val="30"/>
          <w:highlight w:val="none"/>
        </w:rPr>
        <w:t>响 应 文 件</w:t>
      </w:r>
    </w:p>
    <w:p w14:paraId="3C51ED7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74EC1DF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7548699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30A91F3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71DAA30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14EAC3F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3EC2044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p>
    <w:p w14:paraId="3F2057C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lang w:eastAsia="zh-CN"/>
        </w:rPr>
      </w:pPr>
      <w:r>
        <w:rPr>
          <w:rFonts w:hint="eastAsia" w:ascii="仿宋" w:hAnsi="仿宋" w:eastAsia="仿宋" w:cs="仿宋"/>
          <w:b w:val="0"/>
          <w:bCs/>
          <w:color w:val="auto"/>
          <w:spacing w:val="20"/>
          <w:sz w:val="30"/>
          <w:szCs w:val="30"/>
          <w:highlight w:val="none"/>
        </w:rPr>
        <w:t>项目名称</w:t>
      </w:r>
      <w:r>
        <w:rPr>
          <w:rFonts w:hint="eastAsia" w:ascii="仿宋" w:hAnsi="仿宋" w:eastAsia="仿宋" w:cs="仿宋"/>
          <w:b w:val="0"/>
          <w:bCs/>
          <w:color w:val="auto"/>
          <w:spacing w:val="20"/>
          <w:sz w:val="30"/>
          <w:szCs w:val="30"/>
          <w:highlight w:val="none"/>
          <w:lang w:eastAsia="zh-CN"/>
        </w:rPr>
        <w:t>：</w:t>
      </w:r>
    </w:p>
    <w:p w14:paraId="0FC37AD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pacing w:val="20"/>
          <w:sz w:val="30"/>
          <w:szCs w:val="30"/>
          <w:highlight w:val="none"/>
        </w:rPr>
      </w:pPr>
      <w:r>
        <w:rPr>
          <w:rFonts w:hint="eastAsia" w:ascii="仿宋" w:hAnsi="仿宋" w:eastAsia="仿宋" w:cs="仿宋"/>
          <w:b w:val="0"/>
          <w:bCs/>
          <w:color w:val="auto"/>
          <w:spacing w:val="20"/>
          <w:sz w:val="30"/>
          <w:szCs w:val="30"/>
          <w:highlight w:val="none"/>
        </w:rPr>
        <w:t>项目编号：</w:t>
      </w:r>
    </w:p>
    <w:p w14:paraId="126400A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pacing w:val="20"/>
          <w:sz w:val="30"/>
          <w:szCs w:val="30"/>
          <w:highlight w:val="none"/>
        </w:rPr>
      </w:pPr>
      <w:r>
        <w:rPr>
          <w:rFonts w:hint="eastAsia" w:ascii="仿宋" w:hAnsi="仿宋" w:eastAsia="仿宋" w:cs="仿宋"/>
          <w:b w:val="0"/>
          <w:bCs/>
          <w:color w:val="auto"/>
          <w:spacing w:val="20"/>
          <w:sz w:val="30"/>
          <w:szCs w:val="30"/>
          <w:highlight w:val="none"/>
        </w:rPr>
        <w:t>供应商名称：</w:t>
      </w:r>
    </w:p>
    <w:p w14:paraId="2748983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30"/>
          <w:szCs w:val="30"/>
          <w:highlight w:val="none"/>
        </w:rPr>
      </w:pPr>
      <w:r>
        <w:rPr>
          <w:rFonts w:hint="eastAsia" w:ascii="仿宋" w:hAnsi="仿宋" w:eastAsia="仿宋" w:cs="仿宋"/>
          <w:b w:val="0"/>
          <w:bCs/>
          <w:color w:val="auto"/>
          <w:spacing w:val="20"/>
          <w:sz w:val="30"/>
          <w:szCs w:val="30"/>
          <w:highlight w:val="none"/>
        </w:rPr>
        <w:br w:type="page"/>
      </w:r>
    </w:p>
    <w:p w14:paraId="30F26AE1">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1满足《中华人民共和国政府采购法》第二十二条规定及法律法规的其他规定</w:t>
      </w:r>
    </w:p>
    <w:p w14:paraId="00504F9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1-1营业执照等证明文件</w:t>
      </w:r>
    </w:p>
    <w:p w14:paraId="79F37E0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2126086">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1-2供应商资格声明书</w:t>
      </w:r>
    </w:p>
    <w:p w14:paraId="415220B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供应商资格声明书</w:t>
      </w:r>
    </w:p>
    <w:p w14:paraId="5696064F">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2505BD0A">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u w:val="single"/>
          <w:lang w:eastAsia="zh-CN"/>
        </w:rPr>
        <w:t>（</w:t>
      </w:r>
      <w:r>
        <w:rPr>
          <w:rFonts w:hint="eastAsia" w:ascii="仿宋" w:hAnsi="仿宋" w:eastAsia="仿宋" w:cs="仿宋"/>
          <w:b w:val="0"/>
          <w:bCs/>
          <w:color w:val="auto"/>
          <w:sz w:val="21"/>
          <w:szCs w:val="21"/>
          <w:highlight w:val="none"/>
          <w:u w:val="single"/>
          <w:lang w:val="en-US" w:eastAsia="zh-CN"/>
        </w:rPr>
        <w:t>采购人</w:t>
      </w:r>
      <w:r>
        <w:rPr>
          <w:rFonts w:hint="eastAsia" w:ascii="仿宋" w:hAnsi="仿宋" w:eastAsia="仿宋" w:cs="仿宋"/>
          <w:b w:val="0"/>
          <w:bCs/>
          <w:color w:val="auto"/>
          <w:sz w:val="21"/>
          <w:szCs w:val="21"/>
          <w:highlight w:val="none"/>
          <w:u w:val="single"/>
          <w:lang w:eastAsia="zh-CN"/>
        </w:rPr>
        <w:t>）</w:t>
      </w:r>
    </w:p>
    <w:p w14:paraId="066C604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在参与本次项目磋商中，我单位承诺：</w:t>
      </w:r>
    </w:p>
    <w:p w14:paraId="3923A22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（一）具有良好的商业信誉和健全的财务会计制度；</w:t>
      </w:r>
    </w:p>
    <w:p w14:paraId="70031CF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（二）具有履行合同所必需的设备和专业技术能力；</w:t>
      </w:r>
    </w:p>
    <w:p w14:paraId="17C379E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（三）有依法缴纳税收和社会保障资金的良好记录；</w:t>
      </w:r>
    </w:p>
    <w:p w14:paraId="41EC099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777D1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（五）我单位不属于政府采购法律、行政法规规定的公益一类事业单位、或使用事业编制且由财政拨款保障的群团组织（仅适用于政府购买服务项目）；</w:t>
      </w:r>
    </w:p>
    <w:p w14:paraId="500B439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（六）我单位不存在为采购项目提供整体设计、规范编制或者项目管理、监理、检测等服务后，再参加该采购项目的其他采购活动的情形（单一来源采购项目除外）；</w:t>
      </w:r>
    </w:p>
    <w:p w14:paraId="605F997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（七）与我单位存在“单位负责人为同一人或者存在直接控股、管理关系”的其他法人单位信息如下（如有，不论其是否参加同一合同项下的政府采购活动均须填写）：</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2"/>
        <w:gridCol w:w="4917"/>
        <w:gridCol w:w="3530"/>
      </w:tblGrid>
      <w:tr w14:paraId="1896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76C1DD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17" w:type="dxa"/>
            <w:noWrap w:val="0"/>
            <w:vAlign w:val="center"/>
          </w:tcPr>
          <w:p w14:paraId="2BE2FB8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单位名称</w:t>
            </w:r>
          </w:p>
        </w:tc>
        <w:tc>
          <w:tcPr>
            <w:tcW w:w="3530" w:type="dxa"/>
            <w:noWrap w:val="0"/>
            <w:vAlign w:val="center"/>
          </w:tcPr>
          <w:p w14:paraId="12E0692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相互关系</w:t>
            </w:r>
          </w:p>
        </w:tc>
      </w:tr>
      <w:tr w14:paraId="4882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1D18889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4917" w:type="dxa"/>
            <w:noWrap w:val="0"/>
            <w:vAlign w:val="center"/>
          </w:tcPr>
          <w:p w14:paraId="39B87D4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3530" w:type="dxa"/>
            <w:noWrap w:val="0"/>
            <w:vAlign w:val="center"/>
          </w:tcPr>
          <w:p w14:paraId="6C6F1EC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6DAD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6E9A39B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4917" w:type="dxa"/>
            <w:noWrap w:val="0"/>
            <w:vAlign w:val="center"/>
          </w:tcPr>
          <w:p w14:paraId="04A8C08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3530" w:type="dxa"/>
            <w:noWrap w:val="0"/>
            <w:vAlign w:val="center"/>
          </w:tcPr>
          <w:p w14:paraId="5481A22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66C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02" w:type="dxa"/>
            <w:noWrap w:val="0"/>
            <w:vAlign w:val="center"/>
          </w:tcPr>
          <w:p w14:paraId="5254FA5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w:t>
            </w:r>
          </w:p>
        </w:tc>
        <w:tc>
          <w:tcPr>
            <w:tcW w:w="4917" w:type="dxa"/>
            <w:noWrap w:val="0"/>
            <w:vAlign w:val="center"/>
          </w:tcPr>
          <w:p w14:paraId="487D80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3530" w:type="dxa"/>
            <w:noWrap w:val="0"/>
            <w:vAlign w:val="center"/>
          </w:tcPr>
          <w:p w14:paraId="5EE5448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7F96B3E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上述声明真实有效，否则我方负全部责任。</w:t>
      </w:r>
    </w:p>
    <w:p w14:paraId="1D62052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468D59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7C1AB82">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5BF35EF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36BF7183">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5CCD178F">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p>
    <w:p w14:paraId="3C065CED">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p>
    <w:p w14:paraId="225DD71D">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说明：供应商承诺不实的，依据《政府采购法》第七十七条“提供虚假材料谋取中标、成交的”有关规定予以处理。</w:t>
      </w:r>
    </w:p>
    <w:p w14:paraId="5440A304">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sectPr>
          <w:pgSz w:w="11905" w:h="16838"/>
          <w:pgMar w:top="1440" w:right="1080" w:bottom="1440" w:left="1080" w:header="851" w:footer="850" w:gutter="0"/>
          <w:pgNumType w:fmt="decimal"/>
          <w:cols w:space="0" w:num="1"/>
          <w:titlePg/>
          <w:rtlGutter w:val="0"/>
          <w:docGrid w:linePitch="462" w:charSpace="0"/>
        </w:sectPr>
      </w:pPr>
    </w:p>
    <w:p w14:paraId="0D916AAA">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2落实政府采购政策需满足的资格要求</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本项目不适用</w:t>
      </w:r>
      <w:r>
        <w:rPr>
          <w:rFonts w:hint="eastAsia" w:ascii="仿宋" w:hAnsi="仿宋" w:eastAsia="仿宋" w:cs="仿宋"/>
          <w:b w:val="0"/>
          <w:bCs/>
          <w:color w:val="auto"/>
          <w:sz w:val="21"/>
          <w:szCs w:val="21"/>
          <w:highlight w:val="none"/>
          <w:lang w:eastAsia="zh-CN"/>
        </w:rPr>
        <w:t>）</w:t>
      </w:r>
    </w:p>
    <w:p w14:paraId="4613738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2-1中小企业声明函</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本项目不适用</w:t>
      </w:r>
      <w:r>
        <w:rPr>
          <w:rFonts w:hint="eastAsia" w:ascii="仿宋" w:hAnsi="仿宋" w:eastAsia="仿宋" w:cs="仿宋"/>
          <w:b w:val="0"/>
          <w:bCs/>
          <w:color w:val="auto"/>
          <w:sz w:val="21"/>
          <w:szCs w:val="21"/>
          <w:highlight w:val="none"/>
          <w:lang w:eastAsia="zh-CN"/>
        </w:rPr>
        <w:t>）</w:t>
      </w:r>
    </w:p>
    <w:p w14:paraId="5D137DA8">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p w14:paraId="6C76BE4A">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（4）</w:t>
      </w:r>
      <w:r>
        <w:rPr>
          <w:rFonts w:hint="eastAsia" w:ascii="仿宋" w:hAnsi="仿宋" w:eastAsia="仿宋" w:cs="仿宋"/>
          <w:b w:val="0"/>
          <w:bCs/>
          <w:color w:val="auto"/>
          <w:sz w:val="21"/>
          <w:szCs w:val="21"/>
          <w:highlight w:val="none"/>
        </w:rPr>
        <w:t>中小企业声明函填写注意事项</w:t>
      </w:r>
    </w:p>
    <w:p w14:paraId="2B157A72">
      <w:pPr>
        <w:keepNext w:val="0"/>
        <w:keepLines w:val="0"/>
        <w:pageBreakBefore w:val="0"/>
        <w:widowControl w:val="0"/>
        <w:numPr>
          <w:ilvl w:val="0"/>
          <w:numId w:val="1"/>
        </w:numPr>
        <w:tabs>
          <w:tab w:val="left" w:pos="5580"/>
        </w:tabs>
        <w:kinsoku/>
        <w:wordWrap w:val="0"/>
        <w:overflowPunct/>
        <w:topLinePunct/>
        <w:autoSpaceDE/>
        <w:autoSpaceDN/>
        <w:bidi w:val="0"/>
        <w:spacing w:line="360" w:lineRule="auto"/>
        <w:ind w:left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《中小企业声明函》由参加政府采购活动的供应商出具。联合体参与的，《中小企业声明函》可由牵头人出具。</w:t>
      </w:r>
    </w:p>
    <w:p w14:paraId="71267C3B">
      <w:pPr>
        <w:keepNext w:val="0"/>
        <w:keepLines w:val="0"/>
        <w:pageBreakBefore w:val="0"/>
        <w:widowControl w:val="0"/>
        <w:numPr>
          <w:ilvl w:val="0"/>
          <w:numId w:val="1"/>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keepNext w:val="0"/>
        <w:keepLines w:val="0"/>
        <w:pageBreakBefore w:val="0"/>
        <w:widowControl w:val="0"/>
        <w:numPr>
          <w:ilvl w:val="0"/>
          <w:numId w:val="1"/>
        </w:numPr>
        <w:tabs>
          <w:tab w:val="left" w:pos="5580"/>
        </w:tabs>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对于多标的采购项目，供应商应充分、准确地了解所提供货物的制造企业、提供服务的承接企业信息。对相关情况了解不清楚的，不建议填报本声明函。</w:t>
      </w:r>
    </w:p>
    <w:p w14:paraId="31041513">
      <w:pPr>
        <w:keepNext w:val="0"/>
        <w:keepLines w:val="0"/>
        <w:pageBreakBefore w:val="0"/>
        <w:widowControl w:val="0"/>
        <w:numPr>
          <w:ilvl w:val="0"/>
          <w:numId w:val="0"/>
        </w:numPr>
        <w:tabs>
          <w:tab w:val="left" w:pos="5580"/>
        </w:tabs>
        <w:kinsoku/>
        <w:wordWrap w:val="0"/>
        <w:overflowPunct/>
        <w:topLinePunct/>
        <w:autoSpaceDE/>
        <w:autoSpaceDN/>
        <w:bidi w:val="0"/>
        <w:spacing w:line="360" w:lineRule="auto"/>
        <w:ind w:left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仿宋" w:hAnsi="仿宋" w:eastAsia="仿宋" w:cs="仿宋"/>
          <w:b w:val="0"/>
          <w:bCs/>
          <w:color w:val="auto"/>
          <w:sz w:val="21"/>
          <w:szCs w:val="21"/>
          <w:highlight w:val="none"/>
        </w:rPr>
        <w:br w:type="page"/>
      </w:r>
    </w:p>
    <w:p w14:paraId="6038F0C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中小企业声明函（工程、服务）格式</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本项目不适用</w:t>
      </w:r>
      <w:r>
        <w:rPr>
          <w:rFonts w:hint="eastAsia" w:ascii="仿宋" w:hAnsi="仿宋" w:eastAsia="仿宋" w:cs="仿宋"/>
          <w:b w:val="0"/>
          <w:bCs/>
          <w:color w:val="auto"/>
          <w:sz w:val="21"/>
          <w:szCs w:val="21"/>
          <w:highlight w:val="none"/>
          <w:lang w:eastAsia="zh-CN"/>
        </w:rPr>
        <w:t>）</w:t>
      </w:r>
    </w:p>
    <w:p w14:paraId="5D82981A">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p>
    <w:p w14:paraId="55AB976F">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本公司（联合体）郑重声明，根据《政府采购促进中小企业发展管理办法》（财库﹝2020﹞46 号）的规定，本公司（联合体）参加</w:t>
      </w:r>
      <w:r>
        <w:rPr>
          <w:rFonts w:hint="eastAsia" w:ascii="仿宋" w:hAnsi="仿宋" w:eastAsia="仿宋" w:cs="仿宋"/>
          <w:b w:val="0"/>
          <w:bCs/>
          <w:color w:val="auto"/>
          <w:spacing w:val="6"/>
          <w:sz w:val="21"/>
          <w:szCs w:val="21"/>
          <w:highlight w:val="none"/>
          <w:u w:val="single"/>
        </w:rPr>
        <w:t>（单位名称）</w:t>
      </w:r>
      <w:r>
        <w:rPr>
          <w:rFonts w:hint="eastAsia" w:ascii="仿宋" w:hAnsi="仿宋" w:eastAsia="仿宋" w:cs="仿宋"/>
          <w:b w:val="0"/>
          <w:bCs/>
          <w:color w:val="auto"/>
          <w:spacing w:val="6"/>
          <w:sz w:val="21"/>
          <w:szCs w:val="21"/>
          <w:highlight w:val="none"/>
        </w:rPr>
        <w:t>的</w:t>
      </w:r>
      <w:r>
        <w:rPr>
          <w:rFonts w:hint="eastAsia" w:ascii="仿宋" w:hAnsi="仿宋" w:eastAsia="仿宋" w:cs="仿宋"/>
          <w:b w:val="0"/>
          <w:bCs/>
          <w:color w:val="auto"/>
          <w:spacing w:val="6"/>
          <w:sz w:val="21"/>
          <w:szCs w:val="21"/>
          <w:highlight w:val="none"/>
          <w:u w:val="single"/>
        </w:rPr>
        <w:t>（项目名称）</w:t>
      </w:r>
      <w:r>
        <w:rPr>
          <w:rFonts w:hint="eastAsia" w:ascii="仿宋" w:hAnsi="仿宋" w:eastAsia="仿宋" w:cs="仿宋"/>
          <w:b w:val="0"/>
          <w:bCs/>
          <w:color w:val="auto"/>
          <w:spacing w:val="6"/>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85B572">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1.</w:t>
      </w:r>
      <w:r>
        <w:rPr>
          <w:rFonts w:hint="eastAsia" w:ascii="仿宋" w:hAnsi="仿宋" w:eastAsia="仿宋" w:cs="仿宋"/>
          <w:b w:val="0"/>
          <w:bCs/>
          <w:color w:val="auto"/>
          <w:spacing w:val="6"/>
          <w:sz w:val="21"/>
          <w:szCs w:val="21"/>
          <w:highlight w:val="none"/>
          <w:u w:val="single"/>
        </w:rPr>
        <w:t>（标的名称）</w:t>
      </w:r>
      <w:r>
        <w:rPr>
          <w:rFonts w:hint="eastAsia" w:ascii="仿宋" w:hAnsi="仿宋" w:eastAsia="仿宋" w:cs="仿宋"/>
          <w:b w:val="0"/>
          <w:bCs/>
          <w:color w:val="auto"/>
          <w:spacing w:val="6"/>
          <w:sz w:val="21"/>
          <w:szCs w:val="21"/>
          <w:highlight w:val="none"/>
        </w:rPr>
        <w:t>，属于</w:t>
      </w:r>
      <w:r>
        <w:rPr>
          <w:rFonts w:hint="eastAsia" w:ascii="仿宋" w:hAnsi="仿宋" w:eastAsia="仿宋" w:cs="仿宋"/>
          <w:b w:val="0"/>
          <w:bCs/>
          <w:color w:val="auto"/>
          <w:spacing w:val="6"/>
          <w:sz w:val="21"/>
          <w:szCs w:val="21"/>
          <w:highlight w:val="none"/>
          <w:u w:val="single"/>
        </w:rPr>
        <w:t>（竞争性磋商文件中明确的所属行业）</w:t>
      </w:r>
      <w:r>
        <w:rPr>
          <w:rFonts w:hint="eastAsia" w:ascii="仿宋" w:hAnsi="仿宋" w:eastAsia="仿宋" w:cs="仿宋"/>
          <w:b w:val="0"/>
          <w:bCs/>
          <w:color w:val="auto"/>
          <w:spacing w:val="6"/>
          <w:sz w:val="21"/>
          <w:szCs w:val="21"/>
          <w:highlight w:val="none"/>
        </w:rPr>
        <w:t>行业；承建（承接）企业为</w:t>
      </w:r>
      <w:r>
        <w:rPr>
          <w:rFonts w:hint="eastAsia" w:ascii="仿宋" w:hAnsi="仿宋" w:eastAsia="仿宋" w:cs="仿宋"/>
          <w:b w:val="0"/>
          <w:bCs/>
          <w:color w:val="auto"/>
          <w:spacing w:val="6"/>
          <w:sz w:val="21"/>
          <w:szCs w:val="21"/>
          <w:highlight w:val="none"/>
          <w:u w:val="single"/>
        </w:rPr>
        <w:t>（企业名称）</w:t>
      </w:r>
      <w:r>
        <w:rPr>
          <w:rFonts w:hint="eastAsia" w:ascii="仿宋" w:hAnsi="仿宋" w:eastAsia="仿宋" w:cs="仿宋"/>
          <w:b w:val="0"/>
          <w:bCs/>
          <w:color w:val="auto"/>
          <w:spacing w:val="6"/>
          <w:sz w:val="21"/>
          <w:szCs w:val="21"/>
          <w:highlight w:val="none"/>
        </w:rPr>
        <w:t>，从业人员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人，营业收入为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万元，资产总额为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w:t>
      </w:r>
      <w:r>
        <w:rPr>
          <w:rFonts w:hint="eastAsia" w:ascii="仿宋" w:hAnsi="仿宋" w:eastAsia="仿宋" w:cs="仿宋"/>
          <w:b w:val="0"/>
          <w:bCs/>
          <w:color w:val="auto"/>
          <w:spacing w:val="6"/>
          <w:sz w:val="21"/>
          <w:szCs w:val="21"/>
          <w:highlight w:val="none"/>
          <w:vertAlign w:val="superscript"/>
        </w:rPr>
        <w:t>1</w:t>
      </w:r>
      <w:r>
        <w:rPr>
          <w:rFonts w:hint="eastAsia" w:ascii="仿宋" w:hAnsi="仿宋" w:eastAsia="仿宋" w:cs="仿宋"/>
          <w:b w:val="0"/>
          <w:bCs/>
          <w:color w:val="auto"/>
          <w:spacing w:val="6"/>
          <w:sz w:val="21"/>
          <w:szCs w:val="21"/>
          <w:highlight w:val="none"/>
        </w:rPr>
        <w:t>，属于（中型企业、小型企业、微型企业）；</w:t>
      </w:r>
    </w:p>
    <w:p w14:paraId="671CDD70">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2.</w:t>
      </w:r>
      <w:r>
        <w:rPr>
          <w:rFonts w:hint="eastAsia" w:ascii="仿宋" w:hAnsi="仿宋" w:eastAsia="仿宋" w:cs="仿宋"/>
          <w:b w:val="0"/>
          <w:bCs/>
          <w:color w:val="auto"/>
          <w:spacing w:val="6"/>
          <w:sz w:val="21"/>
          <w:szCs w:val="21"/>
          <w:highlight w:val="none"/>
          <w:u w:val="single"/>
        </w:rPr>
        <w:t>（标的名称）</w:t>
      </w:r>
      <w:r>
        <w:rPr>
          <w:rFonts w:hint="eastAsia" w:ascii="仿宋" w:hAnsi="仿宋" w:eastAsia="仿宋" w:cs="仿宋"/>
          <w:b w:val="0"/>
          <w:bCs/>
          <w:color w:val="auto"/>
          <w:spacing w:val="6"/>
          <w:sz w:val="21"/>
          <w:szCs w:val="21"/>
          <w:highlight w:val="none"/>
        </w:rPr>
        <w:t>，属于</w:t>
      </w:r>
      <w:r>
        <w:rPr>
          <w:rFonts w:hint="eastAsia" w:ascii="仿宋" w:hAnsi="仿宋" w:eastAsia="仿宋" w:cs="仿宋"/>
          <w:b w:val="0"/>
          <w:bCs/>
          <w:color w:val="auto"/>
          <w:spacing w:val="6"/>
          <w:sz w:val="21"/>
          <w:szCs w:val="21"/>
          <w:highlight w:val="none"/>
          <w:u w:val="single"/>
        </w:rPr>
        <w:t>（竞争性磋商文件中明确的所属行业）</w:t>
      </w:r>
      <w:r>
        <w:rPr>
          <w:rFonts w:hint="eastAsia" w:ascii="仿宋" w:hAnsi="仿宋" w:eastAsia="仿宋" w:cs="仿宋"/>
          <w:b w:val="0"/>
          <w:bCs/>
          <w:color w:val="auto"/>
          <w:spacing w:val="6"/>
          <w:sz w:val="21"/>
          <w:szCs w:val="21"/>
          <w:highlight w:val="none"/>
        </w:rPr>
        <w:t>行业；承建（承接）企业为</w:t>
      </w:r>
      <w:r>
        <w:rPr>
          <w:rFonts w:hint="eastAsia" w:ascii="仿宋" w:hAnsi="仿宋" w:eastAsia="仿宋" w:cs="仿宋"/>
          <w:b w:val="0"/>
          <w:bCs/>
          <w:color w:val="auto"/>
          <w:spacing w:val="6"/>
          <w:sz w:val="21"/>
          <w:szCs w:val="21"/>
          <w:highlight w:val="none"/>
          <w:u w:val="single"/>
        </w:rPr>
        <w:t>（企业名称）</w:t>
      </w:r>
      <w:r>
        <w:rPr>
          <w:rFonts w:hint="eastAsia" w:ascii="仿宋" w:hAnsi="仿宋" w:eastAsia="仿宋" w:cs="仿宋"/>
          <w:b w:val="0"/>
          <w:bCs/>
          <w:color w:val="auto"/>
          <w:spacing w:val="6"/>
          <w:sz w:val="21"/>
          <w:szCs w:val="21"/>
          <w:highlight w:val="none"/>
        </w:rPr>
        <w:t>，从业人员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人，营业收入为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万元，资产总额为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万元，属于</w:t>
      </w:r>
      <w:r>
        <w:rPr>
          <w:rFonts w:hint="eastAsia" w:ascii="仿宋" w:hAnsi="仿宋" w:eastAsia="仿宋" w:cs="仿宋"/>
          <w:b w:val="0"/>
          <w:bCs/>
          <w:color w:val="auto"/>
          <w:spacing w:val="6"/>
          <w:sz w:val="21"/>
          <w:szCs w:val="21"/>
          <w:highlight w:val="none"/>
          <w:u w:val="single"/>
        </w:rPr>
        <w:t>（中型企业、小型企业、微型企业）</w:t>
      </w:r>
      <w:r>
        <w:rPr>
          <w:rFonts w:hint="eastAsia" w:ascii="仿宋" w:hAnsi="仿宋" w:eastAsia="仿宋" w:cs="仿宋"/>
          <w:b w:val="0"/>
          <w:bCs/>
          <w:color w:val="auto"/>
          <w:spacing w:val="6"/>
          <w:sz w:val="21"/>
          <w:szCs w:val="21"/>
          <w:highlight w:val="none"/>
        </w:rPr>
        <w:t>；</w:t>
      </w:r>
    </w:p>
    <w:p w14:paraId="039F1845">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p>
    <w:p w14:paraId="402E175E">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w:t>
      </w:r>
    </w:p>
    <w:p w14:paraId="2D491ABA">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以上企业，不属于大企业的分支机构，不存在控股股东为大企业的情形，也不存在与大企业的负责人为同一人的情形。</w:t>
      </w:r>
    </w:p>
    <w:p w14:paraId="3051F953">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本企业对上述声明内容的真实性负责。如有虚假，将依法承担相应责任。</w:t>
      </w:r>
    </w:p>
    <w:p w14:paraId="28EBB3BF">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rPr>
      </w:pPr>
    </w:p>
    <w:p w14:paraId="13D5612B">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企业名称（盖章）：</w:t>
      </w:r>
      <w:r>
        <w:rPr>
          <w:rFonts w:hint="eastAsia" w:ascii="仿宋" w:hAnsi="仿宋" w:eastAsia="仿宋" w:cs="仿宋"/>
          <w:b w:val="0"/>
          <w:bCs/>
          <w:color w:val="auto"/>
          <w:sz w:val="21"/>
          <w:szCs w:val="21"/>
          <w:highlight w:val="none"/>
          <w:u w:val="single"/>
          <w:lang w:val="en-US" w:eastAsia="zh-CN"/>
        </w:rPr>
        <w:t xml:space="preserve">         </w:t>
      </w:r>
    </w:p>
    <w:p w14:paraId="131DD462">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日 期：</w:t>
      </w:r>
      <w:r>
        <w:rPr>
          <w:rFonts w:hint="eastAsia" w:ascii="仿宋" w:hAnsi="仿宋" w:eastAsia="仿宋" w:cs="仿宋"/>
          <w:b w:val="0"/>
          <w:bCs/>
          <w:color w:val="auto"/>
          <w:sz w:val="21"/>
          <w:szCs w:val="21"/>
          <w:highlight w:val="none"/>
          <w:u w:val="single"/>
          <w:lang w:val="en-US" w:eastAsia="zh-CN"/>
        </w:rPr>
        <w:t xml:space="preserve">         </w:t>
      </w:r>
    </w:p>
    <w:p w14:paraId="48FEE2E4">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p>
    <w:p w14:paraId="398B32B1">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p>
    <w:tbl>
      <w:tblPr>
        <w:tblStyle w:val="21"/>
        <w:tblW w:w="9765" w:type="dxa"/>
        <w:tblInd w:w="11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5"/>
      </w:tblGrid>
      <w:tr w14:paraId="12F3CC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5" w:type="dxa"/>
          </w:tcPr>
          <w:p w14:paraId="6F80C320">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vertAlign w:val="superscript"/>
              </w:rPr>
              <w:t>1</w:t>
            </w:r>
            <w:r>
              <w:rPr>
                <w:rFonts w:hint="eastAsia" w:ascii="仿宋" w:hAnsi="仿宋" w:eastAsia="仿宋" w:cs="仿宋"/>
                <w:b w:val="0"/>
                <w:bCs/>
                <w:color w:val="auto"/>
                <w:sz w:val="21"/>
                <w:szCs w:val="21"/>
                <w:highlight w:val="none"/>
              </w:rPr>
              <w:t>从业人员、营业收入、资产总额填报上一年度数据，无上一年度数据的新成立企业可不填报。</w:t>
            </w:r>
          </w:p>
        </w:tc>
      </w:tr>
    </w:tbl>
    <w:p w14:paraId="77E4E437">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vertAlign w:val="superscript"/>
        </w:rPr>
      </w:pPr>
    </w:p>
    <w:p w14:paraId="708CF62F">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rPr>
      </w:pPr>
    </w:p>
    <w:p w14:paraId="08D5FBE5">
      <w:pPr>
        <w:keepNext w:val="0"/>
        <w:keepLines w:val="0"/>
        <w:pageBreakBefore w:val="0"/>
        <w:widowControl w:val="0"/>
        <w:kinsoku/>
        <w:wordWrap w:val="0"/>
        <w:overflowPunct/>
        <w:topLinePunct/>
        <w:autoSpaceDE/>
        <w:autoSpaceDN/>
        <w:bidi w:val="0"/>
        <w:spacing w:line="360" w:lineRule="auto"/>
        <w:ind w:right="360" w:firstLine="480"/>
        <w:jc w:val="right"/>
        <w:outlineLvl w:val="9"/>
        <w:rPr>
          <w:rFonts w:hint="eastAsia" w:ascii="仿宋" w:hAnsi="仿宋" w:eastAsia="仿宋" w:cs="仿宋"/>
          <w:b w:val="0"/>
          <w:bCs/>
          <w:color w:val="auto"/>
          <w:sz w:val="21"/>
          <w:szCs w:val="21"/>
          <w:highlight w:val="none"/>
        </w:rPr>
      </w:pPr>
    </w:p>
    <w:p w14:paraId="2D97F36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0DA695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残疾人福利性单位声明函格式</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本项目不适用</w:t>
      </w:r>
      <w:r>
        <w:rPr>
          <w:rFonts w:hint="eastAsia" w:ascii="仿宋" w:hAnsi="仿宋" w:eastAsia="仿宋" w:cs="仿宋"/>
          <w:b w:val="0"/>
          <w:bCs/>
          <w:color w:val="auto"/>
          <w:sz w:val="21"/>
          <w:szCs w:val="21"/>
          <w:highlight w:val="none"/>
          <w:lang w:eastAsia="zh-CN"/>
        </w:rPr>
        <w:t>）</w:t>
      </w:r>
    </w:p>
    <w:p w14:paraId="66F29D89">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p>
    <w:p w14:paraId="2B495AC6">
      <w:pPr>
        <w:keepNext w:val="0"/>
        <w:keepLines w:val="0"/>
        <w:pageBreakBefore w:val="0"/>
        <w:widowControl w:val="0"/>
        <w:kinsoku/>
        <w:wordWrap w:val="0"/>
        <w:overflowPunct/>
        <w:topLinePunct/>
        <w:autoSpaceDE/>
        <w:autoSpaceDN/>
        <w:bidi w:val="0"/>
        <w:spacing w:line="360" w:lineRule="auto"/>
        <w:ind w:firstLine="504"/>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本单位郑重声明，根据《财政部 民政部 中国残疾人联合会关于促进残疾人就业政府采购政策的通知》（财库</w:t>
      </w:r>
      <w:r>
        <w:rPr>
          <w:rFonts w:hint="eastAsia" w:ascii="仿宋" w:hAnsi="仿宋" w:eastAsia="仿宋" w:cs="仿宋"/>
          <w:b w:val="0"/>
          <w:bCs/>
          <w:color w:val="auto"/>
          <w:sz w:val="21"/>
          <w:szCs w:val="21"/>
          <w:highlight w:val="none"/>
        </w:rPr>
        <w:t>〔2017〕 141</w:t>
      </w:r>
      <w:r>
        <w:rPr>
          <w:rFonts w:hint="eastAsia" w:ascii="仿宋" w:hAnsi="仿宋" w:eastAsia="仿宋" w:cs="仿宋"/>
          <w:b w:val="0"/>
          <w:bCs/>
          <w:color w:val="auto"/>
          <w:spacing w:val="6"/>
          <w:sz w:val="21"/>
          <w:szCs w:val="21"/>
          <w:highlight w:val="none"/>
        </w:rPr>
        <w:t>号）的规定，本单位</w:t>
      </w:r>
      <w:r>
        <w:rPr>
          <w:rFonts w:hint="eastAsia" w:ascii="仿宋" w:hAnsi="仿宋" w:eastAsia="仿宋" w:cs="仿宋"/>
          <w:b w:val="0"/>
          <w:bCs/>
          <w:color w:val="auto"/>
          <w:sz w:val="21"/>
          <w:szCs w:val="21"/>
          <w:highlight w:val="none"/>
        </w:rPr>
        <w:t>（请进行勾选）</w:t>
      </w:r>
      <w:r>
        <w:rPr>
          <w:rFonts w:hint="eastAsia" w:ascii="仿宋" w:hAnsi="仿宋" w:eastAsia="仿宋" w:cs="仿宋"/>
          <w:b w:val="0"/>
          <w:bCs/>
          <w:color w:val="auto"/>
          <w:spacing w:val="6"/>
          <w:sz w:val="21"/>
          <w:szCs w:val="21"/>
          <w:highlight w:val="none"/>
        </w:rPr>
        <w:t>：</w:t>
      </w:r>
    </w:p>
    <w:p w14:paraId="433AA7B1">
      <w:pPr>
        <w:keepNext w:val="0"/>
        <w:keepLines w:val="0"/>
        <w:pageBreakBefore w:val="0"/>
        <w:widowControl w:val="0"/>
        <w:kinsoku/>
        <w:wordWrap w:val="0"/>
        <w:overflowPunct/>
        <w:topLinePunct/>
        <w:autoSpaceDE/>
        <w:autoSpaceDN/>
        <w:bidi w:val="0"/>
        <w:spacing w:line="360" w:lineRule="auto"/>
        <w:ind w:firstLine="482"/>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pacing w:val="6"/>
          <w:sz w:val="21"/>
          <w:szCs w:val="21"/>
          <w:highlight w:val="none"/>
        </w:rPr>
        <w:t>不属于符合条件的残疾人福利性单位。</w:t>
      </w:r>
    </w:p>
    <w:p w14:paraId="0A9E903C">
      <w:pPr>
        <w:keepNext w:val="0"/>
        <w:keepLines w:val="0"/>
        <w:pageBreakBefore w:val="0"/>
        <w:widowControl w:val="0"/>
        <w:kinsoku/>
        <w:wordWrap w:val="0"/>
        <w:overflowPunct/>
        <w:topLinePunct/>
        <w:autoSpaceDE/>
        <w:autoSpaceDN/>
        <w:bidi w:val="0"/>
        <w:spacing w:line="360" w:lineRule="auto"/>
        <w:ind w:firstLine="482"/>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pacing w:val="6"/>
          <w:sz w:val="21"/>
          <w:szCs w:val="21"/>
          <w:highlight w:val="none"/>
        </w:rPr>
        <w:t>属于符合条件的残疾人福利性单位，且本单位参加</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单位的</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2947398F">
      <w:pPr>
        <w:keepNext w:val="0"/>
        <w:keepLines w:val="0"/>
        <w:pageBreakBefore w:val="0"/>
        <w:widowControl w:val="0"/>
        <w:kinsoku/>
        <w:wordWrap w:val="0"/>
        <w:overflowPunct/>
        <w:topLinePunct/>
        <w:autoSpaceDE/>
        <w:autoSpaceDN/>
        <w:bidi w:val="0"/>
        <w:spacing w:line="360" w:lineRule="auto"/>
        <w:ind w:firstLine="444" w:firstLineChars="200"/>
        <w:outlineLvl w:val="9"/>
        <w:rPr>
          <w:rFonts w:hint="eastAsia" w:ascii="仿宋" w:hAnsi="仿宋" w:eastAsia="仿宋" w:cs="仿宋"/>
          <w:b w:val="0"/>
          <w:bCs/>
          <w:color w:val="auto"/>
          <w:spacing w:val="6"/>
          <w:sz w:val="21"/>
          <w:szCs w:val="21"/>
          <w:highlight w:val="none"/>
        </w:rPr>
      </w:pPr>
      <w:r>
        <w:rPr>
          <w:rFonts w:hint="eastAsia" w:ascii="仿宋" w:hAnsi="仿宋" w:eastAsia="仿宋" w:cs="仿宋"/>
          <w:b w:val="0"/>
          <w:bCs/>
          <w:color w:val="auto"/>
          <w:spacing w:val="6"/>
          <w:sz w:val="21"/>
          <w:szCs w:val="21"/>
          <w:highlight w:val="none"/>
        </w:rPr>
        <w:t>本单位对上述声明的真实性负责。如有虚假，将依法承担相应责任。</w:t>
      </w:r>
    </w:p>
    <w:p w14:paraId="3D9F2C23">
      <w:pPr>
        <w:keepNext w:val="0"/>
        <w:keepLines w:val="0"/>
        <w:pageBreakBefore w:val="0"/>
        <w:widowControl w:val="0"/>
        <w:kinsoku/>
        <w:wordWrap w:val="0"/>
        <w:overflowPunct/>
        <w:topLinePunct/>
        <w:autoSpaceDE/>
        <w:autoSpaceDN/>
        <w:bidi w:val="0"/>
        <w:spacing w:line="360" w:lineRule="auto"/>
        <w:ind w:firstLine="444" w:firstLineChars="200"/>
        <w:outlineLvl w:val="9"/>
        <w:rPr>
          <w:rFonts w:hint="eastAsia" w:ascii="仿宋" w:hAnsi="仿宋" w:eastAsia="仿宋" w:cs="仿宋"/>
          <w:b w:val="0"/>
          <w:bCs/>
          <w:color w:val="auto"/>
          <w:spacing w:val="6"/>
          <w:sz w:val="21"/>
          <w:szCs w:val="21"/>
          <w:highlight w:val="none"/>
        </w:rPr>
      </w:pPr>
    </w:p>
    <w:p w14:paraId="4401782A">
      <w:pPr>
        <w:keepNext w:val="0"/>
        <w:keepLines w:val="0"/>
        <w:pageBreakBefore w:val="0"/>
        <w:widowControl w:val="0"/>
        <w:kinsoku/>
        <w:wordWrap w:val="0"/>
        <w:overflowPunct/>
        <w:topLinePunct/>
        <w:autoSpaceDE/>
        <w:autoSpaceDN/>
        <w:bidi w:val="0"/>
        <w:spacing w:line="360" w:lineRule="auto"/>
        <w:ind w:firstLine="444" w:firstLineChars="200"/>
        <w:outlineLvl w:val="9"/>
        <w:rPr>
          <w:rFonts w:hint="eastAsia" w:ascii="仿宋" w:hAnsi="仿宋" w:eastAsia="仿宋" w:cs="仿宋"/>
          <w:b w:val="0"/>
          <w:bCs/>
          <w:color w:val="auto"/>
          <w:spacing w:val="6"/>
          <w:sz w:val="21"/>
          <w:szCs w:val="21"/>
          <w:highlight w:val="none"/>
        </w:rPr>
      </w:pPr>
    </w:p>
    <w:p w14:paraId="56A74966">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right"/>
        <w:outlineLvl w:val="9"/>
        <w:rPr>
          <w:rFonts w:hint="eastAsia" w:ascii="仿宋" w:hAnsi="仿宋" w:eastAsia="仿宋" w:cs="仿宋"/>
          <w:b w:val="0"/>
          <w:bCs/>
          <w:color w:val="auto"/>
          <w:spacing w:val="6"/>
          <w:sz w:val="21"/>
          <w:szCs w:val="21"/>
          <w:highlight w:val="none"/>
          <w:lang w:val="en-US"/>
        </w:rPr>
      </w:pPr>
      <w:r>
        <w:rPr>
          <w:rFonts w:hint="eastAsia" w:ascii="仿宋" w:hAnsi="仿宋" w:eastAsia="仿宋" w:cs="仿宋"/>
          <w:b w:val="0"/>
          <w:bCs/>
          <w:color w:val="auto"/>
          <w:spacing w:val="6"/>
          <w:sz w:val="21"/>
          <w:szCs w:val="21"/>
          <w:highlight w:val="none"/>
        </w:rPr>
        <w:t xml:space="preserve">          单位名称（盖章）：</w:t>
      </w:r>
      <w:r>
        <w:rPr>
          <w:rFonts w:hint="eastAsia" w:ascii="仿宋" w:hAnsi="仿宋" w:eastAsia="仿宋" w:cs="仿宋"/>
          <w:b w:val="0"/>
          <w:bCs/>
          <w:color w:val="auto"/>
          <w:sz w:val="21"/>
          <w:szCs w:val="21"/>
          <w:highlight w:val="none"/>
          <w:u w:val="single"/>
          <w:lang w:val="en-US" w:eastAsia="zh-CN"/>
        </w:rPr>
        <w:t xml:space="preserve">        </w:t>
      </w:r>
    </w:p>
    <w:p w14:paraId="6ADAD26B">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right"/>
        <w:outlineLvl w:val="9"/>
        <w:rPr>
          <w:rFonts w:hint="eastAsia" w:ascii="仿宋" w:hAnsi="仿宋" w:eastAsia="仿宋" w:cs="仿宋"/>
          <w:b w:val="0"/>
          <w:bCs/>
          <w:color w:val="auto"/>
          <w:spacing w:val="6"/>
          <w:sz w:val="21"/>
          <w:szCs w:val="21"/>
          <w:highlight w:val="none"/>
          <w:lang w:val="en-US"/>
        </w:rPr>
      </w:pPr>
      <w:r>
        <w:rPr>
          <w:rFonts w:hint="eastAsia" w:ascii="仿宋" w:hAnsi="仿宋" w:eastAsia="仿宋" w:cs="仿宋"/>
          <w:b w:val="0"/>
          <w:bCs/>
          <w:color w:val="auto"/>
          <w:spacing w:val="6"/>
          <w:sz w:val="21"/>
          <w:szCs w:val="21"/>
          <w:highlight w:val="none"/>
        </w:rPr>
        <w:t xml:space="preserve">       日  期：</w:t>
      </w:r>
      <w:r>
        <w:rPr>
          <w:rFonts w:hint="eastAsia" w:ascii="仿宋" w:hAnsi="仿宋" w:eastAsia="仿宋" w:cs="仿宋"/>
          <w:b w:val="0"/>
          <w:bCs/>
          <w:color w:val="auto"/>
          <w:sz w:val="21"/>
          <w:szCs w:val="21"/>
          <w:highlight w:val="none"/>
          <w:u w:val="single"/>
          <w:lang w:val="en-US" w:eastAsia="zh-CN"/>
        </w:rPr>
        <w:t xml:space="preserve">        </w:t>
      </w:r>
    </w:p>
    <w:p w14:paraId="200A03C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0A0DABE8">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lang w:val="en-US" w:eastAsia="zh-CN"/>
        </w:rPr>
        <w:sectPr>
          <w:pgSz w:w="11905" w:h="16838"/>
          <w:pgMar w:top="1440" w:right="1080" w:bottom="1440" w:left="1080" w:header="851" w:footer="850" w:gutter="0"/>
          <w:pgNumType w:fmt="decimal"/>
          <w:cols w:space="0" w:num="1"/>
          <w:titlePg/>
          <w:rtlGutter w:val="0"/>
          <w:docGrid w:linePitch="462" w:charSpace="0"/>
        </w:sectPr>
      </w:pPr>
      <w:bookmarkStart w:id="681" w:name="_Hlt520274393"/>
      <w:bookmarkEnd w:id="681"/>
      <w:bookmarkStart w:id="682" w:name="_Hlt520274121"/>
      <w:bookmarkEnd w:id="682"/>
      <w:bookmarkStart w:id="683" w:name="_Hlt520273711"/>
      <w:bookmarkEnd w:id="683"/>
      <w:bookmarkStart w:id="684" w:name="_Hlt520343392"/>
      <w:bookmarkEnd w:id="684"/>
      <w:bookmarkStart w:id="685" w:name="_Hlt520274065"/>
      <w:bookmarkEnd w:id="685"/>
      <w:bookmarkStart w:id="686" w:name="_Hlt520350918"/>
      <w:bookmarkEnd w:id="686"/>
      <w:bookmarkStart w:id="687" w:name="_Hlt520343000"/>
      <w:bookmarkEnd w:id="687"/>
      <w:bookmarkStart w:id="688" w:name="_Hlt520355504"/>
      <w:bookmarkEnd w:id="688"/>
      <w:bookmarkStart w:id="689" w:name="_Hlt520274407"/>
      <w:bookmarkEnd w:id="689"/>
      <w:bookmarkStart w:id="690" w:name="_Hlt520271212"/>
      <w:bookmarkEnd w:id="690"/>
      <w:bookmarkStart w:id="691" w:name="_Toc226309800"/>
      <w:bookmarkStart w:id="692" w:name="_Toc226965829"/>
      <w:bookmarkStart w:id="693" w:name="_Toc127151556"/>
      <w:bookmarkStart w:id="694" w:name="_Toc150480794"/>
      <w:bookmarkStart w:id="695" w:name="_Toc520356217"/>
      <w:bookmarkStart w:id="696" w:name="_Toc195842921"/>
      <w:bookmarkStart w:id="697" w:name="_Toc142311058"/>
      <w:bookmarkStart w:id="698" w:name="_Toc226337252"/>
      <w:bookmarkStart w:id="699" w:name="_Toc226965746"/>
      <w:bookmarkStart w:id="700" w:name="_Toc150774761"/>
    </w:p>
    <w:p w14:paraId="2A7E38EC">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3本项目的特定资格要求</w:t>
      </w:r>
    </w:p>
    <w:p w14:paraId="70E5802E">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供应商须具有司法行政部门颁发且有效的《律师事务所执业许可证》；（提供证明文件的电子件或电子证照）</w:t>
      </w:r>
    </w:p>
    <w:p w14:paraId="26F37304">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lang w:val="en-US" w:eastAsia="zh-CN"/>
        </w:rPr>
        <w:sectPr>
          <w:pgSz w:w="11905" w:h="16838"/>
          <w:pgMar w:top="1440" w:right="1080" w:bottom="1440" w:left="1080" w:header="851" w:footer="850" w:gutter="0"/>
          <w:pgNumType w:fmt="decimal"/>
          <w:cols w:space="0" w:num="1"/>
          <w:titlePg/>
          <w:rtlGutter w:val="0"/>
          <w:docGrid w:linePitch="462" w:charSpace="0"/>
        </w:sectPr>
      </w:pPr>
      <w:r>
        <w:rPr>
          <w:rFonts w:hint="eastAsia" w:ascii="仿宋" w:hAnsi="仿宋" w:eastAsia="仿宋" w:cs="仿宋"/>
          <w:b w:val="0"/>
          <w:bCs/>
          <w:color w:val="auto"/>
          <w:sz w:val="21"/>
          <w:szCs w:val="21"/>
          <w:highlight w:val="none"/>
          <w:lang w:val="en-US" w:eastAsia="zh-CN"/>
        </w:rPr>
        <w:t>供应商拟派项目负责人须具有司法行政部门颁发且有效的《律师执业证》；（提供证明文件的电子件或电子证照）</w:t>
      </w:r>
    </w:p>
    <w:p w14:paraId="12703C76">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响应书</w:t>
      </w:r>
      <w:bookmarkEnd w:id="691"/>
      <w:bookmarkEnd w:id="692"/>
      <w:bookmarkEnd w:id="693"/>
      <w:bookmarkEnd w:id="694"/>
      <w:bookmarkEnd w:id="695"/>
      <w:bookmarkEnd w:id="696"/>
      <w:bookmarkEnd w:id="697"/>
      <w:bookmarkEnd w:id="698"/>
      <w:bookmarkEnd w:id="699"/>
      <w:bookmarkEnd w:id="700"/>
      <w:r>
        <w:rPr>
          <w:rFonts w:hint="eastAsia" w:ascii="仿宋" w:hAnsi="仿宋" w:eastAsia="仿宋" w:cs="仿宋"/>
          <w:b w:val="0"/>
          <w:bCs/>
          <w:color w:val="auto"/>
          <w:spacing w:val="-2"/>
          <w:sz w:val="21"/>
          <w:szCs w:val="21"/>
          <w:highlight w:val="none"/>
        </w:rPr>
        <w:t>（实质性格式）</w:t>
      </w:r>
    </w:p>
    <w:p w14:paraId="14109E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响应书</w:t>
      </w:r>
    </w:p>
    <w:p w14:paraId="5E292EA6">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p>
    <w:p w14:paraId="4D8F01EE">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u w:val="single"/>
        </w:rPr>
        <w:t>（采购人）</w:t>
      </w:r>
    </w:p>
    <w:p w14:paraId="68434A23">
      <w:pPr>
        <w:keepNext w:val="0"/>
        <w:keepLines w:val="0"/>
        <w:pageBreakBefore w:val="0"/>
        <w:widowControl w:val="0"/>
        <w:tabs>
          <w:tab w:val="left" w:pos="5580"/>
        </w:tabs>
        <w:kinsoku/>
        <w:wordWrap w:val="0"/>
        <w:overflowPunct/>
        <w:topLinePunct/>
        <w:autoSpaceDE/>
        <w:autoSpaceDN/>
        <w:bidi w:val="0"/>
        <w:spacing w:line="360" w:lineRule="auto"/>
        <w:ind w:firstLine="408"/>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我方参加你方就</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（项目名称，项目编号）组织的采购活动，并对此项目进行磋商。</w:t>
      </w:r>
    </w:p>
    <w:p w14:paraId="4DC73B28">
      <w:pPr>
        <w:keepNext w:val="0"/>
        <w:keepLines w:val="0"/>
        <w:pageBreakBefore w:val="0"/>
        <w:widowControl w:val="0"/>
        <w:tabs>
          <w:tab w:val="left" w:pos="5580"/>
        </w:tabs>
        <w:kinsoku/>
        <w:wordWrap w:val="0"/>
        <w:overflowPunct/>
        <w:topLinePunct/>
        <w:autoSpaceDE/>
        <w:autoSpaceDN/>
        <w:bidi w:val="0"/>
        <w:spacing w:line="360" w:lineRule="auto"/>
        <w:ind w:firstLine="408"/>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1.我方已详细审查全部竞争性磋商文件，自愿参与磋商并承诺如下：</w:t>
      </w:r>
    </w:p>
    <w:p w14:paraId="69FBA4BD">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（1）本响应有效期为自提交响应文件的截止之日起______个日历日。</w:t>
      </w:r>
    </w:p>
    <w:p w14:paraId="53B0C457">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（2）除合同条款及采购需求偏离表列出的偏离外，我方响应竞争性磋商文件的全部要求。</w:t>
      </w:r>
    </w:p>
    <w:p w14:paraId="40547ABA">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（3）我方已提供的全部文件资料是真实、准确的，并对此承担一切法律后果。</w:t>
      </w:r>
    </w:p>
    <w:p w14:paraId="3349D675">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（4）如我方成交，我方将在法律规定的期限内与你方签订合同，按照竞争性磋商文件要求提交履约保证金，并在合同约定的期限内完成合同规定的全部义务。</w:t>
      </w:r>
    </w:p>
    <w:p w14:paraId="53AC5D22">
      <w:pPr>
        <w:keepNext w:val="0"/>
        <w:keepLines w:val="0"/>
        <w:pageBreakBefore w:val="0"/>
        <w:widowControl w:val="0"/>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2.其他补充条款（如有）：</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w:t>
      </w:r>
    </w:p>
    <w:p w14:paraId="7C0B9E31">
      <w:pPr>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与本磋商有关的一切正式往来信函请寄：</w:t>
      </w:r>
    </w:p>
    <w:p w14:paraId="533D76C3">
      <w:pPr>
        <w:keepNext w:val="0"/>
        <w:keepLines w:val="0"/>
        <w:pageBreakBefore w:val="0"/>
        <w:widowControl w:val="0"/>
        <w:tabs>
          <w:tab w:val="left" w:pos="5580"/>
        </w:tabs>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p>
    <w:p w14:paraId="73AB8F0E">
      <w:pPr>
        <w:keepNext w:val="0"/>
        <w:keepLines w:val="0"/>
        <w:pageBreakBefore w:val="0"/>
        <w:widowControl w:val="0"/>
        <w:tabs>
          <w:tab w:val="left" w:pos="5580"/>
        </w:tabs>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地址</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传   真</w:t>
      </w:r>
      <w:r>
        <w:rPr>
          <w:rFonts w:hint="eastAsia" w:ascii="仿宋" w:hAnsi="仿宋" w:eastAsia="仿宋" w:cs="仿宋"/>
          <w:b w:val="0"/>
          <w:bCs/>
          <w:color w:val="auto"/>
          <w:sz w:val="21"/>
          <w:szCs w:val="21"/>
          <w:highlight w:val="none"/>
          <w:u w:val="single"/>
          <w:lang w:val="en-US" w:eastAsia="zh-CN"/>
        </w:rPr>
        <w:t xml:space="preserve">                           </w:t>
      </w:r>
    </w:p>
    <w:p w14:paraId="28B5949A">
      <w:pPr>
        <w:keepNext w:val="0"/>
        <w:keepLines w:val="0"/>
        <w:pageBreakBefore w:val="0"/>
        <w:widowControl w:val="0"/>
        <w:tabs>
          <w:tab w:val="left" w:pos="5580"/>
        </w:tabs>
        <w:kinsoku/>
        <w:wordWrap w:val="0"/>
        <w:overflowPunct/>
        <w:topLinePunct/>
        <w:autoSpaceDE/>
        <w:autoSpaceDN/>
        <w:bidi w:val="0"/>
        <w:spacing w:line="360" w:lineRule="auto"/>
        <w:ind w:left="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电话</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电子函件</w:t>
      </w:r>
      <w:r>
        <w:rPr>
          <w:rFonts w:hint="eastAsia" w:ascii="仿宋" w:hAnsi="仿宋" w:eastAsia="仿宋" w:cs="仿宋"/>
          <w:b w:val="0"/>
          <w:bCs/>
          <w:color w:val="auto"/>
          <w:sz w:val="21"/>
          <w:szCs w:val="21"/>
          <w:highlight w:val="none"/>
          <w:u w:val="single"/>
          <w:lang w:val="en-US" w:eastAsia="zh-CN"/>
        </w:rPr>
        <w:t xml:space="preserve">                          </w:t>
      </w:r>
    </w:p>
    <w:p w14:paraId="515B560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C96C68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50313E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558C935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23FA69F">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2C4EE970">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D2208AF">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bookmarkStart w:id="701" w:name="_Hlt520355938"/>
      <w:bookmarkEnd w:id="701"/>
      <w:bookmarkStart w:id="702" w:name="_Hlt520356243"/>
      <w:bookmarkEnd w:id="702"/>
      <w:bookmarkStart w:id="703" w:name="_Toc127151557"/>
      <w:bookmarkStart w:id="704" w:name="_Ref467988705"/>
      <w:bookmarkStart w:id="705" w:name="_Toc150480795"/>
      <w:bookmarkStart w:id="706" w:name="_Toc305158825"/>
      <w:bookmarkStart w:id="707" w:name="_Toc480942350"/>
      <w:bookmarkStart w:id="708" w:name="_Toc142311059"/>
      <w:bookmarkStart w:id="709" w:name="_Toc226965830"/>
      <w:bookmarkStart w:id="710" w:name="_Toc226309801"/>
      <w:bookmarkStart w:id="711" w:name="_Toc520356218"/>
      <w:bookmarkStart w:id="712" w:name="_Toc226337253"/>
      <w:bookmarkStart w:id="713" w:name="_Toc195842922"/>
      <w:bookmarkStart w:id="714" w:name="_Toc264969247"/>
      <w:bookmarkStart w:id="715" w:name="_Toc150774762"/>
      <w:bookmarkStart w:id="716" w:name="_Toc226965747"/>
      <w:bookmarkStart w:id="717" w:name="_Toc265228395"/>
      <w:bookmarkStart w:id="718" w:name="_Toc305158899"/>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rPr>
        <w:t>授权委托书</w:t>
      </w:r>
      <w:r>
        <w:rPr>
          <w:rFonts w:hint="eastAsia" w:ascii="仿宋" w:hAnsi="仿宋" w:eastAsia="仿宋" w:cs="仿宋"/>
          <w:b w:val="0"/>
          <w:bCs/>
          <w:color w:val="auto"/>
          <w:spacing w:val="-2"/>
          <w:sz w:val="21"/>
          <w:szCs w:val="21"/>
          <w:highlight w:val="none"/>
        </w:rPr>
        <w:t>（实质性格式）</w:t>
      </w:r>
    </w:p>
    <w:p w14:paraId="036E5640">
      <w:pPr>
        <w:keepNext w:val="0"/>
        <w:keepLines w:val="0"/>
        <w:pageBreakBefore w:val="0"/>
        <w:widowControl w:val="0"/>
        <w:kinsoku/>
        <w:wordWrap w:val="0"/>
        <w:overflowPunct/>
        <w:topLinePunct/>
        <w:autoSpaceDE/>
        <w:autoSpaceDN/>
        <w:bidi w:val="0"/>
        <w:adjustRightIn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授权委托书</w:t>
      </w:r>
    </w:p>
    <w:p w14:paraId="22E3A1C8">
      <w:pPr>
        <w:keepNext w:val="0"/>
        <w:keepLines w:val="0"/>
        <w:pageBreakBefore w:val="0"/>
        <w:widowControl w:val="0"/>
        <w:kinsoku/>
        <w:wordWrap w:val="0"/>
        <w:overflowPunct/>
        <w:topLinePunct/>
        <w:autoSpaceDE/>
        <w:autoSpaceDN/>
        <w:bidi w:val="0"/>
        <w:spacing w:line="360" w:lineRule="auto"/>
        <w:ind w:firstLine="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（姓名）系</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（供应商名称）的法定代表人（单位负责人），现委托</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（姓名）为我方代理人。代理人根据授权，以我方名义签署、澄清确认、递交、撤回、修改</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（项目名称）响应文件和处理有关事宜，其法律后果由我方承担。</w:t>
      </w:r>
    </w:p>
    <w:p w14:paraId="2F476F4B">
      <w:pPr>
        <w:keepNext w:val="0"/>
        <w:keepLines w:val="0"/>
        <w:pageBreakBefore w:val="0"/>
        <w:widowControl w:val="0"/>
        <w:kinsoku/>
        <w:wordWrap w:val="0"/>
        <w:overflowPunct/>
        <w:topLinePunct/>
        <w:autoSpaceDE/>
        <w:autoSpaceDN/>
        <w:bidi w:val="0"/>
        <w:spacing w:line="360" w:lineRule="auto"/>
        <w:ind w:firstLine="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委托期限：自本授权委托书签署之日起至响应有效期届满之日止。</w:t>
      </w:r>
    </w:p>
    <w:p w14:paraId="73A65579">
      <w:pPr>
        <w:keepNext w:val="0"/>
        <w:keepLines w:val="0"/>
        <w:pageBreakBefore w:val="0"/>
        <w:widowControl w:val="0"/>
        <w:kinsoku/>
        <w:wordWrap w:val="0"/>
        <w:overflowPunct/>
        <w:topLinePunct/>
        <w:autoSpaceDE/>
        <w:autoSpaceDN/>
        <w:bidi w:val="0"/>
        <w:spacing w:line="360" w:lineRule="auto"/>
        <w:ind w:firstLine="42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代理人无转委托权。</w:t>
      </w:r>
      <w:r>
        <w:rPr>
          <w:rFonts w:hint="eastAsia" w:ascii="仿宋" w:hAnsi="仿宋" w:eastAsia="仿宋" w:cs="仿宋"/>
          <w:b w:val="0"/>
          <w:bCs/>
          <w:color w:val="auto"/>
          <w:sz w:val="21"/>
          <w:szCs w:val="21"/>
          <w:highlight w:val="none"/>
        </w:rPr>
        <w:cr/>
      </w:r>
    </w:p>
    <w:p w14:paraId="4C890CC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34D91C5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法定代表人（单位负责人）（签字或签章）：</w:t>
      </w:r>
      <w:r>
        <w:rPr>
          <w:rFonts w:hint="eastAsia" w:ascii="仿宋" w:hAnsi="仿宋" w:eastAsia="仿宋" w:cs="仿宋"/>
          <w:b w:val="0"/>
          <w:bCs/>
          <w:color w:val="auto"/>
          <w:sz w:val="21"/>
          <w:szCs w:val="21"/>
          <w:highlight w:val="none"/>
          <w:u w:val="single"/>
          <w:lang w:val="en-US" w:eastAsia="zh-CN"/>
        </w:rPr>
        <w:t xml:space="preserve">       </w:t>
      </w:r>
    </w:p>
    <w:p w14:paraId="4D530B88">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委托代理人（</w:t>
      </w:r>
      <w:r>
        <w:rPr>
          <w:rFonts w:hint="eastAsia" w:ascii="仿宋" w:hAnsi="仿宋" w:eastAsia="仿宋" w:cs="仿宋"/>
          <w:b w:val="0"/>
          <w:bCs/>
          <w:color w:val="auto"/>
          <w:spacing w:val="-13"/>
          <w:sz w:val="21"/>
          <w:szCs w:val="21"/>
          <w:highlight w:val="none"/>
        </w:rPr>
        <w:t>签字或签章</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lang w:val="en-US" w:eastAsia="zh-CN"/>
        </w:rPr>
        <w:t xml:space="preserve">       </w:t>
      </w:r>
    </w:p>
    <w:p w14:paraId="1022F7C9">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1221C9D8">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1C188FD">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附：法定代表人（单位负责人）及委托代理人身份证明文件电子件：</w:t>
      </w:r>
    </w:p>
    <w:p w14:paraId="401D8FFF">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3170BB6D">
      <w:pPr>
        <w:pStyle w:val="43"/>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52A4E87C">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17A53B9A">
      <w:pPr>
        <w:keepNext w:val="0"/>
        <w:keepLines w:val="0"/>
        <w:pageBreakBefore w:val="0"/>
        <w:widowControl w:val="0"/>
        <w:tabs>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321CF0B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p w14:paraId="36FE7D9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1.若供应商为事业单位或其他组织或分支机构，则法定代表人（单位负责人）处的签署人可为单位负责人。</w:t>
      </w:r>
    </w:p>
    <w:p w14:paraId="41E8A439">
      <w:pPr>
        <w:keepNext w:val="0"/>
        <w:keepLines w:val="0"/>
        <w:pageBreakBefore w:val="0"/>
        <w:widowControl w:val="0"/>
        <w:numPr>
          <w:ilvl w:val="0"/>
          <w:numId w:val="0"/>
        </w:numPr>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供应商为自然人的情形，可不提供本《授权委托书》。</w:t>
      </w:r>
    </w:p>
    <w:p w14:paraId="0AC837D9">
      <w:pPr>
        <w:keepNext w:val="0"/>
        <w:keepLines w:val="0"/>
        <w:pageBreakBefore w:val="0"/>
        <w:widowControl w:val="0"/>
        <w:numPr>
          <w:ilvl w:val="0"/>
          <w:numId w:val="0"/>
        </w:numPr>
        <w:kinsoku/>
        <w:wordWrap w:val="0"/>
        <w:overflowPunct/>
        <w:topLinePunct/>
        <w:autoSpaceDE/>
        <w:autoSpaceDN/>
        <w:bidi w:val="0"/>
        <w:spacing w:line="360" w:lineRule="auto"/>
        <w:ind w:leftChars="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仿宋" w:hAnsi="仿宋" w:eastAsia="仿宋" w:cs="仿宋"/>
          <w:b w:val="0"/>
          <w:bCs/>
          <w:color w:val="auto"/>
          <w:sz w:val="21"/>
          <w:szCs w:val="21"/>
          <w:highlight w:val="none"/>
        </w:rPr>
        <w:br w:type="page"/>
      </w:r>
    </w:p>
    <w:p w14:paraId="7A988121">
      <w:pPr>
        <w:keepNext w:val="0"/>
        <w:keepLines w:val="0"/>
        <w:pageBreakBefore w:val="0"/>
        <w:widowControl w:val="0"/>
        <w:kinsoku/>
        <w:wordWrap w:val="0"/>
        <w:overflowPunct/>
        <w:topLinePunct/>
        <w:autoSpaceDE/>
        <w:autoSpaceDN/>
        <w:bidi w:val="0"/>
        <w:adjustRightIn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附：法定代表人（单位负责人）身份证明</w:t>
      </w:r>
    </w:p>
    <w:p w14:paraId="5D7F00C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705E182">
      <w:pPr>
        <w:keepNext w:val="0"/>
        <w:keepLines w:val="0"/>
        <w:pageBreakBefore w:val="0"/>
        <w:widowControl w:val="0"/>
        <w:tabs>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u w:val="single"/>
        </w:rPr>
        <w:t>（采购人）</w:t>
      </w:r>
    </w:p>
    <w:p w14:paraId="0A5659CD">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兹证明，</w:t>
      </w:r>
    </w:p>
    <w:p w14:paraId="4D0B0F39">
      <w:pPr>
        <w:pStyle w:val="9"/>
        <w:keepNext w:val="0"/>
        <w:keepLines w:val="0"/>
        <w:pageBreakBefore w:val="0"/>
        <w:widowControl w:val="0"/>
        <w:tabs>
          <w:tab w:val="left" w:pos="1690"/>
          <w:tab w:val="left" w:pos="3400"/>
          <w:tab w:val="left" w:pos="5110"/>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姓名：</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性别：</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年龄：</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职务：</w:t>
      </w:r>
      <w:r>
        <w:rPr>
          <w:rFonts w:hint="eastAsia" w:ascii="仿宋" w:hAnsi="仿宋" w:eastAsia="仿宋" w:cs="仿宋"/>
          <w:b w:val="0"/>
          <w:bCs/>
          <w:color w:val="auto"/>
          <w:sz w:val="21"/>
          <w:szCs w:val="21"/>
          <w:highlight w:val="none"/>
          <w:u w:val="single"/>
          <w:lang w:val="en-US" w:eastAsia="zh-CN"/>
        </w:rPr>
        <w:t xml:space="preserve">       </w:t>
      </w:r>
    </w:p>
    <w:p w14:paraId="32457076">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438A8998">
      <w:pPr>
        <w:pStyle w:val="9"/>
        <w:keepNext w:val="0"/>
        <w:keepLines w:val="0"/>
        <w:pageBreakBefore w:val="0"/>
        <w:widowControl w:val="0"/>
        <w:tabs>
          <w:tab w:val="left" w:pos="2250"/>
          <w:tab w:val="left" w:pos="2412"/>
          <w:tab w:val="left" w:pos="3883"/>
          <w:tab w:val="left" w:pos="5352"/>
          <w:tab w:val="left" w:pos="6821"/>
          <w:tab w:val="clear" w:pos="567"/>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系</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（供应商名称）的法定代表人（单位负责人）。</w:t>
      </w:r>
    </w:p>
    <w:p w14:paraId="2F364C1B">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C400075">
      <w:pPr>
        <w:pStyle w:val="9"/>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6D61E16">
      <w:pPr>
        <w:pStyle w:val="9"/>
        <w:keepNext w:val="0"/>
        <w:keepLines w:val="0"/>
        <w:pageBreakBefore w:val="0"/>
        <w:widowControl w:val="0"/>
        <w:kinsoku/>
        <w:wordWrap w:val="0"/>
        <w:overflowPunct/>
        <w:topLinePunct/>
        <w:autoSpaceDE/>
        <w:autoSpaceDN/>
        <w:bidi w:val="0"/>
        <w:spacing w:line="360" w:lineRule="auto"/>
        <w:ind w:right="-46"/>
        <w:outlineLvl w:val="9"/>
        <w:rPr>
          <w:rFonts w:hint="eastAsia" w:ascii="仿宋" w:hAnsi="仿宋" w:eastAsia="仿宋" w:cs="仿宋"/>
          <w:b w:val="0"/>
          <w:bCs/>
          <w:color w:val="auto"/>
          <w:spacing w:val="-3"/>
          <w:sz w:val="21"/>
          <w:szCs w:val="21"/>
          <w:highlight w:val="none"/>
        </w:rPr>
      </w:pPr>
      <w:r>
        <w:rPr>
          <w:rFonts w:hint="eastAsia" w:ascii="仿宋" w:hAnsi="仿宋" w:eastAsia="仿宋" w:cs="仿宋"/>
          <w:b w:val="0"/>
          <w:bCs/>
          <w:color w:val="auto"/>
          <w:sz w:val="21"/>
          <w:szCs w:val="21"/>
          <w:highlight w:val="none"/>
        </w:rPr>
        <w:t>附：</w:t>
      </w:r>
      <w:r>
        <w:rPr>
          <w:rFonts w:hint="eastAsia" w:ascii="仿宋" w:hAnsi="仿宋" w:eastAsia="仿宋" w:cs="仿宋"/>
          <w:b w:val="0"/>
          <w:bCs/>
          <w:color w:val="auto"/>
          <w:spacing w:val="-3"/>
          <w:sz w:val="21"/>
          <w:szCs w:val="21"/>
          <w:highlight w:val="none"/>
        </w:rPr>
        <w:t>法定代表人（单位负责人）身份证等身份证明文件电子件：</w:t>
      </w:r>
    </w:p>
    <w:p w14:paraId="34E2AD11">
      <w:pPr>
        <w:pStyle w:val="9"/>
        <w:keepNext w:val="0"/>
        <w:keepLines w:val="0"/>
        <w:pageBreakBefore w:val="0"/>
        <w:widowControl w:val="0"/>
        <w:kinsoku/>
        <w:wordWrap w:val="0"/>
        <w:overflowPunct/>
        <w:topLinePunct/>
        <w:autoSpaceDE/>
        <w:autoSpaceDN/>
        <w:bidi w:val="0"/>
        <w:spacing w:line="360" w:lineRule="auto"/>
        <w:ind w:right="4305"/>
        <w:outlineLvl w:val="9"/>
        <w:rPr>
          <w:rFonts w:hint="eastAsia" w:ascii="仿宋" w:hAnsi="仿宋" w:eastAsia="仿宋" w:cs="仿宋"/>
          <w:b w:val="0"/>
          <w:bCs/>
          <w:color w:val="auto"/>
          <w:spacing w:val="-3"/>
          <w:sz w:val="21"/>
          <w:szCs w:val="21"/>
          <w:highlight w:val="none"/>
        </w:rPr>
      </w:pPr>
    </w:p>
    <w:p w14:paraId="4B3D33A4">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p>
    <w:p w14:paraId="61A9750B">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p>
    <w:p w14:paraId="73A2614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7D982A3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法定代表人（单位负责人）（签字或签章）：</w:t>
      </w:r>
      <w:r>
        <w:rPr>
          <w:rFonts w:hint="eastAsia" w:ascii="仿宋" w:hAnsi="仿宋" w:eastAsia="仿宋" w:cs="仿宋"/>
          <w:b w:val="0"/>
          <w:bCs/>
          <w:color w:val="auto"/>
          <w:sz w:val="21"/>
          <w:szCs w:val="21"/>
          <w:highlight w:val="none"/>
          <w:u w:val="single"/>
          <w:lang w:val="en-US" w:eastAsia="zh-CN"/>
        </w:rPr>
        <w:t xml:space="preserve">       </w:t>
      </w:r>
    </w:p>
    <w:p w14:paraId="2E688875">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i/>
          <w:color w:val="auto"/>
          <w:sz w:val="21"/>
          <w:szCs w:val="21"/>
          <w:highlight w:val="none"/>
          <w:u w:val="singl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9C3F578">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0B7312D2">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C55E35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19" w:name="_Toc226337254"/>
      <w:bookmarkStart w:id="720" w:name="_Toc305158900"/>
      <w:bookmarkStart w:id="721" w:name="_Toc305158826"/>
      <w:bookmarkStart w:id="722" w:name="_Toc226965831"/>
      <w:bookmarkStart w:id="723" w:name="_Toc264969248"/>
      <w:bookmarkStart w:id="724" w:name="_Toc164608672"/>
      <w:bookmarkStart w:id="725" w:name="_Toc226309802"/>
      <w:bookmarkStart w:id="726" w:name="_Toc265228396"/>
      <w:bookmarkStart w:id="727" w:name="_Toc164608827"/>
      <w:bookmarkStart w:id="728" w:name="_Toc195842923"/>
      <w:bookmarkStart w:id="729" w:name="_Toc226965748"/>
      <w:r>
        <w:rPr>
          <w:rFonts w:hint="eastAsia" w:ascii="仿宋" w:hAnsi="仿宋" w:eastAsia="仿宋" w:cs="仿宋"/>
          <w:b w:val="0"/>
          <w:bCs/>
          <w:color w:val="auto"/>
          <w:sz w:val="21"/>
          <w:szCs w:val="21"/>
          <w:highlight w:val="none"/>
        </w:rPr>
        <w:t>报价一览表</w:t>
      </w:r>
      <w:bookmarkEnd w:id="719"/>
      <w:bookmarkEnd w:id="720"/>
      <w:bookmarkEnd w:id="721"/>
      <w:bookmarkEnd w:id="722"/>
      <w:bookmarkEnd w:id="723"/>
      <w:bookmarkEnd w:id="724"/>
      <w:bookmarkEnd w:id="725"/>
      <w:bookmarkEnd w:id="726"/>
      <w:bookmarkEnd w:id="727"/>
      <w:bookmarkEnd w:id="728"/>
      <w:bookmarkEnd w:id="729"/>
    </w:p>
    <w:p w14:paraId="2D16B21B">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5998F817">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1"/>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581"/>
        <w:gridCol w:w="1255"/>
        <w:gridCol w:w="847"/>
      </w:tblGrid>
      <w:tr w14:paraId="531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31A902A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110F86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AE18CE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元</w:t>
            </w:r>
            <w:r>
              <w:rPr>
                <w:rFonts w:hint="eastAsia" w:ascii="仿宋" w:hAnsi="仿宋" w:eastAsia="仿宋" w:cs="仿宋"/>
                <w:b w:val="0"/>
                <w:bCs/>
                <w:color w:val="auto"/>
                <w:sz w:val="21"/>
                <w:szCs w:val="21"/>
                <w:highlight w:val="none"/>
                <w:lang w:eastAsia="zh-CN"/>
              </w:rPr>
              <w:t>）</w:t>
            </w:r>
          </w:p>
        </w:tc>
        <w:tc>
          <w:tcPr>
            <w:tcW w:w="1581" w:type="dxa"/>
            <w:vMerge w:val="restart"/>
            <w:tcBorders>
              <w:top w:val="single" w:color="auto" w:sz="4" w:space="0"/>
              <w:left w:val="single" w:color="auto" w:sz="4" w:space="0"/>
              <w:right w:val="single" w:color="auto" w:sz="4" w:space="0"/>
            </w:tcBorders>
            <w:vAlign w:val="center"/>
          </w:tcPr>
          <w:p w14:paraId="1A9537FD">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合同履行期限</w:t>
            </w:r>
          </w:p>
        </w:tc>
        <w:tc>
          <w:tcPr>
            <w:tcW w:w="1255" w:type="dxa"/>
            <w:vMerge w:val="restart"/>
            <w:tcBorders>
              <w:top w:val="single" w:color="auto" w:sz="4" w:space="0"/>
              <w:left w:val="single" w:color="auto" w:sz="4" w:space="0"/>
              <w:right w:val="single" w:color="auto" w:sz="4" w:space="0"/>
            </w:tcBorders>
            <w:vAlign w:val="center"/>
          </w:tcPr>
          <w:p w14:paraId="006B7A9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服务地点</w:t>
            </w:r>
          </w:p>
        </w:tc>
        <w:tc>
          <w:tcPr>
            <w:tcW w:w="847" w:type="dxa"/>
            <w:vMerge w:val="restart"/>
            <w:tcBorders>
              <w:top w:val="single" w:color="auto" w:sz="4" w:space="0"/>
              <w:left w:val="single" w:color="auto" w:sz="4" w:space="0"/>
              <w:right w:val="single" w:color="auto" w:sz="4" w:space="0"/>
            </w:tcBorders>
            <w:vAlign w:val="center"/>
          </w:tcPr>
          <w:p w14:paraId="178BEA04">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备注</w:t>
            </w:r>
          </w:p>
        </w:tc>
      </w:tr>
      <w:tr w14:paraId="4543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DC9B58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1E97B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26DADE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3EAA92BB">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小写</w:t>
            </w:r>
          </w:p>
        </w:tc>
        <w:tc>
          <w:tcPr>
            <w:tcW w:w="1581" w:type="dxa"/>
            <w:vMerge w:val="continue"/>
            <w:tcBorders>
              <w:left w:val="single" w:color="auto" w:sz="4" w:space="0"/>
              <w:bottom w:val="single" w:color="auto" w:sz="4" w:space="0"/>
              <w:right w:val="single" w:color="auto" w:sz="4" w:space="0"/>
            </w:tcBorders>
            <w:vAlign w:val="center"/>
          </w:tcPr>
          <w:p w14:paraId="5135A89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vMerge w:val="continue"/>
            <w:tcBorders>
              <w:left w:val="single" w:color="auto" w:sz="4" w:space="0"/>
              <w:bottom w:val="single" w:color="auto" w:sz="4" w:space="0"/>
              <w:right w:val="single" w:color="auto" w:sz="4" w:space="0"/>
            </w:tcBorders>
            <w:vAlign w:val="center"/>
          </w:tcPr>
          <w:p w14:paraId="41593BD3">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vMerge w:val="continue"/>
            <w:tcBorders>
              <w:left w:val="single" w:color="auto" w:sz="4" w:space="0"/>
              <w:bottom w:val="single" w:color="auto" w:sz="4" w:space="0"/>
              <w:right w:val="single" w:color="auto" w:sz="4" w:space="0"/>
            </w:tcBorders>
            <w:vAlign w:val="center"/>
          </w:tcPr>
          <w:p w14:paraId="04E2ADF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28F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2147455">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5639956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533DC1C">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BD94808">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14:paraId="701B5C0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6A8A80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7A6BB90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3D2ACA46">
      <w:pPr>
        <w:keepNext w:val="0"/>
        <w:keepLines w:val="0"/>
        <w:pageBreakBefore w:val="0"/>
        <w:widowControl w:val="0"/>
        <w:kinsoku/>
        <w:wordWrap w:val="0"/>
        <w:overflowPunct/>
        <w:topLinePunct/>
        <w:autoSpaceDE/>
        <w:autoSpaceDN/>
        <w:bidi w:val="0"/>
        <w:adjustRightIn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注：</w:t>
      </w:r>
      <w:r>
        <w:rPr>
          <w:rFonts w:hint="eastAsia" w:ascii="仿宋" w:hAnsi="仿宋" w:eastAsia="仿宋" w:cs="仿宋"/>
          <w:b w:val="0"/>
          <w:bCs/>
          <w:color w:val="auto"/>
          <w:sz w:val="21"/>
          <w:szCs w:val="21"/>
          <w:highlight w:val="none"/>
        </w:rPr>
        <w:t>此表中的报价应和《分项报价表》中的总价相一致。</w:t>
      </w:r>
    </w:p>
    <w:p w14:paraId="42351FB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bookmarkStart w:id="730" w:name="_Toc226965832"/>
      <w:bookmarkStart w:id="731" w:name="_Toc150774763"/>
      <w:bookmarkStart w:id="732" w:name="_Toc150480796"/>
      <w:bookmarkStart w:id="733" w:name="_Toc226337255"/>
      <w:bookmarkStart w:id="734" w:name="_Toc226309803"/>
      <w:bookmarkStart w:id="735" w:name="_Toc226965749"/>
      <w:bookmarkStart w:id="736" w:name="_Toc265228397"/>
      <w:bookmarkStart w:id="737" w:name="_Toc127151558"/>
      <w:bookmarkStart w:id="738" w:name="_Toc195842924"/>
      <w:bookmarkStart w:id="739" w:name="_Toc305158827"/>
      <w:bookmarkStart w:id="740" w:name="_Toc264969249"/>
      <w:bookmarkStart w:id="741" w:name="_Toc142311060"/>
      <w:bookmarkStart w:id="742" w:name="_Toc305158901"/>
    </w:p>
    <w:p w14:paraId="5CE0D0D3">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46237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BADC58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40BD32B7">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55D709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CD20456">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7</w:t>
      </w:r>
      <w:r>
        <w:rPr>
          <w:rFonts w:hint="eastAsia" w:ascii="仿宋" w:hAnsi="仿宋" w:eastAsia="仿宋" w:cs="仿宋"/>
          <w:b w:val="0"/>
          <w:bCs/>
          <w:color w:val="auto"/>
          <w:sz w:val="21"/>
          <w:szCs w:val="21"/>
          <w:highlight w:val="none"/>
        </w:rPr>
        <w:t>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110D5B4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bookmarkStart w:id="743" w:name="_Toc150480798"/>
      <w:bookmarkStart w:id="744" w:name="_Toc226337258"/>
      <w:bookmarkStart w:id="745" w:name="_Toc127151562"/>
      <w:bookmarkStart w:id="746" w:name="_Toc195842927"/>
      <w:bookmarkStart w:id="747" w:name="_Toc226965835"/>
      <w:bookmarkStart w:id="748" w:name="_Toc150774765"/>
      <w:bookmarkStart w:id="749" w:name="_Toc142311062"/>
      <w:bookmarkStart w:id="750" w:name="_Toc305158830"/>
      <w:bookmarkStart w:id="751" w:name="_Toc305158904"/>
      <w:bookmarkStart w:id="752" w:name="_Toc264969252"/>
      <w:bookmarkStart w:id="753" w:name="_Toc265228400"/>
      <w:bookmarkStart w:id="754" w:name="_Toc226309806"/>
      <w:bookmarkStart w:id="755" w:name="_Toc226965752"/>
      <w:bookmarkStart w:id="756" w:name="_Toc305158903"/>
      <w:bookmarkStart w:id="757" w:name="_Toc226965751"/>
      <w:bookmarkStart w:id="758" w:name="_Toc195842926"/>
      <w:bookmarkStart w:id="759" w:name="_Toc150480797"/>
      <w:bookmarkStart w:id="760" w:name="_Toc226309805"/>
      <w:bookmarkStart w:id="761" w:name="_Toc265228399"/>
      <w:bookmarkStart w:id="762" w:name="_Toc127151561"/>
      <w:bookmarkStart w:id="763" w:name="_Toc150774764"/>
      <w:bookmarkStart w:id="764" w:name="_Toc226965834"/>
      <w:bookmarkStart w:id="765" w:name="_Toc226337257"/>
      <w:bookmarkStart w:id="766" w:name="_Toc305158829"/>
      <w:bookmarkStart w:id="767" w:name="_Toc142311061"/>
      <w:bookmarkStart w:id="768" w:name="_Toc264969251"/>
      <w:r>
        <w:rPr>
          <w:rFonts w:hint="eastAsia" w:ascii="仿宋" w:hAnsi="仿宋" w:eastAsia="仿宋" w:cs="仿宋"/>
          <w:b w:val="0"/>
          <w:bCs/>
          <w:color w:val="auto"/>
          <w:sz w:val="21"/>
          <w:szCs w:val="21"/>
          <w:highlight w:val="none"/>
        </w:rPr>
        <w:t>分项报价表</w:t>
      </w:r>
    </w:p>
    <w:p w14:paraId="1E50D920">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594401AC">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1"/>
        <w:tblW w:w="98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202"/>
        <w:gridCol w:w="2240"/>
        <w:gridCol w:w="990"/>
        <w:gridCol w:w="730"/>
        <w:gridCol w:w="1202"/>
        <w:gridCol w:w="1266"/>
        <w:gridCol w:w="1529"/>
      </w:tblGrid>
      <w:tr w14:paraId="1CE0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D80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3D2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34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工作内容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66E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686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37D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单价</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E83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总价</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181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备注</w:t>
            </w:r>
          </w:p>
        </w:tc>
      </w:tr>
      <w:tr w14:paraId="2D0A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BDD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223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合同审核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6CA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协助草拟、制订、审查或者修改甲方及下属企业北京张镇工业开发中心合同、文件等法律文书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241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831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19B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E1E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33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33B2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E3F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43D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案件代理</w:t>
            </w: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CCFA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甲方涉及经济、民事、知识产权、劳动、行政、刑事等必须进入诉讼或者仲裁法律程序及非诉讼调解的专案代理事务，及受甲方委托，签署、送达或者接收法律文件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2D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DE7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F72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F95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E08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一审</w:t>
            </w:r>
          </w:p>
        </w:tc>
      </w:tr>
      <w:tr w14:paraId="2A46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76B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7BD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C53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CF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69E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117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F1D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8C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二审</w:t>
            </w:r>
          </w:p>
        </w:tc>
      </w:tr>
      <w:tr w14:paraId="0C1E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074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C51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19D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CDF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5E9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96A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2DC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9B8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复议</w:t>
            </w:r>
          </w:p>
        </w:tc>
      </w:tr>
      <w:tr w14:paraId="48A5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single" w:color="000000" w:sz="4" w:space="0"/>
              <w:bottom w:val="single" w:color="000000" w:sz="4" w:space="0"/>
              <w:right w:val="nil"/>
            </w:tcBorders>
            <w:shd w:val="clear" w:color="auto" w:fill="auto"/>
            <w:noWrap/>
            <w:vAlign w:val="center"/>
          </w:tcPr>
          <w:p w14:paraId="37DA129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4C6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信息公开</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A0F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审核政府信息依申请公开书面材料，草拟信息公开件的答复文书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6D4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4AA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E05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4E7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693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6CEB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E0C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7C7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驻场费用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6C1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每周按照甲方要求到甲方办公场所值班半天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44F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779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915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A96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3F2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每周半天（含路费等）</w:t>
            </w:r>
          </w:p>
        </w:tc>
      </w:tr>
      <w:tr w14:paraId="2882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nil"/>
              <w:left w:val="single" w:color="000000" w:sz="4" w:space="0"/>
              <w:bottom w:val="single" w:color="000000" w:sz="4" w:space="0"/>
              <w:right w:val="nil"/>
            </w:tcBorders>
            <w:shd w:val="clear" w:color="auto" w:fill="auto"/>
            <w:noWrap/>
            <w:vAlign w:val="center"/>
          </w:tcPr>
          <w:p w14:paraId="0052DCE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D1A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法律咨询</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095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不限次提供法律咨询，依法提供建议。应甲方要求，就甲方已经面临或者可能发生的纠纷，进行法律论证，提出解决方案，发表律师意见，或者参与非诉讼谈判、协调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1D8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39A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65E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B84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F27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713B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B10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合计（元）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030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967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2F18B370">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注：1.如果不提供分项报价将视为没有实质性响应竞争性磋商文件。</w:t>
      </w:r>
    </w:p>
    <w:p w14:paraId="3C030FB9">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2.</w:t>
      </w:r>
      <w:r>
        <w:rPr>
          <w:rFonts w:hint="eastAsia" w:ascii="仿宋" w:hAnsi="仿宋" w:eastAsia="仿宋" w:cs="仿宋"/>
          <w:b w:val="0"/>
          <w:bCs/>
          <w:color w:val="auto"/>
          <w:sz w:val="21"/>
          <w:szCs w:val="21"/>
          <w:highlight w:val="none"/>
          <w:lang w:val="en-US" w:eastAsia="zh-CN"/>
        </w:rPr>
        <w:t>竞争性磋商文件中本表所示数量为最低要求，供应商可自行增加或不调整。</w:t>
      </w:r>
    </w:p>
    <w:p w14:paraId="0F3648BA">
      <w:pPr>
        <w:keepNext w:val="0"/>
        <w:keepLines w:val="0"/>
        <w:pageBreakBefore w:val="0"/>
        <w:widowControl w:val="0"/>
        <w:tabs>
          <w:tab w:val="left" w:pos="1800"/>
          <w:tab w:val="left" w:pos="5580"/>
        </w:tabs>
        <w:kinsoku/>
        <w:wordWrap w:val="0"/>
        <w:overflowPunct/>
        <w:topLinePunct/>
        <w:autoSpaceDE/>
        <w:autoSpaceDN/>
        <w:bidi w:val="0"/>
        <w:spacing w:line="360" w:lineRule="auto"/>
        <w:ind w:firstLine="420" w:firstLineChars="200"/>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上述各项的详细规格（如有），可另页描述。</w:t>
      </w:r>
    </w:p>
    <w:p w14:paraId="23259A9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9F4885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C2CA0D3">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1F7704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2139D04B">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6F607C5">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6EB21C22">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hint="eastAsia" w:ascii="仿宋" w:hAnsi="仿宋" w:eastAsia="仿宋" w:cs="仿宋"/>
          <w:b w:val="0"/>
          <w:bCs/>
          <w:color w:val="auto"/>
          <w:spacing w:val="-2"/>
          <w:sz w:val="21"/>
          <w:szCs w:val="21"/>
          <w:highlight w:val="none"/>
        </w:rPr>
        <w:t>（实质性格式）</w:t>
      </w:r>
    </w:p>
    <w:p w14:paraId="55E4744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合同条款偏离表</w:t>
      </w:r>
    </w:p>
    <w:p w14:paraId="2B7F872F">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p>
    <w:p w14:paraId="0CA9028A">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77"/>
        <w:gridCol w:w="1793"/>
        <w:gridCol w:w="1981"/>
        <w:gridCol w:w="2427"/>
        <w:gridCol w:w="1126"/>
      </w:tblGrid>
      <w:tr w14:paraId="45D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761734F4">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477" w:type="dxa"/>
            <w:vAlign w:val="center"/>
          </w:tcPr>
          <w:p w14:paraId="66F176C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竞争性磋商文件条目号（页码）</w:t>
            </w:r>
          </w:p>
        </w:tc>
        <w:tc>
          <w:tcPr>
            <w:tcW w:w="1793" w:type="dxa"/>
            <w:vAlign w:val="center"/>
          </w:tcPr>
          <w:p w14:paraId="1B30A045">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竞争性磋商文件要求</w:t>
            </w:r>
          </w:p>
        </w:tc>
        <w:tc>
          <w:tcPr>
            <w:tcW w:w="1981" w:type="dxa"/>
            <w:vAlign w:val="center"/>
          </w:tcPr>
          <w:p w14:paraId="7EFCAB6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响应文件内容</w:t>
            </w:r>
          </w:p>
        </w:tc>
        <w:tc>
          <w:tcPr>
            <w:tcW w:w="2427" w:type="dxa"/>
            <w:vAlign w:val="center"/>
          </w:tcPr>
          <w:p w14:paraId="4CBB16C7">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偏离情况</w:t>
            </w:r>
          </w:p>
        </w:tc>
        <w:tc>
          <w:tcPr>
            <w:tcW w:w="1126" w:type="dxa"/>
            <w:vAlign w:val="center"/>
          </w:tcPr>
          <w:p w14:paraId="6D139A54">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tc>
      </w:tr>
      <w:tr w14:paraId="180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746" w:type="dxa"/>
            <w:gridSpan w:val="6"/>
            <w:vAlign w:val="center"/>
          </w:tcPr>
          <w:p w14:paraId="4F15985B">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对本项目合同条款的偏离情况（应进行选择，未选择响应无效）：</w:t>
            </w:r>
          </w:p>
          <w:p w14:paraId="0BA22F9C">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无偏离（如无偏离，仅选择无偏离即可；无偏离即为对合同条款中的所有要求，均视作供应商已对之理解和响应。）</w:t>
            </w:r>
          </w:p>
          <w:p w14:paraId="338A0CC5">
            <w:pPr>
              <w:keepNext w:val="0"/>
              <w:keepLines w:val="0"/>
              <w:pageBreakBefore w:val="0"/>
              <w:widowControl w:val="0"/>
              <w:kinsoku/>
              <w:wordWrap w:val="0"/>
              <w:overflowPunct/>
              <w:topLinePunct/>
              <w:autoSpaceDE/>
              <w:autoSpaceDN/>
              <w:bidi w:val="0"/>
              <w:adjustRightInd w:val="0"/>
              <w:snapToGri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有偏离（如有偏离，则应在本表中对负偏离项逐一列明，否则响应无效；对合同条款中的所有要求，除本表列明的偏离外，均视作供应商已对之理解和响应。）</w:t>
            </w:r>
          </w:p>
        </w:tc>
      </w:tr>
      <w:tr w14:paraId="3BB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0E5EB26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77" w:type="dxa"/>
            <w:vAlign w:val="center"/>
          </w:tcPr>
          <w:p w14:paraId="4756150F">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793" w:type="dxa"/>
            <w:vAlign w:val="center"/>
          </w:tcPr>
          <w:p w14:paraId="6E1C002B">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981" w:type="dxa"/>
            <w:vAlign w:val="center"/>
          </w:tcPr>
          <w:p w14:paraId="449E906B">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427" w:type="dxa"/>
            <w:vAlign w:val="center"/>
          </w:tcPr>
          <w:p w14:paraId="16774F3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126" w:type="dxa"/>
            <w:vAlign w:val="center"/>
          </w:tcPr>
          <w:p w14:paraId="0DB2C8E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4D6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5A7E41B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77" w:type="dxa"/>
            <w:vAlign w:val="center"/>
          </w:tcPr>
          <w:p w14:paraId="3F1CD19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793" w:type="dxa"/>
            <w:vAlign w:val="center"/>
          </w:tcPr>
          <w:p w14:paraId="3C25E54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981" w:type="dxa"/>
            <w:vAlign w:val="center"/>
          </w:tcPr>
          <w:p w14:paraId="1308505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427" w:type="dxa"/>
            <w:vAlign w:val="center"/>
          </w:tcPr>
          <w:p w14:paraId="14D3635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126" w:type="dxa"/>
            <w:vAlign w:val="center"/>
          </w:tcPr>
          <w:p w14:paraId="10CECFD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65B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42" w:type="dxa"/>
            <w:vAlign w:val="center"/>
          </w:tcPr>
          <w:p w14:paraId="625C7A4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77" w:type="dxa"/>
            <w:vAlign w:val="center"/>
          </w:tcPr>
          <w:p w14:paraId="2BFFB00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793" w:type="dxa"/>
            <w:vAlign w:val="center"/>
          </w:tcPr>
          <w:p w14:paraId="1FFDAB3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981" w:type="dxa"/>
            <w:vAlign w:val="center"/>
          </w:tcPr>
          <w:p w14:paraId="1958B24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427" w:type="dxa"/>
            <w:vAlign w:val="center"/>
          </w:tcPr>
          <w:p w14:paraId="0C5C2D4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126" w:type="dxa"/>
            <w:vAlign w:val="center"/>
          </w:tcPr>
          <w:p w14:paraId="049BF61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bl>
    <w:p w14:paraId="326CF4C7">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3B451B88">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1.对合同条款中的所有要求，除本表所列明的所有偏离外，均视作供应商已对之理解和响应。</w:t>
      </w:r>
    </w:p>
    <w:p w14:paraId="6B8B2346">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2.“偏离情况”列应据实填写“正偏离”或“负偏离”。</w:t>
      </w:r>
    </w:p>
    <w:bookmarkEnd w:id="756"/>
    <w:bookmarkEnd w:id="757"/>
    <w:bookmarkEnd w:id="758"/>
    <w:bookmarkEnd w:id="759"/>
    <w:bookmarkEnd w:id="760"/>
    <w:bookmarkEnd w:id="761"/>
    <w:bookmarkEnd w:id="762"/>
    <w:bookmarkEnd w:id="763"/>
    <w:bookmarkEnd w:id="764"/>
    <w:bookmarkEnd w:id="765"/>
    <w:bookmarkEnd w:id="766"/>
    <w:bookmarkEnd w:id="767"/>
    <w:bookmarkEnd w:id="768"/>
    <w:p w14:paraId="054BAF8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D19B67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1A0ABB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E8A699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742B019E">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1301A493">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421CF3B2">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采购需求偏离表（实质性格式）</w:t>
      </w:r>
    </w:p>
    <w:p w14:paraId="47BCCD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采购需求偏离表</w:t>
      </w:r>
    </w:p>
    <w:p w14:paraId="1F931F6E">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p>
    <w:p w14:paraId="5FAD5FC0">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1"/>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65"/>
      </w:tblGrid>
      <w:tr w14:paraId="1E6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A9F06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482" w:type="dxa"/>
            <w:vAlign w:val="center"/>
          </w:tcPr>
          <w:p w14:paraId="52B6175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竞争性磋商文件条目号(页码)</w:t>
            </w:r>
          </w:p>
        </w:tc>
        <w:tc>
          <w:tcPr>
            <w:tcW w:w="2384" w:type="dxa"/>
            <w:vAlign w:val="center"/>
          </w:tcPr>
          <w:p w14:paraId="75892C5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竞争性磋商文件要求</w:t>
            </w:r>
          </w:p>
        </w:tc>
        <w:tc>
          <w:tcPr>
            <w:tcW w:w="2126" w:type="dxa"/>
            <w:vAlign w:val="center"/>
          </w:tcPr>
          <w:p w14:paraId="0777C05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响应内容</w:t>
            </w:r>
          </w:p>
        </w:tc>
        <w:tc>
          <w:tcPr>
            <w:tcW w:w="1875" w:type="dxa"/>
            <w:vAlign w:val="center"/>
          </w:tcPr>
          <w:p w14:paraId="217EF4F7">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偏离情况</w:t>
            </w:r>
          </w:p>
          <w:p w14:paraId="52A6A17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（据实填写）</w:t>
            </w:r>
          </w:p>
        </w:tc>
        <w:tc>
          <w:tcPr>
            <w:tcW w:w="1065" w:type="dxa"/>
            <w:vAlign w:val="center"/>
          </w:tcPr>
          <w:p w14:paraId="5CD576A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tc>
      </w:tr>
      <w:tr w14:paraId="2D1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34302">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020731B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48AA7C9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1F5234E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5588210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0423C9C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51C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4D2E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4E4D202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7347CD4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5A81A23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733F872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09CF64A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57A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F500C">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1557156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100499C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63C12CB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6F0925F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55F9BD88">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78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8E255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0F850A0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47EFD279">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1C876A0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56E01969">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48AD116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370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489CBB">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39F484D3">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1EEE7BF9">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05E938C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32A70036">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6B69E9F0">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r w14:paraId="4E0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B89C6D">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482" w:type="dxa"/>
            <w:vAlign w:val="center"/>
          </w:tcPr>
          <w:p w14:paraId="1380198E">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384" w:type="dxa"/>
            <w:vAlign w:val="center"/>
          </w:tcPr>
          <w:p w14:paraId="31F0117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2126" w:type="dxa"/>
            <w:vAlign w:val="center"/>
          </w:tcPr>
          <w:p w14:paraId="4B069E55">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875" w:type="dxa"/>
            <w:vAlign w:val="center"/>
          </w:tcPr>
          <w:p w14:paraId="68C8E231">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c>
          <w:tcPr>
            <w:tcW w:w="1065" w:type="dxa"/>
            <w:vAlign w:val="center"/>
          </w:tcPr>
          <w:p w14:paraId="22B1F8FA">
            <w:pPr>
              <w:keepNext w:val="0"/>
              <w:keepLines w:val="0"/>
              <w:pageBreakBefore w:val="0"/>
              <w:widowControl w:val="0"/>
              <w:kinsoku/>
              <w:wordWrap w:val="0"/>
              <w:overflowPunct/>
              <w:topLinePunct/>
              <w:autoSpaceDE/>
              <w:autoSpaceDN/>
              <w:bidi w:val="0"/>
              <w:adjustRightInd w:val="0"/>
              <w:snapToGrid w:val="0"/>
              <w:spacing w:line="360" w:lineRule="auto"/>
              <w:jc w:val="center"/>
              <w:outlineLvl w:val="9"/>
              <w:rPr>
                <w:rFonts w:hint="eastAsia" w:ascii="仿宋" w:hAnsi="仿宋" w:eastAsia="仿宋" w:cs="仿宋"/>
                <w:b w:val="0"/>
                <w:bCs/>
                <w:color w:val="auto"/>
                <w:sz w:val="21"/>
                <w:szCs w:val="21"/>
                <w:highlight w:val="none"/>
              </w:rPr>
            </w:pPr>
          </w:p>
        </w:tc>
      </w:tr>
    </w:tbl>
    <w:p w14:paraId="508DFE8F">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1F62DE16">
      <w:pPr>
        <w:keepNext w:val="0"/>
        <w:keepLines w:val="0"/>
        <w:pageBreakBefore w:val="0"/>
        <w:widowControl w:val="0"/>
        <w:numPr>
          <w:ilvl w:val="0"/>
          <w:numId w:val="0"/>
        </w:numPr>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中的所有商务、技术要求，如存在偏离情况，请在此表中逐一详细列明，并在“偏离情况”列据实填写“正偏离”或“负偏离”</w:t>
      </w:r>
    </w:p>
    <w:p w14:paraId="6D47C80C">
      <w:pPr>
        <w:pStyle w:val="20"/>
        <w:keepNext w:val="0"/>
        <w:keepLines w:val="0"/>
        <w:pageBreakBefore w:val="0"/>
        <w:widowControl w:val="0"/>
        <w:kinsoku/>
        <w:wordWrap w:val="0"/>
        <w:overflowPunct/>
        <w:topLinePunct/>
        <w:autoSpaceDE/>
        <w:autoSpaceDN/>
        <w:bidi w:val="0"/>
        <w:spacing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2.如对</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中的所有商务、技术要求均不存在偏离情况，可不一一列示，在“偏离情况”列填写“全部响应，无偏离”。</w:t>
      </w:r>
    </w:p>
    <w:p w14:paraId="7E54D67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50FE05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D33E1D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647479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7B57ABD">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349A391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DB1ED41">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竞争性磋商文件要求提供或供应商认为应附的其他材料</w:t>
      </w:r>
    </w:p>
    <w:p w14:paraId="6EC1F5B6">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lang w:val="en-US" w:eastAsia="zh-CN"/>
        </w:rPr>
      </w:pPr>
      <w:bookmarkStart w:id="769" w:name="_Toc16280"/>
    </w:p>
    <w:p w14:paraId="0390E7A2">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10-1供应商信息采集表</w:t>
      </w:r>
    </w:p>
    <w:tbl>
      <w:tblPr>
        <w:tblStyle w:val="22"/>
        <w:tblW w:w="97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340"/>
        <w:gridCol w:w="3198"/>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5F69CF4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r>
              <w:rPr>
                <w:rFonts w:hint="eastAsia" w:ascii="仿宋" w:hAnsi="仿宋" w:eastAsia="仿宋" w:cs="仿宋"/>
                <w:b w:val="0"/>
                <w:bCs/>
                <w:i w:val="0"/>
                <w:iCs w:val="0"/>
                <w:color w:val="auto"/>
                <w:kern w:val="0"/>
                <w:sz w:val="21"/>
                <w:szCs w:val="21"/>
                <w:highlight w:val="none"/>
                <w:u w:val="none"/>
                <w:lang w:val="en-US" w:eastAsia="zh-CN" w:bidi="ar"/>
              </w:rPr>
              <w:t>供应商名称</w:t>
            </w:r>
          </w:p>
        </w:tc>
        <w:tc>
          <w:tcPr>
            <w:tcW w:w="3340" w:type="dxa"/>
            <w:vAlign w:val="center"/>
          </w:tcPr>
          <w:p w14:paraId="052463A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r>
              <w:rPr>
                <w:rFonts w:hint="eastAsia" w:ascii="仿宋" w:hAnsi="仿宋" w:eastAsia="仿宋" w:cs="仿宋"/>
                <w:b w:val="0"/>
                <w:bCs/>
                <w:i w:val="0"/>
                <w:iCs w:val="0"/>
                <w:color w:val="auto"/>
                <w:kern w:val="0"/>
                <w:sz w:val="21"/>
                <w:szCs w:val="21"/>
                <w:highlight w:val="none"/>
                <w:u w:val="none"/>
                <w:lang w:val="en-US" w:eastAsia="zh-CN" w:bidi="ar"/>
              </w:rPr>
              <w:t>供应商所属性别</w:t>
            </w:r>
          </w:p>
        </w:tc>
        <w:tc>
          <w:tcPr>
            <w:tcW w:w="3198" w:type="dxa"/>
            <w:vAlign w:val="center"/>
          </w:tcPr>
          <w:p w14:paraId="5FF4BDB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r>
              <w:rPr>
                <w:rFonts w:hint="eastAsia" w:ascii="仿宋" w:hAnsi="仿宋" w:eastAsia="仿宋" w:cs="仿宋"/>
                <w:b w:val="0"/>
                <w:bCs/>
                <w:i w:val="0"/>
                <w:iCs w:val="0"/>
                <w:color w:val="auto"/>
                <w:kern w:val="0"/>
                <w:sz w:val="21"/>
                <w:szCs w:val="21"/>
                <w:highlight w:val="none"/>
                <w:u w:val="none"/>
                <w:lang w:val="en-US" w:eastAsia="zh-CN" w:bidi="ar"/>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26B47A41">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340" w:type="dxa"/>
            <w:vAlign w:val="center"/>
          </w:tcPr>
          <w:p w14:paraId="470C0DE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198" w:type="dxa"/>
            <w:vAlign w:val="center"/>
          </w:tcPr>
          <w:p w14:paraId="30693EF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3F16B99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340" w:type="dxa"/>
            <w:vAlign w:val="center"/>
          </w:tcPr>
          <w:p w14:paraId="718630D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198" w:type="dxa"/>
            <w:vAlign w:val="center"/>
          </w:tcPr>
          <w:p w14:paraId="7A6D35E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212" w:type="dxa"/>
            <w:vAlign w:val="center"/>
          </w:tcPr>
          <w:p w14:paraId="20DA3C1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340" w:type="dxa"/>
            <w:vAlign w:val="center"/>
          </w:tcPr>
          <w:p w14:paraId="29FF195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c>
          <w:tcPr>
            <w:tcW w:w="3198" w:type="dxa"/>
            <w:vAlign w:val="center"/>
          </w:tcPr>
          <w:p w14:paraId="26972773">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仿宋" w:hAnsi="仿宋" w:eastAsia="仿宋" w:cs="仿宋"/>
                <w:b w:val="0"/>
                <w:bCs/>
                <w:i w:val="0"/>
                <w:iCs w:val="0"/>
                <w:color w:val="auto"/>
                <w:kern w:val="0"/>
                <w:sz w:val="21"/>
                <w:szCs w:val="21"/>
                <w:highlight w:val="none"/>
                <w:u w:val="none"/>
                <w:lang w:val="en-US" w:eastAsia="zh-CN" w:bidi="ar"/>
              </w:rPr>
            </w:pPr>
          </w:p>
        </w:tc>
      </w:tr>
    </w:tbl>
    <w:p w14:paraId="466D909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w:t>
      </w:r>
    </w:p>
    <w:p w14:paraId="5C8FD59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2.供应商所属性别请填写“男”或“女”，指拥有供应商51%以上绝对所有权的性别；绝对所有权拥有者可以是一个人，也可以是多人合计计算。</w:t>
      </w:r>
    </w:p>
    <w:p w14:paraId="36A6477C">
      <w:pPr>
        <w:keepNext w:val="0"/>
        <w:keepLines w:val="0"/>
        <w:pageBreakBefore w:val="0"/>
        <w:widowControl w:val="0"/>
        <w:numPr>
          <w:ilvl w:val="0"/>
          <w:numId w:val="0"/>
        </w:numPr>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3.外商投资类型请填写“外商单独投资”、“外商部分投资”或“内资”。</w:t>
      </w:r>
    </w:p>
    <w:bookmarkEnd w:id="769"/>
    <w:p w14:paraId="7DFAD52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7CCD05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1054146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B7B908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56CC475D">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BAA6FC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0EEBB6B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lang w:val="en-US" w:eastAsia="zh-CN"/>
        </w:rPr>
        <w:t>10-2</w:t>
      </w:r>
      <w:r>
        <w:rPr>
          <w:rFonts w:hint="eastAsia" w:ascii="仿宋" w:hAnsi="仿宋" w:eastAsia="仿宋" w:cs="仿宋"/>
          <w:b w:val="0"/>
          <w:bCs/>
          <w:color w:val="auto"/>
          <w:sz w:val="21"/>
          <w:szCs w:val="21"/>
          <w:highlight w:val="none"/>
        </w:rPr>
        <w:t>项目负责人简历表</w:t>
      </w:r>
    </w:p>
    <w:p w14:paraId="1B317AAF">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08CB333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1"/>
        <w:tblW w:w="9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020"/>
        <w:gridCol w:w="3681"/>
      </w:tblGrid>
      <w:tr w14:paraId="608C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7" w:type="dxa"/>
          </w:tcPr>
          <w:p w14:paraId="2EC758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姓名</w:t>
            </w:r>
          </w:p>
        </w:tc>
        <w:tc>
          <w:tcPr>
            <w:tcW w:w="3020" w:type="dxa"/>
          </w:tcPr>
          <w:p w14:paraId="7EBAFDF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tcPr>
          <w:p w14:paraId="654371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主要业绩</w:t>
            </w:r>
          </w:p>
        </w:tc>
      </w:tr>
      <w:tr w14:paraId="0BD2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12B970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性别</w:t>
            </w:r>
          </w:p>
        </w:tc>
        <w:tc>
          <w:tcPr>
            <w:tcW w:w="3020" w:type="dxa"/>
          </w:tcPr>
          <w:p w14:paraId="1B54E3F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restart"/>
          </w:tcPr>
          <w:p w14:paraId="3D50A3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3758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33C506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年龄</w:t>
            </w:r>
          </w:p>
        </w:tc>
        <w:tc>
          <w:tcPr>
            <w:tcW w:w="3020" w:type="dxa"/>
          </w:tcPr>
          <w:p w14:paraId="4766A77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1AD28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2AE6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581D1B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专业</w:t>
            </w:r>
          </w:p>
        </w:tc>
        <w:tc>
          <w:tcPr>
            <w:tcW w:w="3020" w:type="dxa"/>
          </w:tcPr>
          <w:p w14:paraId="0FC6BA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2C177F1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729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877B48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学历</w:t>
            </w:r>
          </w:p>
        </w:tc>
        <w:tc>
          <w:tcPr>
            <w:tcW w:w="3020" w:type="dxa"/>
          </w:tcPr>
          <w:p w14:paraId="589AFB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B09C2F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513C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4B53EF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工作年限</w:t>
            </w:r>
          </w:p>
        </w:tc>
        <w:tc>
          <w:tcPr>
            <w:tcW w:w="3020" w:type="dxa"/>
          </w:tcPr>
          <w:p w14:paraId="49541A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40BE2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72C8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8884E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职务</w:t>
            </w:r>
          </w:p>
        </w:tc>
        <w:tc>
          <w:tcPr>
            <w:tcW w:w="3020" w:type="dxa"/>
          </w:tcPr>
          <w:p w14:paraId="7D19D9A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6AC5CB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3AA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734D13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从事本岗位工作时间</w:t>
            </w:r>
          </w:p>
        </w:tc>
        <w:tc>
          <w:tcPr>
            <w:tcW w:w="3020" w:type="dxa"/>
          </w:tcPr>
          <w:p w14:paraId="2CD4CE9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23A8400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7283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5D2C45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联系电话</w:t>
            </w:r>
          </w:p>
        </w:tc>
        <w:tc>
          <w:tcPr>
            <w:tcW w:w="3020" w:type="dxa"/>
          </w:tcPr>
          <w:p w14:paraId="458B5F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3681" w:type="dxa"/>
            <w:vMerge w:val="continue"/>
          </w:tcPr>
          <w:p w14:paraId="00131D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bl>
    <w:p w14:paraId="26D8F3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816392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1D10715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E07F1A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275533C0">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05A3AC9D">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466E77E7">
      <w:pPr>
        <w:keepNext w:val="0"/>
        <w:keepLines w:val="0"/>
        <w:pageBreakBefore w:val="0"/>
        <w:widowControl w:val="0"/>
        <w:kinsoku/>
        <w:wordWrap w:val="0"/>
        <w:overflowPunct/>
        <w:topLinePunct/>
        <w:autoSpaceDE/>
        <w:autoSpaceDN/>
        <w:bidi w:val="0"/>
        <w:adjustRightInd w:val="0"/>
        <w:snapToGrid w:val="0"/>
        <w:spacing w:before="25" w:after="25" w:line="360" w:lineRule="auto"/>
        <w:jc w:val="both"/>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10-3拟派本项目所有人员情况汇总表</w:t>
      </w:r>
    </w:p>
    <w:p w14:paraId="717F428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465C53C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1"/>
        <w:tblW w:w="976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085"/>
        <w:gridCol w:w="1085"/>
        <w:gridCol w:w="1085"/>
        <w:gridCol w:w="1085"/>
        <w:gridCol w:w="1085"/>
        <w:gridCol w:w="1085"/>
        <w:gridCol w:w="1086"/>
        <w:gridCol w:w="1086"/>
      </w:tblGrid>
      <w:tr w14:paraId="2865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53E3EE2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085" w:type="dxa"/>
            <w:vAlign w:val="center"/>
          </w:tcPr>
          <w:p w14:paraId="528B46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姓名</w:t>
            </w:r>
          </w:p>
        </w:tc>
        <w:tc>
          <w:tcPr>
            <w:tcW w:w="1085" w:type="dxa"/>
            <w:vAlign w:val="center"/>
          </w:tcPr>
          <w:p w14:paraId="2F6C3B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性别</w:t>
            </w:r>
          </w:p>
        </w:tc>
        <w:tc>
          <w:tcPr>
            <w:tcW w:w="1085" w:type="dxa"/>
            <w:vAlign w:val="center"/>
          </w:tcPr>
          <w:p w14:paraId="21AFD05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年龄</w:t>
            </w:r>
          </w:p>
        </w:tc>
        <w:tc>
          <w:tcPr>
            <w:tcW w:w="1085" w:type="dxa"/>
            <w:vAlign w:val="center"/>
          </w:tcPr>
          <w:p w14:paraId="24CE75E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职务</w:t>
            </w:r>
          </w:p>
        </w:tc>
        <w:tc>
          <w:tcPr>
            <w:tcW w:w="1085" w:type="dxa"/>
            <w:vAlign w:val="center"/>
          </w:tcPr>
          <w:p w14:paraId="1A971D1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职称</w:t>
            </w:r>
          </w:p>
        </w:tc>
        <w:tc>
          <w:tcPr>
            <w:tcW w:w="1085" w:type="dxa"/>
            <w:vAlign w:val="center"/>
          </w:tcPr>
          <w:p w14:paraId="3576D8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学历</w:t>
            </w:r>
          </w:p>
        </w:tc>
        <w:tc>
          <w:tcPr>
            <w:tcW w:w="1086" w:type="dxa"/>
            <w:vAlign w:val="center"/>
          </w:tcPr>
          <w:p w14:paraId="2E28590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身份证号</w:t>
            </w:r>
          </w:p>
        </w:tc>
        <w:tc>
          <w:tcPr>
            <w:tcW w:w="1086" w:type="dxa"/>
            <w:vAlign w:val="center"/>
          </w:tcPr>
          <w:p w14:paraId="6CDD6B0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2FA4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39E3B91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1085" w:type="dxa"/>
          </w:tcPr>
          <w:p w14:paraId="7753663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6CB301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4BFE6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3AD75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227B100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2C73BF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3B55E73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23003D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149B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68686AC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1085" w:type="dxa"/>
          </w:tcPr>
          <w:p w14:paraId="4F1008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61BDC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4BD2D2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D5AD2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E1F81A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F946A2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353F76C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55E763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23C9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051F543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1085" w:type="dxa"/>
          </w:tcPr>
          <w:p w14:paraId="7DB7F8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F1F65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B1AD3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B1A78E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62ACB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F7E22A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021A97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69AB3C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6E82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04DD154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p>
        </w:tc>
        <w:tc>
          <w:tcPr>
            <w:tcW w:w="1085" w:type="dxa"/>
          </w:tcPr>
          <w:p w14:paraId="57711FF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B5CA46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4D261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10164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B88BB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0F53B6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11BA75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76AD3A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1CDA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76C2C7B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w:t>
            </w:r>
          </w:p>
        </w:tc>
        <w:tc>
          <w:tcPr>
            <w:tcW w:w="1085" w:type="dxa"/>
          </w:tcPr>
          <w:p w14:paraId="17F3F66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77C69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B1A810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E63D1A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7389C8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C8646D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655D737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63476B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3A8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7789387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w:t>
            </w:r>
          </w:p>
        </w:tc>
        <w:tc>
          <w:tcPr>
            <w:tcW w:w="1085" w:type="dxa"/>
          </w:tcPr>
          <w:p w14:paraId="364EC9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3476E6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80394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51369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09730E6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24486F7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299B30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38468C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r w14:paraId="45ED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vAlign w:val="center"/>
          </w:tcPr>
          <w:p w14:paraId="5DE5B05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w:t>
            </w:r>
          </w:p>
        </w:tc>
        <w:tc>
          <w:tcPr>
            <w:tcW w:w="1085" w:type="dxa"/>
          </w:tcPr>
          <w:p w14:paraId="06B508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A1715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5AAACD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3C209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15E215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5" w:type="dxa"/>
          </w:tcPr>
          <w:p w14:paraId="624819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5674C22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c>
          <w:tcPr>
            <w:tcW w:w="1086" w:type="dxa"/>
          </w:tcPr>
          <w:p w14:paraId="293469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outlineLvl w:val="9"/>
              <w:rPr>
                <w:rFonts w:hint="eastAsia" w:ascii="仿宋" w:hAnsi="仿宋" w:eastAsia="仿宋" w:cs="仿宋"/>
                <w:b w:val="0"/>
                <w:bCs/>
                <w:color w:val="auto"/>
                <w:sz w:val="21"/>
                <w:szCs w:val="21"/>
                <w:highlight w:val="none"/>
              </w:rPr>
            </w:pPr>
          </w:p>
        </w:tc>
      </w:tr>
    </w:tbl>
    <w:p w14:paraId="1287F7E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注：在填写时，如本表格不够可按相同格式自行增加。</w:t>
      </w:r>
    </w:p>
    <w:p w14:paraId="4D3027E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53C5CAC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03DE0E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EB4409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40B52AC5">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37C17EDC">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42310B64">
      <w:pPr>
        <w:keepNext w:val="0"/>
        <w:keepLines w:val="0"/>
        <w:pageBreakBefore w:val="0"/>
        <w:widowControl w:val="0"/>
        <w:kinsoku/>
        <w:wordWrap w:val="0"/>
        <w:overflowPunct/>
        <w:topLinePunct/>
        <w:autoSpaceDE/>
        <w:autoSpaceDN/>
        <w:bidi w:val="0"/>
        <w:spacing w:line="360" w:lineRule="auto"/>
        <w:jc w:val="both"/>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10-4</w:t>
      </w:r>
      <w:r>
        <w:rPr>
          <w:rFonts w:hint="eastAsia" w:ascii="仿宋" w:hAnsi="仿宋" w:eastAsia="仿宋" w:cs="仿宋"/>
          <w:b w:val="0"/>
          <w:bCs/>
          <w:color w:val="auto"/>
          <w:sz w:val="21"/>
          <w:szCs w:val="21"/>
          <w:highlight w:val="none"/>
        </w:rPr>
        <w:t>供应商类似项目业绩</w:t>
      </w:r>
    </w:p>
    <w:p w14:paraId="6DC3CB78">
      <w:pPr>
        <w:keepNext w:val="0"/>
        <w:keepLines w:val="0"/>
        <w:pageBreakBefore w:val="0"/>
        <w:widowControl w:val="0"/>
        <w:tabs>
          <w:tab w:val="left" w:pos="5580"/>
        </w:tabs>
        <w:kinsoku/>
        <w:wordWrap w:val="0"/>
        <w:overflowPunct/>
        <w:topLinePunct/>
        <w:autoSpaceDE/>
        <w:autoSpaceDN/>
        <w:bidi w:val="0"/>
        <w:spacing w:line="360" w:lineRule="auto"/>
        <w:ind w:right="960"/>
        <w:outlineLvl w:val="9"/>
        <w:rPr>
          <w:rFonts w:hint="eastAsia" w:ascii="仿宋" w:hAnsi="仿宋" w:eastAsia="仿宋" w:cs="仿宋"/>
          <w:b w:val="0"/>
          <w:bCs/>
          <w:color w:val="auto"/>
          <w:sz w:val="21"/>
          <w:szCs w:val="21"/>
          <w:highlight w:val="none"/>
        </w:rPr>
      </w:pPr>
    </w:p>
    <w:p w14:paraId="05C06764">
      <w:pPr>
        <w:keepNext w:val="0"/>
        <w:keepLines w:val="0"/>
        <w:pageBreakBefore w:val="0"/>
        <w:widowControl w:val="0"/>
        <w:tabs>
          <w:tab w:val="left" w:pos="5580"/>
        </w:tabs>
        <w:kinsoku/>
        <w:wordWrap w:val="0"/>
        <w:overflowPunct/>
        <w:topLinePunct/>
        <w:autoSpaceDE/>
        <w:autoSpaceDN/>
        <w:bidi w:val="0"/>
        <w:spacing w:line="360" w:lineRule="auto"/>
        <w:ind w:right="96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p>
    <w:tbl>
      <w:tblPr>
        <w:tblStyle w:val="2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11"/>
        <w:gridCol w:w="2675"/>
        <w:gridCol w:w="1294"/>
        <w:gridCol w:w="1904"/>
        <w:gridCol w:w="1151"/>
      </w:tblGrid>
      <w:tr w14:paraId="4CD9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vAlign w:val="center"/>
          </w:tcPr>
          <w:p w14:paraId="5AE11E2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1911" w:type="dxa"/>
            <w:vAlign w:val="center"/>
          </w:tcPr>
          <w:p w14:paraId="4D4DC8D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项目业主</w:t>
            </w:r>
          </w:p>
        </w:tc>
        <w:tc>
          <w:tcPr>
            <w:tcW w:w="2675" w:type="dxa"/>
            <w:vAlign w:val="center"/>
          </w:tcPr>
          <w:p w14:paraId="642A084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项目名称</w:t>
            </w:r>
          </w:p>
        </w:tc>
        <w:tc>
          <w:tcPr>
            <w:tcW w:w="1294" w:type="dxa"/>
            <w:vAlign w:val="center"/>
          </w:tcPr>
          <w:p w14:paraId="6D05A3B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合同金额</w:t>
            </w:r>
          </w:p>
        </w:tc>
        <w:tc>
          <w:tcPr>
            <w:tcW w:w="1904" w:type="dxa"/>
            <w:vAlign w:val="center"/>
          </w:tcPr>
          <w:p w14:paraId="5295B81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合同签订时间</w:t>
            </w:r>
          </w:p>
        </w:tc>
        <w:tc>
          <w:tcPr>
            <w:tcW w:w="1151" w:type="dxa"/>
            <w:vAlign w:val="center"/>
          </w:tcPr>
          <w:p w14:paraId="3CDBD28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备注</w:t>
            </w:r>
          </w:p>
        </w:tc>
      </w:tr>
      <w:tr w14:paraId="6CF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8" w:type="dxa"/>
            <w:vAlign w:val="center"/>
          </w:tcPr>
          <w:p w14:paraId="1D49A2D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1911" w:type="dxa"/>
            <w:vAlign w:val="center"/>
          </w:tcPr>
          <w:p w14:paraId="03F303B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7F62615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1D793CF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1D177B9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6961AD0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62E8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8" w:type="dxa"/>
            <w:vAlign w:val="center"/>
          </w:tcPr>
          <w:p w14:paraId="5FD4AFC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1911" w:type="dxa"/>
            <w:vAlign w:val="center"/>
          </w:tcPr>
          <w:p w14:paraId="0DAB4DE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503477B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4FB4517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608C7597">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70172F4C">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2E73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3D2DD50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1911" w:type="dxa"/>
            <w:vAlign w:val="center"/>
          </w:tcPr>
          <w:p w14:paraId="2872969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21BBC3D0">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4CEA87B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7442904A">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4B92240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5B3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79C4C71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w:t>
            </w:r>
          </w:p>
        </w:tc>
        <w:tc>
          <w:tcPr>
            <w:tcW w:w="1911" w:type="dxa"/>
            <w:vAlign w:val="center"/>
          </w:tcPr>
          <w:p w14:paraId="6D931A1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6D16434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2DAF04D9">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149C7B5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3CC6D99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2E34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2EAF019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w:t>
            </w:r>
          </w:p>
        </w:tc>
        <w:tc>
          <w:tcPr>
            <w:tcW w:w="1911" w:type="dxa"/>
            <w:vAlign w:val="center"/>
          </w:tcPr>
          <w:p w14:paraId="7ED438BD">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458A914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46F5A113">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2C5C9C15">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2E45A50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7FD2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2FBD6FE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6</w:t>
            </w:r>
          </w:p>
        </w:tc>
        <w:tc>
          <w:tcPr>
            <w:tcW w:w="1911" w:type="dxa"/>
          </w:tcPr>
          <w:p w14:paraId="079B932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tcPr>
          <w:p w14:paraId="4BC9815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tcPr>
          <w:p w14:paraId="79F5651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tcPr>
          <w:p w14:paraId="63750882">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tcPr>
          <w:p w14:paraId="04D371A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r w14:paraId="0A70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469DB88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w:t>
            </w:r>
          </w:p>
        </w:tc>
        <w:tc>
          <w:tcPr>
            <w:tcW w:w="1911" w:type="dxa"/>
            <w:vAlign w:val="center"/>
          </w:tcPr>
          <w:p w14:paraId="3849BA77">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2675" w:type="dxa"/>
            <w:vAlign w:val="center"/>
          </w:tcPr>
          <w:p w14:paraId="1E14D3A4">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294" w:type="dxa"/>
            <w:vAlign w:val="center"/>
          </w:tcPr>
          <w:p w14:paraId="79742C88">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904" w:type="dxa"/>
            <w:vAlign w:val="center"/>
          </w:tcPr>
          <w:p w14:paraId="4AE08F76">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c>
          <w:tcPr>
            <w:tcW w:w="1151" w:type="dxa"/>
            <w:vAlign w:val="center"/>
          </w:tcPr>
          <w:p w14:paraId="64A5C701">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tc>
      </w:tr>
    </w:tbl>
    <w:p w14:paraId="7A0E9B61">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4F95D097">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须提供</w:t>
      </w:r>
      <w:r>
        <w:rPr>
          <w:rFonts w:hint="eastAsia" w:ascii="仿宋" w:hAnsi="仿宋" w:eastAsia="仿宋" w:cs="仿宋"/>
          <w:b w:val="0"/>
          <w:bCs/>
          <w:color w:val="auto"/>
          <w:sz w:val="21"/>
          <w:szCs w:val="21"/>
          <w:highlight w:val="none"/>
          <w:lang w:val="en-US" w:eastAsia="zh-CN"/>
        </w:rPr>
        <w:t>供应商</w:t>
      </w:r>
      <w:r>
        <w:rPr>
          <w:rFonts w:hint="eastAsia" w:ascii="仿宋" w:hAnsi="仿宋" w:eastAsia="仿宋" w:cs="仿宋"/>
          <w:b w:val="0"/>
          <w:bCs/>
          <w:color w:val="auto"/>
          <w:sz w:val="21"/>
          <w:szCs w:val="21"/>
          <w:highlight w:val="none"/>
        </w:rPr>
        <w:t>近3年（2022年</w:t>
      </w:r>
      <w:r>
        <w:rPr>
          <w:rFonts w:hint="eastAsia" w:ascii="仿宋" w:hAnsi="仿宋" w:eastAsia="仿宋" w:cs="仿宋"/>
          <w:b w:val="0"/>
          <w:bCs/>
          <w:color w:val="auto"/>
          <w:sz w:val="21"/>
          <w:szCs w:val="21"/>
          <w:highlight w:val="none"/>
          <w:lang w:val="en-US" w:eastAsia="zh-CN"/>
        </w:rPr>
        <w:t>12月</w:t>
      </w:r>
      <w:r>
        <w:rPr>
          <w:rFonts w:hint="eastAsia" w:ascii="仿宋" w:hAnsi="仿宋" w:eastAsia="仿宋" w:cs="仿宋"/>
          <w:b w:val="0"/>
          <w:bCs/>
          <w:color w:val="auto"/>
          <w:sz w:val="21"/>
          <w:szCs w:val="21"/>
          <w:highlight w:val="none"/>
        </w:rPr>
        <w:t>至今）的与本项目类似的项目业绩（需附合同关键页电子件加盖本单位公章）。</w:t>
      </w:r>
    </w:p>
    <w:p w14:paraId="55C5E6F6">
      <w:pPr>
        <w:keepNext w:val="0"/>
        <w:keepLines w:val="0"/>
        <w:pageBreakBefore w:val="0"/>
        <w:widowControl w:val="0"/>
        <w:kinsoku/>
        <w:wordWrap w:val="0"/>
        <w:overflowPunct/>
        <w:topLinePunct/>
        <w:autoSpaceDE/>
        <w:autoSpaceDN/>
        <w:bidi w:val="0"/>
        <w:adjustRightInd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2、磋商时如有必要，磋商小组将对此表进行信息核实，如提供虚假材料，有可能导致废标。</w:t>
      </w:r>
    </w:p>
    <w:p w14:paraId="55E4780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28337CE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0382EE8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12FC74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0367A43A">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56B6855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787541E6">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10-5代理服务费承诺书</w:t>
      </w:r>
    </w:p>
    <w:p w14:paraId="664C8DFE">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outlineLvl w:val="9"/>
        <w:rPr>
          <w:rFonts w:hint="eastAsia" w:ascii="仿宋" w:hAnsi="仿宋" w:eastAsia="仿宋" w:cs="仿宋"/>
          <w:b w:val="0"/>
          <w:bCs w:val="0"/>
          <w:color w:val="auto"/>
          <w:sz w:val="21"/>
          <w:szCs w:val="21"/>
          <w:highlight w:val="none"/>
        </w:rPr>
      </w:pPr>
    </w:p>
    <w:p w14:paraId="535E93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u w:val="single"/>
        </w:rPr>
        <w:t>北京中盛宇工程管理有限公司</w:t>
      </w:r>
      <w:r>
        <w:rPr>
          <w:rFonts w:hint="eastAsia" w:ascii="仿宋" w:hAnsi="仿宋" w:eastAsia="仿宋" w:cs="仿宋"/>
          <w:b w:val="0"/>
          <w:bCs w:val="0"/>
          <w:color w:val="auto"/>
          <w:sz w:val="21"/>
          <w:szCs w:val="21"/>
          <w:highlight w:val="none"/>
        </w:rPr>
        <w:t>：</w:t>
      </w:r>
    </w:p>
    <w:p w14:paraId="0C612B7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我公司在贵公司组织的</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u w:val="none"/>
          <w:lang w:eastAsia="zh-CN"/>
        </w:rPr>
        <w:t>（</w:t>
      </w:r>
      <w:r>
        <w:rPr>
          <w:rFonts w:hint="eastAsia" w:ascii="仿宋" w:hAnsi="仿宋" w:eastAsia="仿宋" w:cs="仿宋"/>
          <w:b w:val="0"/>
          <w:bCs w:val="0"/>
          <w:color w:val="auto"/>
          <w:sz w:val="21"/>
          <w:szCs w:val="21"/>
          <w:highlight w:val="none"/>
          <w:u w:val="none"/>
          <w:lang w:val="en-US" w:eastAsia="zh-CN"/>
        </w:rPr>
        <w:t>项目名称，项目编号）</w:t>
      </w:r>
      <w:r>
        <w:rPr>
          <w:rFonts w:hint="eastAsia" w:ascii="仿宋" w:hAnsi="仿宋" w:eastAsia="仿宋" w:cs="仿宋"/>
          <w:b w:val="0"/>
          <w:bCs w:val="0"/>
          <w:color w:val="auto"/>
          <w:sz w:val="21"/>
          <w:szCs w:val="21"/>
          <w:highlight w:val="none"/>
        </w:rPr>
        <w:t>的</w:t>
      </w:r>
      <w:r>
        <w:rPr>
          <w:rFonts w:hint="eastAsia" w:ascii="仿宋" w:hAnsi="仿宋" w:eastAsia="仿宋" w:cs="仿宋"/>
          <w:b w:val="0"/>
          <w:bCs w:val="0"/>
          <w:color w:val="auto"/>
          <w:sz w:val="21"/>
          <w:szCs w:val="21"/>
          <w:highlight w:val="none"/>
          <w:lang w:val="en-US" w:eastAsia="zh-CN"/>
        </w:rPr>
        <w:t>采购</w:t>
      </w:r>
      <w:r>
        <w:rPr>
          <w:rFonts w:hint="eastAsia" w:ascii="仿宋" w:hAnsi="仿宋" w:eastAsia="仿宋" w:cs="仿宋"/>
          <w:b w:val="0"/>
          <w:bCs w:val="0"/>
          <w:color w:val="auto"/>
          <w:sz w:val="21"/>
          <w:szCs w:val="21"/>
          <w:highlight w:val="none"/>
        </w:rPr>
        <w:t>中若为</w:t>
      </w:r>
      <w:r>
        <w:rPr>
          <w:rFonts w:hint="eastAsia" w:ascii="仿宋" w:hAnsi="仿宋" w:eastAsia="仿宋" w:cs="仿宋"/>
          <w:b w:val="0"/>
          <w:bCs w:val="0"/>
          <w:color w:val="auto"/>
          <w:sz w:val="21"/>
          <w:szCs w:val="21"/>
          <w:highlight w:val="none"/>
          <w:lang w:eastAsia="zh-CN"/>
        </w:rPr>
        <w:t>成交供应商</w:t>
      </w:r>
      <w:r>
        <w:rPr>
          <w:rFonts w:hint="eastAsia" w:ascii="仿宋" w:hAnsi="仿宋" w:eastAsia="仿宋" w:cs="仿宋"/>
          <w:b w:val="0"/>
          <w:bCs w:val="0"/>
          <w:color w:val="auto"/>
          <w:sz w:val="21"/>
          <w:szCs w:val="21"/>
          <w:highlight w:val="none"/>
        </w:rPr>
        <w:t>，我公司保证在领取</w:t>
      </w:r>
      <w:r>
        <w:rPr>
          <w:rFonts w:hint="eastAsia" w:ascii="仿宋" w:hAnsi="仿宋" w:eastAsia="仿宋" w:cs="仿宋"/>
          <w:b w:val="0"/>
          <w:bCs w:val="0"/>
          <w:color w:val="auto"/>
          <w:sz w:val="21"/>
          <w:szCs w:val="21"/>
          <w:highlight w:val="none"/>
          <w:lang w:val="en-US" w:eastAsia="zh-CN"/>
        </w:rPr>
        <w:t>成交</w:t>
      </w:r>
      <w:r>
        <w:rPr>
          <w:rFonts w:hint="eastAsia" w:ascii="仿宋" w:hAnsi="仿宋" w:eastAsia="仿宋" w:cs="仿宋"/>
          <w:b w:val="0"/>
          <w:bCs w:val="0"/>
          <w:color w:val="auto"/>
          <w:sz w:val="21"/>
          <w:szCs w:val="21"/>
          <w:highlight w:val="none"/>
        </w:rPr>
        <w:t>通知书时按</w:t>
      </w:r>
      <w:r>
        <w:rPr>
          <w:rFonts w:hint="eastAsia" w:ascii="仿宋" w:hAnsi="仿宋" w:eastAsia="仿宋" w:cs="仿宋"/>
          <w:b w:val="0"/>
          <w:bCs w:val="0"/>
          <w:color w:val="auto"/>
          <w:sz w:val="21"/>
          <w:szCs w:val="21"/>
          <w:highlight w:val="none"/>
          <w:lang w:val="en-US" w:eastAsia="zh-CN"/>
        </w:rPr>
        <w:t>竞争性磋商</w:t>
      </w:r>
      <w:r>
        <w:rPr>
          <w:rFonts w:hint="eastAsia" w:ascii="仿宋" w:hAnsi="仿宋" w:eastAsia="仿宋" w:cs="仿宋"/>
          <w:b w:val="0"/>
          <w:bCs w:val="0"/>
          <w:color w:val="auto"/>
          <w:sz w:val="21"/>
          <w:szCs w:val="21"/>
          <w:highlight w:val="none"/>
        </w:rPr>
        <w:t>文件的规定向贵公司支付代理服务费。如我公司未按上述承诺支付代理服务费，贵公司有权取消我公司的</w:t>
      </w:r>
      <w:r>
        <w:rPr>
          <w:rFonts w:hint="eastAsia" w:ascii="仿宋" w:hAnsi="仿宋" w:eastAsia="仿宋" w:cs="仿宋"/>
          <w:b w:val="0"/>
          <w:bCs w:val="0"/>
          <w:color w:val="auto"/>
          <w:sz w:val="21"/>
          <w:szCs w:val="21"/>
          <w:highlight w:val="none"/>
          <w:lang w:val="en-US" w:eastAsia="zh-CN"/>
        </w:rPr>
        <w:t>成交</w:t>
      </w:r>
      <w:r>
        <w:rPr>
          <w:rFonts w:hint="eastAsia" w:ascii="仿宋" w:hAnsi="仿宋" w:eastAsia="仿宋" w:cs="仿宋"/>
          <w:b w:val="0"/>
          <w:bCs w:val="0"/>
          <w:color w:val="auto"/>
          <w:sz w:val="21"/>
          <w:szCs w:val="21"/>
          <w:highlight w:val="none"/>
        </w:rPr>
        <w:t>资格，由此产生的一切法律后果和责任由我公司承担。</w:t>
      </w:r>
    </w:p>
    <w:p w14:paraId="1A72009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AAF3B1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7A31E56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2A7D81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1E04CF7">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5BBF055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5A7B490">
      <w:pPr>
        <w:keepNext w:val="0"/>
        <w:keepLines w:val="0"/>
        <w:pageBreakBefore w:val="0"/>
        <w:widowControl w:val="0"/>
        <w:kinsoku/>
        <w:wordWrap w:val="0"/>
        <w:overflowPunct/>
        <w:topLinePunct/>
        <w:autoSpaceDE/>
        <w:autoSpaceDN/>
        <w:bidi w:val="0"/>
        <w:adjustRightInd w:val="0"/>
        <w:snapToGrid w:val="0"/>
        <w:spacing w:line="360" w:lineRule="auto"/>
        <w:jc w:val="both"/>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10-6</w:t>
      </w:r>
      <w:r>
        <w:rPr>
          <w:rFonts w:hint="eastAsia" w:ascii="仿宋" w:hAnsi="仿宋" w:eastAsia="仿宋" w:cs="仿宋"/>
          <w:b w:val="0"/>
          <w:bCs/>
          <w:color w:val="auto"/>
          <w:sz w:val="21"/>
          <w:szCs w:val="21"/>
          <w:highlight w:val="none"/>
        </w:rPr>
        <w:t>供应商认为应附的其他材料</w:t>
      </w:r>
    </w:p>
    <w:p w14:paraId="31D146AB">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87BFDBE">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11服务方案</w:t>
      </w:r>
    </w:p>
    <w:p w14:paraId="14ADC7B5">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auto"/>
          <w:sz w:val="21"/>
          <w:szCs w:val="21"/>
          <w:highlight w:val="none"/>
          <w:lang w:val="en-US" w:eastAsia="zh-CN"/>
        </w:rPr>
      </w:pPr>
    </w:p>
    <w:p w14:paraId="3FC03FD9">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根据采购需求内容编写（格式自拟）</w:t>
      </w:r>
    </w:p>
    <w:p w14:paraId="38D7622E">
      <w:pPr>
        <w:keepNext w:val="0"/>
        <w:keepLines w:val="0"/>
        <w:pageBreakBefore w:val="0"/>
        <w:widowControl w:val="0"/>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1979A273">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最后报价一览表（实质性格式）</w:t>
      </w:r>
    </w:p>
    <w:p w14:paraId="3263A06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最后报价一览表</w:t>
      </w:r>
    </w:p>
    <w:p w14:paraId="7EA9F36E">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p w14:paraId="694557AA">
      <w:pPr>
        <w:keepNext w:val="0"/>
        <w:keepLines w:val="0"/>
        <w:pageBreakBefore w:val="0"/>
        <w:widowControl w:val="0"/>
        <w:tabs>
          <w:tab w:val="left" w:pos="1800"/>
          <w:tab w:val="left" w:pos="5580"/>
        </w:tabs>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1"/>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581"/>
        <w:gridCol w:w="1255"/>
        <w:gridCol w:w="847"/>
      </w:tblGrid>
      <w:tr w14:paraId="6E0A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76C5EE3D">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0F5C6BD5">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E70EB7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元</w:t>
            </w:r>
            <w:r>
              <w:rPr>
                <w:rFonts w:hint="eastAsia" w:ascii="仿宋" w:hAnsi="仿宋" w:eastAsia="仿宋" w:cs="仿宋"/>
                <w:b w:val="0"/>
                <w:bCs/>
                <w:color w:val="auto"/>
                <w:sz w:val="21"/>
                <w:szCs w:val="21"/>
                <w:highlight w:val="none"/>
                <w:lang w:eastAsia="zh-CN"/>
              </w:rPr>
              <w:t>）</w:t>
            </w:r>
          </w:p>
        </w:tc>
        <w:tc>
          <w:tcPr>
            <w:tcW w:w="1581" w:type="dxa"/>
            <w:vMerge w:val="restart"/>
            <w:tcBorders>
              <w:top w:val="single" w:color="auto" w:sz="4" w:space="0"/>
              <w:left w:val="single" w:color="auto" w:sz="4" w:space="0"/>
              <w:right w:val="single" w:color="auto" w:sz="4" w:space="0"/>
            </w:tcBorders>
            <w:vAlign w:val="center"/>
          </w:tcPr>
          <w:p w14:paraId="38A01E13">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合同履行期限</w:t>
            </w:r>
          </w:p>
        </w:tc>
        <w:tc>
          <w:tcPr>
            <w:tcW w:w="1255" w:type="dxa"/>
            <w:vMerge w:val="restart"/>
            <w:tcBorders>
              <w:top w:val="single" w:color="auto" w:sz="4" w:space="0"/>
              <w:left w:val="single" w:color="auto" w:sz="4" w:space="0"/>
              <w:right w:val="single" w:color="auto" w:sz="4" w:space="0"/>
            </w:tcBorders>
            <w:vAlign w:val="center"/>
          </w:tcPr>
          <w:p w14:paraId="3729A5B6">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服务地点</w:t>
            </w:r>
          </w:p>
        </w:tc>
        <w:tc>
          <w:tcPr>
            <w:tcW w:w="847" w:type="dxa"/>
            <w:vMerge w:val="restart"/>
            <w:tcBorders>
              <w:top w:val="single" w:color="auto" w:sz="4" w:space="0"/>
              <w:left w:val="single" w:color="auto" w:sz="4" w:space="0"/>
              <w:right w:val="single" w:color="auto" w:sz="4" w:space="0"/>
            </w:tcBorders>
            <w:vAlign w:val="center"/>
          </w:tcPr>
          <w:p w14:paraId="6AAD516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备注</w:t>
            </w:r>
          </w:p>
        </w:tc>
      </w:tr>
      <w:tr w14:paraId="0312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282DD4A6">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7EE7A89F">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1D6DD8C7">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2338C23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小写</w:t>
            </w:r>
          </w:p>
        </w:tc>
        <w:tc>
          <w:tcPr>
            <w:tcW w:w="1581" w:type="dxa"/>
            <w:vMerge w:val="continue"/>
            <w:tcBorders>
              <w:left w:val="single" w:color="auto" w:sz="4" w:space="0"/>
              <w:bottom w:val="single" w:color="auto" w:sz="4" w:space="0"/>
              <w:right w:val="single" w:color="auto" w:sz="4" w:space="0"/>
            </w:tcBorders>
            <w:vAlign w:val="center"/>
          </w:tcPr>
          <w:p w14:paraId="36E7297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vMerge w:val="continue"/>
            <w:tcBorders>
              <w:left w:val="single" w:color="auto" w:sz="4" w:space="0"/>
              <w:bottom w:val="single" w:color="auto" w:sz="4" w:space="0"/>
              <w:right w:val="single" w:color="auto" w:sz="4" w:space="0"/>
            </w:tcBorders>
            <w:vAlign w:val="center"/>
          </w:tcPr>
          <w:p w14:paraId="640FBAD4">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vMerge w:val="continue"/>
            <w:tcBorders>
              <w:left w:val="single" w:color="auto" w:sz="4" w:space="0"/>
              <w:bottom w:val="single" w:color="auto" w:sz="4" w:space="0"/>
              <w:right w:val="single" w:color="auto" w:sz="4" w:space="0"/>
            </w:tcBorders>
            <w:vAlign w:val="center"/>
          </w:tcPr>
          <w:p w14:paraId="01D0485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50AD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3C3E83A1">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35E2BC3C">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5ECD391E">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47DEF6F">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14:paraId="3DB79182">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0D2EFC4">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9D3AB80">
            <w:pPr>
              <w:keepNext w:val="0"/>
              <w:keepLines w:val="0"/>
              <w:pageBreakBefore w:val="0"/>
              <w:widowControl w:val="0"/>
              <w:tabs>
                <w:tab w:val="left" w:pos="5580"/>
              </w:tabs>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30F207DA">
      <w:pPr>
        <w:keepNext w:val="0"/>
        <w:keepLines w:val="0"/>
        <w:pageBreakBefore w:val="0"/>
        <w:widowControl w:val="0"/>
        <w:kinsoku/>
        <w:wordWrap w:val="0"/>
        <w:overflowPunct/>
        <w:topLinePunct/>
        <w:autoSpaceDE/>
        <w:autoSpaceDN/>
        <w:bidi w:val="0"/>
        <w:adjustRightInd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注：1</w:t>
      </w:r>
      <w:r>
        <w:rPr>
          <w:rFonts w:hint="eastAsia" w:ascii="仿宋" w:hAnsi="仿宋" w:eastAsia="仿宋" w:cs="仿宋"/>
          <w:b w:val="0"/>
          <w:bCs/>
          <w:color w:val="auto"/>
          <w:sz w:val="21"/>
          <w:szCs w:val="21"/>
          <w:highlight w:val="none"/>
        </w:rPr>
        <w:t>.此表中的报价应和《最后分项报价表》中的总价相一致。</w:t>
      </w:r>
    </w:p>
    <w:p w14:paraId="0B7A997E">
      <w:pPr>
        <w:keepNext w:val="0"/>
        <w:keepLines w:val="0"/>
        <w:pageBreakBefore w:val="0"/>
        <w:widowControl w:val="0"/>
        <w:tabs>
          <w:tab w:val="left" w:pos="5580"/>
        </w:tabs>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2.本表必须按包分别填写。</w:t>
      </w:r>
    </w:p>
    <w:p w14:paraId="5192BA38">
      <w:pPr>
        <w:pStyle w:val="17"/>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3.此表无需放入响应文件中，应在最终报价环节按规定时间填报至系统，未在规定时间内填报的系统将自动默认供应商放弃最后报价，其价格以第一次报价为准。</w:t>
      </w:r>
    </w:p>
    <w:p w14:paraId="155E6DE7">
      <w:pPr>
        <w:pStyle w:val="17"/>
        <w:keepNext w:val="0"/>
        <w:keepLines w:val="0"/>
        <w:pageBreakBefore w:val="0"/>
        <w:widowControl w:val="0"/>
        <w:kinsoku/>
        <w:wordWrap w:val="0"/>
        <w:overflowPunct/>
        <w:topLinePunct/>
        <w:autoSpaceDE/>
        <w:autoSpaceDN/>
        <w:bidi w:val="0"/>
        <w:spacing w:line="360" w:lineRule="auto"/>
        <w:ind w:firstLine="420" w:firstLineChars="20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4.成交人在领取成交通知书的当日，按此格式提交2份纸质版最后报价一览表。</w:t>
      </w:r>
    </w:p>
    <w:p w14:paraId="78B0905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2C8EE72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266F57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66738A0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1F10DBC6">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B1432F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br w:type="page"/>
      </w:r>
    </w:p>
    <w:p w14:paraId="206A794F">
      <w:pPr>
        <w:keepNext w:val="0"/>
        <w:keepLines w:val="0"/>
        <w:pageBreakBefore w:val="0"/>
        <w:widowControl w:val="0"/>
        <w:tabs>
          <w:tab w:val="left" w:pos="360"/>
        </w:tabs>
        <w:kinsoku/>
        <w:wordWrap w:val="0"/>
        <w:overflowPunct/>
        <w:topLinePunct/>
        <w:autoSpaceDE/>
        <w:autoSpaceDN/>
        <w:bidi w:val="0"/>
        <w:snapToGrid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13</w:t>
      </w:r>
      <w:r>
        <w:rPr>
          <w:rFonts w:hint="eastAsia" w:ascii="仿宋" w:hAnsi="仿宋" w:eastAsia="仿宋" w:cs="仿宋"/>
          <w:b w:val="0"/>
          <w:bCs/>
          <w:color w:val="auto"/>
          <w:sz w:val="21"/>
          <w:szCs w:val="21"/>
          <w:highlight w:val="none"/>
        </w:rPr>
        <w:t>最后分项报价表（实质性格式）</w:t>
      </w:r>
    </w:p>
    <w:p w14:paraId="56EE6B2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最后分项报价表</w:t>
      </w:r>
    </w:p>
    <w:p w14:paraId="71A21D09">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p>
    <w:p w14:paraId="3321E7B7">
      <w:pPr>
        <w:keepNext w:val="0"/>
        <w:keepLines w:val="0"/>
        <w:pageBreakBefore w:val="0"/>
        <w:widowControl w:val="0"/>
        <w:tabs>
          <w:tab w:val="left" w:pos="1800"/>
          <w:tab w:val="left" w:pos="5580"/>
        </w:tabs>
        <w:kinsoku/>
        <w:wordWrap w:val="0"/>
        <w:overflowPunct/>
        <w:topLinePunct/>
        <w:autoSpaceDE/>
        <w:autoSpaceDN/>
        <w:bidi w:val="0"/>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项目编号：</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项目名称：</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 xml:space="preserve"> 报价单位：</w:t>
      </w:r>
      <w:r>
        <w:rPr>
          <w:rFonts w:hint="eastAsia" w:ascii="仿宋" w:hAnsi="仿宋" w:eastAsia="仿宋" w:cs="仿宋"/>
          <w:b w:val="0"/>
          <w:bCs/>
          <w:color w:val="auto"/>
          <w:sz w:val="21"/>
          <w:szCs w:val="21"/>
          <w:highlight w:val="none"/>
          <w:u w:val="single"/>
        </w:rPr>
        <w:t>人民币元</w:t>
      </w:r>
    </w:p>
    <w:tbl>
      <w:tblPr>
        <w:tblStyle w:val="21"/>
        <w:tblW w:w="98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202"/>
        <w:gridCol w:w="2240"/>
        <w:gridCol w:w="990"/>
        <w:gridCol w:w="730"/>
        <w:gridCol w:w="1202"/>
        <w:gridCol w:w="1266"/>
        <w:gridCol w:w="1529"/>
      </w:tblGrid>
      <w:tr w14:paraId="414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53E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7E7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AAD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工作内容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3C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0CE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222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单价</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8A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总价</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633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备注</w:t>
            </w:r>
          </w:p>
        </w:tc>
      </w:tr>
      <w:tr w14:paraId="0137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8F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EAB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合同审核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F10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协助草拟、制订、审查或者修改甲方及下属企业北京张镇工业开发中心合同、文件等法律文书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6F5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C3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489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AFD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DD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4DC1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0E1">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697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案件代理</w:t>
            </w: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A24C9">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甲方涉及经济、民事、知识产权、劳动、行政、刑事等必须进入诉讼或者仲裁法律程序及非诉讼调解的专案代理事务，及受甲方委托，签署、送达或者接收法律文件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58B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F1B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14B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F82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6F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一审</w:t>
            </w:r>
          </w:p>
        </w:tc>
      </w:tr>
      <w:tr w14:paraId="2527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F51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5169">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5F54">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A7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25F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8C3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2A2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D68">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二审</w:t>
            </w:r>
          </w:p>
        </w:tc>
      </w:tr>
      <w:tr w14:paraId="5332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04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B81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FD67">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9D0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62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D9E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BB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76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复议</w:t>
            </w:r>
          </w:p>
        </w:tc>
      </w:tr>
      <w:tr w14:paraId="46B4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single" w:color="000000" w:sz="4" w:space="0"/>
              <w:bottom w:val="single" w:color="000000" w:sz="4" w:space="0"/>
              <w:right w:val="nil"/>
            </w:tcBorders>
            <w:shd w:val="clear" w:color="auto" w:fill="auto"/>
            <w:noWrap/>
            <w:vAlign w:val="center"/>
          </w:tcPr>
          <w:p w14:paraId="150CA9E3">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557C">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信息公开</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D38B">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审核政府信息依申请公开书面材料，草拟信息公开件的答复文书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985B">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163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2B6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58F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207">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12DC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E74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F19E">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驻场费用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55E">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每周按照甲方要求到甲方办公场所值班半天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0A96">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FD1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E27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8D64">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3E5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每周半天（含路费等）</w:t>
            </w:r>
          </w:p>
        </w:tc>
      </w:tr>
      <w:tr w14:paraId="78F5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single" w:color="000000" w:sz="4" w:space="0"/>
              <w:bottom w:val="single" w:color="000000" w:sz="4" w:space="0"/>
              <w:right w:val="nil"/>
            </w:tcBorders>
            <w:shd w:val="clear" w:color="auto" w:fill="auto"/>
            <w:noWrap/>
            <w:vAlign w:val="center"/>
          </w:tcPr>
          <w:p w14:paraId="6282631F">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512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法律咨询</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D42">
            <w:pPr>
              <w:keepNext w:val="0"/>
              <w:keepLines w:val="0"/>
              <w:pageBreakBefore w:val="0"/>
              <w:widowControl w:val="0"/>
              <w:kinsoku/>
              <w:wordWrap w:val="0"/>
              <w:overflowPunct/>
              <w:topLinePunct/>
              <w:autoSpaceDE/>
              <w:autoSpaceDN/>
              <w:bidi w:val="0"/>
              <w:spacing w:line="360" w:lineRule="auto"/>
              <w:jc w:val="lef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不限次提供法律咨询，依法提供建议。应甲方要求，就甲方已经面临或者可能发生的纠纷，进行法律论证，提出解决方案，发表律师意见，或者参与非诉讼谈判、协调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702D">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91C5">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6A4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867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8FA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r w14:paraId="4A1C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8D2">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合计（元）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8F1A">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ABB0">
            <w:pPr>
              <w:keepNext w:val="0"/>
              <w:keepLines w:val="0"/>
              <w:pageBreakBefore w:val="0"/>
              <w:widowControl w:val="0"/>
              <w:kinsoku/>
              <w:wordWrap w:val="0"/>
              <w:overflowPunct/>
              <w:topLinePunct/>
              <w:autoSpaceDE/>
              <w:autoSpaceDN/>
              <w:bidi w:val="0"/>
              <w:spacing w:line="360" w:lineRule="auto"/>
              <w:jc w:val="center"/>
              <w:outlineLvl w:val="9"/>
              <w:rPr>
                <w:rFonts w:hint="eastAsia" w:ascii="仿宋" w:hAnsi="仿宋" w:eastAsia="仿宋" w:cs="仿宋"/>
                <w:b w:val="0"/>
                <w:bCs/>
                <w:color w:val="auto"/>
                <w:sz w:val="21"/>
                <w:szCs w:val="21"/>
                <w:highlight w:val="none"/>
              </w:rPr>
            </w:pPr>
          </w:p>
        </w:tc>
      </w:tr>
    </w:tbl>
    <w:p w14:paraId="1655B3B9">
      <w:pPr>
        <w:keepNext w:val="0"/>
        <w:keepLines w:val="0"/>
        <w:pageBreakBefore w:val="0"/>
        <w:widowControl w:val="0"/>
        <w:suppressLineNumbers w:val="0"/>
        <w:kinsoku/>
        <w:wordWrap w:val="0"/>
        <w:overflowPunct/>
        <w:topLinePunct/>
        <w:autoSpaceDE/>
        <w:autoSpaceDN/>
        <w:bidi w:val="0"/>
        <w:spacing w:line="360" w:lineRule="auto"/>
        <w:jc w:val="left"/>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注：</w:t>
      </w:r>
    </w:p>
    <w:p w14:paraId="51D6F6DD">
      <w:pPr>
        <w:keepNext w:val="0"/>
        <w:keepLines w:val="0"/>
        <w:pageBreakBefore w:val="0"/>
        <w:widowControl w:val="0"/>
        <w:numPr>
          <w:ilvl w:val="0"/>
          <w:numId w:val="0"/>
        </w:numPr>
        <w:kinsoku/>
        <w:wordWrap w:val="0"/>
        <w:overflowPunct/>
        <w:topLinePunct/>
        <w:autoSpaceDE/>
        <w:autoSpaceDN/>
        <w:bidi w:val="0"/>
        <w:adjustRightInd w:val="0"/>
        <w:snapToGrid w:val="0"/>
        <w:spacing w:before="25" w:after="25" w:line="360" w:lineRule="auto"/>
        <w:ind w:left="0" w:leftChars="0" w:firstLine="0" w:firstLineChars="0"/>
        <w:outlineLvl w:val="9"/>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本表应按包分别填写</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格式仅为参考供应商可自行调整</w:t>
      </w:r>
      <w:r>
        <w:rPr>
          <w:rFonts w:hint="eastAsia" w:ascii="仿宋" w:hAnsi="仿宋" w:eastAsia="仿宋" w:cs="仿宋"/>
          <w:b w:val="0"/>
          <w:bCs/>
          <w:color w:val="auto"/>
          <w:sz w:val="21"/>
          <w:szCs w:val="21"/>
          <w:highlight w:val="none"/>
        </w:rPr>
        <w:t>。</w:t>
      </w:r>
    </w:p>
    <w:p w14:paraId="1826AA37">
      <w:pPr>
        <w:keepNext w:val="0"/>
        <w:keepLines w:val="0"/>
        <w:pageBreakBefore w:val="0"/>
        <w:widowControl w:val="0"/>
        <w:numPr>
          <w:ilvl w:val="0"/>
          <w:numId w:val="0"/>
        </w:numPr>
        <w:kinsoku/>
        <w:wordWrap w:val="0"/>
        <w:overflowPunct/>
        <w:topLinePunct/>
        <w:autoSpaceDE/>
        <w:autoSpaceDN/>
        <w:bidi w:val="0"/>
        <w:adjustRightInd w:val="0"/>
        <w:snapToGrid w:val="0"/>
        <w:spacing w:before="25" w:after="25" w:line="360" w:lineRule="auto"/>
        <w:ind w:left="0" w:leftChars="0" w:firstLine="0" w:firstLineChars="0"/>
        <w:outlineLvl w:val="9"/>
        <w:rPr>
          <w:rStyle w:val="38"/>
          <w:rFonts w:hint="eastAsia" w:ascii="仿宋" w:hAnsi="仿宋" w:eastAsia="仿宋" w:cs="仿宋"/>
          <w:b w:val="0"/>
          <w:bCs/>
          <w:color w:val="auto"/>
          <w:sz w:val="21"/>
          <w:szCs w:val="21"/>
          <w:highlight w:val="none"/>
          <w:lang w:val="zh-TW" w:eastAsia="zh-TW"/>
        </w:rPr>
      </w:pPr>
      <w:r>
        <w:rPr>
          <w:rFonts w:hint="eastAsia" w:ascii="仿宋" w:hAnsi="仿宋" w:eastAsia="仿宋" w:cs="仿宋"/>
          <w:b w:val="0"/>
          <w:bCs/>
          <w:color w:val="auto"/>
          <w:kern w:val="2"/>
          <w:sz w:val="21"/>
          <w:szCs w:val="21"/>
          <w:highlight w:val="none"/>
          <w:lang w:val="zh-TW" w:eastAsia="zh-TW" w:bidi="ar-SA"/>
        </w:rPr>
        <w:t>2.</w:t>
      </w:r>
      <w:r>
        <w:rPr>
          <w:rStyle w:val="38"/>
          <w:rFonts w:hint="eastAsia" w:ascii="仿宋" w:hAnsi="仿宋" w:eastAsia="仿宋" w:cs="仿宋"/>
          <w:b w:val="0"/>
          <w:bCs/>
          <w:color w:val="auto"/>
          <w:sz w:val="21"/>
          <w:szCs w:val="21"/>
          <w:highlight w:val="none"/>
          <w:lang w:val="zh-TW" w:eastAsia="zh-TW"/>
        </w:rPr>
        <w:t>上述各项的详细规格（如有），可另页描述。</w:t>
      </w:r>
    </w:p>
    <w:p w14:paraId="06DF8EDB">
      <w:pPr>
        <w:keepNext w:val="0"/>
        <w:keepLines w:val="0"/>
        <w:pageBreakBefore w:val="0"/>
        <w:widowControl w:val="0"/>
        <w:numPr>
          <w:ilvl w:val="0"/>
          <w:numId w:val="0"/>
        </w:numPr>
        <w:kinsoku/>
        <w:wordWrap w:val="0"/>
        <w:overflowPunct/>
        <w:topLinePunct/>
        <w:autoSpaceDE/>
        <w:autoSpaceDN/>
        <w:bidi w:val="0"/>
        <w:adjustRightInd w:val="0"/>
        <w:snapToGrid w:val="0"/>
        <w:spacing w:before="25" w:after="25" w:line="360" w:lineRule="auto"/>
        <w:ind w:left="0" w:leftChars="0" w:firstLine="0" w:firstLineChars="0"/>
        <w:outlineLvl w:val="9"/>
        <w:rPr>
          <w:rStyle w:val="38"/>
          <w:rFonts w:hint="eastAsia" w:ascii="仿宋" w:hAnsi="仿宋" w:eastAsia="仿宋" w:cs="仿宋"/>
          <w:b w:val="0"/>
          <w:bCs/>
          <w:color w:val="auto"/>
          <w:sz w:val="21"/>
          <w:szCs w:val="21"/>
          <w:highlight w:val="none"/>
          <w:lang w:val="zh-TW" w:eastAsia="zh-TW"/>
        </w:rPr>
      </w:pPr>
      <w:r>
        <w:rPr>
          <w:rFonts w:hint="eastAsia" w:ascii="仿宋" w:hAnsi="仿宋" w:eastAsia="仿宋" w:cs="仿宋"/>
          <w:b w:val="0"/>
          <w:bCs/>
          <w:color w:val="auto"/>
          <w:kern w:val="2"/>
          <w:sz w:val="21"/>
          <w:szCs w:val="21"/>
          <w:highlight w:val="none"/>
          <w:lang w:val="zh-TW" w:eastAsia="zh-TW" w:bidi="ar-SA"/>
        </w:rPr>
        <w:t>3.</w:t>
      </w:r>
      <w:r>
        <w:rPr>
          <w:rStyle w:val="38"/>
          <w:rFonts w:hint="eastAsia" w:ascii="仿宋" w:hAnsi="仿宋" w:eastAsia="仿宋" w:cs="仿宋"/>
          <w:b w:val="0"/>
          <w:bCs/>
          <w:color w:val="auto"/>
          <w:sz w:val="21"/>
          <w:szCs w:val="21"/>
          <w:highlight w:val="none"/>
          <w:lang w:val="zh-TW" w:eastAsia="zh-TW"/>
        </w:rPr>
        <w:t>此表无需放入响应文件中，应在最终报价环节按规定时间填报至系统，未在规定时间内填报的系统将自动默认供应商放弃最后报价，其价格以第一次报价为准。</w:t>
      </w:r>
    </w:p>
    <w:p w14:paraId="0CBC91F1">
      <w:pPr>
        <w:keepNext w:val="0"/>
        <w:keepLines w:val="0"/>
        <w:pageBreakBefore w:val="0"/>
        <w:widowControl w:val="0"/>
        <w:numPr>
          <w:ilvl w:val="0"/>
          <w:numId w:val="0"/>
        </w:numPr>
        <w:kinsoku/>
        <w:wordWrap w:val="0"/>
        <w:overflowPunct/>
        <w:topLinePunct/>
        <w:autoSpaceDE/>
        <w:autoSpaceDN/>
        <w:bidi w:val="0"/>
        <w:adjustRightInd w:val="0"/>
        <w:snapToGrid w:val="0"/>
        <w:spacing w:before="25" w:after="25" w:line="360" w:lineRule="auto"/>
        <w:ind w:left="0" w:leftChars="0" w:firstLine="0" w:firstLineChars="0"/>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4.</w:t>
      </w:r>
      <w:r>
        <w:rPr>
          <w:rStyle w:val="38"/>
          <w:rFonts w:hint="eastAsia" w:ascii="仿宋" w:hAnsi="仿宋" w:eastAsia="仿宋" w:cs="仿宋"/>
          <w:b w:val="0"/>
          <w:bCs/>
          <w:color w:val="auto"/>
          <w:sz w:val="21"/>
          <w:szCs w:val="21"/>
          <w:highlight w:val="none"/>
          <w:lang w:val="zh-TW" w:eastAsia="zh-TW"/>
        </w:rPr>
        <w:t>成交人在领取成交通知书的当日，按此格式提交2份纸质版最后分项报价表。</w:t>
      </w:r>
    </w:p>
    <w:p w14:paraId="3B59B08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2822811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3AC9EBF2">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rPr>
      </w:pPr>
    </w:p>
    <w:p w14:paraId="430B3723">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6027030E">
      <w:pPr>
        <w:keepNext w:val="0"/>
        <w:keepLines w:val="0"/>
        <w:pageBreakBefore w:val="0"/>
        <w:widowControl w:val="0"/>
        <w:kinsoku/>
        <w:wordWrap w:val="0"/>
        <w:overflowPunct/>
        <w:topLinePunct/>
        <w:autoSpaceDE/>
        <w:autoSpaceDN/>
        <w:bidi w:val="0"/>
        <w:spacing w:line="360" w:lineRule="auto"/>
        <w:ind w:right="360"/>
        <w:jc w:val="right"/>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sectPr>
      <w:pgSz w:w="11905" w:h="16838"/>
      <w:pgMar w:top="1440" w:right="1080" w:bottom="1440" w:left="1080" w:header="851" w:footer="850" w:gutter="0"/>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672D9BB-877F-4B2D-9D25-31DF60406DAE}"/>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embedRegular r:id="rId2" w:fontKey="{A27AAA29-5940-4984-97E8-22312E2348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A3F5">
    <w:pPr>
      <w:pStyle w:val="13"/>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0AD">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96FA">
    <w:pPr>
      <w:pStyle w:val="13"/>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DC8">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32CDC8">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0C3">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592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C59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AB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335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3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316C">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65pt;mso-position-horizontal:center;mso-position-horizontal-relative:margin;z-index:251661312;mso-width-relative:page;mso-height-relative:page;" filled="f" stroked="f" coordsize="21600,21600" o:gfxdata="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yux90wAAAAQBAAAPAAAAAAAAAAEAIAAAACIAAABkcnMvZG93bnJldi54&#10;bWxQSwECFAAUAAAACACHTuJA2bCNWDgCAABiBAAADgAAAAAAAAABACAAAAAiAQAAZHJzL2Uyb0Rv&#10;Yy54bWxQSwUGAAAAAAYABgBZAQAAzAUAAAAA&#10;">
              <v:fill on="f" focussize="0,0"/>
              <v:stroke on="f" weight="0.5pt"/>
              <v:imagedata o:title=""/>
              <o:lock v:ext="edit" aspectratio="f"/>
              <v:textbox inset="0mm,0mm,0mm,0mm" style="mso-fit-shape-to-text:t;">
                <w:txbxContent>
                  <w:p w14:paraId="6D0C316C">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8DDB">
    <w:pPr>
      <w:pStyle w:val="13"/>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14:paraId="7D7C837B">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68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FCB0">
    <w:pPr>
      <w:pStyle w:val="15"/>
      <w:jc w:val="right"/>
    </w:pPr>
    <w:r>
      <w:rPr>
        <w:rFonts w:hint="eastAsia"/>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0CE6">
    <w:pPr>
      <w:pStyle w:val="1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1DEC">
    <w:pPr>
      <w:pStyle w:val="9"/>
      <w:pBdr>
        <w:bottom w:val="single" w:color="auto" w:sz="4" w:space="0"/>
      </w:pBdr>
      <w:spacing w:line="219" w:lineRule="auto"/>
      <w:ind w:right="6"/>
      <w:jc w:val="right"/>
    </w:pPr>
    <w:r>
      <w:rPr>
        <w:rFonts w:hint="eastAsia"/>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FBB2">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DDCD">
    <w:pPr>
      <w:pStyle w:val="9"/>
      <w:pBdr>
        <w:bottom w:val="single" w:color="auto" w:sz="4" w:space="0"/>
      </w:pBdr>
      <w:spacing w:line="219" w:lineRule="auto"/>
      <w:ind w:right="6"/>
      <w:jc w:val="right"/>
    </w:pPr>
    <w:r>
      <w:rPr>
        <w:rFonts w:hint="eastAsia"/>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E9093"/>
    <w:multiLevelType w:val="singleLevel"/>
    <w:tmpl w:val="D97E90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2FhM2NmNGRkMjBiZWIxNWVlZWIzM2FmNDViZGEifQ=="/>
  </w:docVars>
  <w:rsids>
    <w:rsidRoot w:val="005F744A"/>
    <w:rsid w:val="001F108A"/>
    <w:rsid w:val="00224F59"/>
    <w:rsid w:val="002377AA"/>
    <w:rsid w:val="00247185"/>
    <w:rsid w:val="002E29C5"/>
    <w:rsid w:val="0033310D"/>
    <w:rsid w:val="003D7999"/>
    <w:rsid w:val="00502218"/>
    <w:rsid w:val="0057111B"/>
    <w:rsid w:val="005848B6"/>
    <w:rsid w:val="005D465C"/>
    <w:rsid w:val="005F744A"/>
    <w:rsid w:val="00695337"/>
    <w:rsid w:val="006B71BC"/>
    <w:rsid w:val="008C31DE"/>
    <w:rsid w:val="008D66EE"/>
    <w:rsid w:val="00900CE8"/>
    <w:rsid w:val="0092000C"/>
    <w:rsid w:val="009A59F5"/>
    <w:rsid w:val="009D3880"/>
    <w:rsid w:val="009E5347"/>
    <w:rsid w:val="00AF6AE7"/>
    <w:rsid w:val="00C977C5"/>
    <w:rsid w:val="00D13D64"/>
    <w:rsid w:val="00DB2F53"/>
    <w:rsid w:val="00E0770D"/>
    <w:rsid w:val="00E85DA4"/>
    <w:rsid w:val="013B7F59"/>
    <w:rsid w:val="013E6683"/>
    <w:rsid w:val="016C28AD"/>
    <w:rsid w:val="01A20482"/>
    <w:rsid w:val="01C56903"/>
    <w:rsid w:val="01DA16D0"/>
    <w:rsid w:val="02133599"/>
    <w:rsid w:val="023C0222"/>
    <w:rsid w:val="026974D9"/>
    <w:rsid w:val="02A46519"/>
    <w:rsid w:val="02C163AB"/>
    <w:rsid w:val="02DD1A2B"/>
    <w:rsid w:val="031237DF"/>
    <w:rsid w:val="03355D98"/>
    <w:rsid w:val="03367AB9"/>
    <w:rsid w:val="035A5E4A"/>
    <w:rsid w:val="03800D34"/>
    <w:rsid w:val="03912F41"/>
    <w:rsid w:val="03A774FC"/>
    <w:rsid w:val="03B27E00"/>
    <w:rsid w:val="03E43445"/>
    <w:rsid w:val="03EF1A15"/>
    <w:rsid w:val="040177F9"/>
    <w:rsid w:val="041D2A27"/>
    <w:rsid w:val="041E6B80"/>
    <w:rsid w:val="043568B3"/>
    <w:rsid w:val="044C330C"/>
    <w:rsid w:val="04BF3ADE"/>
    <w:rsid w:val="04C1362C"/>
    <w:rsid w:val="04C904B8"/>
    <w:rsid w:val="04FF3EDA"/>
    <w:rsid w:val="05092FAB"/>
    <w:rsid w:val="050E411D"/>
    <w:rsid w:val="052459A1"/>
    <w:rsid w:val="053F7F38"/>
    <w:rsid w:val="05634469"/>
    <w:rsid w:val="05663F59"/>
    <w:rsid w:val="057C19CF"/>
    <w:rsid w:val="05D15C2C"/>
    <w:rsid w:val="05D25063"/>
    <w:rsid w:val="05DB66F5"/>
    <w:rsid w:val="05DD246D"/>
    <w:rsid w:val="05EA2DDC"/>
    <w:rsid w:val="05EA5338"/>
    <w:rsid w:val="05FA4E5A"/>
    <w:rsid w:val="06051935"/>
    <w:rsid w:val="06113EC5"/>
    <w:rsid w:val="06147E59"/>
    <w:rsid w:val="066E374C"/>
    <w:rsid w:val="06FE1AEE"/>
    <w:rsid w:val="07153E89"/>
    <w:rsid w:val="071F2612"/>
    <w:rsid w:val="076D599C"/>
    <w:rsid w:val="076D7821"/>
    <w:rsid w:val="078F7797"/>
    <w:rsid w:val="07996919"/>
    <w:rsid w:val="07B95303"/>
    <w:rsid w:val="07DB29DD"/>
    <w:rsid w:val="07F65A68"/>
    <w:rsid w:val="081538B4"/>
    <w:rsid w:val="081A2B6C"/>
    <w:rsid w:val="083C1CA7"/>
    <w:rsid w:val="084D698E"/>
    <w:rsid w:val="085049DE"/>
    <w:rsid w:val="08566507"/>
    <w:rsid w:val="08607688"/>
    <w:rsid w:val="086A6259"/>
    <w:rsid w:val="087178D4"/>
    <w:rsid w:val="088B6545"/>
    <w:rsid w:val="08D51B1C"/>
    <w:rsid w:val="09063A89"/>
    <w:rsid w:val="09137F54"/>
    <w:rsid w:val="091A5787"/>
    <w:rsid w:val="0942045D"/>
    <w:rsid w:val="094B3B92"/>
    <w:rsid w:val="09672ADE"/>
    <w:rsid w:val="09970B85"/>
    <w:rsid w:val="099E3122"/>
    <w:rsid w:val="09AD2157"/>
    <w:rsid w:val="09B47989"/>
    <w:rsid w:val="09C120A6"/>
    <w:rsid w:val="0A1421D6"/>
    <w:rsid w:val="0A314FFA"/>
    <w:rsid w:val="0A4F76B2"/>
    <w:rsid w:val="0A6B2D01"/>
    <w:rsid w:val="0AA51080"/>
    <w:rsid w:val="0AC7549A"/>
    <w:rsid w:val="0AE222D4"/>
    <w:rsid w:val="0AF344E1"/>
    <w:rsid w:val="0B0D44BB"/>
    <w:rsid w:val="0B121081"/>
    <w:rsid w:val="0B350656"/>
    <w:rsid w:val="0B6D4B72"/>
    <w:rsid w:val="0B7C44D7"/>
    <w:rsid w:val="0BCA6075"/>
    <w:rsid w:val="0BD62973"/>
    <w:rsid w:val="0BD64040"/>
    <w:rsid w:val="0BDA11FD"/>
    <w:rsid w:val="0BE34A57"/>
    <w:rsid w:val="0C851169"/>
    <w:rsid w:val="0C9E4410"/>
    <w:rsid w:val="0CA000E8"/>
    <w:rsid w:val="0CB06B79"/>
    <w:rsid w:val="0D0A78C0"/>
    <w:rsid w:val="0D167322"/>
    <w:rsid w:val="0D186481"/>
    <w:rsid w:val="0D3D1A44"/>
    <w:rsid w:val="0D4A48FD"/>
    <w:rsid w:val="0D5A0848"/>
    <w:rsid w:val="0D5D7003"/>
    <w:rsid w:val="0D870F11"/>
    <w:rsid w:val="0DA27AF9"/>
    <w:rsid w:val="0DA675E9"/>
    <w:rsid w:val="0DF447F8"/>
    <w:rsid w:val="0E0367E9"/>
    <w:rsid w:val="0E1525C8"/>
    <w:rsid w:val="0E3D5E73"/>
    <w:rsid w:val="0E4C0486"/>
    <w:rsid w:val="0E5B4B96"/>
    <w:rsid w:val="0E8A6F0A"/>
    <w:rsid w:val="0EC107E0"/>
    <w:rsid w:val="0F0022AB"/>
    <w:rsid w:val="0F2D5392"/>
    <w:rsid w:val="0F2F360E"/>
    <w:rsid w:val="0F8E6586"/>
    <w:rsid w:val="0FA7589A"/>
    <w:rsid w:val="0FAF605E"/>
    <w:rsid w:val="0FFD0285"/>
    <w:rsid w:val="10303AE2"/>
    <w:rsid w:val="1032728A"/>
    <w:rsid w:val="1046588C"/>
    <w:rsid w:val="105A4E68"/>
    <w:rsid w:val="10650A19"/>
    <w:rsid w:val="1074095A"/>
    <w:rsid w:val="109E78EF"/>
    <w:rsid w:val="10C01FFC"/>
    <w:rsid w:val="10C031A2"/>
    <w:rsid w:val="10EA3F4B"/>
    <w:rsid w:val="111927C8"/>
    <w:rsid w:val="114952B5"/>
    <w:rsid w:val="11511F61"/>
    <w:rsid w:val="115B693C"/>
    <w:rsid w:val="115C1843"/>
    <w:rsid w:val="11622BDE"/>
    <w:rsid w:val="11755507"/>
    <w:rsid w:val="118B7221"/>
    <w:rsid w:val="119107BF"/>
    <w:rsid w:val="11BF511D"/>
    <w:rsid w:val="11CE35B2"/>
    <w:rsid w:val="123478B9"/>
    <w:rsid w:val="127001C5"/>
    <w:rsid w:val="127E3ED7"/>
    <w:rsid w:val="128E2E6D"/>
    <w:rsid w:val="12906AB9"/>
    <w:rsid w:val="129A3494"/>
    <w:rsid w:val="129E4D32"/>
    <w:rsid w:val="12B409FA"/>
    <w:rsid w:val="12BE53D5"/>
    <w:rsid w:val="12C6782B"/>
    <w:rsid w:val="12D267A3"/>
    <w:rsid w:val="12E86DF0"/>
    <w:rsid w:val="131C20FB"/>
    <w:rsid w:val="13523637"/>
    <w:rsid w:val="13545D39"/>
    <w:rsid w:val="139D323C"/>
    <w:rsid w:val="13D12EE6"/>
    <w:rsid w:val="13DB5B12"/>
    <w:rsid w:val="13F17DA0"/>
    <w:rsid w:val="14237F3C"/>
    <w:rsid w:val="14883EEC"/>
    <w:rsid w:val="14A800EA"/>
    <w:rsid w:val="14B46A8F"/>
    <w:rsid w:val="14B922F8"/>
    <w:rsid w:val="14BA7E1E"/>
    <w:rsid w:val="14BF4BD7"/>
    <w:rsid w:val="14D72DA7"/>
    <w:rsid w:val="14D94748"/>
    <w:rsid w:val="14DC6605"/>
    <w:rsid w:val="15251F0F"/>
    <w:rsid w:val="152A0E2F"/>
    <w:rsid w:val="154D2A40"/>
    <w:rsid w:val="155E69FB"/>
    <w:rsid w:val="157D1577"/>
    <w:rsid w:val="15863464"/>
    <w:rsid w:val="15DD5B72"/>
    <w:rsid w:val="15DF0595"/>
    <w:rsid w:val="15E45152"/>
    <w:rsid w:val="15FD6214"/>
    <w:rsid w:val="16397379"/>
    <w:rsid w:val="1675224E"/>
    <w:rsid w:val="168B3820"/>
    <w:rsid w:val="16916A25"/>
    <w:rsid w:val="16CB5FEC"/>
    <w:rsid w:val="172C7BF3"/>
    <w:rsid w:val="17312619"/>
    <w:rsid w:val="17506855"/>
    <w:rsid w:val="175F27DA"/>
    <w:rsid w:val="177D6714"/>
    <w:rsid w:val="17BD4979"/>
    <w:rsid w:val="17BE19D3"/>
    <w:rsid w:val="18236EFD"/>
    <w:rsid w:val="182F16F6"/>
    <w:rsid w:val="18311FC4"/>
    <w:rsid w:val="185B6F3B"/>
    <w:rsid w:val="18891FE1"/>
    <w:rsid w:val="18A97FA7"/>
    <w:rsid w:val="18BC6B24"/>
    <w:rsid w:val="18C43019"/>
    <w:rsid w:val="19067FF8"/>
    <w:rsid w:val="191D467D"/>
    <w:rsid w:val="1921046B"/>
    <w:rsid w:val="19733269"/>
    <w:rsid w:val="19C06BAC"/>
    <w:rsid w:val="19D43730"/>
    <w:rsid w:val="1A01351E"/>
    <w:rsid w:val="1A27180A"/>
    <w:rsid w:val="1A3C2CF5"/>
    <w:rsid w:val="1A4A57A0"/>
    <w:rsid w:val="1A78055F"/>
    <w:rsid w:val="1A98650B"/>
    <w:rsid w:val="1AC362FF"/>
    <w:rsid w:val="1ADD03C2"/>
    <w:rsid w:val="1B042241"/>
    <w:rsid w:val="1B0818E3"/>
    <w:rsid w:val="1B142621"/>
    <w:rsid w:val="1B196251"/>
    <w:rsid w:val="1B430B6D"/>
    <w:rsid w:val="1B440441"/>
    <w:rsid w:val="1B5C7BF5"/>
    <w:rsid w:val="1B6D2B14"/>
    <w:rsid w:val="1B8076CB"/>
    <w:rsid w:val="1B812C8B"/>
    <w:rsid w:val="1BD5225E"/>
    <w:rsid w:val="1BD81020"/>
    <w:rsid w:val="1C20736E"/>
    <w:rsid w:val="1C2E5379"/>
    <w:rsid w:val="1C4D7F6B"/>
    <w:rsid w:val="1C640D9B"/>
    <w:rsid w:val="1C6C2CF5"/>
    <w:rsid w:val="1C6C7C4F"/>
    <w:rsid w:val="1C6D2469"/>
    <w:rsid w:val="1C7336F1"/>
    <w:rsid w:val="1C8054A9"/>
    <w:rsid w:val="1C884668"/>
    <w:rsid w:val="1CBF5FD1"/>
    <w:rsid w:val="1CC47A8B"/>
    <w:rsid w:val="1CE41EDC"/>
    <w:rsid w:val="1CEB70BD"/>
    <w:rsid w:val="1CFA3F0C"/>
    <w:rsid w:val="1D087864"/>
    <w:rsid w:val="1D154459"/>
    <w:rsid w:val="1D210A3A"/>
    <w:rsid w:val="1D557C9F"/>
    <w:rsid w:val="1D686669"/>
    <w:rsid w:val="1DA84CB7"/>
    <w:rsid w:val="1DE33F41"/>
    <w:rsid w:val="1DF24184"/>
    <w:rsid w:val="1E002D45"/>
    <w:rsid w:val="1E054350"/>
    <w:rsid w:val="1E2D1660"/>
    <w:rsid w:val="1E37631F"/>
    <w:rsid w:val="1E6257AE"/>
    <w:rsid w:val="1E6F3A27"/>
    <w:rsid w:val="1EDE64B3"/>
    <w:rsid w:val="1EE95587"/>
    <w:rsid w:val="1EF950CE"/>
    <w:rsid w:val="1F2760B0"/>
    <w:rsid w:val="1F770DE5"/>
    <w:rsid w:val="1F99372A"/>
    <w:rsid w:val="1FA12306"/>
    <w:rsid w:val="1FD47FE6"/>
    <w:rsid w:val="1FF70178"/>
    <w:rsid w:val="200F17A8"/>
    <w:rsid w:val="20382371"/>
    <w:rsid w:val="203B1E13"/>
    <w:rsid w:val="203D60A9"/>
    <w:rsid w:val="20564C93"/>
    <w:rsid w:val="208539D6"/>
    <w:rsid w:val="20C75D9C"/>
    <w:rsid w:val="20E93F65"/>
    <w:rsid w:val="212B632B"/>
    <w:rsid w:val="21521B0A"/>
    <w:rsid w:val="217C5E2F"/>
    <w:rsid w:val="21B44421"/>
    <w:rsid w:val="21D625E8"/>
    <w:rsid w:val="21EC7102"/>
    <w:rsid w:val="221E7C3E"/>
    <w:rsid w:val="22284619"/>
    <w:rsid w:val="22582A31"/>
    <w:rsid w:val="228201CD"/>
    <w:rsid w:val="22CF6E8C"/>
    <w:rsid w:val="22D327D6"/>
    <w:rsid w:val="22F576C9"/>
    <w:rsid w:val="230C641C"/>
    <w:rsid w:val="2318643B"/>
    <w:rsid w:val="23226D6D"/>
    <w:rsid w:val="232C638A"/>
    <w:rsid w:val="235F050E"/>
    <w:rsid w:val="23675615"/>
    <w:rsid w:val="237430CE"/>
    <w:rsid w:val="23B16CF7"/>
    <w:rsid w:val="23EE5289"/>
    <w:rsid w:val="242411CC"/>
    <w:rsid w:val="24280900"/>
    <w:rsid w:val="242F6132"/>
    <w:rsid w:val="24372233"/>
    <w:rsid w:val="24575886"/>
    <w:rsid w:val="246202E3"/>
    <w:rsid w:val="249A3CEA"/>
    <w:rsid w:val="24D10F97"/>
    <w:rsid w:val="24F31ED0"/>
    <w:rsid w:val="250C6474"/>
    <w:rsid w:val="254A5A35"/>
    <w:rsid w:val="25624188"/>
    <w:rsid w:val="25702EC7"/>
    <w:rsid w:val="25796554"/>
    <w:rsid w:val="257E4AA6"/>
    <w:rsid w:val="257F4A89"/>
    <w:rsid w:val="258C6F92"/>
    <w:rsid w:val="25A65BBB"/>
    <w:rsid w:val="25CD20A0"/>
    <w:rsid w:val="26153B84"/>
    <w:rsid w:val="2661634B"/>
    <w:rsid w:val="268B33C8"/>
    <w:rsid w:val="269009DE"/>
    <w:rsid w:val="26AB75C6"/>
    <w:rsid w:val="26C50688"/>
    <w:rsid w:val="26D601DE"/>
    <w:rsid w:val="270F5DA7"/>
    <w:rsid w:val="274F0899"/>
    <w:rsid w:val="2753038A"/>
    <w:rsid w:val="275507B4"/>
    <w:rsid w:val="27561C28"/>
    <w:rsid w:val="277A3B68"/>
    <w:rsid w:val="278D7653"/>
    <w:rsid w:val="27A636B6"/>
    <w:rsid w:val="27F9431E"/>
    <w:rsid w:val="27FF406E"/>
    <w:rsid w:val="280653FC"/>
    <w:rsid w:val="28137B19"/>
    <w:rsid w:val="28156F15"/>
    <w:rsid w:val="28571C3F"/>
    <w:rsid w:val="285A3310"/>
    <w:rsid w:val="285A74F6"/>
    <w:rsid w:val="286478B1"/>
    <w:rsid w:val="287A1946"/>
    <w:rsid w:val="288602EB"/>
    <w:rsid w:val="288E152A"/>
    <w:rsid w:val="288F53F1"/>
    <w:rsid w:val="28A236DD"/>
    <w:rsid w:val="28CE5456"/>
    <w:rsid w:val="28CF2DF1"/>
    <w:rsid w:val="28F33BD2"/>
    <w:rsid w:val="28F74D45"/>
    <w:rsid w:val="29053906"/>
    <w:rsid w:val="2907571B"/>
    <w:rsid w:val="29210AC9"/>
    <w:rsid w:val="29211DC2"/>
    <w:rsid w:val="29220014"/>
    <w:rsid w:val="29373393"/>
    <w:rsid w:val="296E14AB"/>
    <w:rsid w:val="29724362"/>
    <w:rsid w:val="298F4F7D"/>
    <w:rsid w:val="299A5BB0"/>
    <w:rsid w:val="29C9048F"/>
    <w:rsid w:val="2A3701FB"/>
    <w:rsid w:val="2A383867"/>
    <w:rsid w:val="2A3E0E07"/>
    <w:rsid w:val="2A460026"/>
    <w:rsid w:val="2A497822"/>
    <w:rsid w:val="2A4C6FFA"/>
    <w:rsid w:val="2A720FDA"/>
    <w:rsid w:val="2A866380"/>
    <w:rsid w:val="2A9A2A47"/>
    <w:rsid w:val="2A9E2ED5"/>
    <w:rsid w:val="2ABA41F8"/>
    <w:rsid w:val="2AC5334C"/>
    <w:rsid w:val="2AD0584D"/>
    <w:rsid w:val="2AD07FCD"/>
    <w:rsid w:val="2B5D643F"/>
    <w:rsid w:val="2B8723B0"/>
    <w:rsid w:val="2B97636B"/>
    <w:rsid w:val="2BB407D9"/>
    <w:rsid w:val="2BC511C1"/>
    <w:rsid w:val="2BCA60F5"/>
    <w:rsid w:val="2C362C40"/>
    <w:rsid w:val="2C491D5B"/>
    <w:rsid w:val="2C7217DF"/>
    <w:rsid w:val="2C932FD6"/>
    <w:rsid w:val="2C9C632F"/>
    <w:rsid w:val="2CA8085E"/>
    <w:rsid w:val="2CA96AB9"/>
    <w:rsid w:val="2CC31B0E"/>
    <w:rsid w:val="2CC92A56"/>
    <w:rsid w:val="2CD63BB6"/>
    <w:rsid w:val="2CD82400"/>
    <w:rsid w:val="2D087E61"/>
    <w:rsid w:val="2D4B565F"/>
    <w:rsid w:val="2D636E4D"/>
    <w:rsid w:val="2D6C3F29"/>
    <w:rsid w:val="2D8172D3"/>
    <w:rsid w:val="2D8D7A26"/>
    <w:rsid w:val="2DA95501"/>
    <w:rsid w:val="2DB476A8"/>
    <w:rsid w:val="2DC828C4"/>
    <w:rsid w:val="2DCA6ECC"/>
    <w:rsid w:val="2DED54D0"/>
    <w:rsid w:val="2E1119D9"/>
    <w:rsid w:val="2E135448"/>
    <w:rsid w:val="2E1E446E"/>
    <w:rsid w:val="2E23041C"/>
    <w:rsid w:val="2E532A1D"/>
    <w:rsid w:val="2E8452CD"/>
    <w:rsid w:val="2E8C4181"/>
    <w:rsid w:val="2EA83BD2"/>
    <w:rsid w:val="2EB63EAF"/>
    <w:rsid w:val="2EBA6F40"/>
    <w:rsid w:val="2EFE507F"/>
    <w:rsid w:val="2F0F4550"/>
    <w:rsid w:val="2F1403FE"/>
    <w:rsid w:val="2F164BE0"/>
    <w:rsid w:val="2F57653D"/>
    <w:rsid w:val="2F853BBB"/>
    <w:rsid w:val="2F9335AE"/>
    <w:rsid w:val="2FB614B6"/>
    <w:rsid w:val="2FB67B96"/>
    <w:rsid w:val="2FC10C66"/>
    <w:rsid w:val="2FC92994"/>
    <w:rsid w:val="2FED5E43"/>
    <w:rsid w:val="2FEE3848"/>
    <w:rsid w:val="2FFF080A"/>
    <w:rsid w:val="300734A0"/>
    <w:rsid w:val="30201025"/>
    <w:rsid w:val="302518ED"/>
    <w:rsid w:val="30403475"/>
    <w:rsid w:val="30744ECD"/>
    <w:rsid w:val="30A13BD7"/>
    <w:rsid w:val="30E47258"/>
    <w:rsid w:val="31015DF0"/>
    <w:rsid w:val="311B7876"/>
    <w:rsid w:val="312A7FDB"/>
    <w:rsid w:val="31450962"/>
    <w:rsid w:val="31572824"/>
    <w:rsid w:val="316B2618"/>
    <w:rsid w:val="31710B98"/>
    <w:rsid w:val="31D44132"/>
    <w:rsid w:val="32621481"/>
    <w:rsid w:val="327D1CE5"/>
    <w:rsid w:val="32C2602E"/>
    <w:rsid w:val="32F347CF"/>
    <w:rsid w:val="32F81DE5"/>
    <w:rsid w:val="330668C7"/>
    <w:rsid w:val="330B75D7"/>
    <w:rsid w:val="332F7F28"/>
    <w:rsid w:val="334E3D45"/>
    <w:rsid w:val="335C5F80"/>
    <w:rsid w:val="335C7080"/>
    <w:rsid w:val="336D4581"/>
    <w:rsid w:val="337A6C9E"/>
    <w:rsid w:val="337D365C"/>
    <w:rsid w:val="33B45312"/>
    <w:rsid w:val="33BC3F00"/>
    <w:rsid w:val="33CF49CF"/>
    <w:rsid w:val="33F563F8"/>
    <w:rsid w:val="34164C19"/>
    <w:rsid w:val="34360E17"/>
    <w:rsid w:val="34361540"/>
    <w:rsid w:val="344D1CF9"/>
    <w:rsid w:val="3483274D"/>
    <w:rsid w:val="34A00986"/>
    <w:rsid w:val="34A01A96"/>
    <w:rsid w:val="34AE6BFF"/>
    <w:rsid w:val="34B538A3"/>
    <w:rsid w:val="34C11757"/>
    <w:rsid w:val="34CC5028"/>
    <w:rsid w:val="34EB1C02"/>
    <w:rsid w:val="34F565DC"/>
    <w:rsid w:val="34F75002"/>
    <w:rsid w:val="350D5B42"/>
    <w:rsid w:val="35374E47"/>
    <w:rsid w:val="354421C5"/>
    <w:rsid w:val="354C1E67"/>
    <w:rsid w:val="355359F9"/>
    <w:rsid w:val="358F1B65"/>
    <w:rsid w:val="35BE2E72"/>
    <w:rsid w:val="35FF348B"/>
    <w:rsid w:val="360C42D4"/>
    <w:rsid w:val="361458E5"/>
    <w:rsid w:val="36160F00"/>
    <w:rsid w:val="361B6516"/>
    <w:rsid w:val="36327824"/>
    <w:rsid w:val="364F7B9C"/>
    <w:rsid w:val="3659412E"/>
    <w:rsid w:val="36D175D6"/>
    <w:rsid w:val="36EC3A0F"/>
    <w:rsid w:val="37290ED0"/>
    <w:rsid w:val="37372470"/>
    <w:rsid w:val="375241BA"/>
    <w:rsid w:val="375C6703"/>
    <w:rsid w:val="377E4FAF"/>
    <w:rsid w:val="37AE68E3"/>
    <w:rsid w:val="37C066EB"/>
    <w:rsid w:val="37CD36D7"/>
    <w:rsid w:val="38003C16"/>
    <w:rsid w:val="381E409C"/>
    <w:rsid w:val="38326013"/>
    <w:rsid w:val="384D1477"/>
    <w:rsid w:val="384E0285"/>
    <w:rsid w:val="3881462B"/>
    <w:rsid w:val="38E075A3"/>
    <w:rsid w:val="39070FD4"/>
    <w:rsid w:val="39113C01"/>
    <w:rsid w:val="39184DDF"/>
    <w:rsid w:val="39225170"/>
    <w:rsid w:val="39284554"/>
    <w:rsid w:val="39284724"/>
    <w:rsid w:val="393F076E"/>
    <w:rsid w:val="39763A64"/>
    <w:rsid w:val="398B779E"/>
    <w:rsid w:val="39CE1AF2"/>
    <w:rsid w:val="39D233C3"/>
    <w:rsid w:val="39E11A28"/>
    <w:rsid w:val="3A0379ED"/>
    <w:rsid w:val="3A0F6392"/>
    <w:rsid w:val="3A230F6F"/>
    <w:rsid w:val="3A4B67C2"/>
    <w:rsid w:val="3A6D4E67"/>
    <w:rsid w:val="3A7D7122"/>
    <w:rsid w:val="3A9E028E"/>
    <w:rsid w:val="3AB65023"/>
    <w:rsid w:val="3ABB02C8"/>
    <w:rsid w:val="3AC54CA3"/>
    <w:rsid w:val="3AEB0901"/>
    <w:rsid w:val="3B051543"/>
    <w:rsid w:val="3B4167A1"/>
    <w:rsid w:val="3B732951"/>
    <w:rsid w:val="3B7B6E2E"/>
    <w:rsid w:val="3B8E1539"/>
    <w:rsid w:val="3BB15227"/>
    <w:rsid w:val="3BBE1312"/>
    <w:rsid w:val="3C181946"/>
    <w:rsid w:val="3C354BF6"/>
    <w:rsid w:val="3C622BB4"/>
    <w:rsid w:val="3CAA429A"/>
    <w:rsid w:val="3CD502DC"/>
    <w:rsid w:val="3CDA46D0"/>
    <w:rsid w:val="3CE36445"/>
    <w:rsid w:val="3CE753A4"/>
    <w:rsid w:val="3CEF5448"/>
    <w:rsid w:val="3CFE7407"/>
    <w:rsid w:val="3D0C6BB9"/>
    <w:rsid w:val="3D1035F6"/>
    <w:rsid w:val="3D1D65DC"/>
    <w:rsid w:val="3D564D67"/>
    <w:rsid w:val="3D5D7C63"/>
    <w:rsid w:val="3D7208F0"/>
    <w:rsid w:val="3DDC47DD"/>
    <w:rsid w:val="3DE6565C"/>
    <w:rsid w:val="3DEE32CE"/>
    <w:rsid w:val="3DF55109"/>
    <w:rsid w:val="3DFC6C2D"/>
    <w:rsid w:val="3E1D0952"/>
    <w:rsid w:val="3E2E615A"/>
    <w:rsid w:val="3E5C591E"/>
    <w:rsid w:val="3E7A3FF6"/>
    <w:rsid w:val="3E7C7D6E"/>
    <w:rsid w:val="3E834C59"/>
    <w:rsid w:val="3EBE570F"/>
    <w:rsid w:val="3EC51715"/>
    <w:rsid w:val="3EC62D97"/>
    <w:rsid w:val="3EFB5137"/>
    <w:rsid w:val="3F051B12"/>
    <w:rsid w:val="3F204B9E"/>
    <w:rsid w:val="3F2E5B01"/>
    <w:rsid w:val="3F3665C9"/>
    <w:rsid w:val="3F446ADE"/>
    <w:rsid w:val="3F6F1937"/>
    <w:rsid w:val="3F921A51"/>
    <w:rsid w:val="3FCA68B7"/>
    <w:rsid w:val="3FCE0156"/>
    <w:rsid w:val="3FD05580"/>
    <w:rsid w:val="3FFB6C6D"/>
    <w:rsid w:val="405F16F6"/>
    <w:rsid w:val="40723B83"/>
    <w:rsid w:val="40736F4F"/>
    <w:rsid w:val="40905D53"/>
    <w:rsid w:val="40970E8F"/>
    <w:rsid w:val="40A64D1D"/>
    <w:rsid w:val="40FF5BB5"/>
    <w:rsid w:val="412A3AB2"/>
    <w:rsid w:val="41322966"/>
    <w:rsid w:val="415B3C6B"/>
    <w:rsid w:val="418F1B67"/>
    <w:rsid w:val="41987A44"/>
    <w:rsid w:val="41A10A98"/>
    <w:rsid w:val="41C002C6"/>
    <w:rsid w:val="424B0183"/>
    <w:rsid w:val="42755200"/>
    <w:rsid w:val="43305354"/>
    <w:rsid w:val="435E7A42"/>
    <w:rsid w:val="436239D7"/>
    <w:rsid w:val="437D25BE"/>
    <w:rsid w:val="43A044FF"/>
    <w:rsid w:val="43A2087C"/>
    <w:rsid w:val="43B9111D"/>
    <w:rsid w:val="43F26A6D"/>
    <w:rsid w:val="43F33DE5"/>
    <w:rsid w:val="43FA02BC"/>
    <w:rsid w:val="43FB7987"/>
    <w:rsid w:val="441026F0"/>
    <w:rsid w:val="44231564"/>
    <w:rsid w:val="4423215B"/>
    <w:rsid w:val="44760DBC"/>
    <w:rsid w:val="44D06D87"/>
    <w:rsid w:val="44E375AC"/>
    <w:rsid w:val="451E0CB6"/>
    <w:rsid w:val="45372C41"/>
    <w:rsid w:val="45434C21"/>
    <w:rsid w:val="454D7D6F"/>
    <w:rsid w:val="45573B66"/>
    <w:rsid w:val="455B1A2C"/>
    <w:rsid w:val="45C134FB"/>
    <w:rsid w:val="45DE130F"/>
    <w:rsid w:val="46394FC5"/>
    <w:rsid w:val="46402890"/>
    <w:rsid w:val="46481EA6"/>
    <w:rsid w:val="465D2233"/>
    <w:rsid w:val="46A9442C"/>
    <w:rsid w:val="46CE7B4A"/>
    <w:rsid w:val="46EC3316"/>
    <w:rsid w:val="46F30DEA"/>
    <w:rsid w:val="47163BC5"/>
    <w:rsid w:val="47296992"/>
    <w:rsid w:val="474358CD"/>
    <w:rsid w:val="477B1121"/>
    <w:rsid w:val="47857C94"/>
    <w:rsid w:val="479003E6"/>
    <w:rsid w:val="47AB5220"/>
    <w:rsid w:val="47C43AD8"/>
    <w:rsid w:val="47E90696"/>
    <w:rsid w:val="47F9224C"/>
    <w:rsid w:val="48405748"/>
    <w:rsid w:val="48C31B78"/>
    <w:rsid w:val="48E05DC2"/>
    <w:rsid w:val="49147BBC"/>
    <w:rsid w:val="491A38BA"/>
    <w:rsid w:val="49295A84"/>
    <w:rsid w:val="494B6CBB"/>
    <w:rsid w:val="494D2A33"/>
    <w:rsid w:val="49597D95"/>
    <w:rsid w:val="4961203A"/>
    <w:rsid w:val="496E6505"/>
    <w:rsid w:val="497E61A7"/>
    <w:rsid w:val="499E0EE2"/>
    <w:rsid w:val="4A0A0505"/>
    <w:rsid w:val="4A1C313C"/>
    <w:rsid w:val="4A330397"/>
    <w:rsid w:val="4A36378E"/>
    <w:rsid w:val="4A5A3051"/>
    <w:rsid w:val="4A651D8A"/>
    <w:rsid w:val="4A823358"/>
    <w:rsid w:val="4A873D23"/>
    <w:rsid w:val="4AA77F21"/>
    <w:rsid w:val="4AA8337A"/>
    <w:rsid w:val="4AC07235"/>
    <w:rsid w:val="4AC46D25"/>
    <w:rsid w:val="4AF15640"/>
    <w:rsid w:val="4B072CBC"/>
    <w:rsid w:val="4B1E1EF5"/>
    <w:rsid w:val="4B294DDA"/>
    <w:rsid w:val="4B524331"/>
    <w:rsid w:val="4B7C0C17"/>
    <w:rsid w:val="4BD905AE"/>
    <w:rsid w:val="4BEB6533"/>
    <w:rsid w:val="4C1A4486"/>
    <w:rsid w:val="4C1C493F"/>
    <w:rsid w:val="4C36393B"/>
    <w:rsid w:val="4C3F6403"/>
    <w:rsid w:val="4C61141F"/>
    <w:rsid w:val="4C7B4735"/>
    <w:rsid w:val="4C90449D"/>
    <w:rsid w:val="4C947DF8"/>
    <w:rsid w:val="4CC052CA"/>
    <w:rsid w:val="4CCF7493"/>
    <w:rsid w:val="4CFC7BF8"/>
    <w:rsid w:val="4D3F6B37"/>
    <w:rsid w:val="4D616AAD"/>
    <w:rsid w:val="4D747620"/>
    <w:rsid w:val="4DA4699A"/>
    <w:rsid w:val="4DBC3CE3"/>
    <w:rsid w:val="4E436DAA"/>
    <w:rsid w:val="4E636855"/>
    <w:rsid w:val="4EB90223"/>
    <w:rsid w:val="4EE70254"/>
    <w:rsid w:val="4EF725DE"/>
    <w:rsid w:val="4F0040A4"/>
    <w:rsid w:val="4F0D12D1"/>
    <w:rsid w:val="4F1B2C8C"/>
    <w:rsid w:val="4F1D43F5"/>
    <w:rsid w:val="4F451A18"/>
    <w:rsid w:val="4F701229"/>
    <w:rsid w:val="4FE70DC0"/>
    <w:rsid w:val="4FF541A5"/>
    <w:rsid w:val="500439ED"/>
    <w:rsid w:val="500B71A4"/>
    <w:rsid w:val="50100316"/>
    <w:rsid w:val="50171FFE"/>
    <w:rsid w:val="505D788E"/>
    <w:rsid w:val="50696BE9"/>
    <w:rsid w:val="5073598C"/>
    <w:rsid w:val="50854D82"/>
    <w:rsid w:val="50AC44E3"/>
    <w:rsid w:val="50CC248F"/>
    <w:rsid w:val="50D47596"/>
    <w:rsid w:val="510F73B8"/>
    <w:rsid w:val="51173258"/>
    <w:rsid w:val="511906D8"/>
    <w:rsid w:val="513918A9"/>
    <w:rsid w:val="51AE6039"/>
    <w:rsid w:val="51BC69A8"/>
    <w:rsid w:val="51DB6702"/>
    <w:rsid w:val="520D1996"/>
    <w:rsid w:val="52243FD9"/>
    <w:rsid w:val="523C0389"/>
    <w:rsid w:val="523F1387"/>
    <w:rsid w:val="524F6C1C"/>
    <w:rsid w:val="5299440A"/>
    <w:rsid w:val="529C1F4C"/>
    <w:rsid w:val="52A0797E"/>
    <w:rsid w:val="52B37355"/>
    <w:rsid w:val="52CC3939"/>
    <w:rsid w:val="53255C65"/>
    <w:rsid w:val="53422616"/>
    <w:rsid w:val="534C5B09"/>
    <w:rsid w:val="534C78B7"/>
    <w:rsid w:val="53657FAA"/>
    <w:rsid w:val="536966BB"/>
    <w:rsid w:val="53755060"/>
    <w:rsid w:val="53947D10"/>
    <w:rsid w:val="539574B0"/>
    <w:rsid w:val="539F391C"/>
    <w:rsid w:val="53BB3768"/>
    <w:rsid w:val="53BF62DB"/>
    <w:rsid w:val="53CF1530"/>
    <w:rsid w:val="53E915AA"/>
    <w:rsid w:val="53F229C4"/>
    <w:rsid w:val="53FC6842"/>
    <w:rsid w:val="541020D0"/>
    <w:rsid w:val="54C811C0"/>
    <w:rsid w:val="550E1AB0"/>
    <w:rsid w:val="55384597"/>
    <w:rsid w:val="553E1482"/>
    <w:rsid w:val="558E065B"/>
    <w:rsid w:val="55982432"/>
    <w:rsid w:val="55AE2FE0"/>
    <w:rsid w:val="55B055F7"/>
    <w:rsid w:val="55B07143"/>
    <w:rsid w:val="55B31E70"/>
    <w:rsid w:val="55CB7312"/>
    <w:rsid w:val="55CC6FE2"/>
    <w:rsid w:val="55D305EA"/>
    <w:rsid w:val="55D911AB"/>
    <w:rsid w:val="55E634FA"/>
    <w:rsid w:val="55F06C20"/>
    <w:rsid w:val="55FF3307"/>
    <w:rsid w:val="56206DD9"/>
    <w:rsid w:val="56332FB1"/>
    <w:rsid w:val="56350AD7"/>
    <w:rsid w:val="56780F70"/>
    <w:rsid w:val="569071B7"/>
    <w:rsid w:val="56921A85"/>
    <w:rsid w:val="569B0C33"/>
    <w:rsid w:val="56B03579"/>
    <w:rsid w:val="56D30863"/>
    <w:rsid w:val="56E156E0"/>
    <w:rsid w:val="572B4D8F"/>
    <w:rsid w:val="57435475"/>
    <w:rsid w:val="576207EF"/>
    <w:rsid w:val="579B0E0D"/>
    <w:rsid w:val="57A2701C"/>
    <w:rsid w:val="57E1369E"/>
    <w:rsid w:val="57FB5D50"/>
    <w:rsid w:val="581408D2"/>
    <w:rsid w:val="58195538"/>
    <w:rsid w:val="581A7F84"/>
    <w:rsid w:val="581B5AAA"/>
    <w:rsid w:val="58242D3F"/>
    <w:rsid w:val="588C69A8"/>
    <w:rsid w:val="588D4FD4"/>
    <w:rsid w:val="58A67DD1"/>
    <w:rsid w:val="58AE691E"/>
    <w:rsid w:val="58BC54DF"/>
    <w:rsid w:val="58DC348C"/>
    <w:rsid w:val="590E1043"/>
    <w:rsid w:val="591470C9"/>
    <w:rsid w:val="59360232"/>
    <w:rsid w:val="594F1802"/>
    <w:rsid w:val="595D1073"/>
    <w:rsid w:val="599B6EA3"/>
    <w:rsid w:val="59AA20A3"/>
    <w:rsid w:val="59BA488B"/>
    <w:rsid w:val="59BE4D82"/>
    <w:rsid w:val="59DF3163"/>
    <w:rsid w:val="59E76027"/>
    <w:rsid w:val="59EF3692"/>
    <w:rsid w:val="5A17647C"/>
    <w:rsid w:val="5A494B51"/>
    <w:rsid w:val="5A5B6371"/>
    <w:rsid w:val="5A6269F6"/>
    <w:rsid w:val="5A6E626C"/>
    <w:rsid w:val="5A726E70"/>
    <w:rsid w:val="5A76346C"/>
    <w:rsid w:val="5A8C0EE1"/>
    <w:rsid w:val="5AAC50E0"/>
    <w:rsid w:val="5AB50438"/>
    <w:rsid w:val="5ABC78D6"/>
    <w:rsid w:val="5AC9234B"/>
    <w:rsid w:val="5AF26F96"/>
    <w:rsid w:val="5B0B1F4A"/>
    <w:rsid w:val="5B0C1384"/>
    <w:rsid w:val="5B157129"/>
    <w:rsid w:val="5B2B4256"/>
    <w:rsid w:val="5B3B0645"/>
    <w:rsid w:val="5B3D2E36"/>
    <w:rsid w:val="5B5C6B06"/>
    <w:rsid w:val="5B760FC6"/>
    <w:rsid w:val="5B793214"/>
    <w:rsid w:val="5BB22BCA"/>
    <w:rsid w:val="5BDD7C46"/>
    <w:rsid w:val="5BF46D3E"/>
    <w:rsid w:val="5C1949F7"/>
    <w:rsid w:val="5C3C7C1F"/>
    <w:rsid w:val="5C5E240A"/>
    <w:rsid w:val="5C61573A"/>
    <w:rsid w:val="5C86505D"/>
    <w:rsid w:val="5CAA564F"/>
    <w:rsid w:val="5CB4181A"/>
    <w:rsid w:val="5D221689"/>
    <w:rsid w:val="5D572184"/>
    <w:rsid w:val="5D6D0B56"/>
    <w:rsid w:val="5DA50E56"/>
    <w:rsid w:val="5DBB3D64"/>
    <w:rsid w:val="5DC32E6C"/>
    <w:rsid w:val="5DEA0D17"/>
    <w:rsid w:val="5DF35EC1"/>
    <w:rsid w:val="5E0A0A9B"/>
    <w:rsid w:val="5E1B4A56"/>
    <w:rsid w:val="5E1F7F77"/>
    <w:rsid w:val="5E2C6B0B"/>
    <w:rsid w:val="5E350885"/>
    <w:rsid w:val="5E4A533B"/>
    <w:rsid w:val="5E8E347A"/>
    <w:rsid w:val="5E9071F2"/>
    <w:rsid w:val="5EC0115A"/>
    <w:rsid w:val="5EC56770"/>
    <w:rsid w:val="5EDA1E95"/>
    <w:rsid w:val="5F021772"/>
    <w:rsid w:val="5F3B723E"/>
    <w:rsid w:val="5F4D50E3"/>
    <w:rsid w:val="5F9434FB"/>
    <w:rsid w:val="5FBC1D61"/>
    <w:rsid w:val="5FE61094"/>
    <w:rsid w:val="602F6597"/>
    <w:rsid w:val="60341DFF"/>
    <w:rsid w:val="60583D40"/>
    <w:rsid w:val="6074484D"/>
    <w:rsid w:val="60986577"/>
    <w:rsid w:val="60997EB4"/>
    <w:rsid w:val="609E4293"/>
    <w:rsid w:val="60B91793"/>
    <w:rsid w:val="60BB7E2A"/>
    <w:rsid w:val="611840B4"/>
    <w:rsid w:val="61491141"/>
    <w:rsid w:val="617D3332"/>
    <w:rsid w:val="61856F4B"/>
    <w:rsid w:val="61A354CB"/>
    <w:rsid w:val="61C947C9"/>
    <w:rsid w:val="61CB28D4"/>
    <w:rsid w:val="61DD7D09"/>
    <w:rsid w:val="62206ADF"/>
    <w:rsid w:val="62233ED9"/>
    <w:rsid w:val="622508C3"/>
    <w:rsid w:val="622C2814"/>
    <w:rsid w:val="62377985"/>
    <w:rsid w:val="6242791B"/>
    <w:rsid w:val="62445CF4"/>
    <w:rsid w:val="6254011E"/>
    <w:rsid w:val="627B3D15"/>
    <w:rsid w:val="628D57F7"/>
    <w:rsid w:val="62A0693E"/>
    <w:rsid w:val="62C51434"/>
    <w:rsid w:val="62DF24F6"/>
    <w:rsid w:val="62F51D1A"/>
    <w:rsid w:val="63040DEB"/>
    <w:rsid w:val="630D44D3"/>
    <w:rsid w:val="6332277A"/>
    <w:rsid w:val="63377F9B"/>
    <w:rsid w:val="6377539F"/>
    <w:rsid w:val="63874421"/>
    <w:rsid w:val="639A466F"/>
    <w:rsid w:val="63A159FD"/>
    <w:rsid w:val="63CC3EBF"/>
    <w:rsid w:val="63D005C6"/>
    <w:rsid w:val="643979E4"/>
    <w:rsid w:val="64430863"/>
    <w:rsid w:val="64436AB5"/>
    <w:rsid w:val="645760BC"/>
    <w:rsid w:val="64943EBC"/>
    <w:rsid w:val="64B10351"/>
    <w:rsid w:val="64B14444"/>
    <w:rsid w:val="64E9765C"/>
    <w:rsid w:val="651A5A67"/>
    <w:rsid w:val="652F2B95"/>
    <w:rsid w:val="65387C9C"/>
    <w:rsid w:val="65497F54"/>
    <w:rsid w:val="65671A00"/>
    <w:rsid w:val="656D3290"/>
    <w:rsid w:val="657C6E6C"/>
    <w:rsid w:val="65866769"/>
    <w:rsid w:val="658E3D60"/>
    <w:rsid w:val="65C633A0"/>
    <w:rsid w:val="65DA6FA5"/>
    <w:rsid w:val="65ED4F2A"/>
    <w:rsid w:val="66000A43"/>
    <w:rsid w:val="661A1A97"/>
    <w:rsid w:val="66252916"/>
    <w:rsid w:val="663A2BAA"/>
    <w:rsid w:val="663D12E2"/>
    <w:rsid w:val="6646288C"/>
    <w:rsid w:val="666353C4"/>
    <w:rsid w:val="66725C36"/>
    <w:rsid w:val="6679056C"/>
    <w:rsid w:val="66A17AC3"/>
    <w:rsid w:val="66AA6977"/>
    <w:rsid w:val="66B772E6"/>
    <w:rsid w:val="66CC4DA2"/>
    <w:rsid w:val="66DA4EFD"/>
    <w:rsid w:val="66E53E53"/>
    <w:rsid w:val="66EA1965"/>
    <w:rsid w:val="67092D98"/>
    <w:rsid w:val="671309C0"/>
    <w:rsid w:val="67193D15"/>
    <w:rsid w:val="671D183F"/>
    <w:rsid w:val="67286922"/>
    <w:rsid w:val="67603D36"/>
    <w:rsid w:val="679715F1"/>
    <w:rsid w:val="67987117"/>
    <w:rsid w:val="679D028A"/>
    <w:rsid w:val="67A77295"/>
    <w:rsid w:val="67AB5867"/>
    <w:rsid w:val="67E24432"/>
    <w:rsid w:val="67E94DF6"/>
    <w:rsid w:val="68203328"/>
    <w:rsid w:val="6832131A"/>
    <w:rsid w:val="683A3D2B"/>
    <w:rsid w:val="6841330B"/>
    <w:rsid w:val="685272C6"/>
    <w:rsid w:val="68550B65"/>
    <w:rsid w:val="685968A7"/>
    <w:rsid w:val="68E76220"/>
    <w:rsid w:val="690F6F65"/>
    <w:rsid w:val="69224EEB"/>
    <w:rsid w:val="69817558"/>
    <w:rsid w:val="69B813AB"/>
    <w:rsid w:val="69F83E9D"/>
    <w:rsid w:val="6A06093A"/>
    <w:rsid w:val="6A1011E7"/>
    <w:rsid w:val="6A3959D9"/>
    <w:rsid w:val="6A771837"/>
    <w:rsid w:val="6AA06E52"/>
    <w:rsid w:val="6ABF6769"/>
    <w:rsid w:val="6AEF6ECA"/>
    <w:rsid w:val="6B1940CB"/>
    <w:rsid w:val="6B573CA8"/>
    <w:rsid w:val="6B6932A5"/>
    <w:rsid w:val="6B8D6AB0"/>
    <w:rsid w:val="6B8F271D"/>
    <w:rsid w:val="6B935963"/>
    <w:rsid w:val="6BA918F3"/>
    <w:rsid w:val="6BC03649"/>
    <w:rsid w:val="6BCF7DC1"/>
    <w:rsid w:val="6BD44496"/>
    <w:rsid w:val="6C02112D"/>
    <w:rsid w:val="6C2446F9"/>
    <w:rsid w:val="6C2B67AC"/>
    <w:rsid w:val="6C334C7B"/>
    <w:rsid w:val="6C4B29AA"/>
    <w:rsid w:val="6CA47003"/>
    <w:rsid w:val="6CC938CF"/>
    <w:rsid w:val="6CCD1562"/>
    <w:rsid w:val="6CD01102"/>
    <w:rsid w:val="6CE24AEE"/>
    <w:rsid w:val="6CF65CB6"/>
    <w:rsid w:val="6D015509"/>
    <w:rsid w:val="6D0739F4"/>
    <w:rsid w:val="6D3A657B"/>
    <w:rsid w:val="6D655CEE"/>
    <w:rsid w:val="6D75484E"/>
    <w:rsid w:val="6D967C55"/>
    <w:rsid w:val="6DD20F3C"/>
    <w:rsid w:val="6DF15854"/>
    <w:rsid w:val="6DFB310C"/>
    <w:rsid w:val="6E0A23F1"/>
    <w:rsid w:val="6E35746E"/>
    <w:rsid w:val="6E3A0F28"/>
    <w:rsid w:val="6E3D6323"/>
    <w:rsid w:val="6E3E7A5F"/>
    <w:rsid w:val="6E580410"/>
    <w:rsid w:val="6E837C6A"/>
    <w:rsid w:val="6E895767"/>
    <w:rsid w:val="6EC06CF5"/>
    <w:rsid w:val="6EE1169E"/>
    <w:rsid w:val="6EF838D8"/>
    <w:rsid w:val="6F4D6A39"/>
    <w:rsid w:val="6F751AEC"/>
    <w:rsid w:val="6F94407E"/>
    <w:rsid w:val="6F975F07"/>
    <w:rsid w:val="6F992CB0"/>
    <w:rsid w:val="6FA7439C"/>
    <w:rsid w:val="6FAA3E8C"/>
    <w:rsid w:val="701461F9"/>
    <w:rsid w:val="70271906"/>
    <w:rsid w:val="70585696"/>
    <w:rsid w:val="70925F01"/>
    <w:rsid w:val="709D28A4"/>
    <w:rsid w:val="70A639E7"/>
    <w:rsid w:val="70B41E8F"/>
    <w:rsid w:val="70F93C79"/>
    <w:rsid w:val="70FB773A"/>
    <w:rsid w:val="7121200D"/>
    <w:rsid w:val="713D717D"/>
    <w:rsid w:val="71912F36"/>
    <w:rsid w:val="71BE777B"/>
    <w:rsid w:val="71CC19A8"/>
    <w:rsid w:val="71E27C4C"/>
    <w:rsid w:val="71EF5B86"/>
    <w:rsid w:val="71FB53D1"/>
    <w:rsid w:val="721038CA"/>
    <w:rsid w:val="72251164"/>
    <w:rsid w:val="722C4F16"/>
    <w:rsid w:val="723E0FD1"/>
    <w:rsid w:val="72473C14"/>
    <w:rsid w:val="7285321E"/>
    <w:rsid w:val="728C5ACB"/>
    <w:rsid w:val="72B21821"/>
    <w:rsid w:val="72C16247"/>
    <w:rsid w:val="72CE1FD6"/>
    <w:rsid w:val="72F974B7"/>
    <w:rsid w:val="7313416E"/>
    <w:rsid w:val="731955B0"/>
    <w:rsid w:val="736600CA"/>
    <w:rsid w:val="73860D96"/>
    <w:rsid w:val="73927111"/>
    <w:rsid w:val="73DA58ED"/>
    <w:rsid w:val="73E96AFF"/>
    <w:rsid w:val="74324450"/>
    <w:rsid w:val="744F5002"/>
    <w:rsid w:val="7452521E"/>
    <w:rsid w:val="74740571"/>
    <w:rsid w:val="748B5FFF"/>
    <w:rsid w:val="748F5C0A"/>
    <w:rsid w:val="749307B4"/>
    <w:rsid w:val="74965E9C"/>
    <w:rsid w:val="74B82EAB"/>
    <w:rsid w:val="74DD46F3"/>
    <w:rsid w:val="74E70CEB"/>
    <w:rsid w:val="751653F3"/>
    <w:rsid w:val="75306BE1"/>
    <w:rsid w:val="75610B49"/>
    <w:rsid w:val="75630D65"/>
    <w:rsid w:val="75A43097"/>
    <w:rsid w:val="75BE3917"/>
    <w:rsid w:val="75D67789"/>
    <w:rsid w:val="75D92DD5"/>
    <w:rsid w:val="75E55DBE"/>
    <w:rsid w:val="764D37C3"/>
    <w:rsid w:val="764E6586"/>
    <w:rsid w:val="769D2953"/>
    <w:rsid w:val="76C21ABB"/>
    <w:rsid w:val="76D37824"/>
    <w:rsid w:val="77301AEB"/>
    <w:rsid w:val="7753702C"/>
    <w:rsid w:val="779D7E32"/>
    <w:rsid w:val="779F122B"/>
    <w:rsid w:val="77B55B88"/>
    <w:rsid w:val="77BA09E4"/>
    <w:rsid w:val="77D00208"/>
    <w:rsid w:val="77E36B17"/>
    <w:rsid w:val="782B70B0"/>
    <w:rsid w:val="78362761"/>
    <w:rsid w:val="786A240A"/>
    <w:rsid w:val="788A70F3"/>
    <w:rsid w:val="78CF04BF"/>
    <w:rsid w:val="78FD327E"/>
    <w:rsid w:val="790068CB"/>
    <w:rsid w:val="791365FE"/>
    <w:rsid w:val="793705F6"/>
    <w:rsid w:val="79390854"/>
    <w:rsid w:val="793C38E0"/>
    <w:rsid w:val="794F0DB0"/>
    <w:rsid w:val="795135CA"/>
    <w:rsid w:val="795D0F5E"/>
    <w:rsid w:val="797D616D"/>
    <w:rsid w:val="799F4335"/>
    <w:rsid w:val="79E306C6"/>
    <w:rsid w:val="79E86200"/>
    <w:rsid w:val="7A0422BB"/>
    <w:rsid w:val="7A083C89"/>
    <w:rsid w:val="7A0F3269"/>
    <w:rsid w:val="7A1E13BB"/>
    <w:rsid w:val="7A4822D7"/>
    <w:rsid w:val="7A5F5873"/>
    <w:rsid w:val="7A9B3AA1"/>
    <w:rsid w:val="7AA82DC9"/>
    <w:rsid w:val="7AB72BBD"/>
    <w:rsid w:val="7ABA6D2A"/>
    <w:rsid w:val="7AD973D3"/>
    <w:rsid w:val="7AE85F45"/>
    <w:rsid w:val="7B057924"/>
    <w:rsid w:val="7B0F7299"/>
    <w:rsid w:val="7B2014A6"/>
    <w:rsid w:val="7B384B94"/>
    <w:rsid w:val="7B4A02D1"/>
    <w:rsid w:val="7B4B59E7"/>
    <w:rsid w:val="7B520869"/>
    <w:rsid w:val="7B5F1FCE"/>
    <w:rsid w:val="7B615D46"/>
    <w:rsid w:val="7B780418"/>
    <w:rsid w:val="7B796BB0"/>
    <w:rsid w:val="7BAF71A0"/>
    <w:rsid w:val="7BBF4A30"/>
    <w:rsid w:val="7BC23531"/>
    <w:rsid w:val="7BC65BA9"/>
    <w:rsid w:val="7C0A7E63"/>
    <w:rsid w:val="7C25698E"/>
    <w:rsid w:val="7C7575D0"/>
    <w:rsid w:val="7C831CEC"/>
    <w:rsid w:val="7CA34F84"/>
    <w:rsid w:val="7CC540B3"/>
    <w:rsid w:val="7CD9190C"/>
    <w:rsid w:val="7CE85F9E"/>
    <w:rsid w:val="7D23174B"/>
    <w:rsid w:val="7D512D9B"/>
    <w:rsid w:val="7D527B42"/>
    <w:rsid w:val="7D56787C"/>
    <w:rsid w:val="7D6C2781"/>
    <w:rsid w:val="7D851A94"/>
    <w:rsid w:val="7D9A5540"/>
    <w:rsid w:val="7DA017BC"/>
    <w:rsid w:val="7DBF477A"/>
    <w:rsid w:val="7DC205F3"/>
    <w:rsid w:val="7E296D89"/>
    <w:rsid w:val="7E3037AE"/>
    <w:rsid w:val="7E66207E"/>
    <w:rsid w:val="7E8410B6"/>
    <w:rsid w:val="7EB5766F"/>
    <w:rsid w:val="7ECB1729"/>
    <w:rsid w:val="7F120F49"/>
    <w:rsid w:val="7F1907CE"/>
    <w:rsid w:val="7F2B02A2"/>
    <w:rsid w:val="7F4C0ABC"/>
    <w:rsid w:val="7F5300F0"/>
    <w:rsid w:val="7F78540D"/>
    <w:rsid w:val="7F954211"/>
    <w:rsid w:val="7F9A2311"/>
    <w:rsid w:val="7FA02BB5"/>
    <w:rsid w:val="7FC226C9"/>
    <w:rsid w:val="7FDE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0"/>
    <w:pPr>
      <w:jc w:val="left"/>
    </w:pPr>
  </w:style>
  <w:style w:type="paragraph" w:styleId="8">
    <w:name w:val="Salutation"/>
    <w:next w:val="1"/>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index 4"/>
    <w:basedOn w:val="1"/>
    <w:next w:val="1"/>
    <w:qFormat/>
    <w:uiPriority w:val="0"/>
    <w:pPr>
      <w:ind w:left="600" w:leftChars="600"/>
    </w:pPr>
  </w:style>
  <w:style w:type="paragraph" w:styleId="12">
    <w:name w:val="Plain Text"/>
    <w:basedOn w:val="1"/>
    <w:qFormat/>
    <w:uiPriority w:val="0"/>
    <w:rPr>
      <w:rFonts w:hint="eastAsia"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envelope return"/>
    <w:basedOn w:val="1"/>
    <w:qFormat/>
    <w:uiPriority w:val="99"/>
    <w:rPr>
      <w:rFonts w:ascii="Arial" w:hAnsi="Arial" w:cs="Arial"/>
      <w:kern w:val="1"/>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7">
    <w:name w:val="footnote text"/>
    <w:basedOn w:val="1"/>
    <w:next w:val="15"/>
    <w:unhideWhenUsed/>
    <w:qFormat/>
    <w:uiPriority w:val="0"/>
    <w:pPr>
      <w:snapToGrid w:val="0"/>
      <w:jc w:val="left"/>
    </w:pPr>
  </w:style>
  <w:style w:type="paragraph" w:styleId="18">
    <w:name w:val="Title"/>
    <w:basedOn w:val="1"/>
    <w:next w:val="1"/>
    <w:qFormat/>
    <w:uiPriority w:val="0"/>
    <w:pPr>
      <w:jc w:val="center"/>
      <w:outlineLvl w:val="0"/>
    </w:pPr>
    <w:rPr>
      <w:b/>
      <w:sz w:val="32"/>
      <w:szCs w:val="20"/>
    </w:rPr>
  </w:style>
  <w:style w:type="paragraph" w:styleId="19">
    <w:name w:val="Body Text First Indent"/>
    <w:basedOn w:val="9"/>
    <w:qFormat/>
    <w:uiPriority w:val="0"/>
    <w:pPr>
      <w:spacing w:line="240" w:lineRule="auto"/>
      <w:ind w:firstLine="420" w:firstLineChars="100"/>
    </w:pPr>
  </w:style>
  <w:style w:type="paragraph" w:styleId="20">
    <w:name w:val="Body Text First Indent 2"/>
    <w:basedOn w:val="10"/>
    <w:qFormat/>
    <w:uiPriority w:val="0"/>
    <w:pPr>
      <w:spacing w:after="120" w:line="480" w:lineRule="exact"/>
      <w:ind w:left="420" w:leftChars="200" w:firstLine="420" w:firstLineChars="200"/>
    </w:pPr>
    <w:rPr>
      <w:szCs w:val="20"/>
    </w:rPr>
  </w:style>
  <w:style w:type="table" w:styleId="22">
    <w:name w:val="Table Grid"/>
    <w:basedOn w:val="2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99"/>
    <w:rPr>
      <w:rFonts w:cs="Times New Roman"/>
      <w:b/>
    </w:rPr>
  </w:style>
  <w:style w:type="character" w:styleId="25">
    <w:name w:val="page number"/>
    <w:basedOn w:val="23"/>
    <w:qFormat/>
    <w:uiPriority w:val="0"/>
  </w:style>
  <w:style w:type="character" w:styleId="26">
    <w:name w:val="Hyperlink"/>
    <w:qFormat/>
    <w:uiPriority w:val="99"/>
    <w:rPr>
      <w:color w:val="0000FF"/>
      <w:u w:val="single"/>
    </w:rPr>
  </w:style>
  <w:style w:type="paragraph" w:customStyle="1" w:styleId="2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8">
    <w:name w:val="图例"/>
    <w:basedOn w:val="1"/>
    <w:qFormat/>
    <w:uiPriority w:val="0"/>
    <w:pPr>
      <w:spacing w:before="120" w:after="120" w:line="360" w:lineRule="auto"/>
      <w:jc w:val="center"/>
    </w:pPr>
    <w:rPr>
      <w:rFonts w:eastAsia="仿宋_GB2312"/>
      <w:b/>
      <w:sz w:val="24"/>
      <w:szCs w:val="20"/>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1">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2">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33">
    <w:name w:val="Table Text"/>
    <w:basedOn w:val="1"/>
    <w:semiHidden/>
    <w:qFormat/>
    <w:uiPriority w:val="0"/>
    <w:rPr>
      <w:rFonts w:ascii="Arial" w:hAnsi="Arial" w:eastAsia="Arial" w:cs="Arial"/>
      <w:szCs w:val="21"/>
      <w:lang w:eastAsia="en-US"/>
    </w:rPr>
  </w:style>
  <w:style w:type="character" w:customStyle="1" w:styleId="34">
    <w:name w:val="font11"/>
    <w:basedOn w:val="23"/>
    <w:qFormat/>
    <w:uiPriority w:val="0"/>
    <w:rPr>
      <w:rFonts w:hint="eastAsia" w:ascii="宋体" w:hAnsi="宋体" w:eastAsia="宋体" w:cs="宋体"/>
      <w:color w:val="000000"/>
      <w:sz w:val="21"/>
      <w:szCs w:val="21"/>
      <w:u w:val="none"/>
    </w:rPr>
  </w:style>
  <w:style w:type="character" w:customStyle="1" w:styleId="35">
    <w:name w:val="font01"/>
    <w:basedOn w:val="23"/>
    <w:qFormat/>
    <w:uiPriority w:val="0"/>
    <w:rPr>
      <w:rFonts w:hint="eastAsia" w:ascii="宋体" w:hAnsi="宋体" w:eastAsia="宋体" w:cs="宋体"/>
      <w:color w:val="000000"/>
      <w:sz w:val="22"/>
      <w:szCs w:val="22"/>
      <w:u w:val="none"/>
    </w:rPr>
  </w:style>
  <w:style w:type="paragraph" w:styleId="36">
    <w:name w:val="No Spacing"/>
    <w:qFormat/>
    <w:uiPriority w:val="1"/>
    <w:pPr>
      <w:widowControl w:val="0"/>
      <w:jc w:val="both"/>
    </w:pPr>
    <w:rPr>
      <w:rFonts w:ascii="Calibri Light" w:hAnsi="Calibri Light" w:eastAsia="Arial Unicode MS" w:cs="Arial Unicode MS"/>
      <w:color w:val="000000"/>
      <w:sz w:val="22"/>
      <w:szCs w:val="22"/>
      <w:lang w:val="en-US" w:eastAsia="zh-CN" w:bidi="ar-SA"/>
    </w:rPr>
  </w:style>
  <w:style w:type="paragraph" w:customStyle="1" w:styleId="37">
    <w:name w:val="列出段落1"/>
    <w:basedOn w:val="1"/>
    <w:qFormat/>
    <w:uiPriority w:val="34"/>
    <w:pPr>
      <w:widowControl w:val="0"/>
      <w:spacing w:after="0" w:line="240" w:lineRule="auto"/>
      <w:ind w:firstLine="420" w:firstLineChars="200"/>
      <w:jc w:val="both"/>
    </w:pPr>
    <w:rPr>
      <w:rFonts w:ascii="Calibri" w:hAnsi="Calibri" w:eastAsia="宋体" w:cs="Calibri"/>
      <w:kern w:val="2"/>
      <w:sz w:val="21"/>
      <w:lang w:eastAsia="zh-CN"/>
    </w:rPr>
  </w:style>
  <w:style w:type="character" w:customStyle="1" w:styleId="38">
    <w:name w:val="None"/>
    <w:qFormat/>
    <w:uiPriority w:val="0"/>
  </w:style>
  <w:style w:type="character" w:customStyle="1" w:styleId="39">
    <w:name w:val="Hyperlink.1"/>
    <w:qFormat/>
    <w:uiPriority w:val="0"/>
    <w:rPr>
      <w:color w:val="000000"/>
      <w:lang w:val="en-US"/>
    </w:rPr>
  </w:style>
  <w:style w:type="character" w:customStyle="1" w:styleId="40">
    <w:name w:val="font61"/>
    <w:basedOn w:val="23"/>
    <w:qFormat/>
    <w:uiPriority w:val="0"/>
    <w:rPr>
      <w:rFonts w:ascii="仿宋_GB2312" w:eastAsia="仿宋_GB2312" w:cs="仿宋_GB2312"/>
      <w:color w:val="000000"/>
      <w:sz w:val="22"/>
      <w:szCs w:val="22"/>
      <w:u w:val="none"/>
    </w:rPr>
  </w:style>
  <w:style w:type="character" w:customStyle="1" w:styleId="41">
    <w:name w:val="font71"/>
    <w:basedOn w:val="23"/>
    <w:qFormat/>
    <w:uiPriority w:val="0"/>
    <w:rPr>
      <w:rFonts w:hint="eastAsia" w:ascii="仿宋_GB2312" w:eastAsia="仿宋_GB2312" w:cs="仿宋_GB2312"/>
      <w:color w:val="000000"/>
      <w:sz w:val="22"/>
      <w:szCs w:val="22"/>
      <w:u w:val="none"/>
    </w:rPr>
  </w:style>
  <w:style w:type="character" w:customStyle="1" w:styleId="42">
    <w:name w:val="font41"/>
    <w:basedOn w:val="23"/>
    <w:qFormat/>
    <w:uiPriority w:val="0"/>
    <w:rPr>
      <w:rFonts w:hint="default" w:ascii="Times New Roman" w:hAnsi="Times New Roman" w:cs="Times New Roman"/>
      <w:color w:val="000000"/>
      <w:sz w:val="22"/>
      <w:szCs w:val="22"/>
      <w:u w:val="none"/>
    </w:rPr>
  </w:style>
  <w:style w:type="paragraph" w:customStyle="1" w:styleId="43">
    <w:name w:val="正文 缩进2字符"/>
    <w:basedOn w:val="1"/>
    <w:qFormat/>
    <w:uiPriority w:val="0"/>
    <w:pPr>
      <w:spacing w:line="288" w:lineRule="auto"/>
    </w:pPr>
    <w:rPr>
      <w:rFonts w:ascii="宋体" w:hAnsi="宋体"/>
      <w:sz w:val="28"/>
      <w:szCs w:val="28"/>
    </w:rPr>
  </w:style>
  <w:style w:type="paragraph" w:customStyle="1" w:styleId="44">
    <w:name w:val="大标题"/>
    <w:qFormat/>
    <w:uiPriority w:val="0"/>
    <w:pPr>
      <w:widowControl w:val="0"/>
      <w:autoSpaceDE w:val="0"/>
      <w:autoSpaceDN w:val="0"/>
      <w:spacing w:before="100" w:beforeAutospacing="1" w:after="100" w:afterAutospacing="1" w:line="360" w:lineRule="auto"/>
      <w:jc w:val="left"/>
    </w:pPr>
    <w:rPr>
      <w:rFonts w:ascii="宋体" w:hAnsi="Times New Roman" w:eastAsia="宋体" w:cs="Arial"/>
      <w:b/>
      <w:kern w:val="2"/>
      <w:sz w:val="32"/>
      <w:szCs w:val="32"/>
      <w:lang w:val="en-US" w:eastAsia="zh-CN" w:bidi="ar-SA"/>
    </w:rPr>
  </w:style>
  <w:style w:type="table" w:customStyle="1" w:styleId="45">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6">
    <w:name w:val="标题 1 字符"/>
    <w:link w:val="2"/>
    <w:qFormat/>
    <w:uiPriority w:val="0"/>
    <w:rPr>
      <w:b/>
      <w:kern w:val="44"/>
      <w:sz w:val="44"/>
    </w:rPr>
  </w:style>
  <w:style w:type="paragraph" w:customStyle="1" w:styleId="47">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19435</Words>
  <Characters>20846</Characters>
  <Lines>244</Lines>
  <Paragraphs>68</Paragraphs>
  <TotalTime>17</TotalTime>
  <ScaleCrop>false</ScaleCrop>
  <LinksUpToDate>false</LinksUpToDate>
  <CharactersWithSpaces>21162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2023-09-04T04:14:00Z</dcterms:created>
  <dc:creator>LENOVO</dc:creator>
  <cp:lastModifiedBy>久驻</cp:lastModifiedBy>
  <cp:lastPrinted>2024-12-20T06:32:00Z</cp:lastPrinted>
  <dcterms:modified xsi:type="dcterms:W3CDTF">2025-12-04T07:01:58Z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42B3E52A225E488283E5F04005A6F72C_13</vt:lpwstr>
  </property>
  <property fmtid="{D5CDD505-2E9C-101B-9397-08002B2CF9AE}" pid="4" name="KSOTemplateDocerSaveRecord">
    <vt:lpwstr>eyJoZGlkIjoiNmVmM2NkNjU2MTYzNTZmNGRjMDhjMWFhZWNlZDAzZGYiLCJ1c2VySWQiOiI0MDA2Njc2MzMifQ==</vt:lpwstr>
  </property>
</Properties>
</file>