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门头沟新城北部（双峪门户区）区域综合治理提升项目（龙泉花园社区）</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11010925210200015549-XM001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门头沟区人民政府大峪街道办事处</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北京建龙通达工程管理有限公司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十一</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39</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7" w:type="first"/>
          <w:footerReference r:id="rId9" w:type="first"/>
          <w:headerReference r:id="rId6" w:type="default"/>
          <w:footerReference r:id="rId8"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35393621"/>
      <w:bookmarkStart w:id="3" w:name="_Toc28359002"/>
      <w:bookmarkStart w:id="4" w:name="_Toc28359079"/>
      <w:bookmarkStart w:id="5" w:name="_Toc35393790"/>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11010925210200015549-XM001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门头沟新城北部（双峪门户区）区域综合治理提升项目（龙泉花园社区）</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311.057017</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311.057017</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1"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6"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门头沟新城北部（双峪门户区）区域综合治理提升项目（龙泉花园社区）</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311.057017</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1"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门头沟新城北部（双峪门户区）区域综合治理提升项目（龙泉花园社区）项目包括廊架、花池挡墙、自行车棚、现状自行车棚、社区服务站等综合整治等设计图纸及清单的全部内容。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180日历天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7.本项目是否接受联合体：</w:t>
      </w:r>
      <w:r>
        <w:rPr>
          <w:rFonts w:hint="eastAsia" w:ascii="宋体" w:hAnsi="宋体" w:eastAsia="宋体" w:cs="宋体"/>
          <w:highlight w:val="none"/>
        </w:rPr>
        <w:t xml:space="preserve">□是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35393791"/>
      <w:bookmarkStart w:id="8" w:name="_Toc28359080"/>
      <w:bookmarkStart w:id="9" w:name="_Toc28359003"/>
      <w:bookmarkStart w:id="10" w:name="_Toc35393622"/>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81"/>
      <w:bookmarkStart w:id="12" w:name="_Toc28359004"/>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rPr>
        <w:t>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r>
        <w:rPr>
          <w:rFonts w:hint="eastAsia" w:ascii="宋体" w:hAnsi="宋体" w:eastAsia="宋体" w:cs="宋体"/>
          <w:sz w:val="24"/>
          <w:highlight w:val="none"/>
        </w:rPr>
        <w:t>，公益一类事业单位、使用事业编制且由财政拨款保障的群团组织，不得作为承接主体；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p w14:paraId="2B3BA8AD">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cs="宋体"/>
          <w:sz w:val="24"/>
          <w:highlight w:val="none"/>
        </w:rPr>
        <w:t>（1）</w:t>
      </w:r>
      <w:r>
        <w:rPr>
          <w:rFonts w:hint="eastAsia" w:ascii="宋体" w:hAnsi="宋体"/>
          <w:sz w:val="24"/>
          <w:highlight w:val="none"/>
        </w:rPr>
        <w:t>供应商应具有独立法人资格并依法取得企业营业执照，营业执照处于有效期；</w:t>
      </w:r>
    </w:p>
    <w:p w14:paraId="020AE110">
      <w:pPr>
        <w:pStyle w:val="55"/>
        <w:keepNext w:val="0"/>
        <w:keepLines w:val="0"/>
        <w:pageBreakBefore w:val="0"/>
        <w:kinsoku/>
        <w:wordWrap/>
        <w:overflowPunct/>
        <w:topLinePunct w:val="0"/>
        <w:bidi w:val="0"/>
        <w:spacing w:line="360" w:lineRule="auto"/>
        <w:textAlignment w:val="auto"/>
        <w:rPr>
          <w:highlight w:val="none"/>
        </w:rPr>
      </w:pPr>
      <w:r>
        <w:rPr>
          <w:rFonts w:hint="eastAsia" w:hAnsi="宋体" w:cs="宋体"/>
          <w:sz w:val="24"/>
          <w:szCs w:val="24"/>
          <w:highlight w:val="none"/>
        </w:rPr>
        <w:t>（2）</w:t>
      </w:r>
      <w:r>
        <w:rPr>
          <w:rFonts w:hint="eastAsia" w:hAnsi="宋体"/>
          <w:sz w:val="24"/>
          <w:szCs w:val="24"/>
          <w:highlight w:val="none"/>
        </w:rPr>
        <w:t>外省市施工企业须具有《外省市建筑企业来京施工备案表》且在有效期内；</w:t>
      </w:r>
    </w:p>
    <w:p w14:paraId="28054A17">
      <w:pPr>
        <w:keepNext w:val="0"/>
        <w:keepLines w:val="0"/>
        <w:pageBreakBefore w:val="0"/>
        <w:kinsoku/>
        <w:wordWrap/>
        <w:overflowPunct/>
        <w:topLinePunct w:val="0"/>
        <w:bidi w:val="0"/>
        <w:spacing w:line="360" w:lineRule="auto"/>
        <w:textAlignment w:val="auto"/>
        <w:rPr>
          <w:rFonts w:hint="eastAsia" w:ascii="宋体" w:hAnsi="宋体" w:eastAsia="宋体"/>
          <w:sz w:val="24"/>
          <w:highlight w:val="none"/>
          <w:u w:val="none"/>
          <w:lang w:eastAsia="zh-CN"/>
        </w:rPr>
      </w:pPr>
      <w:r>
        <w:rPr>
          <w:rFonts w:hint="eastAsia" w:ascii="宋体" w:hAnsi="宋体" w:cs="宋体"/>
          <w:sz w:val="24"/>
          <w:highlight w:val="none"/>
        </w:rPr>
        <w:t>（3）</w:t>
      </w:r>
      <w:r>
        <w:rPr>
          <w:rFonts w:hint="eastAsia" w:ascii="宋体" w:hAnsi="宋体"/>
          <w:sz w:val="24"/>
          <w:highlight w:val="none"/>
          <w:lang w:eastAsia="zh-CN"/>
        </w:rPr>
        <w:t>供应商须具备</w:t>
      </w:r>
      <w:r>
        <w:rPr>
          <w:rFonts w:hint="eastAsia" w:ascii="宋体" w:hAnsi="宋体"/>
          <w:sz w:val="24"/>
          <w:highlight w:val="none"/>
          <w:lang w:eastAsia="zh-CN"/>
        </w:rPr>
        <w:t>建筑工程施工总承包三级（</w:t>
      </w:r>
      <w:r>
        <w:rPr>
          <w:rFonts w:hint="eastAsia" w:ascii="宋体" w:hAnsi="宋体"/>
          <w:sz w:val="24"/>
          <w:highlight w:val="none"/>
          <w:lang w:eastAsia="zh-CN"/>
        </w:rPr>
        <w:t>含）以上企业资质，并在人员、设备、资金等方面具有相应的施工能力；</w:t>
      </w:r>
    </w:p>
    <w:p w14:paraId="6BBB305E">
      <w:pPr>
        <w:keepNext w:val="0"/>
        <w:keepLines w:val="0"/>
        <w:pageBreakBefore w:val="0"/>
        <w:kinsoku/>
        <w:wordWrap/>
        <w:overflowPunct/>
        <w:topLinePunct w:val="0"/>
        <w:bidi w:val="0"/>
        <w:spacing w:line="360" w:lineRule="auto"/>
        <w:textAlignment w:val="auto"/>
        <w:rPr>
          <w:rFonts w:ascii="宋体" w:hAnsi="宋体"/>
          <w:sz w:val="24"/>
          <w:highlight w:val="none"/>
          <w:u w:val="none"/>
        </w:rPr>
      </w:pPr>
      <w:r>
        <w:rPr>
          <w:rFonts w:hint="eastAsia" w:ascii="宋体" w:hAnsi="宋体" w:cs="Arial"/>
          <w:sz w:val="24"/>
          <w:highlight w:val="none"/>
          <w:u w:val="none"/>
        </w:rPr>
        <w:t>（4</w:t>
      </w:r>
      <w:r>
        <w:rPr>
          <w:rFonts w:hint="eastAsia" w:ascii="宋体" w:hAnsi="宋体"/>
          <w:sz w:val="24"/>
          <w:highlight w:val="none"/>
          <w:u w:val="none"/>
        </w:rPr>
        <w:t>）</w:t>
      </w:r>
      <w:r>
        <w:rPr>
          <w:rFonts w:hint="eastAsia" w:ascii="宋体" w:hAnsi="宋体"/>
          <w:sz w:val="24"/>
          <w:highlight w:val="none"/>
          <w:u w:val="none"/>
          <w:lang w:eastAsia="zh-CN"/>
        </w:rPr>
        <w:t>供应商拟派项目经理须具有</w:t>
      </w:r>
      <w:r>
        <w:rPr>
          <w:rFonts w:hint="eastAsia" w:ascii="宋体" w:hAnsi="宋体"/>
          <w:sz w:val="24"/>
          <w:highlight w:val="none"/>
          <w:u w:val="none"/>
          <w:lang w:eastAsia="zh-CN"/>
        </w:rPr>
        <w:t>建筑工程专业二级（含）以</w:t>
      </w:r>
      <w:r>
        <w:rPr>
          <w:rFonts w:hint="eastAsia" w:ascii="宋体" w:hAnsi="宋体"/>
          <w:sz w:val="24"/>
          <w:highlight w:val="none"/>
          <w:u w:val="none"/>
          <w:lang w:eastAsia="zh-CN"/>
        </w:rPr>
        <w:t>上注册建造师执业资格，具备有效的安全生产考核合格证书（B本）</w:t>
      </w:r>
      <w:r>
        <w:rPr>
          <w:rFonts w:hint="eastAsia" w:ascii="宋体" w:hAnsi="宋体"/>
          <w:sz w:val="24"/>
          <w:highlight w:val="none"/>
          <w:u w:val="none"/>
        </w:rPr>
        <w:t>，</w:t>
      </w:r>
      <w:r>
        <w:rPr>
          <w:rFonts w:hint="eastAsia" w:ascii="宋体" w:hAnsi="宋体"/>
          <w:b/>
          <w:bCs/>
          <w:sz w:val="24"/>
          <w:highlight w:val="none"/>
          <w:u w:val="none"/>
        </w:rPr>
        <w:t>且在确定中标人时未担任其他在施建设工程的项目经理</w:t>
      </w:r>
      <w:r>
        <w:rPr>
          <w:rFonts w:hint="eastAsia" w:ascii="宋体" w:hAnsi="宋体"/>
          <w:sz w:val="24"/>
          <w:highlight w:val="none"/>
          <w:u w:val="none"/>
        </w:rPr>
        <w:t>；</w:t>
      </w:r>
    </w:p>
    <w:p w14:paraId="1A7E0AE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（5）供应商具有安全生产许可证且处于有效期；</w:t>
      </w:r>
    </w:p>
    <w:p w14:paraId="618EFF32">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（6）企业信誉和财务状况良好，有足够的资金能力来承担本项目的实施，没有处于被责令停业，投标资格被取消，财产被接管、冻结，破产状态，在最近三年内没有骗取中标和严重违约及重大工程质量问题；</w:t>
      </w:r>
    </w:p>
    <w:p w14:paraId="1C70535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（7）单位负责人为同一人或者存在直接控股、管理关系的不同供应商，不得同时参加本项目；为本项目提供整体设计、规范编制或者项目管理、监理、检测等服务的供应商，不得再参加本项目的投标；</w:t>
      </w:r>
    </w:p>
    <w:p w14:paraId="7502F48B">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bookmarkEnd w:id="11"/>
    <w:bookmarkEnd w:id="12"/>
    <w:p w14:paraId="53336476">
      <w:pPr>
        <w:pStyle w:val="4"/>
        <w:widowControl/>
        <w:spacing w:before="0" w:line="360" w:lineRule="auto"/>
        <w:jc w:val="left"/>
        <w:rPr>
          <w:rFonts w:hint="eastAsia" w:ascii="宋体" w:hAnsi="宋体" w:eastAsia="宋体" w:cs="宋体"/>
          <w:sz w:val="24"/>
          <w:szCs w:val="24"/>
          <w:highlight w:val="none"/>
        </w:rPr>
      </w:pPr>
      <w:bookmarkStart w:id="13" w:name="_Toc35393792"/>
      <w:bookmarkStart w:id="14" w:name="_Toc35393623"/>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2025年11月26日至2025年12月02日</w:t>
      </w:r>
      <w:r>
        <w:rPr>
          <w:rFonts w:hint="eastAsia"/>
          <w:sz w:val="24"/>
          <w:highlight w:val="none"/>
          <w:lang w:eastAsia="zh-CN"/>
        </w:rPr>
        <w:t>，</w:t>
      </w:r>
      <w:r>
        <w:rPr>
          <w:sz w:val="24"/>
          <w:highlight w:val="none"/>
        </w:rPr>
        <w:t>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4"/>
        <w:widowControl/>
        <w:spacing w:before="0" w:line="360" w:lineRule="auto"/>
        <w:jc w:val="left"/>
        <w:rPr>
          <w:rFonts w:hint="eastAsia" w:ascii="宋体" w:hAnsi="宋体" w:eastAsia="宋体" w:cs="宋体"/>
          <w:color w:val="000000"/>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2025年12月09日09点00分（北京时间）。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bookmarkStart w:id="1577" w:name="_GoBack"/>
      <w:bookmarkEnd w:id="1577"/>
      <w:r>
        <w:rPr>
          <w:rFonts w:hint="eastAsia" w:ascii="宋体" w:hAnsi="宋体" w:cs="宋体"/>
          <w:sz w:val="24"/>
          <w:highlight w:val="none"/>
          <w:lang w:eastAsia="zh-CN" w:bidi="ar"/>
        </w:rPr>
        <w:t>2025年12月09日09点00分（北京时间）。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6A656BCE">
      <w:pPr>
        <w:spacing w:line="360" w:lineRule="auto"/>
        <w:ind w:firstLine="480" w:firstLineChars="200"/>
        <w:rPr>
          <w:rFonts w:hint="eastAsia" w:ascii="宋体" w:hAnsi="宋体" w:eastAsia="宋体" w:cs="宋体"/>
          <w:bCs/>
          <w:sz w:val="24"/>
          <w:highlight w:val="none"/>
          <w:u w:val="single"/>
        </w:rPr>
      </w:pP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28359084"/>
      <w:bookmarkStart w:id="20" w:name="_Toc35393625"/>
      <w:bookmarkStart w:id="21" w:name="_Toc35393794"/>
      <w:bookmarkStart w:id="22" w:name="_Toc28359007"/>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28359085"/>
      <w:bookmarkStart w:id="26" w:name="_Toc35393796"/>
      <w:bookmarkStart w:id="27" w:name="_Toc35393627"/>
      <w:bookmarkStart w:id="28" w:name="_Toc28359008"/>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lang w:eastAsia="zh-CN"/>
        </w:rPr>
        <w:t>名    称：</w:t>
      </w:r>
      <w:r>
        <w:rPr>
          <w:rFonts w:hint="eastAsia" w:ascii="宋体" w:hAnsi="宋体" w:cs="宋体"/>
          <w:sz w:val="24"/>
          <w:highlight w:val="none"/>
          <w:lang w:eastAsia="zh-CN"/>
        </w:rPr>
        <w:t>门头沟区人民政府大峪街道办事处</w:t>
      </w:r>
    </w:p>
    <w:p w14:paraId="5B30401A">
      <w:pPr>
        <w:pageBreakBefore w:val="0"/>
        <w:kinsoku/>
        <w:wordWrap/>
        <w:overflowPunct/>
        <w:topLinePunct w:val="0"/>
        <w:bidi w:val="0"/>
        <w:spacing w:line="360" w:lineRule="auto"/>
        <w:ind w:left="1079" w:leftChars="371" w:hanging="300" w:hangingChars="125"/>
        <w:jc w:val="left"/>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地    址：北京市门头沟区人民政府大峪街道办事处</w:t>
      </w:r>
    </w:p>
    <w:p w14:paraId="672AE5FB">
      <w:pPr>
        <w:pageBreakBefore w:val="0"/>
        <w:kinsoku/>
        <w:wordWrap/>
        <w:overflowPunct/>
        <w:topLinePunct w:val="0"/>
        <w:bidi w:val="0"/>
        <w:spacing w:line="360" w:lineRule="auto"/>
        <w:ind w:left="1079" w:leftChars="371" w:hanging="300" w:hangingChars="125"/>
        <w:jc w:val="left"/>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张老师 ，010-69863987</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87"/>
      <w:bookmarkStart w:id="32"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5"/>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305158854"/>
      <w:bookmarkStart w:id="34" w:name="_Toc127151777"/>
      <w:bookmarkStart w:id="35" w:name="_Toc195842950"/>
      <w:bookmarkStart w:id="36" w:name="_Toc305158928"/>
      <w:bookmarkStart w:id="37" w:name="_Toc353825548"/>
      <w:bookmarkStart w:id="38" w:name="_Toc105598815"/>
      <w:bookmarkStart w:id="39" w:name="_Toc264969275"/>
      <w:bookmarkStart w:id="40" w:name="_Toc226965856"/>
      <w:bookmarkStart w:id="41" w:name="_Toc353873938"/>
      <w:bookmarkStart w:id="42" w:name="_Toc512937850"/>
      <w:bookmarkStart w:id="43" w:name="_Toc150774783"/>
      <w:bookmarkStart w:id="44" w:name="_Toc265228423"/>
      <w:bookmarkStart w:id="45" w:name="_Toc127161488"/>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4"/>
        <w:tabs>
          <w:tab w:val="center" w:pos="4592"/>
          <w:tab w:val="left" w:pos="7860"/>
        </w:tabs>
        <w:spacing w:before="0" w:line="360" w:lineRule="auto"/>
        <w:rPr>
          <w:rFonts w:hint="eastAsia" w:ascii="宋体" w:hAnsi="宋体" w:eastAsia="宋体" w:cs="宋体"/>
          <w:b w:val="0"/>
          <w:sz w:val="28"/>
          <w:highlight w:val="none"/>
        </w:rPr>
      </w:pPr>
      <w:bookmarkStart w:id="46" w:name="_Toc142311021"/>
      <w:bookmarkStart w:id="47" w:name="_Toc151193907"/>
      <w:bookmarkStart w:id="48" w:name="_Toc226337215"/>
      <w:bookmarkStart w:id="49" w:name="_Toc164229214"/>
      <w:bookmarkStart w:id="50" w:name="_Toc150509270"/>
      <w:bookmarkStart w:id="51" w:name="_Toc151193761"/>
      <w:bookmarkStart w:id="52" w:name="_Toc226965792"/>
      <w:bookmarkStart w:id="53" w:name="_Toc164608633"/>
      <w:bookmarkStart w:id="54" w:name="_Toc151190146"/>
      <w:bookmarkStart w:id="55" w:name="_Toc151193689"/>
      <w:bookmarkStart w:id="56" w:name="_Toc149720812"/>
      <w:bookmarkStart w:id="57" w:name="_Toc164351613"/>
      <w:bookmarkStart w:id="58" w:name="_Toc127161433"/>
      <w:bookmarkStart w:id="59" w:name="_Toc164608788"/>
      <w:bookmarkStart w:id="60" w:name="_Toc127151519"/>
      <w:bookmarkStart w:id="61" w:name="_Toc226965709"/>
      <w:bookmarkStart w:id="62" w:name="_Toc226309763"/>
      <w:bookmarkStart w:id="63" w:name="_Toc151193617"/>
      <w:bookmarkStart w:id="64" w:name="_Toc150480757"/>
      <w:bookmarkStart w:id="65" w:name="_Toc150774724"/>
      <w:bookmarkStart w:id="66" w:name="_Toc195842884"/>
      <w:bookmarkStart w:id="67" w:name="_Toc164229360"/>
      <w:bookmarkStart w:id="68" w:name="_Toc151193833"/>
      <w:bookmarkStart w:id="69" w:name="_Toc150774619"/>
      <w:bookmarkStart w:id="70" w:name="_Toc127151720"/>
      <w:bookmarkStart w:id="71" w:name="_Toc520356144"/>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门头沟新城北部（双峪门户区）区域综合治理提升项目（龙泉花园社区）</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6C8A2F">
            <w:pPr>
              <w:jc w:val="left"/>
              <w:rPr>
                <w:sz w:val="24"/>
                <w:highlight w:val="none"/>
              </w:rPr>
            </w:pPr>
            <w:r>
              <w:rPr>
                <w:highlight w:val="none"/>
              </w:rPr>
              <w:t>□</w:t>
            </w:r>
            <w:r>
              <w:rPr>
                <w:sz w:val="24"/>
                <w:highlight w:val="none"/>
              </w:rPr>
              <w:t>采购人</w:t>
            </w:r>
          </w:p>
          <w:p w14:paraId="464DF5F8">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sz w:val="24"/>
                <w:highlight w:val="none"/>
              </w:rPr>
              <w:t>代理费用参考有关规定及市场价格计取。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 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1.</w:t>
                  </w:r>
                  <w:r>
                    <w:rPr>
                      <w:rFonts w:hint="eastAsia" w:ascii="Times New Roman" w:hAnsi="Times New Roman" w:cs="Times New Roman"/>
                      <w:sz w:val="24"/>
                      <w:highlight w:val="none"/>
                      <w:lang w:val="en-US" w:eastAsia="zh-CN"/>
                    </w:rPr>
                    <w:t>0</w:t>
                  </w:r>
                  <w:r>
                    <w:rPr>
                      <w:rFonts w:hint="eastAsia" w:ascii="Times New Roman" w:hAnsi="Times New Roman" w:cs="Times New Roman"/>
                      <w:sz w:val="24"/>
                      <w:highlight w:val="none"/>
                      <w:lang w:eastAsia="zh-CN"/>
                    </w:rPr>
                    <w:t>%</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0.7</w:t>
                  </w:r>
                  <w:r>
                    <w:rPr>
                      <w:rFonts w:hint="eastAsia" w:ascii="Times New Roman" w:hAnsi="Times New Roman" w:cs="Times New Roman"/>
                      <w:sz w:val="24"/>
                      <w:highlight w:val="none"/>
                      <w:lang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00353776">
            <w:pPr>
              <w:jc w:val="left"/>
              <w:rPr>
                <w:sz w:val="24"/>
                <w:highlight w:val="none"/>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2" w:type="first"/>
          <w:headerReference r:id="rId10" w:type="default"/>
          <w:footerReference r:id="rId11"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353873664"/>
      <w:bookmarkStart w:id="73" w:name="_Toc226337250"/>
      <w:bookmarkStart w:id="74" w:name="_Toc353873934"/>
      <w:bookmarkStart w:id="75" w:name="_Toc150774759"/>
      <w:bookmarkStart w:id="76" w:name="_Toc127151554"/>
      <w:bookmarkStart w:id="77" w:name="_Toc150480792"/>
      <w:bookmarkStart w:id="78" w:name="_Toc264969244"/>
      <w:bookmarkStart w:id="79" w:name="_Toc353825544"/>
      <w:bookmarkStart w:id="80" w:name="_Toc226965827"/>
      <w:bookmarkStart w:id="81" w:name="_Toc265228392"/>
      <w:bookmarkStart w:id="82" w:name="_Toc305158896"/>
      <w:bookmarkStart w:id="83" w:name="_Toc142311056"/>
      <w:bookmarkStart w:id="84" w:name="_Toc305158822"/>
      <w:bookmarkStart w:id="85" w:name="_Toc105598816"/>
      <w:bookmarkStart w:id="86" w:name="_Toc353873665"/>
      <w:bookmarkStart w:id="87" w:name="_Toc150480793"/>
      <w:bookmarkStart w:id="88" w:name="_Toc127151555"/>
      <w:bookmarkStart w:id="89" w:name="_Toc226965828"/>
      <w:bookmarkStart w:id="90" w:name="_Toc195842920"/>
      <w:bookmarkStart w:id="91" w:name="_Toc305158823"/>
      <w:bookmarkStart w:id="92" w:name="_Toc264969245"/>
      <w:bookmarkStart w:id="93" w:name="_Toc226337251"/>
      <w:bookmarkStart w:id="94" w:name="_Toc265228393"/>
      <w:bookmarkStart w:id="95" w:name="_Toc353825545"/>
      <w:bookmarkStart w:id="96" w:name="_Toc305158897"/>
      <w:bookmarkStart w:id="97" w:name="_Toc150774760"/>
      <w:bookmarkStart w:id="98" w:name="_Toc142311057"/>
      <w:bookmarkStart w:id="99" w:name="_Toc353873935"/>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265228356"/>
      <w:bookmarkStart w:id="103" w:name="_Toc151193832"/>
      <w:bookmarkStart w:id="104" w:name="_Toc226965708"/>
      <w:bookmarkStart w:id="105" w:name="_Toc150509269"/>
      <w:bookmarkStart w:id="106" w:name="_Toc195842883"/>
      <w:bookmarkStart w:id="107" w:name="_Toc142311020"/>
      <w:bookmarkStart w:id="108" w:name="_Toc305158860"/>
      <w:bookmarkStart w:id="109" w:name="_Toc151193616"/>
      <w:bookmarkStart w:id="110" w:name="_Toc151190145"/>
      <w:bookmarkStart w:id="111" w:name="_Toc226309762"/>
      <w:bookmarkStart w:id="112" w:name="_Toc150774723"/>
      <w:bookmarkStart w:id="113" w:name="_Toc150480756"/>
      <w:bookmarkStart w:id="114" w:name="_Toc264969208"/>
      <w:bookmarkStart w:id="115" w:name="_Toc151193688"/>
      <w:bookmarkStart w:id="116" w:name="_Toc150774618"/>
      <w:bookmarkStart w:id="117" w:name="_Toc151193760"/>
      <w:bookmarkStart w:id="118" w:name="_Toc226337214"/>
      <w:bookmarkStart w:id="119" w:name="_Toc226965791"/>
      <w:bookmarkStart w:id="120" w:name="_Toc151193906"/>
      <w:bookmarkStart w:id="121" w:name="_Toc305158786"/>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265228357"/>
      <w:bookmarkStart w:id="123" w:name="_Toc264969209"/>
      <w:bookmarkStart w:id="124" w:name="_Toc305158787"/>
      <w:bookmarkStart w:id="125" w:name="_Toc305158861"/>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305158862"/>
      <w:bookmarkStart w:id="127" w:name="_Toc149720813"/>
      <w:bookmarkStart w:id="128" w:name="_Toc164608789"/>
      <w:bookmarkStart w:id="129" w:name="_Toc150774725"/>
      <w:bookmarkStart w:id="130" w:name="_Toc226337216"/>
      <w:bookmarkStart w:id="131" w:name="_Toc226965793"/>
      <w:bookmarkStart w:id="132" w:name="_Toc151193762"/>
      <w:bookmarkStart w:id="133" w:name="_Toc127161434"/>
      <w:bookmarkStart w:id="134" w:name="_Toc195842885"/>
      <w:bookmarkStart w:id="135" w:name="_Toc150509271"/>
      <w:bookmarkStart w:id="136" w:name="_Toc164229215"/>
      <w:bookmarkStart w:id="137" w:name="_Toc151193690"/>
      <w:bookmarkStart w:id="138" w:name="_Toc164351614"/>
      <w:bookmarkStart w:id="139" w:name="_Toc151193908"/>
      <w:bookmarkStart w:id="140" w:name="_Toc151190147"/>
      <w:bookmarkStart w:id="141" w:name="_Toc150480758"/>
      <w:bookmarkStart w:id="142" w:name="_Toc151193834"/>
      <w:bookmarkStart w:id="143" w:name="_Toc164229361"/>
      <w:bookmarkStart w:id="144" w:name="_Toc305158788"/>
      <w:bookmarkStart w:id="145" w:name="_Toc164608634"/>
      <w:bookmarkStart w:id="146" w:name="_Toc151193618"/>
      <w:bookmarkStart w:id="147" w:name="_Toc265228358"/>
      <w:bookmarkStart w:id="148" w:name="_Toc264969210"/>
      <w:bookmarkStart w:id="149" w:name="_Toc127151520"/>
      <w:bookmarkStart w:id="150" w:name="_Toc142311022"/>
      <w:bookmarkStart w:id="151" w:name="_Toc150774620"/>
      <w:bookmarkStart w:id="152" w:name="_Toc226965710"/>
      <w:bookmarkStart w:id="153" w:name="_Toc226309764"/>
      <w:bookmarkStart w:id="154" w:name="_Toc127151721"/>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151193620"/>
      <w:bookmarkStart w:id="156" w:name="_Toc127151522"/>
      <w:bookmarkStart w:id="157" w:name="_Toc195842887"/>
      <w:bookmarkStart w:id="158" w:name="_Toc305158790"/>
      <w:bookmarkStart w:id="159" w:name="_Toc151193910"/>
      <w:bookmarkStart w:id="160" w:name="_Toc264969212"/>
      <w:bookmarkStart w:id="161" w:name="_Toc265228360"/>
      <w:bookmarkStart w:id="162" w:name="_Toc150509273"/>
      <w:bookmarkStart w:id="163" w:name="_Toc226965712"/>
      <w:bookmarkStart w:id="164" w:name="_Toc520356146"/>
      <w:bookmarkStart w:id="165" w:name="_Toc151193836"/>
      <w:bookmarkStart w:id="166" w:name="_Toc150480760"/>
      <w:bookmarkStart w:id="167" w:name="_Toc226965795"/>
      <w:bookmarkStart w:id="168" w:name="_Toc151193692"/>
      <w:bookmarkStart w:id="169" w:name="_Toc226337218"/>
      <w:bookmarkStart w:id="170" w:name="_Toc150774622"/>
      <w:bookmarkStart w:id="171" w:name="_Toc150774727"/>
      <w:bookmarkStart w:id="172" w:name="_Toc151190149"/>
      <w:bookmarkStart w:id="173" w:name="_Toc151193764"/>
      <w:bookmarkStart w:id="174" w:name="_Toc142311024"/>
      <w:bookmarkStart w:id="175" w:name="_Toc305158864"/>
      <w:bookmarkStart w:id="176" w:name="_Toc226309766"/>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27161437"/>
      <w:bookmarkStart w:id="179" w:name="_Toc150774623"/>
      <w:bookmarkStart w:id="180" w:name="_Toc195842888"/>
      <w:bookmarkStart w:id="181" w:name="_Toc142311025"/>
      <w:bookmarkStart w:id="182" w:name="_Toc164351617"/>
      <w:bookmarkStart w:id="183" w:name="_Toc226309767"/>
      <w:bookmarkStart w:id="184" w:name="_Toc127151523"/>
      <w:bookmarkStart w:id="185" w:name="_Toc151190150"/>
      <w:bookmarkStart w:id="186" w:name="_Toc127151724"/>
      <w:bookmarkStart w:id="187" w:name="_Toc151193911"/>
      <w:bookmarkStart w:id="188" w:name="_Toc520356147"/>
      <w:bookmarkStart w:id="189" w:name="_Toc151193837"/>
      <w:bookmarkStart w:id="190" w:name="_Toc226965796"/>
      <w:bookmarkStart w:id="191" w:name="_Toc164229364"/>
      <w:bookmarkStart w:id="192" w:name="_Toc151193621"/>
      <w:bookmarkStart w:id="193" w:name="_Toc150774728"/>
      <w:bookmarkStart w:id="194" w:name="_Toc264969213"/>
      <w:bookmarkStart w:id="195" w:name="_Toc305158791"/>
      <w:bookmarkStart w:id="196" w:name="_Toc265228361"/>
      <w:bookmarkStart w:id="197" w:name="_Toc226337219"/>
      <w:bookmarkStart w:id="198" w:name="_Toc164608637"/>
      <w:bookmarkStart w:id="199" w:name="_Toc164229218"/>
      <w:bookmarkStart w:id="200" w:name="_Toc149720816"/>
      <w:bookmarkStart w:id="201" w:name="_Toc150480761"/>
      <w:bookmarkStart w:id="202" w:name="_Toc151193765"/>
      <w:bookmarkStart w:id="203" w:name="_Toc305158865"/>
      <w:bookmarkStart w:id="204" w:name="_Toc151193693"/>
      <w:bookmarkStart w:id="205" w:name="_Toc226965713"/>
      <w:bookmarkStart w:id="206" w:name="_Toc150509274"/>
      <w:bookmarkStart w:id="207" w:name="_Toc164608792"/>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265228364"/>
      <w:bookmarkStart w:id="210" w:name="_Toc142311028"/>
      <w:bookmarkStart w:id="211" w:name="_Toc150774731"/>
      <w:bookmarkStart w:id="212" w:name="_Toc226965799"/>
      <w:bookmarkStart w:id="213" w:name="_Toc150774626"/>
      <w:bookmarkStart w:id="214" w:name="_Toc151193840"/>
      <w:bookmarkStart w:id="215" w:name="_Toc150480764"/>
      <w:bookmarkStart w:id="216" w:name="_Toc226337222"/>
      <w:bookmarkStart w:id="217" w:name="_Toc195842891"/>
      <w:bookmarkStart w:id="218" w:name="_Toc264969216"/>
      <w:bookmarkStart w:id="219" w:name="_Toc151190153"/>
      <w:bookmarkStart w:id="220" w:name="_Toc520356150"/>
      <w:bookmarkStart w:id="221" w:name="_Toc151193624"/>
      <w:bookmarkStart w:id="222" w:name="_Toc226309770"/>
      <w:bookmarkStart w:id="223" w:name="_Toc151193696"/>
      <w:bookmarkStart w:id="224" w:name="_Toc151193768"/>
      <w:bookmarkStart w:id="225" w:name="_Toc150509277"/>
      <w:bookmarkStart w:id="226" w:name="_Toc305158868"/>
      <w:bookmarkStart w:id="227" w:name="_Toc305158794"/>
      <w:bookmarkStart w:id="228" w:name="_Toc151193914"/>
      <w:bookmarkStart w:id="229" w:name="_Toc127151526"/>
      <w:bookmarkStart w:id="230" w:name="_Toc226965716"/>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127151728"/>
      <w:bookmarkStart w:id="232" w:name="_Toc226965717"/>
      <w:bookmarkStart w:id="233" w:name="_Toc151193697"/>
      <w:bookmarkStart w:id="234" w:name="_Toc151193841"/>
      <w:bookmarkStart w:id="235" w:name="_Toc164229222"/>
      <w:bookmarkStart w:id="236" w:name="_Toc226965800"/>
      <w:bookmarkStart w:id="237" w:name="_Toc127151527"/>
      <w:bookmarkStart w:id="238" w:name="_Toc151193769"/>
      <w:bookmarkStart w:id="239" w:name="_Toc142311029"/>
      <w:bookmarkStart w:id="240" w:name="_Toc127161441"/>
      <w:bookmarkStart w:id="241" w:name="_Toc265228365"/>
      <w:bookmarkStart w:id="242" w:name="_Toc150774627"/>
      <w:bookmarkStart w:id="243" w:name="_Toc150480765"/>
      <w:bookmarkStart w:id="244" w:name="_Toc164229368"/>
      <w:bookmarkStart w:id="245" w:name="_Toc305158869"/>
      <w:bookmarkStart w:id="246" w:name="_Toc226337223"/>
      <w:bookmarkStart w:id="247" w:name="_Toc226309771"/>
      <w:bookmarkStart w:id="248" w:name="_Toc305158795"/>
      <w:bookmarkStart w:id="249" w:name="_Toc516367021"/>
      <w:bookmarkStart w:id="250" w:name="_Toc151193625"/>
      <w:bookmarkStart w:id="251" w:name="_Toc164608641"/>
      <w:bookmarkStart w:id="252" w:name="_Toc264969217"/>
      <w:bookmarkStart w:id="253" w:name="_Toc151190154"/>
      <w:bookmarkStart w:id="254" w:name="_Toc149720820"/>
      <w:bookmarkStart w:id="255" w:name="_Toc150774732"/>
      <w:bookmarkStart w:id="256" w:name="_Toc150509278"/>
      <w:bookmarkStart w:id="257" w:name="_Toc195842892"/>
      <w:bookmarkStart w:id="258" w:name="_Toc164351621"/>
      <w:bookmarkStart w:id="259" w:name="_Toc164608796"/>
      <w:bookmarkStart w:id="260" w:name="_Toc151193915"/>
      <w:bookmarkStart w:id="261" w:name="_Toc520356151"/>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676"/>
      <w:bookmarkStart w:id="263" w:name="_Ref467306195"/>
      <w:bookmarkStart w:id="264" w:name="_Toc516367022"/>
      <w:bookmarkStart w:id="265" w:name="_Toc151193916"/>
      <w:bookmarkStart w:id="266" w:name="_Toc226337224"/>
      <w:bookmarkStart w:id="267" w:name="_Toc226309772"/>
      <w:bookmarkStart w:id="268" w:name="_Toc150774733"/>
      <w:bookmarkStart w:id="269" w:name="_Toc150480766"/>
      <w:bookmarkStart w:id="270" w:name="_Toc149720821"/>
      <w:bookmarkStart w:id="271" w:name="_Toc520356152"/>
      <w:bookmarkStart w:id="272" w:name="_Toc127151528"/>
      <w:bookmarkStart w:id="273" w:name="_Toc150509279"/>
      <w:bookmarkStart w:id="274" w:name="_Toc164351622"/>
      <w:bookmarkStart w:id="275" w:name="_Toc151193698"/>
      <w:bookmarkStart w:id="276" w:name="_Toc264969218"/>
      <w:bookmarkStart w:id="277" w:name="_Toc226965801"/>
      <w:bookmarkStart w:id="278" w:name="_Toc265228366"/>
      <w:bookmarkStart w:id="279" w:name="_Toc142311030"/>
      <w:bookmarkStart w:id="280" w:name="_Toc150774628"/>
      <w:bookmarkStart w:id="281" w:name="_Toc164608797"/>
      <w:bookmarkStart w:id="282" w:name="_Toc127161442"/>
      <w:bookmarkStart w:id="283" w:name="_Toc305158796"/>
      <w:bookmarkStart w:id="284" w:name="_Toc226965718"/>
      <w:bookmarkStart w:id="285" w:name="_Toc151190155"/>
      <w:bookmarkStart w:id="286" w:name="_Toc151193626"/>
      <w:bookmarkStart w:id="287" w:name="_Toc164608642"/>
      <w:bookmarkStart w:id="288" w:name="_Toc151193842"/>
      <w:bookmarkStart w:id="289" w:name="_Toc151193770"/>
      <w:bookmarkStart w:id="290" w:name="_Toc305158870"/>
      <w:bookmarkStart w:id="291" w:name="_Toc164229369"/>
      <w:bookmarkStart w:id="292" w:name="_Toc127151729"/>
      <w:bookmarkStart w:id="293" w:name="_Toc195842893"/>
      <w:bookmarkStart w:id="294" w:name="_Toc164229223"/>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27161444"/>
      <w:bookmarkStart w:id="297" w:name="_Toc142311032"/>
      <w:bookmarkStart w:id="298" w:name="_Toc150774630"/>
      <w:bookmarkStart w:id="299" w:name="_Toc151193772"/>
      <w:bookmarkStart w:id="300" w:name="_Toc127151530"/>
      <w:bookmarkStart w:id="301" w:name="_Toc151193700"/>
      <w:bookmarkStart w:id="302" w:name="_Toc127151731"/>
      <w:bookmarkStart w:id="303" w:name="_Toc150480768"/>
      <w:bookmarkStart w:id="304" w:name="_Toc151193628"/>
      <w:bookmarkStart w:id="305" w:name="_Toc150509281"/>
      <w:bookmarkStart w:id="306" w:name="_Toc151193844"/>
      <w:bookmarkStart w:id="307" w:name="_Toc151193918"/>
      <w:bookmarkStart w:id="308" w:name="_Toc195842895"/>
      <w:bookmarkStart w:id="309" w:name="_Toc164351624"/>
      <w:bookmarkStart w:id="310" w:name="_Toc149720823"/>
      <w:bookmarkStart w:id="311" w:name="_Toc164608799"/>
      <w:bookmarkStart w:id="312" w:name="_Toc520356155"/>
      <w:bookmarkStart w:id="313" w:name="_Toc164608644"/>
      <w:bookmarkStart w:id="314" w:name="_Toc164229371"/>
      <w:bookmarkStart w:id="315" w:name="_Toc151190157"/>
      <w:bookmarkStart w:id="316" w:name="_Toc164229225"/>
      <w:bookmarkStart w:id="317" w:name="_Toc150774735"/>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1190160"/>
      <w:bookmarkStart w:id="319" w:name="_Toc164608647"/>
      <w:bookmarkStart w:id="320" w:name="_Toc150774738"/>
      <w:bookmarkStart w:id="321" w:name="_Toc149720826"/>
      <w:bookmarkStart w:id="322" w:name="_Toc264969223"/>
      <w:bookmarkStart w:id="323" w:name="_Toc164229228"/>
      <w:bookmarkStart w:id="324" w:name="_Toc305158801"/>
      <w:bookmarkStart w:id="325" w:name="_Toc226965806"/>
      <w:bookmarkStart w:id="326" w:name="_Toc164608802"/>
      <w:bookmarkStart w:id="327" w:name="_Toc195842898"/>
      <w:bookmarkStart w:id="328" w:name="_Toc127151734"/>
      <w:bookmarkStart w:id="329" w:name="_Toc151193703"/>
      <w:bookmarkStart w:id="330" w:name="_Toc127161447"/>
      <w:bookmarkStart w:id="331" w:name="_Toc151193847"/>
      <w:bookmarkStart w:id="332" w:name="_Toc265228371"/>
      <w:bookmarkStart w:id="333" w:name="_Toc151193631"/>
      <w:bookmarkStart w:id="334" w:name="_Toc226309777"/>
      <w:bookmarkStart w:id="335" w:name="_Toc150509284"/>
      <w:bookmarkStart w:id="336" w:name="_Toc226965723"/>
      <w:bookmarkStart w:id="337" w:name="_Toc142311035"/>
      <w:bookmarkStart w:id="338" w:name="_Toc150480771"/>
      <w:bookmarkStart w:id="339" w:name="_Toc226337229"/>
      <w:bookmarkStart w:id="340" w:name="_Toc305158875"/>
      <w:bookmarkStart w:id="341" w:name="_Toc520356158"/>
      <w:bookmarkStart w:id="342" w:name="_Toc164229374"/>
      <w:bookmarkStart w:id="343" w:name="_Toc151193921"/>
      <w:bookmarkStart w:id="344" w:name="_Toc127151533"/>
      <w:bookmarkStart w:id="345" w:name="_Toc164351627"/>
      <w:bookmarkStart w:id="346" w:name="_Toc150774633"/>
      <w:bookmarkStart w:id="347" w:name="_Toc151193775"/>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305158876"/>
      <w:bookmarkStart w:id="349" w:name="_Toc127151534"/>
      <w:bookmarkStart w:id="350" w:name="_Toc151193704"/>
      <w:bookmarkStart w:id="351" w:name="_Toc151193848"/>
      <w:bookmarkStart w:id="352" w:name="_Toc305158802"/>
      <w:bookmarkStart w:id="353" w:name="_Toc226965807"/>
      <w:bookmarkStart w:id="354" w:name="_Toc226337230"/>
      <w:bookmarkStart w:id="355" w:name="_Toc142311036"/>
      <w:bookmarkStart w:id="356" w:name="_Toc151193776"/>
      <w:bookmarkStart w:id="357" w:name="_Toc265228372"/>
      <w:bookmarkStart w:id="358" w:name="_Toc150509285"/>
      <w:bookmarkStart w:id="359" w:name="_Toc520356159"/>
      <w:bookmarkStart w:id="360" w:name="_Toc150774634"/>
      <w:bookmarkStart w:id="361" w:name="_Toc150480772"/>
      <w:bookmarkStart w:id="362" w:name="_Toc151190161"/>
      <w:bookmarkStart w:id="363" w:name="_Toc151193922"/>
      <w:bookmarkStart w:id="364" w:name="_Toc226309778"/>
      <w:bookmarkStart w:id="365" w:name="_Toc150774739"/>
      <w:bookmarkStart w:id="366" w:name="_Toc151193632"/>
      <w:bookmarkStart w:id="367" w:name="_Toc264969224"/>
      <w:bookmarkStart w:id="368" w:name="_Toc195842899"/>
      <w:bookmarkStart w:id="369" w:name="_Toc226965724"/>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64351630"/>
      <w:bookmarkStart w:id="371" w:name="_Toc151193706"/>
      <w:bookmarkStart w:id="372" w:name="_Toc264969226"/>
      <w:bookmarkStart w:id="373" w:name="_Toc150774741"/>
      <w:bookmarkStart w:id="374" w:name="_Toc164608650"/>
      <w:bookmarkStart w:id="375" w:name="_Toc127151737"/>
      <w:bookmarkStart w:id="376" w:name="_Toc164229231"/>
      <w:bookmarkStart w:id="377" w:name="_Toc226965726"/>
      <w:bookmarkStart w:id="378" w:name="_Toc151190163"/>
      <w:bookmarkStart w:id="379" w:name="_Toc127151536"/>
      <w:bookmarkStart w:id="380" w:name="_Toc142311038"/>
      <w:bookmarkStart w:id="381" w:name="_Toc226337232"/>
      <w:bookmarkStart w:id="382" w:name="_Toc127161450"/>
      <w:bookmarkStart w:id="383" w:name="_Toc151193924"/>
      <w:bookmarkStart w:id="384" w:name="_Toc520356161"/>
      <w:bookmarkStart w:id="385" w:name="_Toc164608805"/>
      <w:bookmarkStart w:id="386" w:name="_Toc164229377"/>
      <w:bookmarkStart w:id="387" w:name="_Toc305158878"/>
      <w:bookmarkStart w:id="388" w:name="_Toc149720829"/>
      <w:bookmarkStart w:id="389" w:name="_Toc151193634"/>
      <w:bookmarkStart w:id="390" w:name="_Toc226309780"/>
      <w:bookmarkStart w:id="391" w:name="_Toc151193778"/>
      <w:bookmarkStart w:id="392" w:name="_Toc305158804"/>
      <w:bookmarkStart w:id="393" w:name="_Toc150774636"/>
      <w:bookmarkStart w:id="394" w:name="_Toc226965809"/>
      <w:bookmarkStart w:id="395" w:name="_Toc150480774"/>
      <w:bookmarkStart w:id="396" w:name="_Toc265228374"/>
      <w:bookmarkStart w:id="397" w:name="_Toc151193850"/>
      <w:bookmarkStart w:id="398" w:name="_Toc150509287"/>
      <w:bookmarkStart w:id="399" w:name="_Toc195842901"/>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27151537"/>
      <w:bookmarkStart w:id="401" w:name="_Toc226309781"/>
      <w:bookmarkStart w:id="402" w:name="_Toc164608651"/>
      <w:bookmarkStart w:id="403" w:name="_Toc164229232"/>
      <w:bookmarkStart w:id="404" w:name="_Toc520356162"/>
      <w:bookmarkStart w:id="405" w:name="_Toc164608806"/>
      <w:bookmarkStart w:id="406" w:name="_Toc195842902"/>
      <w:bookmarkStart w:id="407" w:name="_Toc264969227"/>
      <w:bookmarkStart w:id="408" w:name="_Toc305158805"/>
      <w:bookmarkStart w:id="409" w:name="_Toc226965810"/>
      <w:bookmarkStart w:id="410" w:name="_Toc150774637"/>
      <w:bookmarkStart w:id="411" w:name="_Toc226337233"/>
      <w:bookmarkStart w:id="412" w:name="_Toc164229378"/>
      <w:bookmarkStart w:id="413" w:name="_Toc142311039"/>
      <w:bookmarkStart w:id="414" w:name="_Toc151193635"/>
      <w:bookmarkStart w:id="415" w:name="_Toc149720830"/>
      <w:bookmarkStart w:id="416" w:name="_Toc127161451"/>
      <w:bookmarkStart w:id="417" w:name="_Toc305158879"/>
      <w:bookmarkStart w:id="418" w:name="_Toc151190164"/>
      <w:bookmarkStart w:id="419" w:name="_Toc151193779"/>
      <w:bookmarkStart w:id="420" w:name="_Toc150774742"/>
      <w:bookmarkStart w:id="421" w:name="_Toc226965727"/>
      <w:bookmarkStart w:id="422" w:name="_Toc151193707"/>
      <w:bookmarkStart w:id="423" w:name="_Toc151193851"/>
      <w:bookmarkStart w:id="424" w:name="_Toc151193925"/>
      <w:bookmarkStart w:id="425" w:name="_Toc265228375"/>
      <w:bookmarkStart w:id="426" w:name="_Toc127151738"/>
      <w:bookmarkStart w:id="427" w:name="_Toc164351631"/>
      <w:bookmarkStart w:id="428" w:name="_Toc150509288"/>
      <w:bookmarkStart w:id="429" w:name="_Toc150480775"/>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151193780"/>
      <w:bookmarkStart w:id="431" w:name="_Toc195842903"/>
      <w:bookmarkStart w:id="432" w:name="_Toc520356163"/>
      <w:bookmarkStart w:id="433" w:name="_Toc151193926"/>
      <w:bookmarkStart w:id="434" w:name="_Toc265228376"/>
      <w:bookmarkStart w:id="435" w:name="_Toc150509289"/>
      <w:bookmarkStart w:id="436" w:name="_Toc151193636"/>
      <w:bookmarkStart w:id="437" w:name="_Toc226965728"/>
      <w:bookmarkStart w:id="438" w:name="_Toc151193708"/>
      <w:bookmarkStart w:id="439" w:name="_Toc226309782"/>
      <w:bookmarkStart w:id="440" w:name="_Toc264969228"/>
      <w:bookmarkStart w:id="441" w:name="_Toc150774743"/>
      <w:bookmarkStart w:id="442" w:name="_Toc150774638"/>
      <w:bookmarkStart w:id="443" w:name="_Toc151193852"/>
      <w:bookmarkStart w:id="444" w:name="_Toc305158806"/>
      <w:bookmarkStart w:id="445" w:name="_Toc151190165"/>
      <w:bookmarkStart w:id="446" w:name="_Toc226337234"/>
      <w:bookmarkStart w:id="447" w:name="_Toc142311040"/>
      <w:bookmarkStart w:id="448" w:name="_Toc226965811"/>
      <w:bookmarkStart w:id="449" w:name="_Toc305158880"/>
      <w:bookmarkStart w:id="450" w:name="_Toc127151538"/>
      <w:bookmarkStart w:id="451" w:name="_Toc150480776"/>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151193933"/>
      <w:bookmarkStart w:id="454" w:name="_Toc151193859"/>
      <w:bookmarkStart w:id="455" w:name="_Toc151193715"/>
      <w:bookmarkStart w:id="456" w:name="_Toc226965735"/>
      <w:bookmarkStart w:id="457" w:name="_Toc151190172"/>
      <w:bookmarkStart w:id="458" w:name="_Toc305158813"/>
      <w:bookmarkStart w:id="459" w:name="_Toc151193787"/>
      <w:bookmarkStart w:id="460" w:name="_Toc150774750"/>
      <w:bookmarkStart w:id="461" w:name="_Toc305158887"/>
      <w:bookmarkStart w:id="462" w:name="_Toc265228383"/>
      <w:bookmarkStart w:id="463" w:name="_Toc150480783"/>
      <w:bookmarkStart w:id="464" w:name="_Toc150774645"/>
      <w:bookmarkStart w:id="465" w:name="_Toc127151545"/>
      <w:bookmarkStart w:id="466" w:name="_Toc264969235"/>
      <w:bookmarkStart w:id="467" w:name="_Toc226337241"/>
      <w:bookmarkStart w:id="468" w:name="_Toc195842910"/>
      <w:bookmarkStart w:id="469" w:name="_Toc226965818"/>
      <w:bookmarkStart w:id="470" w:name="_Toc151193643"/>
      <w:bookmarkStart w:id="471" w:name="_Toc142311047"/>
      <w:bookmarkStart w:id="472" w:name="_Toc150509296"/>
      <w:bookmarkStart w:id="473" w:name="_Toc226309789"/>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151193639"/>
      <w:bookmarkStart w:id="476" w:name="_Toc164608810"/>
      <w:bookmarkStart w:id="477" w:name="_Toc226965814"/>
      <w:bookmarkStart w:id="478" w:name="_Toc150509292"/>
      <w:bookmarkStart w:id="479" w:name="_Toc264969231"/>
      <w:bookmarkStart w:id="480" w:name="_Toc151193855"/>
      <w:bookmarkStart w:id="481" w:name="_Toc164229236"/>
      <w:bookmarkStart w:id="482" w:name="_Toc142311043"/>
      <w:bookmarkStart w:id="483" w:name="_Toc127151742"/>
      <w:bookmarkStart w:id="484" w:name="_Toc151193783"/>
      <w:bookmarkStart w:id="485" w:name="_Toc151193929"/>
      <w:bookmarkStart w:id="486" w:name="_Toc305158883"/>
      <w:bookmarkStart w:id="487" w:name="_Toc127161455"/>
      <w:bookmarkStart w:id="488" w:name="_Toc150480779"/>
      <w:bookmarkStart w:id="489" w:name="_Toc149720834"/>
      <w:bookmarkStart w:id="490" w:name="_Toc226337237"/>
      <w:bookmarkStart w:id="491" w:name="_Toc151193711"/>
      <w:bookmarkStart w:id="492" w:name="_Toc127151541"/>
      <w:bookmarkStart w:id="493" w:name="_Toc226965731"/>
      <w:bookmarkStart w:id="494" w:name="_Toc195842906"/>
      <w:bookmarkStart w:id="495" w:name="_Toc150774746"/>
      <w:bookmarkStart w:id="496" w:name="_Toc164351635"/>
      <w:bookmarkStart w:id="497" w:name="_Toc164608655"/>
      <w:bookmarkStart w:id="498" w:name="_Toc305158809"/>
      <w:bookmarkStart w:id="499" w:name="_Toc150774641"/>
      <w:bookmarkStart w:id="500" w:name="_Toc226309785"/>
      <w:bookmarkStart w:id="501" w:name="_Toc164229382"/>
      <w:bookmarkStart w:id="502" w:name="_Toc151190168"/>
      <w:bookmarkStart w:id="503" w:name="_Toc265228379"/>
      <w:bookmarkStart w:id="504" w:name="_Toc353825551"/>
      <w:bookmarkStart w:id="505" w:name="_Toc35387394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w:t>
      </w:r>
      <w:r>
        <w:rPr>
          <w:sz w:val="24"/>
          <w:highlight w:val="none"/>
        </w:rPr>
        <w:t>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3" w:type="default"/>
          <w:footerReference r:id="rId1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27161460"/>
      <w:bookmarkStart w:id="508" w:name="_Toc150774751"/>
      <w:bookmarkStart w:id="509" w:name="_Toc164229387"/>
      <w:bookmarkStart w:id="510" w:name="_Toc226965819"/>
      <w:bookmarkStart w:id="511" w:name="_Toc151190173"/>
      <w:bookmarkStart w:id="512" w:name="_Toc142311048"/>
      <w:bookmarkStart w:id="513" w:name="_Toc265228384"/>
      <w:bookmarkStart w:id="514" w:name="_Toc151193934"/>
      <w:bookmarkStart w:id="515" w:name="_Toc164351640"/>
      <w:bookmarkStart w:id="516" w:name="_Toc164608660"/>
      <w:bookmarkStart w:id="517" w:name="_Ref467307010"/>
      <w:bookmarkStart w:id="518" w:name="_Toc305158888"/>
      <w:bookmarkStart w:id="519" w:name="_Toc305158814"/>
      <w:bookmarkStart w:id="520" w:name="_Toc127151546"/>
      <w:bookmarkStart w:id="521" w:name="_Toc149720839"/>
      <w:bookmarkStart w:id="522" w:name="_Toc226965736"/>
      <w:bookmarkStart w:id="523" w:name="_Toc151193644"/>
      <w:bookmarkStart w:id="524" w:name="_Toc151193788"/>
      <w:bookmarkStart w:id="525" w:name="_Toc226309790"/>
      <w:bookmarkStart w:id="526" w:name="_Toc164608815"/>
      <w:bookmarkStart w:id="527" w:name="_Toc150509297"/>
      <w:bookmarkStart w:id="528" w:name="_Toc226337242"/>
      <w:bookmarkStart w:id="529" w:name="_Toc195842911"/>
      <w:bookmarkStart w:id="530" w:name="_Toc520356170"/>
      <w:bookmarkStart w:id="531" w:name="_Toc151193716"/>
      <w:bookmarkStart w:id="532" w:name="_Toc150774646"/>
      <w:bookmarkStart w:id="533" w:name="_Toc264969236"/>
      <w:bookmarkStart w:id="534" w:name="_Toc164229241"/>
      <w:bookmarkStart w:id="535" w:name="_Toc150480784"/>
      <w:bookmarkStart w:id="536" w:name="_Toc127151747"/>
      <w:bookmarkStart w:id="537" w:name="_Toc151193860"/>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10F5C415">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pPr>
    </w:p>
    <w:p w14:paraId="47283432">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pPr>
    </w:p>
    <w:p w14:paraId="03FADE1E">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pPr>
    </w:p>
    <w:p w14:paraId="57D440E8">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pPr>
    </w:p>
    <w:p w14:paraId="4A46DD01">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pPr>
    </w:p>
    <w:p w14:paraId="0BD0EF95">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00B2A1EE">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05B3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6662491">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68DCCC88">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4DDACD14">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220D9C58">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68BB3550">
            <w:pPr>
              <w:ind w:firstLine="28"/>
              <w:jc w:val="center"/>
              <w:rPr>
                <w:rFonts w:hint="eastAsia" w:ascii="宋体" w:hAnsi="宋体"/>
                <w:b/>
                <w:szCs w:val="21"/>
                <w:highlight w:val="none"/>
              </w:rPr>
            </w:pPr>
            <w:r>
              <w:rPr>
                <w:rFonts w:ascii="宋体" w:hAnsi="宋体"/>
                <w:b/>
                <w:szCs w:val="21"/>
                <w:highlight w:val="none"/>
              </w:rPr>
              <w:t>评分标准</w:t>
            </w:r>
          </w:p>
        </w:tc>
        <w:tc>
          <w:tcPr>
            <w:tcW w:w="737" w:type="dxa"/>
            <w:vAlign w:val="center"/>
          </w:tcPr>
          <w:p w14:paraId="41F3B1AA">
            <w:pPr>
              <w:pStyle w:val="343"/>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2452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B96A699">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37D3DE34">
            <w:pPr>
              <w:ind w:firstLine="28"/>
              <w:jc w:val="center"/>
              <w:rPr>
                <w:rFonts w:hint="eastAsia" w:ascii="宋体" w:hAnsi="宋体"/>
                <w:szCs w:val="21"/>
                <w:highlight w:val="none"/>
              </w:rPr>
            </w:pPr>
            <w:r>
              <w:rPr>
                <w:rFonts w:hint="eastAsia" w:ascii="宋体" w:hAnsi="宋体"/>
                <w:szCs w:val="21"/>
                <w:highlight w:val="none"/>
              </w:rPr>
              <w:t>技术部分</w:t>
            </w:r>
          </w:p>
          <w:p w14:paraId="1DFD81F1">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745AF257">
            <w:pPr>
              <w:pStyle w:val="45"/>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7158931D">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6FFCE85E">
            <w:pPr>
              <w:rPr>
                <w:rFonts w:ascii="宋体" w:hAnsi="Courier New"/>
                <w:szCs w:val="21"/>
                <w:highlight w:val="none"/>
              </w:rPr>
            </w:pPr>
            <w:r>
              <w:rPr>
                <w:rFonts w:hint="eastAsia" w:ascii="宋体" w:hAnsi="Courier New"/>
                <w:szCs w:val="21"/>
                <w:highlight w:val="none"/>
              </w:rPr>
              <w:t>方案科学、合理、可行、针对性强，技术措施可靠、有保障，得</w:t>
            </w:r>
            <w:r>
              <w:rPr>
                <w:rFonts w:ascii="宋体" w:hAnsi="Courier New"/>
                <w:szCs w:val="21"/>
                <w:highlight w:val="none"/>
              </w:rPr>
              <w:t>10</w:t>
            </w:r>
            <w:r>
              <w:rPr>
                <w:rFonts w:hint="eastAsia" w:ascii="宋体" w:hAnsi="Courier New"/>
                <w:szCs w:val="21"/>
                <w:highlight w:val="none"/>
              </w:rPr>
              <w:t>分；</w:t>
            </w:r>
          </w:p>
          <w:p w14:paraId="586B5ABF">
            <w:pPr>
              <w:rPr>
                <w:szCs w:val="21"/>
                <w:highlight w:val="none"/>
              </w:rPr>
            </w:pPr>
            <w:r>
              <w:rPr>
                <w:rFonts w:hint="eastAsia" w:ascii="宋体" w:hAnsi="Courier New"/>
                <w:szCs w:val="21"/>
                <w:highlight w:val="none"/>
              </w:rPr>
              <w:t xml:space="preserve">方案基本科学、合理、可行、针对性较强；技术措施较可靠，得 </w:t>
            </w:r>
            <w:r>
              <w:rPr>
                <w:rFonts w:ascii="宋体" w:hAnsi="Courier New"/>
                <w:szCs w:val="21"/>
                <w:highlight w:val="none"/>
              </w:rPr>
              <w:t>6</w:t>
            </w:r>
            <w:r>
              <w:rPr>
                <w:rFonts w:hint="eastAsia" w:ascii="宋体" w:hAnsi="Courier New"/>
                <w:szCs w:val="21"/>
                <w:highlight w:val="none"/>
              </w:rPr>
              <w:t>分；</w:t>
            </w:r>
          </w:p>
          <w:p w14:paraId="0A9185A0">
            <w:pPr>
              <w:pStyle w:val="45"/>
              <w:widowControl/>
              <w:ind w:firstLine="31" w:firstLineChars="15"/>
              <w:rPr>
                <w:rFonts w:hint="default"/>
                <w:szCs w:val="21"/>
                <w:highlight w:val="none"/>
              </w:rPr>
            </w:pPr>
            <w:r>
              <w:rPr>
                <w:szCs w:val="21"/>
                <w:highlight w:val="none"/>
              </w:rPr>
              <w:t>方案略有欠缺，得3分；</w:t>
            </w:r>
          </w:p>
          <w:p w14:paraId="3FA1D3C1">
            <w:pPr>
              <w:adjustRightInd w:val="0"/>
              <w:snapToGrid w:val="0"/>
              <w:rPr>
                <w:rFonts w:hint="eastAsia" w:ascii="宋体" w:hAnsi="宋体" w:cs="宋体"/>
                <w:bCs/>
                <w:szCs w:val="21"/>
                <w:highlight w:val="none"/>
              </w:rPr>
            </w:pPr>
            <w:r>
              <w:rPr>
                <w:rFonts w:hint="eastAsia"/>
                <w:szCs w:val="21"/>
                <w:highlight w:val="none"/>
              </w:rPr>
              <w:t>未提供相关方案，得</w:t>
            </w:r>
            <w:r>
              <w:rPr>
                <w:rFonts w:hint="eastAsia" w:ascii="宋体" w:hAnsi="Courier New"/>
                <w:szCs w:val="21"/>
                <w:highlight w:val="none"/>
              </w:rPr>
              <w:t>0</w:t>
            </w:r>
            <w:r>
              <w:rPr>
                <w:rFonts w:hint="eastAsia"/>
                <w:szCs w:val="21"/>
                <w:highlight w:val="none"/>
              </w:rPr>
              <w:t>分。</w:t>
            </w:r>
          </w:p>
        </w:tc>
        <w:tc>
          <w:tcPr>
            <w:tcW w:w="737" w:type="dxa"/>
            <w:vAlign w:val="center"/>
          </w:tcPr>
          <w:p w14:paraId="1AE81494">
            <w:pPr>
              <w:pStyle w:val="343"/>
              <w:spacing w:before="0" w:after="0" w:line="240" w:lineRule="auto"/>
              <w:rPr>
                <w:rFonts w:hint="eastAsia" w:ascii="宋体" w:hAnsi="宋体" w:eastAsia="宋体"/>
                <w:sz w:val="21"/>
                <w:szCs w:val="21"/>
                <w:highlight w:val="none"/>
              </w:rPr>
            </w:pPr>
          </w:p>
        </w:tc>
      </w:tr>
      <w:tr w14:paraId="7D8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53853CB8">
            <w:pPr>
              <w:ind w:firstLine="28"/>
              <w:jc w:val="center"/>
              <w:rPr>
                <w:rFonts w:hint="eastAsia" w:ascii="宋体" w:hAnsi="宋体"/>
                <w:szCs w:val="21"/>
                <w:highlight w:val="none"/>
              </w:rPr>
            </w:pPr>
          </w:p>
        </w:tc>
        <w:tc>
          <w:tcPr>
            <w:tcW w:w="728" w:type="dxa"/>
            <w:vMerge w:val="continue"/>
            <w:vAlign w:val="center"/>
          </w:tcPr>
          <w:p w14:paraId="20499CDB">
            <w:pPr>
              <w:ind w:firstLine="28"/>
              <w:jc w:val="center"/>
              <w:rPr>
                <w:rFonts w:hint="eastAsia" w:ascii="宋体" w:hAnsi="宋体"/>
                <w:szCs w:val="21"/>
                <w:highlight w:val="none"/>
              </w:rPr>
            </w:pPr>
          </w:p>
        </w:tc>
        <w:tc>
          <w:tcPr>
            <w:tcW w:w="1115" w:type="dxa"/>
            <w:vAlign w:val="center"/>
          </w:tcPr>
          <w:p w14:paraId="447D66D9">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46B7B04A">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7B9E2E9B">
            <w:pPr>
              <w:pStyle w:val="45"/>
              <w:widowControl/>
              <w:ind w:firstLine="31" w:firstLineChars="15"/>
              <w:rPr>
                <w:rFonts w:hAnsi="宋体" w:cs="Arial"/>
                <w:bCs/>
                <w:szCs w:val="21"/>
                <w:highlight w:val="none"/>
              </w:rPr>
            </w:pPr>
            <w:r>
              <w:rPr>
                <w:rFonts w:hAnsi="宋体" w:cs="Arial"/>
                <w:bCs/>
                <w:szCs w:val="21"/>
                <w:highlight w:val="none"/>
              </w:rPr>
              <w:t>计划合理，措施有力，有针对性，得</w:t>
            </w:r>
            <w:r>
              <w:rPr>
                <w:rFonts w:hint="eastAsia" w:hAnsi="宋体" w:cs="Arial"/>
                <w:bCs/>
                <w:szCs w:val="21"/>
                <w:highlight w:val="none"/>
                <w:lang w:val="en-US" w:eastAsia="zh-CN"/>
              </w:rPr>
              <w:t>10</w:t>
            </w:r>
            <w:r>
              <w:rPr>
                <w:rFonts w:hAnsi="宋体" w:cs="Arial"/>
                <w:bCs/>
                <w:szCs w:val="21"/>
                <w:highlight w:val="none"/>
              </w:rPr>
              <w:t>分；</w:t>
            </w:r>
          </w:p>
          <w:p w14:paraId="2489580F">
            <w:pPr>
              <w:pStyle w:val="45"/>
              <w:widowControl/>
              <w:ind w:firstLine="31" w:firstLineChars="15"/>
              <w:rPr>
                <w:rFonts w:hAnsi="宋体" w:cs="Arial"/>
                <w:bCs/>
                <w:szCs w:val="21"/>
                <w:highlight w:val="none"/>
              </w:rPr>
            </w:pPr>
            <w:r>
              <w:rPr>
                <w:rFonts w:hAnsi="宋体" w:cs="Arial"/>
                <w:bCs/>
                <w:szCs w:val="21"/>
                <w:highlight w:val="none"/>
              </w:rPr>
              <w:t>计划基本合理，措施力度基本得当，得</w:t>
            </w:r>
            <w:r>
              <w:rPr>
                <w:rFonts w:hint="eastAsia" w:hAnsi="宋体" w:cs="Arial"/>
                <w:bCs/>
                <w:szCs w:val="21"/>
                <w:highlight w:val="none"/>
                <w:lang w:val="en-US" w:eastAsia="zh-CN"/>
              </w:rPr>
              <w:t>6</w:t>
            </w:r>
            <w:r>
              <w:rPr>
                <w:rFonts w:hAnsi="宋体" w:cs="Arial"/>
                <w:bCs/>
                <w:szCs w:val="21"/>
                <w:highlight w:val="none"/>
              </w:rPr>
              <w:t>分；</w:t>
            </w:r>
          </w:p>
          <w:p w14:paraId="10630D84">
            <w:pPr>
              <w:pStyle w:val="45"/>
              <w:widowControl/>
              <w:ind w:firstLine="31" w:firstLineChars="15"/>
              <w:rPr>
                <w:rFonts w:hAnsi="宋体" w:cs="Arial"/>
                <w:bCs/>
                <w:szCs w:val="21"/>
                <w:highlight w:val="none"/>
              </w:rPr>
            </w:pPr>
            <w:r>
              <w:rPr>
                <w:rFonts w:hAnsi="宋体" w:cs="Arial"/>
                <w:bCs/>
                <w:szCs w:val="21"/>
                <w:highlight w:val="none"/>
              </w:rPr>
              <w:t>计划欠合理，措施力度不强，得</w:t>
            </w:r>
            <w:r>
              <w:rPr>
                <w:rFonts w:hint="eastAsia" w:hAnsi="宋体" w:cs="Arial"/>
                <w:bCs/>
                <w:szCs w:val="21"/>
                <w:highlight w:val="none"/>
                <w:lang w:val="en-US" w:eastAsia="zh-CN"/>
              </w:rPr>
              <w:t>3</w:t>
            </w:r>
            <w:r>
              <w:rPr>
                <w:rFonts w:hAnsi="宋体" w:cs="Arial"/>
                <w:bCs/>
                <w:szCs w:val="21"/>
                <w:highlight w:val="none"/>
              </w:rPr>
              <w:t>分；</w:t>
            </w:r>
          </w:p>
          <w:p w14:paraId="4D731F40">
            <w:pPr>
              <w:pStyle w:val="45"/>
              <w:widowControl/>
              <w:ind w:firstLine="31" w:firstLineChars="15"/>
              <w:rPr>
                <w:rFonts w:hAnsi="宋体" w:cs="宋体"/>
                <w:spacing w:val="-2"/>
                <w:kern w:val="0"/>
                <w:szCs w:val="21"/>
                <w:highlight w:val="none"/>
              </w:rPr>
            </w:pPr>
            <w:r>
              <w:rPr>
                <w:rFonts w:hAnsi="宋体" w:cs="Arial"/>
                <w:bCs/>
                <w:szCs w:val="21"/>
                <w:highlight w:val="none"/>
              </w:rPr>
              <w:t>未提供相关方案，得0分。</w:t>
            </w:r>
          </w:p>
        </w:tc>
        <w:tc>
          <w:tcPr>
            <w:tcW w:w="737" w:type="dxa"/>
            <w:vAlign w:val="center"/>
          </w:tcPr>
          <w:p w14:paraId="56E51D71">
            <w:pPr>
              <w:pStyle w:val="343"/>
              <w:spacing w:before="0" w:after="0" w:line="240" w:lineRule="auto"/>
              <w:rPr>
                <w:rFonts w:hint="eastAsia" w:ascii="宋体" w:hAnsi="宋体" w:eastAsia="宋体"/>
                <w:sz w:val="21"/>
                <w:szCs w:val="21"/>
                <w:highlight w:val="none"/>
              </w:rPr>
            </w:pPr>
          </w:p>
        </w:tc>
      </w:tr>
      <w:tr w14:paraId="515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1A0C0591">
            <w:pPr>
              <w:ind w:firstLine="28"/>
              <w:jc w:val="center"/>
              <w:rPr>
                <w:rFonts w:hint="eastAsia" w:ascii="宋体" w:hAnsi="宋体"/>
                <w:szCs w:val="21"/>
                <w:highlight w:val="none"/>
              </w:rPr>
            </w:pPr>
          </w:p>
        </w:tc>
        <w:tc>
          <w:tcPr>
            <w:tcW w:w="728" w:type="dxa"/>
            <w:vMerge w:val="continue"/>
            <w:vAlign w:val="center"/>
          </w:tcPr>
          <w:p w14:paraId="2FB72DB4">
            <w:pPr>
              <w:ind w:firstLine="28"/>
              <w:jc w:val="center"/>
              <w:rPr>
                <w:rFonts w:hint="eastAsia" w:ascii="宋体" w:hAnsi="宋体"/>
                <w:szCs w:val="21"/>
                <w:highlight w:val="none"/>
              </w:rPr>
            </w:pPr>
          </w:p>
        </w:tc>
        <w:tc>
          <w:tcPr>
            <w:tcW w:w="1115" w:type="dxa"/>
            <w:vAlign w:val="center"/>
          </w:tcPr>
          <w:p w14:paraId="3A52DCC8">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015A092C">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3BAF10B7">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7EC7D61B">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6B9D0854">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04534A04">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737" w:type="dxa"/>
            <w:vAlign w:val="center"/>
          </w:tcPr>
          <w:p w14:paraId="54B28376">
            <w:pPr>
              <w:pStyle w:val="343"/>
              <w:spacing w:before="0" w:after="0" w:line="240" w:lineRule="auto"/>
              <w:rPr>
                <w:rFonts w:hint="eastAsia" w:ascii="宋体" w:hAnsi="宋体" w:eastAsia="宋体"/>
                <w:sz w:val="21"/>
                <w:szCs w:val="21"/>
                <w:highlight w:val="none"/>
              </w:rPr>
            </w:pPr>
          </w:p>
        </w:tc>
      </w:tr>
      <w:tr w14:paraId="3738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28993540">
            <w:pPr>
              <w:ind w:firstLine="28"/>
              <w:jc w:val="center"/>
              <w:rPr>
                <w:rFonts w:hint="eastAsia" w:ascii="宋体" w:hAnsi="宋体"/>
                <w:szCs w:val="21"/>
                <w:highlight w:val="none"/>
              </w:rPr>
            </w:pPr>
          </w:p>
        </w:tc>
        <w:tc>
          <w:tcPr>
            <w:tcW w:w="728" w:type="dxa"/>
            <w:vMerge w:val="continue"/>
            <w:vAlign w:val="center"/>
          </w:tcPr>
          <w:p w14:paraId="3E082BCD">
            <w:pPr>
              <w:ind w:firstLine="28"/>
              <w:jc w:val="center"/>
              <w:rPr>
                <w:rFonts w:hint="eastAsia" w:ascii="宋体" w:hAnsi="宋体"/>
                <w:szCs w:val="21"/>
                <w:highlight w:val="none"/>
              </w:rPr>
            </w:pPr>
          </w:p>
        </w:tc>
        <w:tc>
          <w:tcPr>
            <w:tcW w:w="1115" w:type="dxa"/>
            <w:vAlign w:val="center"/>
          </w:tcPr>
          <w:p w14:paraId="31775288">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04D1FB05">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3CF252BD">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4F31A222">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31705E8D">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110CDE5F">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691F665C">
            <w:pPr>
              <w:pStyle w:val="343"/>
              <w:spacing w:before="0" w:after="0" w:line="240" w:lineRule="auto"/>
              <w:rPr>
                <w:rFonts w:hint="eastAsia" w:ascii="宋体" w:hAnsi="宋体" w:eastAsia="宋体"/>
                <w:sz w:val="21"/>
                <w:szCs w:val="21"/>
                <w:highlight w:val="none"/>
              </w:rPr>
            </w:pPr>
          </w:p>
        </w:tc>
      </w:tr>
      <w:tr w14:paraId="265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88" w:type="dxa"/>
            <w:vMerge w:val="continue"/>
            <w:vAlign w:val="center"/>
          </w:tcPr>
          <w:p w14:paraId="7E7F8A19">
            <w:pPr>
              <w:ind w:firstLine="28"/>
              <w:jc w:val="center"/>
              <w:rPr>
                <w:rFonts w:hint="eastAsia" w:ascii="宋体" w:hAnsi="宋体"/>
                <w:szCs w:val="21"/>
                <w:highlight w:val="none"/>
              </w:rPr>
            </w:pPr>
          </w:p>
        </w:tc>
        <w:tc>
          <w:tcPr>
            <w:tcW w:w="728" w:type="dxa"/>
            <w:vMerge w:val="continue"/>
            <w:vAlign w:val="center"/>
          </w:tcPr>
          <w:p w14:paraId="6BB511F8">
            <w:pPr>
              <w:ind w:firstLine="28"/>
              <w:jc w:val="center"/>
              <w:rPr>
                <w:rFonts w:hint="eastAsia" w:ascii="宋体" w:hAnsi="宋体"/>
                <w:szCs w:val="21"/>
                <w:highlight w:val="none"/>
              </w:rPr>
            </w:pPr>
          </w:p>
        </w:tc>
        <w:tc>
          <w:tcPr>
            <w:tcW w:w="1115" w:type="dxa"/>
            <w:vAlign w:val="center"/>
          </w:tcPr>
          <w:p w14:paraId="05F139B4">
            <w:pPr>
              <w:pStyle w:val="45"/>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5CA03EEA">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00D5551C">
            <w:pPr>
              <w:pStyle w:val="45"/>
              <w:widowControl/>
              <w:ind w:firstLine="31" w:firstLineChars="15"/>
              <w:rPr>
                <w:rFonts w:hAnsi="宋体" w:cs="Arial"/>
                <w:kern w:val="0"/>
                <w:szCs w:val="21"/>
                <w:highlight w:val="none"/>
              </w:rPr>
            </w:pPr>
            <w:r>
              <w:rPr>
                <w:rFonts w:hAnsi="宋体" w:cs="Arial"/>
                <w:kern w:val="0"/>
                <w:szCs w:val="21"/>
                <w:highlight w:val="none"/>
              </w:rPr>
              <w:t>保证体系完整、措施有力，得5分；</w:t>
            </w:r>
          </w:p>
          <w:p w14:paraId="685FF364">
            <w:pPr>
              <w:pStyle w:val="45"/>
              <w:widowControl/>
              <w:ind w:firstLine="31" w:firstLineChars="15"/>
              <w:rPr>
                <w:rFonts w:hAnsi="宋体" w:cs="Arial"/>
                <w:kern w:val="0"/>
                <w:szCs w:val="21"/>
                <w:highlight w:val="none"/>
              </w:rPr>
            </w:pPr>
            <w:r>
              <w:rPr>
                <w:rFonts w:hAnsi="宋体" w:cs="Arial"/>
                <w:kern w:val="0"/>
                <w:szCs w:val="21"/>
                <w:highlight w:val="none"/>
              </w:rPr>
              <w:t>保证体系及措施基本完整，得3分；</w:t>
            </w:r>
          </w:p>
          <w:p w14:paraId="4A22BE6E">
            <w:pPr>
              <w:pStyle w:val="45"/>
              <w:widowControl/>
              <w:ind w:firstLine="31" w:firstLineChars="15"/>
              <w:rPr>
                <w:rFonts w:hAnsi="宋体" w:cs="Arial"/>
                <w:kern w:val="0"/>
                <w:szCs w:val="21"/>
                <w:highlight w:val="none"/>
              </w:rPr>
            </w:pPr>
            <w:r>
              <w:rPr>
                <w:rFonts w:hAnsi="宋体" w:cs="Arial"/>
                <w:kern w:val="0"/>
                <w:szCs w:val="21"/>
                <w:highlight w:val="none"/>
              </w:rPr>
              <w:t>保证体系及措施欠完整，得1分；</w:t>
            </w:r>
          </w:p>
          <w:p w14:paraId="6B5C224B">
            <w:pPr>
              <w:pStyle w:val="45"/>
              <w:widowControl/>
              <w:ind w:firstLine="31" w:firstLineChars="15"/>
              <w:rPr>
                <w:rFonts w:hAnsi="宋体" w:cs="宋体"/>
                <w:spacing w:val="-2"/>
                <w:kern w:val="0"/>
                <w:szCs w:val="21"/>
                <w:highlight w:val="none"/>
              </w:rPr>
            </w:pPr>
            <w:r>
              <w:rPr>
                <w:rFonts w:hAnsi="宋体" w:cs="Arial"/>
                <w:kern w:val="0"/>
                <w:szCs w:val="21"/>
                <w:highlight w:val="none"/>
              </w:rPr>
              <w:t>未提供相关方案，得0分。</w:t>
            </w:r>
          </w:p>
        </w:tc>
        <w:tc>
          <w:tcPr>
            <w:tcW w:w="737" w:type="dxa"/>
            <w:vAlign w:val="center"/>
          </w:tcPr>
          <w:p w14:paraId="0192BD31">
            <w:pPr>
              <w:pStyle w:val="343"/>
              <w:spacing w:before="0" w:after="0" w:line="240" w:lineRule="auto"/>
              <w:rPr>
                <w:rFonts w:hint="eastAsia" w:ascii="宋体" w:hAnsi="宋体" w:eastAsia="宋体"/>
                <w:sz w:val="21"/>
                <w:szCs w:val="21"/>
                <w:highlight w:val="none"/>
              </w:rPr>
            </w:pPr>
          </w:p>
        </w:tc>
      </w:tr>
      <w:tr w14:paraId="3B7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7B9222CE">
            <w:pPr>
              <w:ind w:firstLine="28"/>
              <w:jc w:val="center"/>
              <w:rPr>
                <w:rFonts w:hint="eastAsia" w:ascii="宋体" w:hAnsi="宋体"/>
                <w:szCs w:val="21"/>
                <w:highlight w:val="none"/>
              </w:rPr>
            </w:pPr>
          </w:p>
        </w:tc>
        <w:tc>
          <w:tcPr>
            <w:tcW w:w="728" w:type="dxa"/>
            <w:vMerge w:val="continue"/>
            <w:vAlign w:val="center"/>
          </w:tcPr>
          <w:p w14:paraId="0BC37D81">
            <w:pPr>
              <w:ind w:firstLine="28"/>
              <w:jc w:val="center"/>
              <w:rPr>
                <w:rFonts w:hint="eastAsia" w:ascii="宋体" w:hAnsi="宋体"/>
                <w:szCs w:val="21"/>
                <w:highlight w:val="none"/>
              </w:rPr>
            </w:pPr>
          </w:p>
        </w:tc>
        <w:tc>
          <w:tcPr>
            <w:tcW w:w="1115" w:type="dxa"/>
            <w:vAlign w:val="center"/>
          </w:tcPr>
          <w:p w14:paraId="5E3B5E0C">
            <w:pPr>
              <w:pStyle w:val="45"/>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3BC55C7">
            <w:pPr>
              <w:pStyle w:val="45"/>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73D17CF1">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3AFB9543">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措施科学、合理、方案可行性强，得5分；</w:t>
            </w:r>
          </w:p>
          <w:p w14:paraId="5A090A1A">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措施科学、合理、方案可行性一般，得3分；</w:t>
            </w:r>
          </w:p>
          <w:p w14:paraId="04AAD3C7">
            <w:pPr>
              <w:pStyle w:val="45"/>
              <w:widowControl/>
              <w:ind w:firstLine="31" w:firstLineChars="15"/>
              <w:rPr>
                <w:rFonts w:hAnsi="宋体" w:cs="Arial"/>
                <w:kern w:val="0"/>
                <w:szCs w:val="21"/>
                <w:highlight w:val="none"/>
              </w:rPr>
            </w:pPr>
            <w:r>
              <w:rPr>
                <w:rFonts w:hAnsi="宋体" w:cs="Arial"/>
                <w:kern w:val="0"/>
                <w:szCs w:val="21"/>
                <w:highlight w:val="none"/>
              </w:rPr>
              <w:t>方案略有欠缺，得1分；</w:t>
            </w:r>
          </w:p>
          <w:p w14:paraId="09B8849C">
            <w:pPr>
              <w:pStyle w:val="45"/>
              <w:widowControl/>
              <w:ind w:firstLine="31" w:firstLineChars="15"/>
              <w:rPr>
                <w:rFonts w:hAnsi="宋体" w:cs="宋体"/>
                <w:kern w:val="0"/>
                <w:szCs w:val="21"/>
                <w:highlight w:val="none"/>
              </w:rPr>
            </w:pPr>
            <w:r>
              <w:rPr>
                <w:rFonts w:hAnsi="宋体" w:cs="Arial"/>
                <w:kern w:val="0"/>
                <w:szCs w:val="21"/>
                <w:highlight w:val="none"/>
              </w:rPr>
              <w:t>未提供相关方案，得0分。</w:t>
            </w:r>
          </w:p>
        </w:tc>
        <w:tc>
          <w:tcPr>
            <w:tcW w:w="737" w:type="dxa"/>
            <w:vAlign w:val="center"/>
          </w:tcPr>
          <w:p w14:paraId="4420BD50">
            <w:pPr>
              <w:pStyle w:val="343"/>
              <w:spacing w:before="0" w:after="0" w:line="240" w:lineRule="auto"/>
              <w:rPr>
                <w:rFonts w:hint="eastAsia" w:ascii="宋体" w:hAnsi="宋体" w:eastAsia="宋体"/>
                <w:sz w:val="21"/>
                <w:szCs w:val="21"/>
                <w:highlight w:val="none"/>
              </w:rPr>
            </w:pPr>
          </w:p>
        </w:tc>
      </w:tr>
      <w:tr w14:paraId="51CE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333D7DFE">
            <w:pPr>
              <w:ind w:firstLine="28"/>
              <w:jc w:val="center"/>
              <w:rPr>
                <w:rFonts w:hint="eastAsia" w:ascii="宋体" w:hAnsi="宋体"/>
                <w:szCs w:val="21"/>
                <w:highlight w:val="none"/>
              </w:rPr>
            </w:pPr>
          </w:p>
        </w:tc>
        <w:tc>
          <w:tcPr>
            <w:tcW w:w="728" w:type="dxa"/>
            <w:vMerge w:val="continue"/>
            <w:vAlign w:val="center"/>
          </w:tcPr>
          <w:p w14:paraId="513345BE">
            <w:pPr>
              <w:ind w:firstLine="28"/>
              <w:jc w:val="center"/>
              <w:rPr>
                <w:rFonts w:hint="eastAsia" w:ascii="宋体" w:hAnsi="宋体"/>
                <w:szCs w:val="21"/>
                <w:highlight w:val="none"/>
              </w:rPr>
            </w:pPr>
          </w:p>
        </w:tc>
        <w:tc>
          <w:tcPr>
            <w:tcW w:w="1115" w:type="dxa"/>
            <w:vAlign w:val="center"/>
          </w:tcPr>
          <w:p w14:paraId="100FDC2B">
            <w:pPr>
              <w:pStyle w:val="45"/>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14444750">
            <w:pPr>
              <w:pStyle w:val="45"/>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6B550CB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BA4AF77">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措施科学、合理、方案可行性强，得5分；</w:t>
            </w:r>
          </w:p>
          <w:p w14:paraId="6DBCA2EA">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措施科学、合理、方案可行性一般，得3分；</w:t>
            </w:r>
          </w:p>
          <w:p w14:paraId="7EAF23A1">
            <w:pPr>
              <w:pStyle w:val="45"/>
              <w:widowControl/>
              <w:ind w:firstLine="31" w:firstLineChars="15"/>
              <w:rPr>
                <w:rFonts w:hAnsi="宋体" w:cs="Arial"/>
                <w:kern w:val="0"/>
                <w:szCs w:val="21"/>
                <w:highlight w:val="none"/>
              </w:rPr>
            </w:pPr>
            <w:r>
              <w:rPr>
                <w:rFonts w:hAnsi="宋体" w:cs="Arial"/>
                <w:kern w:val="0"/>
                <w:szCs w:val="21"/>
                <w:highlight w:val="none"/>
              </w:rPr>
              <w:t>方案略有欠缺，得1分；</w:t>
            </w:r>
          </w:p>
          <w:p w14:paraId="5F2FB22F">
            <w:pPr>
              <w:pStyle w:val="45"/>
              <w:widowControl/>
              <w:ind w:firstLine="31" w:firstLineChars="15"/>
              <w:rPr>
                <w:rFonts w:hAnsi="宋体" w:cs="宋体"/>
                <w:kern w:val="0"/>
                <w:szCs w:val="21"/>
                <w:highlight w:val="none"/>
              </w:rPr>
            </w:pPr>
            <w:r>
              <w:rPr>
                <w:rFonts w:hAnsi="宋体" w:cs="Arial"/>
                <w:kern w:val="0"/>
                <w:szCs w:val="21"/>
                <w:highlight w:val="none"/>
              </w:rPr>
              <w:t>未提供相关方案，得0分。</w:t>
            </w:r>
          </w:p>
        </w:tc>
        <w:tc>
          <w:tcPr>
            <w:tcW w:w="737" w:type="dxa"/>
            <w:vAlign w:val="center"/>
          </w:tcPr>
          <w:p w14:paraId="21593A6C">
            <w:pPr>
              <w:pStyle w:val="343"/>
              <w:spacing w:before="0" w:after="0" w:line="240" w:lineRule="auto"/>
              <w:rPr>
                <w:rFonts w:hint="eastAsia" w:ascii="宋体" w:hAnsi="宋体" w:eastAsia="宋体"/>
                <w:sz w:val="21"/>
                <w:szCs w:val="21"/>
                <w:highlight w:val="none"/>
              </w:rPr>
            </w:pPr>
          </w:p>
        </w:tc>
      </w:tr>
      <w:tr w14:paraId="6DBE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88" w:type="dxa"/>
            <w:vMerge w:val="continue"/>
            <w:vAlign w:val="center"/>
          </w:tcPr>
          <w:p w14:paraId="5C7C484E">
            <w:pPr>
              <w:ind w:firstLine="28"/>
              <w:jc w:val="center"/>
              <w:rPr>
                <w:rFonts w:hint="eastAsia" w:ascii="宋体" w:hAnsi="宋体"/>
                <w:szCs w:val="21"/>
                <w:highlight w:val="none"/>
              </w:rPr>
            </w:pPr>
          </w:p>
        </w:tc>
        <w:tc>
          <w:tcPr>
            <w:tcW w:w="728" w:type="dxa"/>
            <w:vMerge w:val="continue"/>
            <w:vAlign w:val="center"/>
          </w:tcPr>
          <w:p w14:paraId="5AB5DDB1">
            <w:pPr>
              <w:ind w:firstLine="28"/>
              <w:jc w:val="center"/>
              <w:rPr>
                <w:rFonts w:hint="eastAsia" w:ascii="宋体" w:hAnsi="宋体"/>
                <w:szCs w:val="21"/>
                <w:highlight w:val="none"/>
              </w:rPr>
            </w:pPr>
          </w:p>
        </w:tc>
        <w:tc>
          <w:tcPr>
            <w:tcW w:w="1115" w:type="dxa"/>
            <w:vAlign w:val="center"/>
          </w:tcPr>
          <w:p w14:paraId="2E6FE42A">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5A588E5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1CD32D98">
            <w:pPr>
              <w:pStyle w:val="55"/>
              <w:rPr>
                <w:rFonts w:hint="eastAsia" w:hAnsi="宋体" w:cs="宋体"/>
                <w:sz w:val="21"/>
                <w:szCs w:val="21"/>
                <w:highlight w:val="none"/>
              </w:rPr>
            </w:pPr>
            <w:r>
              <w:rPr>
                <w:rFonts w:hAnsi="宋体" w:cs="宋体"/>
                <w:sz w:val="21"/>
                <w:szCs w:val="21"/>
                <w:highlight w:val="none"/>
              </w:rPr>
              <w:t>方案合理，措施到位，有针对性，5</w:t>
            </w:r>
            <w:r>
              <w:rPr>
                <w:rFonts w:hint="eastAsia" w:hAnsi="宋体" w:cs="宋体"/>
                <w:sz w:val="21"/>
                <w:szCs w:val="21"/>
                <w:highlight w:val="none"/>
              </w:rPr>
              <w:t>分</w:t>
            </w:r>
            <w:r>
              <w:rPr>
                <w:rFonts w:hint="eastAsia" w:hAnsi="宋体" w:cs="Arial"/>
                <w:sz w:val="21"/>
                <w:szCs w:val="21"/>
                <w:highlight w:val="none"/>
              </w:rPr>
              <w:t>；</w:t>
            </w:r>
          </w:p>
          <w:p w14:paraId="63D7E3C7">
            <w:pPr>
              <w:pStyle w:val="55"/>
              <w:rPr>
                <w:rFonts w:hint="eastAsia" w:hAnsi="宋体" w:cs="宋体"/>
                <w:sz w:val="21"/>
                <w:szCs w:val="21"/>
                <w:highlight w:val="none"/>
              </w:rPr>
            </w:pPr>
            <w:r>
              <w:rPr>
                <w:rFonts w:hAnsi="宋体" w:cs="宋体"/>
                <w:sz w:val="21"/>
                <w:szCs w:val="21"/>
                <w:highlight w:val="none"/>
              </w:rPr>
              <w:t>方案</w:t>
            </w:r>
            <w:r>
              <w:rPr>
                <w:rFonts w:hint="eastAsia" w:hAnsi="宋体" w:cs="宋体"/>
                <w:sz w:val="21"/>
                <w:szCs w:val="21"/>
                <w:highlight w:val="none"/>
              </w:rPr>
              <w:t>较</w:t>
            </w:r>
            <w:r>
              <w:rPr>
                <w:rFonts w:hAnsi="宋体" w:cs="宋体"/>
                <w:sz w:val="21"/>
                <w:szCs w:val="21"/>
                <w:highlight w:val="none"/>
              </w:rPr>
              <w:t>合理，措施</w:t>
            </w:r>
            <w:r>
              <w:rPr>
                <w:rFonts w:hint="eastAsia" w:hAnsi="宋体" w:cs="宋体"/>
                <w:sz w:val="21"/>
                <w:szCs w:val="21"/>
                <w:highlight w:val="none"/>
              </w:rPr>
              <w:t>较</w:t>
            </w:r>
            <w:r>
              <w:rPr>
                <w:rFonts w:hAnsi="宋体" w:cs="宋体"/>
                <w:sz w:val="21"/>
                <w:szCs w:val="21"/>
                <w:highlight w:val="none"/>
              </w:rPr>
              <w:t>到位，</w:t>
            </w:r>
            <w:r>
              <w:rPr>
                <w:rFonts w:hint="eastAsia" w:hAnsi="宋体" w:cs="宋体"/>
                <w:sz w:val="21"/>
                <w:szCs w:val="21"/>
                <w:highlight w:val="none"/>
              </w:rPr>
              <w:t>较</w:t>
            </w:r>
            <w:r>
              <w:rPr>
                <w:rFonts w:hAnsi="宋体" w:cs="宋体"/>
                <w:sz w:val="21"/>
                <w:szCs w:val="21"/>
                <w:highlight w:val="none"/>
              </w:rPr>
              <w:t>有针对性，3</w:t>
            </w:r>
            <w:r>
              <w:rPr>
                <w:rFonts w:hint="eastAsia" w:hAnsi="宋体" w:cs="宋体"/>
                <w:sz w:val="21"/>
                <w:szCs w:val="21"/>
                <w:highlight w:val="none"/>
              </w:rPr>
              <w:t>分</w:t>
            </w:r>
            <w:r>
              <w:rPr>
                <w:rFonts w:hint="eastAsia" w:hAnsi="宋体" w:cs="Arial"/>
                <w:sz w:val="21"/>
                <w:szCs w:val="21"/>
                <w:highlight w:val="none"/>
              </w:rPr>
              <w:t>；</w:t>
            </w:r>
          </w:p>
          <w:p w14:paraId="67BA5363">
            <w:pPr>
              <w:pStyle w:val="55"/>
              <w:rPr>
                <w:rFonts w:hint="eastAsia" w:hAnsi="宋体" w:cs="宋体"/>
                <w:sz w:val="21"/>
                <w:szCs w:val="21"/>
                <w:highlight w:val="none"/>
              </w:rPr>
            </w:pPr>
            <w:r>
              <w:rPr>
                <w:rFonts w:hAnsi="宋体" w:cs="宋体"/>
                <w:sz w:val="21"/>
                <w:szCs w:val="21"/>
                <w:highlight w:val="none"/>
              </w:rPr>
              <w:t>方案</w:t>
            </w:r>
            <w:r>
              <w:rPr>
                <w:rFonts w:hint="eastAsia" w:hAnsi="宋体" w:cs="宋体"/>
                <w:sz w:val="21"/>
                <w:szCs w:val="21"/>
                <w:highlight w:val="none"/>
              </w:rPr>
              <w:t>一般</w:t>
            </w:r>
            <w:r>
              <w:rPr>
                <w:rFonts w:hAnsi="宋体" w:cs="宋体"/>
                <w:sz w:val="21"/>
                <w:szCs w:val="21"/>
                <w:highlight w:val="none"/>
              </w:rPr>
              <w:t>合理，措施</w:t>
            </w:r>
            <w:r>
              <w:rPr>
                <w:rFonts w:hint="eastAsia" w:hAnsi="宋体" w:cs="宋体"/>
                <w:sz w:val="21"/>
                <w:szCs w:val="21"/>
                <w:highlight w:val="none"/>
              </w:rPr>
              <w:t>一般</w:t>
            </w:r>
            <w:r>
              <w:rPr>
                <w:rFonts w:hAnsi="宋体" w:cs="宋体"/>
                <w:sz w:val="21"/>
                <w:szCs w:val="21"/>
                <w:highlight w:val="none"/>
              </w:rPr>
              <w:t>到位，针对性</w:t>
            </w:r>
            <w:r>
              <w:rPr>
                <w:rFonts w:hint="eastAsia" w:hAnsi="宋体" w:cs="宋体"/>
                <w:sz w:val="21"/>
                <w:szCs w:val="21"/>
                <w:highlight w:val="none"/>
              </w:rPr>
              <w:t>不强</w:t>
            </w:r>
            <w:r>
              <w:rPr>
                <w:rFonts w:hAnsi="宋体" w:cs="宋体"/>
                <w:sz w:val="21"/>
                <w:szCs w:val="21"/>
                <w:highlight w:val="none"/>
              </w:rPr>
              <w:t>，</w:t>
            </w:r>
            <w:r>
              <w:rPr>
                <w:rFonts w:hint="eastAsia" w:hAnsi="宋体" w:cs="宋体"/>
                <w:sz w:val="21"/>
                <w:szCs w:val="21"/>
                <w:highlight w:val="none"/>
              </w:rPr>
              <w:t>1分；</w:t>
            </w:r>
          </w:p>
          <w:p w14:paraId="043ABDC1">
            <w:pPr>
              <w:pStyle w:val="55"/>
              <w:rPr>
                <w:rFonts w:hint="eastAsia" w:hAnsi="宋体" w:cs="宋体"/>
                <w:sz w:val="21"/>
                <w:szCs w:val="21"/>
                <w:highlight w:val="none"/>
              </w:rPr>
            </w:pPr>
            <w:r>
              <w:rPr>
                <w:rFonts w:hint="eastAsia" w:hAnsi="宋体" w:cs="Arial"/>
                <w:sz w:val="21"/>
                <w:szCs w:val="21"/>
                <w:highlight w:val="none"/>
              </w:rPr>
              <w:t>未提供相关方案，得0分。</w:t>
            </w:r>
          </w:p>
        </w:tc>
        <w:tc>
          <w:tcPr>
            <w:tcW w:w="737" w:type="dxa"/>
            <w:vAlign w:val="center"/>
          </w:tcPr>
          <w:p w14:paraId="3633D4F2">
            <w:pPr>
              <w:pStyle w:val="343"/>
              <w:spacing w:before="0" w:after="0" w:line="240" w:lineRule="auto"/>
              <w:rPr>
                <w:rFonts w:hint="eastAsia" w:ascii="宋体" w:hAnsi="宋体" w:eastAsia="宋体"/>
                <w:sz w:val="21"/>
                <w:szCs w:val="21"/>
                <w:highlight w:val="none"/>
              </w:rPr>
            </w:pPr>
          </w:p>
        </w:tc>
      </w:tr>
      <w:tr w14:paraId="266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35AA481C">
            <w:pPr>
              <w:ind w:firstLine="28"/>
              <w:jc w:val="center"/>
              <w:rPr>
                <w:rFonts w:hint="eastAsia" w:ascii="宋体" w:hAnsi="宋体"/>
                <w:szCs w:val="21"/>
                <w:highlight w:val="none"/>
              </w:rPr>
            </w:pPr>
            <w:bookmarkStart w:id="538" w:name="OLE_LINK14" w:colFirst="4" w:colLast="4"/>
            <w:r>
              <w:rPr>
                <w:rFonts w:hint="eastAsia" w:ascii="宋体" w:hAnsi="宋体"/>
                <w:szCs w:val="21"/>
                <w:highlight w:val="none"/>
              </w:rPr>
              <w:t>2</w:t>
            </w:r>
          </w:p>
        </w:tc>
        <w:tc>
          <w:tcPr>
            <w:tcW w:w="728" w:type="dxa"/>
            <w:vMerge w:val="restart"/>
            <w:vAlign w:val="center"/>
          </w:tcPr>
          <w:p w14:paraId="441D5FDA">
            <w:pPr>
              <w:ind w:firstLine="28"/>
              <w:jc w:val="center"/>
              <w:rPr>
                <w:rFonts w:hint="eastAsia" w:ascii="宋体" w:hAnsi="宋体"/>
                <w:szCs w:val="21"/>
                <w:highlight w:val="none"/>
              </w:rPr>
            </w:pPr>
            <w:r>
              <w:rPr>
                <w:rFonts w:hint="eastAsia" w:ascii="宋体" w:hAnsi="宋体"/>
                <w:szCs w:val="21"/>
                <w:highlight w:val="none"/>
              </w:rPr>
              <w:t>商务部分</w:t>
            </w:r>
          </w:p>
          <w:p w14:paraId="3B854548">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03AE8359">
            <w:pPr>
              <w:pStyle w:val="45"/>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466E5A6F">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3FFC1604">
            <w:pPr>
              <w:rPr>
                <w:rFonts w:hint="eastAsia" w:ascii="宋体" w:hAnsi="宋体" w:cs="宋体"/>
                <w:szCs w:val="21"/>
                <w:highlight w:val="none"/>
              </w:rPr>
            </w:pPr>
            <w:r>
              <w:rPr>
                <w:rFonts w:hint="eastAsia" w:ascii="宋体" w:hAnsi="宋体" w:cs="宋体"/>
                <w:szCs w:val="21"/>
                <w:highlight w:val="none"/>
              </w:rPr>
              <w:t>供应商提供近三年（2022年</w:t>
            </w:r>
            <w:r>
              <w:rPr>
                <w:rFonts w:hint="eastAsia" w:ascii="宋体" w:hAnsi="宋体" w:cs="宋体"/>
                <w:szCs w:val="21"/>
                <w:highlight w:val="none"/>
                <w:lang w:val="en-US" w:eastAsia="zh-CN"/>
              </w:rPr>
              <w:t>11</w:t>
            </w:r>
            <w:r>
              <w:rPr>
                <w:rFonts w:hint="eastAsia" w:ascii="宋体" w:hAnsi="宋体" w:cs="宋体"/>
                <w:szCs w:val="21"/>
                <w:highlight w:val="none"/>
              </w:rPr>
              <w:t>月1日至</w:t>
            </w:r>
            <w:r>
              <w:rPr>
                <w:rFonts w:hint="eastAsia" w:ascii="宋体" w:hAnsi="宋体" w:cs="宋体"/>
                <w:szCs w:val="21"/>
                <w:highlight w:val="none"/>
                <w:lang w:val="en-US" w:eastAsia="zh-CN"/>
              </w:rPr>
              <w:t>投标截止日</w:t>
            </w:r>
            <w:r>
              <w:rPr>
                <w:rFonts w:hint="eastAsia" w:ascii="宋体" w:hAnsi="宋体" w:cs="宋体"/>
                <w:szCs w:val="21"/>
                <w:highlight w:val="none"/>
              </w:rPr>
              <w:t>）类似项目业绩，每个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737" w:type="dxa"/>
            <w:vAlign w:val="center"/>
          </w:tcPr>
          <w:p w14:paraId="3B0767EA">
            <w:pPr>
              <w:pStyle w:val="343"/>
              <w:spacing w:before="0" w:after="0" w:line="240" w:lineRule="auto"/>
              <w:rPr>
                <w:rFonts w:hint="eastAsia" w:ascii="宋体" w:hAnsi="宋体" w:eastAsia="宋体"/>
                <w:sz w:val="21"/>
                <w:szCs w:val="21"/>
                <w:highlight w:val="none"/>
              </w:rPr>
            </w:pPr>
          </w:p>
        </w:tc>
      </w:tr>
      <w:tr w14:paraId="2288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D78A8A0">
            <w:pPr>
              <w:ind w:firstLine="28"/>
              <w:jc w:val="center"/>
              <w:rPr>
                <w:rFonts w:hint="eastAsia" w:ascii="宋体" w:hAnsi="宋体"/>
                <w:szCs w:val="21"/>
                <w:highlight w:val="none"/>
              </w:rPr>
            </w:pPr>
          </w:p>
        </w:tc>
        <w:tc>
          <w:tcPr>
            <w:tcW w:w="728" w:type="dxa"/>
            <w:vMerge w:val="continue"/>
            <w:vAlign w:val="center"/>
          </w:tcPr>
          <w:p w14:paraId="3C0EBACC">
            <w:pPr>
              <w:ind w:firstLine="28"/>
              <w:jc w:val="center"/>
              <w:rPr>
                <w:rFonts w:hint="eastAsia" w:ascii="宋体" w:hAnsi="宋体"/>
                <w:szCs w:val="21"/>
                <w:highlight w:val="none"/>
              </w:rPr>
            </w:pPr>
          </w:p>
        </w:tc>
        <w:tc>
          <w:tcPr>
            <w:tcW w:w="1115" w:type="dxa"/>
            <w:vAlign w:val="center"/>
          </w:tcPr>
          <w:p w14:paraId="257188B4">
            <w:pPr>
              <w:pStyle w:val="45"/>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259270C2">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120F5A6F">
            <w:pPr>
              <w:rPr>
                <w:rFonts w:hint="eastAsia" w:ascii="宋体" w:hAnsi="宋体" w:cs="宋体"/>
                <w:szCs w:val="21"/>
                <w:highlight w:val="none"/>
              </w:rPr>
            </w:pPr>
            <w:r>
              <w:rPr>
                <w:rFonts w:hint="eastAsia" w:ascii="宋体" w:hAnsi="宋体" w:cs="宋体"/>
                <w:szCs w:val="21"/>
                <w:highlight w:val="none"/>
              </w:rPr>
              <w:t>供应商提供的人员安排合理、实用性强。专业配备齐全具有相关工作经验得8分；</w:t>
            </w:r>
          </w:p>
          <w:p w14:paraId="6FEFE50B">
            <w:pPr>
              <w:rPr>
                <w:rFonts w:hint="eastAsia" w:ascii="宋体" w:hAnsi="宋体" w:cs="宋体"/>
                <w:szCs w:val="21"/>
                <w:highlight w:val="none"/>
              </w:rPr>
            </w:pPr>
            <w:r>
              <w:rPr>
                <w:rFonts w:hint="eastAsia" w:ascii="宋体" w:hAnsi="宋体" w:cs="宋体"/>
                <w:szCs w:val="21"/>
                <w:highlight w:val="none"/>
              </w:rPr>
              <w:t>供应商提供的人员安排、实用性、专业配、及相关工作经验一般得5分；</w:t>
            </w:r>
          </w:p>
          <w:p w14:paraId="009E75DA">
            <w:pPr>
              <w:rPr>
                <w:rFonts w:hint="eastAsia" w:ascii="宋体" w:hAnsi="宋体" w:cs="宋体"/>
                <w:szCs w:val="21"/>
                <w:highlight w:val="none"/>
              </w:rPr>
            </w:pPr>
            <w:r>
              <w:rPr>
                <w:rFonts w:hint="eastAsia" w:ascii="宋体" w:hAnsi="宋体" w:cs="宋体"/>
                <w:szCs w:val="21"/>
                <w:highlight w:val="none"/>
              </w:rPr>
              <w:t>供应商提供的人员安排、实用性、专业配、及相关工作经验较差得2分；</w:t>
            </w:r>
          </w:p>
          <w:p w14:paraId="53CFC499">
            <w:pPr>
              <w:rPr>
                <w:rFonts w:hint="eastAsia" w:ascii="宋体" w:hAnsi="宋体" w:cs="宋体"/>
                <w:szCs w:val="21"/>
                <w:highlight w:val="none"/>
              </w:rPr>
            </w:pPr>
            <w:r>
              <w:rPr>
                <w:rFonts w:hint="eastAsia" w:ascii="宋体" w:hAnsi="宋体" w:cs="宋体"/>
                <w:szCs w:val="21"/>
                <w:highlight w:val="none"/>
              </w:rPr>
              <w:t>未提供得0分。</w:t>
            </w:r>
          </w:p>
        </w:tc>
        <w:tc>
          <w:tcPr>
            <w:tcW w:w="737" w:type="dxa"/>
            <w:vAlign w:val="center"/>
          </w:tcPr>
          <w:p w14:paraId="191A79FE">
            <w:pPr>
              <w:pStyle w:val="343"/>
              <w:spacing w:before="0" w:after="0" w:line="240" w:lineRule="auto"/>
              <w:rPr>
                <w:rFonts w:hint="eastAsia" w:ascii="宋体" w:hAnsi="宋体" w:eastAsia="宋体"/>
                <w:sz w:val="21"/>
                <w:szCs w:val="21"/>
                <w:highlight w:val="none"/>
              </w:rPr>
            </w:pPr>
          </w:p>
        </w:tc>
      </w:tr>
      <w:bookmarkEnd w:id="538"/>
      <w:tr w14:paraId="1D85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12D409D">
            <w:pPr>
              <w:ind w:firstLine="28"/>
              <w:jc w:val="center"/>
              <w:rPr>
                <w:rFonts w:hint="eastAsia" w:ascii="宋体" w:hAnsi="宋体"/>
                <w:szCs w:val="21"/>
                <w:highlight w:val="none"/>
              </w:rPr>
            </w:pPr>
          </w:p>
        </w:tc>
        <w:tc>
          <w:tcPr>
            <w:tcW w:w="728" w:type="dxa"/>
            <w:vMerge w:val="continue"/>
            <w:vAlign w:val="center"/>
          </w:tcPr>
          <w:p w14:paraId="32E08C31">
            <w:pPr>
              <w:ind w:firstLine="28"/>
              <w:jc w:val="center"/>
              <w:rPr>
                <w:rFonts w:hint="eastAsia" w:ascii="宋体" w:hAnsi="宋体"/>
                <w:szCs w:val="21"/>
                <w:highlight w:val="none"/>
              </w:rPr>
            </w:pPr>
          </w:p>
        </w:tc>
        <w:tc>
          <w:tcPr>
            <w:tcW w:w="1115" w:type="dxa"/>
            <w:vAlign w:val="center"/>
          </w:tcPr>
          <w:p w14:paraId="5147A186">
            <w:pPr>
              <w:pStyle w:val="45"/>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5880C01F">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36678786">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63C5A3CD">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6DCF763F">
            <w:pPr>
              <w:pStyle w:val="343"/>
              <w:spacing w:before="0" w:after="0" w:line="240" w:lineRule="auto"/>
              <w:rPr>
                <w:rFonts w:hint="eastAsia" w:ascii="宋体" w:hAnsi="宋体" w:eastAsia="宋体"/>
                <w:sz w:val="21"/>
                <w:szCs w:val="21"/>
                <w:highlight w:val="none"/>
              </w:rPr>
            </w:pPr>
          </w:p>
        </w:tc>
      </w:tr>
      <w:tr w14:paraId="52A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A598FAF">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37624612">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6C2B7B3C">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67FAB78D">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78C4A075">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6358D117">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7DACD1EB">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737" w:type="dxa"/>
            <w:vAlign w:val="center"/>
          </w:tcPr>
          <w:p w14:paraId="04C2D86A">
            <w:pPr>
              <w:ind w:left="-38"/>
              <w:rPr>
                <w:rFonts w:hint="eastAsia" w:ascii="宋体" w:hAnsi="宋体"/>
                <w:szCs w:val="21"/>
                <w:highlight w:val="none"/>
              </w:rPr>
            </w:pPr>
          </w:p>
        </w:tc>
      </w:tr>
      <w:tr w14:paraId="228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E507041">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52E0711F">
            <w:pPr>
              <w:ind w:firstLine="28"/>
              <w:jc w:val="center"/>
              <w:rPr>
                <w:rFonts w:hint="eastAsia" w:ascii="宋体" w:hAnsi="宋体"/>
                <w:szCs w:val="21"/>
                <w:highlight w:val="none"/>
              </w:rPr>
            </w:pPr>
            <w:r>
              <w:rPr>
                <w:rFonts w:hint="eastAsia" w:ascii="宋体" w:hAnsi="宋体"/>
                <w:szCs w:val="21"/>
                <w:highlight w:val="none"/>
              </w:rPr>
              <w:t>政策</w:t>
            </w:r>
          </w:p>
          <w:p w14:paraId="5D92AFDD">
            <w:pPr>
              <w:ind w:firstLine="28"/>
              <w:jc w:val="center"/>
              <w:rPr>
                <w:rFonts w:hint="eastAsia" w:ascii="宋体" w:hAnsi="宋体"/>
                <w:szCs w:val="21"/>
                <w:highlight w:val="none"/>
              </w:rPr>
            </w:pPr>
            <w:r>
              <w:rPr>
                <w:rFonts w:hint="eastAsia" w:ascii="宋体" w:hAnsi="宋体"/>
                <w:szCs w:val="21"/>
                <w:highlight w:val="none"/>
              </w:rPr>
              <w:t>性加</w:t>
            </w:r>
          </w:p>
          <w:p w14:paraId="1525806E">
            <w:pPr>
              <w:ind w:firstLine="28"/>
              <w:jc w:val="center"/>
              <w:rPr>
                <w:rFonts w:hint="eastAsia" w:ascii="宋体" w:hAnsi="宋体"/>
                <w:szCs w:val="21"/>
                <w:highlight w:val="none"/>
              </w:rPr>
            </w:pPr>
            <w:r>
              <w:rPr>
                <w:rFonts w:hint="eastAsia" w:ascii="宋体" w:hAnsi="宋体"/>
                <w:szCs w:val="21"/>
                <w:highlight w:val="none"/>
              </w:rPr>
              <w:t>分评</w:t>
            </w:r>
          </w:p>
          <w:p w14:paraId="658ABD2D">
            <w:pPr>
              <w:ind w:firstLine="28"/>
              <w:jc w:val="center"/>
              <w:rPr>
                <w:rFonts w:hint="eastAsia" w:ascii="宋体" w:hAnsi="宋体"/>
                <w:szCs w:val="21"/>
                <w:highlight w:val="none"/>
              </w:rPr>
            </w:pPr>
            <w:r>
              <w:rPr>
                <w:rFonts w:hint="eastAsia" w:ascii="宋体" w:hAnsi="宋体"/>
                <w:szCs w:val="21"/>
                <w:highlight w:val="none"/>
              </w:rPr>
              <w:t>审</w:t>
            </w:r>
          </w:p>
          <w:p w14:paraId="44309EB1">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3B777461">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0EE41C41">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41F904EF">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7FDA483D">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1D30E587">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400DD52C">
            <w:pPr>
              <w:rPr>
                <w:rFonts w:hint="eastAsia" w:ascii="宋体" w:hAnsi="宋体" w:cs="宋体"/>
                <w:szCs w:val="21"/>
                <w:highlight w:val="none"/>
              </w:rPr>
            </w:pPr>
            <w:r>
              <w:rPr>
                <w:rFonts w:hint="eastAsia" w:ascii="宋体" w:hAnsi="宋体" w:cs="宋体"/>
                <w:szCs w:val="21"/>
                <w:highlight w:val="none"/>
              </w:rPr>
              <w:t>分，最多加1.5分，否则不加分；</w:t>
            </w:r>
          </w:p>
          <w:p w14:paraId="688151F6">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64C057D5">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17818A8A">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51778F47">
            <w:pPr>
              <w:rPr>
                <w:rFonts w:hint="eastAsia" w:ascii="宋体" w:hAnsi="宋体" w:cs="宋体"/>
                <w:szCs w:val="21"/>
                <w:highlight w:val="none"/>
              </w:rPr>
            </w:pPr>
            <w:r>
              <w:rPr>
                <w:rFonts w:hint="eastAsia" w:ascii="宋体" w:hAnsi="宋体" w:cs="宋体"/>
                <w:szCs w:val="21"/>
                <w:highlight w:val="none"/>
              </w:rPr>
              <w:t>加1.5分，最多加1.5分，否则不加分。</w:t>
            </w:r>
          </w:p>
          <w:p w14:paraId="7B9AC256">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7B8C14D7">
            <w:pPr>
              <w:rPr>
                <w:rFonts w:hint="eastAsia" w:ascii="宋体" w:hAnsi="宋体" w:cs="宋体"/>
                <w:szCs w:val="21"/>
                <w:highlight w:val="none"/>
              </w:rPr>
            </w:pPr>
            <w:r>
              <w:rPr>
                <w:rFonts w:hint="eastAsia" w:ascii="宋体" w:hAnsi="宋体" w:cs="宋体"/>
                <w:szCs w:val="21"/>
                <w:highlight w:val="none"/>
              </w:rPr>
              <w:t>采购节能产品的不加分。</w:t>
            </w:r>
          </w:p>
        </w:tc>
        <w:tc>
          <w:tcPr>
            <w:tcW w:w="737" w:type="dxa"/>
            <w:vAlign w:val="center"/>
          </w:tcPr>
          <w:p w14:paraId="6EC8ADF0">
            <w:pPr>
              <w:ind w:left="-38"/>
              <w:rPr>
                <w:rFonts w:hint="eastAsia" w:ascii="宋体" w:hAnsi="宋体"/>
                <w:szCs w:val="21"/>
                <w:highlight w:val="none"/>
              </w:rPr>
            </w:pPr>
          </w:p>
        </w:tc>
      </w:tr>
      <w:tr w14:paraId="4DA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48652419">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18644A13">
            <w:pPr>
              <w:ind w:firstLine="28"/>
              <w:jc w:val="center"/>
              <w:rPr>
                <w:rFonts w:hint="eastAsia" w:ascii="宋体" w:hAnsi="宋体" w:cs="Arial"/>
                <w:szCs w:val="21"/>
                <w:highlight w:val="none"/>
              </w:rPr>
            </w:pPr>
          </w:p>
        </w:tc>
        <w:tc>
          <w:tcPr>
            <w:tcW w:w="711" w:type="dxa"/>
            <w:vAlign w:val="center"/>
          </w:tcPr>
          <w:p w14:paraId="0067575D">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712C2CC9">
            <w:pPr>
              <w:ind w:firstLine="28"/>
              <w:jc w:val="left"/>
              <w:rPr>
                <w:rFonts w:hint="eastAsia" w:ascii="宋体" w:hAnsi="宋体"/>
                <w:szCs w:val="21"/>
                <w:highlight w:val="none"/>
              </w:rPr>
            </w:pPr>
          </w:p>
        </w:tc>
        <w:tc>
          <w:tcPr>
            <w:tcW w:w="737" w:type="dxa"/>
            <w:vAlign w:val="center"/>
          </w:tcPr>
          <w:p w14:paraId="519C7E36">
            <w:pPr>
              <w:ind w:left="-38"/>
              <w:rPr>
                <w:rFonts w:hint="eastAsia" w:ascii="宋体" w:hAnsi="宋体"/>
                <w:szCs w:val="21"/>
                <w:highlight w:val="none"/>
              </w:rPr>
            </w:pPr>
          </w:p>
        </w:tc>
      </w:tr>
    </w:tbl>
    <w:p w14:paraId="6D0104BE">
      <w:pPr>
        <w:pStyle w:val="87"/>
        <w:ind w:firstLine="480"/>
        <w:rPr>
          <w:rFonts w:hint="eastAsia" w:ascii="宋体" w:hAnsi="宋体" w:eastAsia="宋体" w:cs="宋体"/>
          <w:highlight w:val="none"/>
        </w:rPr>
        <w:sectPr>
          <w:headerReference r:id="rId17" w:type="default"/>
          <w:footerReference r:id="rId18"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门头沟新城北部（双峪门户区）区域综合治理提升项目（龙泉花园社区）项目包括廊架、花池挡墙、自行车棚、现状自行车棚、社区服务站等综合整治等设计图纸及清单的全部内容。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eastAsia="宋体" w:cs="宋体"/>
          <w:sz w:val="24"/>
          <w:highlight w:val="none"/>
        </w:rPr>
        <w:t>：</w:t>
      </w:r>
      <w:r>
        <w:rPr>
          <w:rFonts w:hint="eastAsia" w:ascii="宋体" w:hAnsi="宋体" w:cs="宋体"/>
          <w:sz w:val="24"/>
          <w:highlight w:val="none"/>
          <w:lang w:eastAsia="zh-CN"/>
        </w:rPr>
        <w:t>180日历天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06A188AB">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540"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3110570.17</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2543785.55</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eastAsia="zh-CN"/>
        </w:rPr>
        <w:t>309948.55</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256836.07</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140542.51</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87"/>
        <w:widowControl w:val="0"/>
        <w:numPr>
          <w:ilvl w:val="0"/>
          <w:numId w:val="0"/>
        </w:numPr>
        <w:spacing w:after="120" w:line="480" w:lineRule="exact"/>
        <w:jc w:val="both"/>
        <w:rPr>
          <w:rFonts w:hint="eastAsia" w:ascii="宋体" w:hAnsi="宋体" w:eastAsia="宋体" w:cs="宋体"/>
          <w:b/>
          <w:highlight w:val="none"/>
        </w:rPr>
      </w:pPr>
      <w:bookmarkStart w:id="541" w:name="_Toc489280319"/>
      <w:bookmarkStart w:id="542" w:name="_Toc486580514"/>
      <w:bookmarkStart w:id="543" w:name="_Toc497584172"/>
      <w:bookmarkStart w:id="544" w:name="_Toc490331766"/>
      <w:bookmarkStart w:id="545" w:name="_Toc497214181"/>
      <w:bookmarkStart w:id="546" w:name="_Toc105598818"/>
      <w:bookmarkStart w:id="547" w:name="_Toc105598819"/>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541"/>
      <w:bookmarkEnd w:id="542"/>
      <w:bookmarkEnd w:id="543"/>
      <w:bookmarkEnd w:id="544"/>
      <w:bookmarkEnd w:id="545"/>
      <w:r>
        <w:rPr>
          <w:rFonts w:hint="eastAsia" w:ascii="宋体" w:hAnsi="宋体" w:eastAsia="宋体" w:cs="宋体"/>
          <w:b/>
          <w:highlight w:val="none"/>
        </w:rPr>
        <w:t>及图纸（详见附件）</w:t>
      </w:r>
    </w:p>
    <w:p w14:paraId="6830D396">
      <w:pPr>
        <w:pStyle w:val="87"/>
        <w:widowControl w:val="0"/>
        <w:numPr>
          <w:ilvl w:val="0"/>
          <w:numId w:val="0"/>
        </w:numPr>
        <w:spacing w:after="120" w:line="480" w:lineRule="exact"/>
        <w:jc w:val="both"/>
        <w:rPr>
          <w:rFonts w:hint="eastAsia" w:ascii="宋体" w:hAnsi="宋体" w:eastAsia="宋体" w:cs="宋体"/>
          <w:b/>
          <w:highlight w:val="none"/>
        </w:rPr>
        <w:sectPr>
          <w:headerReference r:id="rId19" w:type="default"/>
          <w:footerReference r:id="rId20"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r>
        <w:rPr>
          <w:rFonts w:hint="eastAsia" w:ascii="宋体" w:hAnsi="宋体" w:eastAsia="宋体" w:cs="宋体"/>
          <w:b/>
          <w:highlight w:val="none"/>
        </w:rPr>
        <w:t>；</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6"/>
    </w:p>
    <w:p w14:paraId="7A4F531C">
      <w:pPr>
        <w:rPr>
          <w:color w:val="000000" w:themeColor="text1"/>
          <w:highlight w:val="none"/>
          <w14:textFill>
            <w14:solidFill>
              <w14:schemeClr w14:val="tx1"/>
            </w14:solidFill>
          </w14:textFill>
        </w:rPr>
      </w:pPr>
    </w:p>
    <w:p w14:paraId="365C84CF">
      <w:pPr>
        <w:keepNext/>
        <w:keepLines/>
        <w:widowControl/>
        <w:adjustRightInd w:val="0"/>
        <w:snapToGrid w:val="0"/>
        <w:spacing w:before="120" w:after="120" w:line="360" w:lineRule="auto"/>
        <w:jc w:val="center"/>
        <w:outlineLvl w:val="0"/>
        <w:rPr>
          <w:rFonts w:hint="eastAsia" w:ascii="宋体" w:hAnsi="宋体" w:cs="宋体"/>
          <w:b/>
          <w:kern w:val="0"/>
          <w:sz w:val="24"/>
          <w:highlight w:val="none"/>
          <w:lang w:bidi="ar"/>
        </w:rPr>
      </w:pPr>
      <w:bookmarkStart w:id="548" w:name="_Toc485323228"/>
      <w:bookmarkStart w:id="549" w:name="_Toc480303474"/>
      <w:bookmarkStart w:id="550" w:name="_Toc489280260"/>
      <w:bookmarkStart w:id="551" w:name="_BookMark_81"/>
      <w:bookmarkStart w:id="552" w:name="_Toc491149584"/>
      <w:bookmarkStart w:id="553" w:name="_Toc1687"/>
      <w:bookmarkStart w:id="554" w:name="_Toc486580454"/>
      <w:r>
        <w:rPr>
          <w:rFonts w:hint="eastAsia" w:ascii="宋体" w:hAnsi="宋体" w:cs="宋体"/>
          <w:b/>
          <w:kern w:val="0"/>
          <w:sz w:val="24"/>
          <w:highlight w:val="none"/>
          <w:lang w:bidi="ar"/>
        </w:rPr>
        <w:t>最终合同文本以甲乙双方根据招标文件及投标文件协商后签订，最终版合同以签订时版本为准</w:t>
      </w:r>
    </w:p>
    <w:p w14:paraId="1C597EC1">
      <w:pPr>
        <w:spacing w:line="360" w:lineRule="auto"/>
        <w:jc w:val="center"/>
        <w:outlineLvl w:val="0"/>
        <w:rPr>
          <w:b/>
          <w:sz w:val="36"/>
          <w:szCs w:val="36"/>
          <w:highlight w:val="none"/>
        </w:rPr>
      </w:pPr>
      <w:r>
        <w:rPr>
          <w:b/>
          <w:sz w:val="36"/>
          <w:szCs w:val="36"/>
          <w:highlight w:val="none"/>
        </w:rPr>
        <w:t>拟签订的合同文本</w:t>
      </w:r>
    </w:p>
    <w:p w14:paraId="6B0E62ED">
      <w:pPr>
        <w:widowControl w:val="0"/>
        <w:numPr>
          <w:ilvl w:val="0"/>
          <w:numId w:val="0"/>
        </w:numPr>
        <w:spacing w:line="360" w:lineRule="auto"/>
        <w:jc w:val="center"/>
        <w:outlineLvl w:val="0"/>
        <w:rPr>
          <w:b/>
          <w:sz w:val="36"/>
          <w:szCs w:val="36"/>
          <w:highlight w:val="none"/>
        </w:rPr>
      </w:pPr>
    </w:p>
    <w:p w14:paraId="3F70A53C">
      <w:pPr>
        <w:pStyle w:val="425"/>
        <w:spacing w:after="120" w:line="300" w:lineRule="auto"/>
        <w:jc w:val="center"/>
        <w:rPr>
          <w:rFonts w:ascii="Arial" w:hAnsi="Arial" w:cs="Arial"/>
          <w:color w:val="000000"/>
          <w:highlight w:val="none"/>
        </w:rPr>
      </w:pPr>
      <w:bookmarkStart w:id="555" w:name="_Toc342296261"/>
      <w:bookmarkStart w:id="556" w:name="_Toc489003594"/>
      <w:r>
        <w:rPr>
          <w:rFonts w:hint="eastAsia" w:ascii="Arial" w:hAnsi="Arial" w:cs="Arial"/>
          <w:color w:val="000000"/>
          <w:highlight w:val="none"/>
        </w:rPr>
        <w:t>第一节 通用合同条款</w:t>
      </w:r>
      <w:bookmarkEnd w:id="555"/>
      <w:bookmarkEnd w:id="556"/>
    </w:p>
    <w:p w14:paraId="5F7FB4EE">
      <w:pPr>
        <w:rPr>
          <w:rFonts w:ascii="Arial" w:hAnsi="Arial" w:cs="Arial"/>
          <w:color w:val="000000"/>
          <w:highlight w:val="none"/>
        </w:rPr>
      </w:pPr>
    </w:p>
    <w:p w14:paraId="414CE8E6">
      <w:pPr>
        <w:spacing w:line="400" w:lineRule="exact"/>
        <w:jc w:val="center"/>
        <w:rPr>
          <w:rFonts w:ascii="黑体" w:eastAsia="黑体"/>
          <w:color w:val="000000"/>
          <w:sz w:val="28"/>
          <w:szCs w:val="28"/>
          <w:highlight w:val="none"/>
        </w:rPr>
      </w:pPr>
    </w:p>
    <w:p w14:paraId="3E8FA29C">
      <w:pPr>
        <w:rPr>
          <w:rFonts w:ascii="Arial" w:hAnsi="Arial" w:cs="Arial"/>
          <w:color w:val="000000"/>
          <w:highlight w:val="none"/>
        </w:rPr>
      </w:pPr>
    </w:p>
    <w:p w14:paraId="275E1975">
      <w:pPr>
        <w:ind w:firstLine="525" w:firstLineChars="250"/>
        <w:rPr>
          <w:rFonts w:ascii="Arial" w:hAnsi="Arial" w:cs="Arial"/>
          <w:color w:val="000000"/>
          <w:highlight w:val="none"/>
        </w:rPr>
      </w:pPr>
    </w:p>
    <w:p w14:paraId="60036EB9">
      <w:pPr>
        <w:ind w:firstLine="420" w:firstLineChars="200"/>
        <w:rPr>
          <w:rFonts w:ascii="Arial" w:hAnsi="Arial" w:cs="Arial"/>
          <w:color w:val="000000"/>
          <w:highlight w:val="none"/>
        </w:rPr>
      </w:pPr>
    </w:p>
    <w:p w14:paraId="7EBBAB82">
      <w:pPr>
        <w:rPr>
          <w:rFonts w:ascii="Arial" w:hAnsi="Arial" w:cs="Arial"/>
          <w:color w:val="000000"/>
          <w:highlight w:val="none"/>
        </w:rPr>
        <w:sectPr>
          <w:headerReference r:id="rId21" w:type="default"/>
          <w:footerReference r:id="rId22" w:type="default"/>
          <w:pgSz w:w="11906" w:h="16838"/>
          <w:pgMar w:top="1440" w:right="1797" w:bottom="1440" w:left="1797" w:header="851" w:footer="992" w:gutter="0"/>
          <w:cols w:space="720" w:num="1"/>
          <w:docGrid w:linePitch="312" w:charSpace="0"/>
        </w:sectPr>
      </w:pPr>
    </w:p>
    <w:p w14:paraId="00AFA78C">
      <w:pPr>
        <w:spacing w:line="400" w:lineRule="exact"/>
        <w:jc w:val="center"/>
        <w:rPr>
          <w:rFonts w:ascii="黑体" w:eastAsia="黑体"/>
          <w:color w:val="000000"/>
          <w:sz w:val="28"/>
          <w:szCs w:val="28"/>
          <w:highlight w:val="none"/>
        </w:rPr>
      </w:pPr>
      <w:r>
        <w:rPr>
          <w:rFonts w:hint="eastAsia" w:ascii="黑体" w:eastAsia="黑体"/>
          <w:color w:val="000000"/>
          <w:sz w:val="28"/>
          <w:szCs w:val="28"/>
          <w:highlight w:val="none"/>
        </w:rPr>
        <w:t>通用合同条款</w:t>
      </w:r>
    </w:p>
    <w:p w14:paraId="6DBB4926">
      <w:pPr>
        <w:rPr>
          <w:rFonts w:ascii="宋体" w:hAnsi="宋体"/>
          <w:color w:val="000000"/>
          <w:sz w:val="28"/>
          <w:szCs w:val="28"/>
          <w:highlight w:val="none"/>
        </w:rPr>
      </w:pPr>
    </w:p>
    <w:p w14:paraId="44F225DA">
      <w:pPr>
        <w:spacing w:line="360" w:lineRule="auto"/>
        <w:rPr>
          <w:rFonts w:ascii="宋体" w:hAnsi="宋体"/>
          <w:color w:val="000000"/>
          <w:sz w:val="28"/>
          <w:szCs w:val="28"/>
          <w:highlight w:val="none"/>
        </w:rPr>
      </w:pPr>
      <w:r>
        <w:rPr>
          <w:rFonts w:ascii="宋体" w:hAnsi="宋体"/>
          <w:color w:val="000000"/>
          <w:sz w:val="28"/>
          <w:szCs w:val="28"/>
          <w:highlight w:val="none"/>
        </w:rPr>
        <w:t>1.一般约定</w:t>
      </w:r>
    </w:p>
    <w:p w14:paraId="18A2E28E">
      <w:pPr>
        <w:spacing w:line="360" w:lineRule="auto"/>
        <w:rPr>
          <w:rFonts w:ascii="宋体" w:hAnsi="宋体"/>
          <w:color w:val="000000"/>
          <w:sz w:val="24"/>
          <w:highlight w:val="none"/>
        </w:rPr>
      </w:pPr>
      <w:bookmarkStart w:id="557" w:name="_bookmark87"/>
      <w:bookmarkEnd w:id="557"/>
      <w:r>
        <w:rPr>
          <w:rFonts w:ascii="宋体" w:hAnsi="宋体"/>
          <w:color w:val="000000"/>
          <w:sz w:val="24"/>
          <w:highlight w:val="none"/>
        </w:rPr>
        <w:t>1.1</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词语定义</w:t>
      </w:r>
    </w:p>
    <w:p w14:paraId="3BDA2A91">
      <w:pPr>
        <w:spacing w:line="360" w:lineRule="auto"/>
        <w:ind w:firstLine="420" w:firstLineChars="200"/>
        <w:rPr>
          <w:rFonts w:ascii="宋体" w:hAnsi="宋体"/>
          <w:color w:val="000000"/>
          <w:szCs w:val="21"/>
          <w:highlight w:val="none"/>
        </w:rPr>
      </w:pPr>
      <w:r>
        <w:rPr>
          <w:rFonts w:ascii="宋体" w:hAnsi="宋体"/>
          <w:color w:val="000000"/>
          <w:szCs w:val="21"/>
          <w:highlight w:val="none"/>
        </w:rPr>
        <w:t>合同条款通用部分、合同条款专用部分中的下列词语应具有本款所赋予的含义。</w:t>
      </w:r>
    </w:p>
    <w:p w14:paraId="3B9FD35E">
      <w:pPr>
        <w:spacing w:line="360" w:lineRule="auto"/>
        <w:ind w:firstLine="420" w:firstLineChars="200"/>
        <w:rPr>
          <w:rFonts w:ascii="宋体" w:hAnsi="宋体"/>
          <w:color w:val="000000"/>
          <w:szCs w:val="21"/>
          <w:highlight w:val="none"/>
        </w:rPr>
      </w:pPr>
      <w:r>
        <w:rPr>
          <w:rFonts w:ascii="宋体" w:hAnsi="宋体"/>
          <w:color w:val="000000"/>
          <w:szCs w:val="21"/>
          <w:highlight w:val="none"/>
        </w:rPr>
        <w:t>1.1.1</w:t>
      </w:r>
      <w:r>
        <w:rPr>
          <w:rFonts w:ascii="宋体" w:hAnsi="宋体"/>
          <w:color w:val="000000"/>
          <w:szCs w:val="21"/>
          <w:highlight w:val="none"/>
        </w:rPr>
        <w:tab/>
      </w:r>
      <w:r>
        <w:rPr>
          <w:rFonts w:ascii="宋体" w:hAnsi="宋体"/>
          <w:color w:val="000000"/>
          <w:szCs w:val="21"/>
          <w:highlight w:val="none"/>
        </w:rPr>
        <w:t>合同</w:t>
      </w:r>
    </w:p>
    <w:p w14:paraId="7D7C9D0E">
      <w:pPr>
        <w:spacing w:line="360" w:lineRule="auto"/>
        <w:ind w:firstLine="420" w:firstLineChars="200"/>
        <w:rPr>
          <w:rFonts w:ascii="宋体" w:hAnsi="宋体"/>
          <w:color w:val="000000"/>
          <w:szCs w:val="21"/>
          <w:highlight w:val="none"/>
        </w:rPr>
      </w:pPr>
      <w:r>
        <w:rPr>
          <w:rFonts w:ascii="宋体" w:hAnsi="宋体"/>
          <w:color w:val="000000"/>
          <w:szCs w:val="21"/>
          <w:highlight w:val="none"/>
        </w:rPr>
        <w:t>1.1.1.1</w:t>
      </w:r>
      <w:r>
        <w:rPr>
          <w:rFonts w:ascii="宋体" w:hAnsi="宋体"/>
          <w:color w:val="000000"/>
          <w:szCs w:val="21"/>
          <w:highlight w:val="none"/>
        </w:rPr>
        <w:tab/>
      </w:r>
      <w:r>
        <w:rPr>
          <w:rFonts w:ascii="宋体" w:hAnsi="宋体"/>
          <w:color w:val="000000"/>
          <w:szCs w:val="21"/>
          <w:highlight w:val="none"/>
        </w:rPr>
        <w:t>合同文件（或称合同）：指合同协议书、中标通知书、投标函及投标函附录、合同条款专用部分、合同条款通用部分、技术标准和要求、图纸、已标价工程量清单，以及其他合同文件。</w:t>
      </w:r>
    </w:p>
    <w:p w14:paraId="30A20F1C">
      <w:pPr>
        <w:spacing w:line="360" w:lineRule="auto"/>
        <w:ind w:firstLine="420" w:firstLineChars="200"/>
        <w:rPr>
          <w:rFonts w:ascii="宋体" w:hAnsi="宋体"/>
          <w:color w:val="000000"/>
          <w:szCs w:val="21"/>
          <w:highlight w:val="none"/>
        </w:rPr>
      </w:pPr>
      <w:r>
        <w:rPr>
          <w:rFonts w:ascii="宋体" w:hAnsi="宋体"/>
          <w:color w:val="000000"/>
          <w:szCs w:val="21"/>
          <w:highlight w:val="none"/>
        </w:rPr>
        <w:t>1.1.1.2</w:t>
      </w:r>
      <w:r>
        <w:rPr>
          <w:rFonts w:ascii="宋体" w:hAnsi="宋体"/>
          <w:color w:val="000000"/>
          <w:szCs w:val="21"/>
          <w:highlight w:val="none"/>
        </w:rPr>
        <w:tab/>
      </w:r>
      <w:r>
        <w:rPr>
          <w:rFonts w:ascii="宋体" w:hAnsi="宋体"/>
          <w:color w:val="000000"/>
          <w:szCs w:val="21"/>
          <w:highlight w:val="none"/>
        </w:rPr>
        <w:t>合同协议书：指第 1.5 款所指的合同协议书。</w:t>
      </w:r>
    </w:p>
    <w:p w14:paraId="542A63BC">
      <w:pPr>
        <w:spacing w:line="360" w:lineRule="auto"/>
        <w:ind w:firstLine="420" w:firstLineChars="200"/>
        <w:rPr>
          <w:rFonts w:ascii="宋体" w:hAnsi="宋体"/>
          <w:color w:val="000000"/>
          <w:szCs w:val="21"/>
          <w:highlight w:val="none"/>
        </w:rPr>
      </w:pPr>
      <w:r>
        <w:rPr>
          <w:rFonts w:ascii="宋体" w:hAnsi="宋体"/>
          <w:color w:val="000000"/>
          <w:szCs w:val="21"/>
          <w:highlight w:val="none"/>
        </w:rPr>
        <w:t>1.1.1.3</w:t>
      </w:r>
      <w:r>
        <w:rPr>
          <w:rFonts w:ascii="宋体" w:hAnsi="宋体"/>
          <w:color w:val="000000"/>
          <w:szCs w:val="21"/>
          <w:highlight w:val="none"/>
        </w:rPr>
        <w:tab/>
      </w:r>
      <w:r>
        <w:rPr>
          <w:rFonts w:ascii="宋体" w:hAnsi="宋体"/>
          <w:color w:val="000000"/>
          <w:szCs w:val="21"/>
          <w:highlight w:val="none"/>
        </w:rPr>
        <w:t>中标通知书：指发包人通知承包人中标的函件。</w:t>
      </w:r>
    </w:p>
    <w:p w14:paraId="794116D5">
      <w:pPr>
        <w:spacing w:line="360" w:lineRule="auto"/>
        <w:ind w:firstLine="420" w:firstLineChars="200"/>
        <w:rPr>
          <w:rFonts w:ascii="宋体" w:hAnsi="宋体"/>
          <w:color w:val="000000"/>
          <w:szCs w:val="21"/>
          <w:highlight w:val="none"/>
        </w:rPr>
      </w:pPr>
      <w:r>
        <w:rPr>
          <w:rFonts w:ascii="宋体" w:hAnsi="宋体"/>
          <w:color w:val="000000"/>
          <w:szCs w:val="21"/>
          <w:highlight w:val="none"/>
        </w:rPr>
        <w:t>1.1.1.4</w:t>
      </w:r>
      <w:r>
        <w:rPr>
          <w:rFonts w:ascii="宋体" w:hAnsi="宋体"/>
          <w:color w:val="000000"/>
          <w:szCs w:val="21"/>
          <w:highlight w:val="none"/>
        </w:rPr>
        <w:tab/>
      </w:r>
      <w:r>
        <w:rPr>
          <w:rFonts w:ascii="宋体" w:hAnsi="宋体"/>
          <w:color w:val="000000"/>
          <w:szCs w:val="21"/>
          <w:highlight w:val="none"/>
        </w:rPr>
        <w:t>投标函：指构成合同文件组成部分的由承包人填写并签署的投标函。</w:t>
      </w:r>
    </w:p>
    <w:p w14:paraId="5115ED07">
      <w:pPr>
        <w:spacing w:line="360" w:lineRule="auto"/>
        <w:ind w:firstLine="420" w:firstLineChars="200"/>
        <w:rPr>
          <w:rFonts w:ascii="宋体" w:hAnsi="宋体"/>
          <w:color w:val="000000"/>
          <w:szCs w:val="21"/>
          <w:highlight w:val="none"/>
        </w:rPr>
      </w:pPr>
      <w:r>
        <w:rPr>
          <w:rFonts w:ascii="宋体" w:hAnsi="宋体"/>
          <w:color w:val="000000"/>
          <w:szCs w:val="21"/>
          <w:highlight w:val="none"/>
        </w:rPr>
        <w:t>1.1.1.5</w:t>
      </w:r>
      <w:r>
        <w:rPr>
          <w:rFonts w:ascii="宋体" w:hAnsi="宋体"/>
          <w:color w:val="000000"/>
          <w:szCs w:val="21"/>
          <w:highlight w:val="none"/>
        </w:rPr>
        <w:tab/>
      </w:r>
      <w:r>
        <w:rPr>
          <w:rFonts w:ascii="宋体" w:hAnsi="宋体"/>
          <w:color w:val="000000"/>
          <w:szCs w:val="21"/>
          <w:highlight w:val="none"/>
        </w:rPr>
        <w:t>投标函附录：指附在投标函后构成合同文件的投标函附录。</w:t>
      </w:r>
    </w:p>
    <w:p w14:paraId="513304ED">
      <w:pPr>
        <w:spacing w:line="360" w:lineRule="auto"/>
        <w:ind w:firstLine="420" w:firstLineChars="200"/>
        <w:rPr>
          <w:rFonts w:ascii="宋体" w:hAnsi="宋体"/>
          <w:color w:val="000000"/>
          <w:szCs w:val="21"/>
          <w:highlight w:val="none"/>
        </w:rPr>
      </w:pPr>
      <w:r>
        <w:rPr>
          <w:rFonts w:ascii="宋体" w:hAnsi="宋体"/>
          <w:color w:val="000000"/>
          <w:szCs w:val="21"/>
          <w:highlight w:val="none"/>
        </w:rPr>
        <w:t>1.1.1.6</w:t>
      </w:r>
      <w:r>
        <w:rPr>
          <w:rFonts w:ascii="宋体" w:hAnsi="宋体"/>
          <w:color w:val="000000"/>
          <w:szCs w:val="21"/>
          <w:highlight w:val="none"/>
        </w:rPr>
        <w:tab/>
      </w:r>
      <w:r>
        <w:rPr>
          <w:rFonts w:ascii="宋体" w:hAnsi="宋体"/>
          <w:color w:val="000000"/>
          <w:szCs w:val="21"/>
          <w:highlight w:val="none"/>
        </w:rPr>
        <w:t>合同条款：指构成合同文件组成部分的合同条款通用部分和（或）合同条款专用部分。</w:t>
      </w:r>
    </w:p>
    <w:p w14:paraId="2D50DAB4">
      <w:pPr>
        <w:spacing w:line="360" w:lineRule="auto"/>
        <w:ind w:firstLine="420" w:firstLineChars="200"/>
        <w:rPr>
          <w:rFonts w:ascii="宋体" w:hAnsi="宋体"/>
          <w:color w:val="000000"/>
          <w:szCs w:val="21"/>
          <w:highlight w:val="none"/>
        </w:rPr>
      </w:pPr>
      <w:r>
        <w:rPr>
          <w:rFonts w:ascii="宋体" w:hAnsi="宋体"/>
          <w:color w:val="000000"/>
          <w:szCs w:val="21"/>
          <w:highlight w:val="none"/>
        </w:rPr>
        <w:t>1.1.1.7</w:t>
      </w:r>
      <w:r>
        <w:rPr>
          <w:rFonts w:ascii="宋体" w:hAnsi="宋体"/>
          <w:color w:val="000000"/>
          <w:szCs w:val="21"/>
          <w:highlight w:val="none"/>
        </w:rPr>
        <w:tab/>
      </w:r>
      <w:r>
        <w:rPr>
          <w:rFonts w:ascii="宋体" w:hAnsi="宋体"/>
          <w:color w:val="000000"/>
          <w:szCs w:val="21"/>
          <w:highlight w:val="none"/>
        </w:rPr>
        <w:t>技术标准和要求：指构成合同文件组成部分的名为技术标准和要求的文件，包括合同双方当事人约定对其所作的修改或补充。</w:t>
      </w:r>
    </w:p>
    <w:p w14:paraId="11E306BB">
      <w:pPr>
        <w:spacing w:line="360" w:lineRule="auto"/>
        <w:ind w:firstLine="420" w:firstLineChars="200"/>
        <w:rPr>
          <w:rFonts w:ascii="宋体" w:hAnsi="宋体"/>
          <w:color w:val="000000"/>
          <w:szCs w:val="21"/>
          <w:highlight w:val="none"/>
        </w:rPr>
      </w:pPr>
      <w:r>
        <w:rPr>
          <w:rFonts w:ascii="宋体" w:hAnsi="宋体"/>
          <w:color w:val="000000"/>
          <w:szCs w:val="21"/>
          <w:highlight w:val="none"/>
        </w:rPr>
        <w:t>1.1.1.8</w:t>
      </w:r>
      <w:r>
        <w:rPr>
          <w:rFonts w:ascii="宋体" w:hAnsi="宋体"/>
          <w:color w:val="000000"/>
          <w:szCs w:val="21"/>
          <w:highlight w:val="none"/>
        </w:rPr>
        <w:tab/>
      </w:r>
      <w:r>
        <w:rPr>
          <w:rFonts w:ascii="宋体" w:hAnsi="宋体"/>
          <w:color w:val="000000"/>
          <w:szCs w:val="21"/>
          <w:highlight w:val="none"/>
        </w:rPr>
        <w:t>图纸：指包含在合同中的工程图纸，以及由发包人按合同约定提供的任何补充和修改的图纸，包括配套的说明。</w:t>
      </w:r>
    </w:p>
    <w:p w14:paraId="4D85F785">
      <w:pPr>
        <w:spacing w:line="360" w:lineRule="auto"/>
        <w:ind w:firstLine="420" w:firstLineChars="200"/>
        <w:rPr>
          <w:rFonts w:ascii="宋体" w:hAnsi="宋体"/>
          <w:color w:val="000000"/>
          <w:szCs w:val="21"/>
          <w:highlight w:val="none"/>
        </w:rPr>
      </w:pPr>
      <w:r>
        <w:rPr>
          <w:rFonts w:ascii="宋体" w:hAnsi="宋体"/>
          <w:color w:val="000000"/>
          <w:szCs w:val="21"/>
          <w:highlight w:val="none"/>
        </w:rPr>
        <w:t>1.1.1.9</w:t>
      </w:r>
      <w:r>
        <w:rPr>
          <w:rFonts w:ascii="宋体" w:hAnsi="宋体"/>
          <w:color w:val="000000"/>
          <w:szCs w:val="21"/>
          <w:highlight w:val="none"/>
        </w:rPr>
        <w:tab/>
      </w:r>
      <w:r>
        <w:rPr>
          <w:rFonts w:ascii="宋体" w:hAnsi="宋体"/>
          <w:color w:val="000000"/>
          <w:szCs w:val="21"/>
          <w:highlight w:val="none"/>
        </w:rPr>
        <w:t>已标价工程量清单：指构成合同文件组成部分的由承包人按照规定的格式和要求填写并标明价格的工程量清单。</w:t>
      </w:r>
    </w:p>
    <w:p w14:paraId="27757D03">
      <w:pPr>
        <w:spacing w:line="360" w:lineRule="auto"/>
        <w:ind w:firstLine="420" w:firstLineChars="200"/>
        <w:rPr>
          <w:rFonts w:ascii="宋体" w:hAnsi="宋体"/>
          <w:color w:val="000000"/>
          <w:szCs w:val="21"/>
          <w:highlight w:val="none"/>
        </w:rPr>
      </w:pPr>
      <w:r>
        <w:rPr>
          <w:rFonts w:ascii="宋体" w:hAnsi="宋体"/>
          <w:color w:val="000000"/>
          <w:szCs w:val="21"/>
          <w:highlight w:val="none"/>
        </w:rPr>
        <w:t>1.1.1.10</w:t>
      </w:r>
      <w:r>
        <w:rPr>
          <w:rFonts w:ascii="宋体" w:hAnsi="宋体"/>
          <w:color w:val="000000"/>
          <w:szCs w:val="21"/>
          <w:highlight w:val="none"/>
        </w:rPr>
        <w:tab/>
      </w:r>
      <w:r>
        <w:rPr>
          <w:rFonts w:ascii="宋体" w:hAnsi="宋体"/>
          <w:color w:val="000000"/>
          <w:szCs w:val="21"/>
          <w:highlight w:val="none"/>
        </w:rPr>
        <w:t>其他合同文件：指经合同双方当事人确认构成合同文件的其他文件。</w:t>
      </w:r>
    </w:p>
    <w:p w14:paraId="6149B1CE">
      <w:pPr>
        <w:spacing w:line="360" w:lineRule="auto"/>
        <w:ind w:firstLine="420" w:firstLineChars="200"/>
        <w:rPr>
          <w:rFonts w:ascii="宋体" w:hAnsi="宋体"/>
          <w:color w:val="000000"/>
          <w:szCs w:val="21"/>
          <w:highlight w:val="none"/>
        </w:rPr>
      </w:pPr>
      <w:r>
        <w:rPr>
          <w:rFonts w:ascii="宋体" w:hAnsi="宋体"/>
          <w:color w:val="000000"/>
          <w:szCs w:val="21"/>
          <w:highlight w:val="none"/>
        </w:rPr>
        <w:t>1.1.2</w:t>
      </w:r>
      <w:r>
        <w:rPr>
          <w:rFonts w:ascii="宋体" w:hAnsi="宋体"/>
          <w:color w:val="000000"/>
          <w:szCs w:val="21"/>
          <w:highlight w:val="none"/>
        </w:rPr>
        <w:tab/>
      </w:r>
      <w:r>
        <w:rPr>
          <w:rFonts w:ascii="宋体" w:hAnsi="宋体"/>
          <w:color w:val="000000"/>
          <w:szCs w:val="21"/>
          <w:highlight w:val="none"/>
        </w:rPr>
        <w:t>合同当事人和人员</w:t>
      </w:r>
    </w:p>
    <w:p w14:paraId="6337243E">
      <w:pPr>
        <w:spacing w:line="360" w:lineRule="auto"/>
        <w:ind w:firstLine="420" w:firstLineChars="200"/>
        <w:rPr>
          <w:rFonts w:ascii="宋体" w:hAnsi="宋体"/>
          <w:color w:val="000000"/>
          <w:szCs w:val="21"/>
          <w:highlight w:val="none"/>
        </w:rPr>
      </w:pPr>
      <w:r>
        <w:rPr>
          <w:rFonts w:ascii="宋体" w:hAnsi="宋体"/>
          <w:color w:val="000000"/>
          <w:szCs w:val="21"/>
          <w:highlight w:val="none"/>
        </w:rPr>
        <w:t>1.1.2.1</w:t>
      </w:r>
      <w:r>
        <w:rPr>
          <w:rFonts w:ascii="宋体" w:hAnsi="宋体"/>
          <w:color w:val="000000"/>
          <w:szCs w:val="21"/>
          <w:highlight w:val="none"/>
        </w:rPr>
        <w:tab/>
      </w:r>
      <w:r>
        <w:rPr>
          <w:rFonts w:ascii="宋体" w:hAnsi="宋体"/>
          <w:color w:val="000000"/>
          <w:szCs w:val="21"/>
          <w:highlight w:val="none"/>
        </w:rPr>
        <w:t>合同当事人：指发包人和（或）承包人。</w:t>
      </w:r>
    </w:p>
    <w:p w14:paraId="55765AC1">
      <w:pPr>
        <w:spacing w:line="360" w:lineRule="auto"/>
        <w:ind w:firstLine="420" w:firstLineChars="200"/>
        <w:rPr>
          <w:rFonts w:ascii="宋体" w:hAnsi="宋体"/>
          <w:color w:val="000000"/>
          <w:szCs w:val="21"/>
          <w:highlight w:val="none"/>
        </w:rPr>
      </w:pPr>
      <w:r>
        <w:rPr>
          <w:rFonts w:ascii="宋体" w:hAnsi="宋体"/>
          <w:color w:val="000000"/>
          <w:szCs w:val="21"/>
          <w:highlight w:val="none"/>
        </w:rPr>
        <w:t>1.1.2.2 发包人：指合同协议书中约定，具有工程发包主体资格和承诺按照合同约定的条件、期限和方式向承包人支付工程价款的当事人，以及取得该当事人资格的合法继承人。发包人名称</w:t>
      </w:r>
      <w:r>
        <w:rPr>
          <w:rFonts w:ascii="黑体" w:hAnsi="黑体" w:eastAsia="黑体"/>
          <w:color w:val="000000"/>
          <w:szCs w:val="21"/>
          <w:highlight w:val="none"/>
        </w:rPr>
        <w:t>见合同条款专用部分</w:t>
      </w:r>
      <w:r>
        <w:rPr>
          <w:rFonts w:ascii="宋体" w:hAnsi="宋体"/>
          <w:color w:val="000000"/>
          <w:szCs w:val="21"/>
          <w:highlight w:val="none"/>
        </w:rPr>
        <w:t>。</w:t>
      </w:r>
    </w:p>
    <w:p w14:paraId="38847E19">
      <w:pPr>
        <w:spacing w:line="360" w:lineRule="auto"/>
        <w:ind w:firstLine="420" w:firstLineChars="200"/>
        <w:rPr>
          <w:rFonts w:ascii="宋体" w:hAnsi="宋体"/>
          <w:color w:val="000000"/>
          <w:szCs w:val="21"/>
          <w:highlight w:val="none"/>
        </w:rPr>
      </w:pPr>
      <w:r>
        <w:rPr>
          <w:rFonts w:ascii="宋体" w:hAnsi="宋体"/>
          <w:color w:val="000000"/>
          <w:szCs w:val="21"/>
          <w:highlight w:val="none"/>
        </w:rPr>
        <w:t>1.1.2.3 承包人：指合同协议书中约定，具有合同工程承包主体资格，并承诺按照合同约定进行施工、竣工、交付并承担质量缺陷保修责任的当事人，以及取得该当事人资格的合法继承人。承包人名称</w:t>
      </w:r>
      <w:r>
        <w:rPr>
          <w:rFonts w:ascii="黑体" w:hAnsi="黑体" w:eastAsia="黑体"/>
          <w:color w:val="000000"/>
          <w:szCs w:val="21"/>
          <w:highlight w:val="none"/>
        </w:rPr>
        <w:t>见合同条款专用部分</w:t>
      </w:r>
      <w:r>
        <w:rPr>
          <w:rFonts w:ascii="宋体" w:hAnsi="宋体"/>
          <w:color w:val="000000"/>
          <w:szCs w:val="21"/>
          <w:highlight w:val="none"/>
        </w:rPr>
        <w:t>。</w:t>
      </w:r>
    </w:p>
    <w:p w14:paraId="4DE652B5">
      <w:pPr>
        <w:spacing w:line="360" w:lineRule="auto"/>
        <w:ind w:firstLine="420" w:firstLineChars="200"/>
        <w:rPr>
          <w:rFonts w:ascii="宋体" w:hAnsi="宋体"/>
          <w:color w:val="000000"/>
          <w:szCs w:val="21"/>
          <w:highlight w:val="none"/>
        </w:rPr>
      </w:pPr>
      <w:r>
        <w:rPr>
          <w:rFonts w:ascii="宋体" w:hAnsi="宋体"/>
          <w:color w:val="000000"/>
          <w:szCs w:val="21"/>
          <w:highlight w:val="none"/>
        </w:rPr>
        <w:t>1.1.2.4</w:t>
      </w:r>
      <w:r>
        <w:rPr>
          <w:rFonts w:ascii="宋体" w:hAnsi="宋体"/>
          <w:color w:val="000000"/>
          <w:szCs w:val="21"/>
          <w:highlight w:val="none"/>
        </w:rPr>
        <w:tab/>
      </w:r>
      <w:r>
        <w:rPr>
          <w:rFonts w:ascii="宋体" w:hAnsi="宋体"/>
          <w:color w:val="000000"/>
          <w:szCs w:val="21"/>
          <w:highlight w:val="none"/>
        </w:rPr>
        <w:t>承包人项目经理：指承包人派驻施工场地的全权负责人。</w:t>
      </w:r>
    </w:p>
    <w:p w14:paraId="17FFCA7D">
      <w:pPr>
        <w:spacing w:line="360" w:lineRule="auto"/>
        <w:ind w:firstLine="420" w:firstLineChars="200"/>
        <w:rPr>
          <w:rFonts w:ascii="宋体" w:hAnsi="宋体"/>
          <w:color w:val="000000"/>
          <w:szCs w:val="21"/>
          <w:highlight w:val="none"/>
        </w:rPr>
      </w:pPr>
      <w:r>
        <w:rPr>
          <w:rFonts w:ascii="宋体" w:hAnsi="宋体"/>
          <w:color w:val="000000"/>
          <w:szCs w:val="21"/>
          <w:highlight w:val="none"/>
        </w:rPr>
        <w:t>1.1.2.5</w:t>
      </w:r>
      <w:r>
        <w:rPr>
          <w:rFonts w:ascii="宋体" w:hAnsi="宋体"/>
          <w:color w:val="000000"/>
          <w:szCs w:val="21"/>
          <w:highlight w:val="none"/>
        </w:rPr>
        <w:tab/>
      </w:r>
      <w:r>
        <w:rPr>
          <w:rFonts w:ascii="宋体" w:hAnsi="宋体"/>
          <w:color w:val="000000"/>
          <w:szCs w:val="21"/>
          <w:highlight w:val="none"/>
        </w:rPr>
        <w:t>分包人：指从承包人处分包合同中某一部分工程，并与其签订分包合同的分包人。</w:t>
      </w:r>
    </w:p>
    <w:p w14:paraId="4B07E3FE">
      <w:pPr>
        <w:spacing w:line="360" w:lineRule="auto"/>
        <w:ind w:firstLine="420" w:firstLineChars="200"/>
        <w:rPr>
          <w:rFonts w:ascii="宋体" w:hAnsi="宋体"/>
          <w:color w:val="000000"/>
          <w:szCs w:val="21"/>
          <w:highlight w:val="none"/>
        </w:rPr>
      </w:pPr>
      <w:r>
        <w:rPr>
          <w:rFonts w:ascii="宋体" w:hAnsi="宋体"/>
          <w:color w:val="000000"/>
          <w:szCs w:val="21"/>
          <w:highlight w:val="none"/>
        </w:rPr>
        <w:t>1.1.2.6</w:t>
      </w:r>
      <w:r>
        <w:rPr>
          <w:rFonts w:ascii="宋体" w:hAnsi="宋体"/>
          <w:color w:val="000000"/>
          <w:szCs w:val="21"/>
          <w:highlight w:val="none"/>
        </w:rPr>
        <w:tab/>
      </w:r>
      <w:r>
        <w:rPr>
          <w:rFonts w:ascii="宋体" w:hAnsi="宋体"/>
          <w:color w:val="000000"/>
          <w:szCs w:val="21"/>
          <w:highlight w:val="none"/>
        </w:rPr>
        <w:t>监理人：指发包人委托的对合同履行实施管理的法人或其他组织。监理人名称</w:t>
      </w:r>
      <w:r>
        <w:rPr>
          <w:rFonts w:ascii="黑体" w:hAnsi="黑体" w:eastAsia="黑体"/>
          <w:color w:val="000000"/>
          <w:szCs w:val="21"/>
          <w:highlight w:val="none"/>
        </w:rPr>
        <w:t>见合同条款专用部分</w:t>
      </w:r>
      <w:r>
        <w:rPr>
          <w:rFonts w:ascii="宋体" w:hAnsi="宋体"/>
          <w:color w:val="000000"/>
          <w:szCs w:val="21"/>
          <w:highlight w:val="none"/>
        </w:rPr>
        <w:t>。</w:t>
      </w:r>
    </w:p>
    <w:p w14:paraId="08C2652A">
      <w:pPr>
        <w:spacing w:line="360" w:lineRule="auto"/>
        <w:ind w:firstLine="420" w:firstLineChars="200"/>
        <w:rPr>
          <w:rFonts w:ascii="宋体" w:hAnsi="宋体"/>
          <w:color w:val="000000"/>
          <w:szCs w:val="21"/>
          <w:highlight w:val="none"/>
        </w:rPr>
      </w:pPr>
      <w:r>
        <w:rPr>
          <w:rFonts w:ascii="宋体" w:hAnsi="宋体"/>
          <w:color w:val="000000"/>
          <w:szCs w:val="21"/>
          <w:highlight w:val="none"/>
        </w:rPr>
        <w:t>1.1.2.7</w:t>
      </w:r>
      <w:r>
        <w:rPr>
          <w:rFonts w:ascii="宋体" w:hAnsi="宋体"/>
          <w:color w:val="000000"/>
          <w:szCs w:val="21"/>
          <w:highlight w:val="none"/>
        </w:rPr>
        <w:tab/>
      </w:r>
      <w:r>
        <w:rPr>
          <w:rFonts w:ascii="宋体" w:hAnsi="宋体"/>
          <w:color w:val="000000"/>
          <w:szCs w:val="21"/>
          <w:highlight w:val="none"/>
        </w:rPr>
        <w:t>总监理工程师（总监）：指由监理人委派常驻施工场地对合同履行实施管理的全权负责人。</w:t>
      </w:r>
    </w:p>
    <w:p w14:paraId="24AFA03A">
      <w:pPr>
        <w:spacing w:line="360" w:lineRule="auto"/>
        <w:ind w:firstLine="420" w:firstLineChars="200"/>
        <w:rPr>
          <w:rFonts w:ascii="宋体" w:hAnsi="宋体"/>
          <w:color w:val="000000"/>
          <w:szCs w:val="21"/>
          <w:highlight w:val="none"/>
        </w:rPr>
      </w:pPr>
      <w:r>
        <w:rPr>
          <w:rFonts w:ascii="宋体" w:hAnsi="宋体"/>
          <w:color w:val="000000"/>
          <w:szCs w:val="21"/>
          <w:highlight w:val="none"/>
        </w:rPr>
        <w:t>1.1.2.8</w:t>
      </w:r>
      <w:r>
        <w:rPr>
          <w:rFonts w:ascii="宋体" w:hAnsi="宋体"/>
          <w:color w:val="000000"/>
          <w:szCs w:val="21"/>
          <w:highlight w:val="none"/>
        </w:rPr>
        <w:tab/>
      </w:r>
      <w:r>
        <w:rPr>
          <w:rFonts w:ascii="宋体" w:hAnsi="宋体"/>
          <w:color w:val="000000"/>
          <w:szCs w:val="21"/>
          <w:highlight w:val="none"/>
        </w:rPr>
        <w:t>发包人代表：指由发包人指定的派驻施工场地（现场）的全权代表。发包人代表相关信息</w:t>
      </w:r>
      <w:r>
        <w:rPr>
          <w:rFonts w:ascii="黑体" w:hAnsi="黑体" w:eastAsia="黑体"/>
          <w:color w:val="000000"/>
          <w:szCs w:val="21"/>
          <w:highlight w:val="none"/>
        </w:rPr>
        <w:t>见合同条款专用部分</w:t>
      </w:r>
      <w:r>
        <w:rPr>
          <w:rFonts w:ascii="宋体" w:hAnsi="宋体"/>
          <w:color w:val="000000"/>
          <w:szCs w:val="21"/>
          <w:highlight w:val="none"/>
        </w:rPr>
        <w:t>。</w:t>
      </w:r>
    </w:p>
    <w:p w14:paraId="00A28BBE">
      <w:pPr>
        <w:spacing w:line="360" w:lineRule="auto"/>
        <w:ind w:firstLine="420" w:firstLineChars="200"/>
        <w:rPr>
          <w:rFonts w:ascii="宋体" w:hAnsi="宋体"/>
          <w:color w:val="000000"/>
          <w:szCs w:val="21"/>
          <w:highlight w:val="none"/>
        </w:rPr>
      </w:pPr>
      <w:r>
        <w:rPr>
          <w:rFonts w:ascii="宋体" w:hAnsi="宋体"/>
          <w:color w:val="000000"/>
          <w:szCs w:val="21"/>
          <w:highlight w:val="none"/>
        </w:rPr>
        <w:t>1.1.2.9</w:t>
      </w:r>
      <w:r>
        <w:rPr>
          <w:rFonts w:ascii="宋体" w:hAnsi="宋体"/>
          <w:color w:val="000000"/>
          <w:szCs w:val="21"/>
          <w:highlight w:val="none"/>
        </w:rPr>
        <w:tab/>
      </w:r>
      <w:r>
        <w:rPr>
          <w:rFonts w:ascii="宋体" w:hAnsi="宋体"/>
          <w:color w:val="000000"/>
          <w:szCs w:val="21"/>
          <w:highlight w:val="none"/>
        </w:rPr>
        <w:t>专业分包人：指根据合同条款第 15.8.1 项的约定，由发包人和承包人以招标方式选择的分包人。</w:t>
      </w:r>
    </w:p>
    <w:p w14:paraId="76D7B41D">
      <w:pPr>
        <w:spacing w:line="360" w:lineRule="auto"/>
        <w:ind w:firstLine="420" w:firstLineChars="200"/>
        <w:rPr>
          <w:rFonts w:ascii="宋体" w:hAnsi="宋体"/>
          <w:color w:val="000000"/>
          <w:szCs w:val="21"/>
          <w:highlight w:val="none"/>
        </w:rPr>
      </w:pPr>
      <w:r>
        <w:rPr>
          <w:rFonts w:ascii="宋体" w:hAnsi="宋体"/>
          <w:color w:val="000000"/>
          <w:szCs w:val="21"/>
          <w:highlight w:val="none"/>
        </w:rPr>
        <w:t>1.1.2.10</w:t>
      </w:r>
      <w:r>
        <w:rPr>
          <w:rFonts w:ascii="宋体" w:hAnsi="宋体"/>
          <w:color w:val="000000"/>
          <w:szCs w:val="21"/>
          <w:highlight w:val="none"/>
        </w:rPr>
        <w:tab/>
      </w:r>
      <w:r>
        <w:rPr>
          <w:rFonts w:ascii="宋体" w:hAnsi="宋体"/>
          <w:color w:val="000000"/>
          <w:szCs w:val="21"/>
          <w:highlight w:val="none"/>
        </w:rPr>
        <w:t>专项供应商：指根据合同条款第 15.8.1 项的约定，由发包人和承包人以招标方式选择的供应商。</w:t>
      </w:r>
    </w:p>
    <w:p w14:paraId="4C25B04D">
      <w:pPr>
        <w:spacing w:line="360" w:lineRule="auto"/>
        <w:ind w:firstLine="420" w:firstLineChars="200"/>
        <w:rPr>
          <w:rFonts w:ascii="宋体" w:hAnsi="宋体"/>
          <w:color w:val="000000"/>
          <w:szCs w:val="21"/>
          <w:highlight w:val="none"/>
        </w:rPr>
      </w:pPr>
      <w:r>
        <w:rPr>
          <w:rFonts w:ascii="宋体" w:hAnsi="宋体"/>
          <w:color w:val="000000"/>
          <w:szCs w:val="21"/>
          <w:highlight w:val="none"/>
        </w:rPr>
        <w:t>1.1.2.11</w:t>
      </w:r>
      <w:r>
        <w:rPr>
          <w:rFonts w:ascii="宋体" w:hAnsi="宋体"/>
          <w:color w:val="000000"/>
          <w:szCs w:val="21"/>
          <w:highlight w:val="none"/>
        </w:rPr>
        <w:tab/>
      </w:r>
      <w:r>
        <w:rPr>
          <w:rFonts w:ascii="宋体" w:hAnsi="宋体"/>
          <w:color w:val="000000"/>
          <w:szCs w:val="21"/>
          <w:highlight w:val="none"/>
        </w:rPr>
        <w:t>独立承包人：指与发包人直接订立工程承包合同，负责实施与工程有关的其他工作的当事人。</w:t>
      </w:r>
    </w:p>
    <w:p w14:paraId="5CE9516A">
      <w:pPr>
        <w:numPr>
          <w:ilvl w:val="2"/>
          <w:numId w:val="73"/>
        </w:numPr>
        <w:spacing w:line="360" w:lineRule="auto"/>
        <w:ind w:left="0" w:firstLine="420" w:firstLineChars="200"/>
        <w:jc w:val="left"/>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工程和设备</w:t>
      </w:r>
    </w:p>
    <w:p w14:paraId="7DE5285F">
      <w:pPr>
        <w:spacing w:line="360" w:lineRule="auto"/>
        <w:ind w:firstLine="420" w:firstLineChars="200"/>
        <w:rPr>
          <w:rFonts w:ascii="宋体" w:hAnsi="宋体"/>
          <w:color w:val="000000"/>
          <w:szCs w:val="21"/>
          <w:highlight w:val="none"/>
        </w:rPr>
      </w:pPr>
      <w:r>
        <w:rPr>
          <w:rFonts w:ascii="宋体" w:hAnsi="宋体"/>
          <w:color w:val="000000"/>
          <w:szCs w:val="21"/>
          <w:highlight w:val="none"/>
        </w:rPr>
        <w:t>1.1.3.1</w:t>
      </w:r>
      <w:r>
        <w:rPr>
          <w:rFonts w:ascii="宋体" w:hAnsi="宋体"/>
          <w:color w:val="000000"/>
          <w:szCs w:val="21"/>
          <w:highlight w:val="none"/>
        </w:rPr>
        <w:tab/>
      </w:r>
      <w:r>
        <w:rPr>
          <w:rFonts w:ascii="宋体" w:hAnsi="宋体"/>
          <w:color w:val="000000"/>
          <w:szCs w:val="21"/>
          <w:highlight w:val="none"/>
        </w:rPr>
        <w:t>工程：指永久工程和（或）临时工程。</w:t>
      </w:r>
    </w:p>
    <w:p w14:paraId="5B4AAEAF">
      <w:pPr>
        <w:spacing w:line="360" w:lineRule="auto"/>
        <w:ind w:firstLine="420" w:firstLineChars="200"/>
        <w:rPr>
          <w:rFonts w:ascii="宋体" w:hAnsi="宋体"/>
          <w:color w:val="000000"/>
          <w:szCs w:val="21"/>
          <w:highlight w:val="none"/>
        </w:rPr>
      </w:pPr>
      <w:r>
        <w:rPr>
          <w:rFonts w:ascii="宋体" w:hAnsi="宋体"/>
          <w:color w:val="000000"/>
          <w:szCs w:val="21"/>
          <w:highlight w:val="none"/>
        </w:rPr>
        <w:t>1.1.3.2</w:t>
      </w:r>
      <w:r>
        <w:rPr>
          <w:rFonts w:ascii="宋体" w:hAnsi="宋体"/>
          <w:color w:val="000000"/>
          <w:szCs w:val="21"/>
          <w:highlight w:val="none"/>
        </w:rPr>
        <w:tab/>
      </w:r>
      <w:r>
        <w:rPr>
          <w:rFonts w:ascii="宋体" w:hAnsi="宋体"/>
          <w:color w:val="000000"/>
          <w:szCs w:val="21"/>
          <w:highlight w:val="none"/>
        </w:rPr>
        <w:t>永久工程：指按照合同约定所需建造、完成并移交给发包人的工程，包括工程设备。永久工程的约定</w:t>
      </w:r>
      <w:r>
        <w:rPr>
          <w:rFonts w:ascii="黑体" w:hAnsi="黑体" w:eastAsia="黑体"/>
          <w:color w:val="000000"/>
          <w:szCs w:val="21"/>
          <w:highlight w:val="none"/>
        </w:rPr>
        <w:t>见合同条款专用部分</w:t>
      </w:r>
      <w:r>
        <w:rPr>
          <w:rFonts w:ascii="宋体" w:hAnsi="宋体"/>
          <w:color w:val="000000"/>
          <w:szCs w:val="21"/>
          <w:highlight w:val="none"/>
        </w:rPr>
        <w:t>。</w:t>
      </w:r>
    </w:p>
    <w:p w14:paraId="5B1C583F">
      <w:pPr>
        <w:spacing w:line="360" w:lineRule="auto"/>
        <w:ind w:firstLine="420" w:firstLineChars="200"/>
        <w:rPr>
          <w:rFonts w:ascii="宋体" w:hAnsi="宋体"/>
          <w:color w:val="000000"/>
          <w:szCs w:val="21"/>
          <w:highlight w:val="none"/>
        </w:rPr>
      </w:pPr>
      <w:r>
        <w:rPr>
          <w:rFonts w:ascii="宋体" w:hAnsi="宋体"/>
          <w:color w:val="000000"/>
          <w:szCs w:val="21"/>
          <w:highlight w:val="none"/>
        </w:rPr>
        <w:t>1.1.3.3</w:t>
      </w:r>
      <w:r>
        <w:rPr>
          <w:rFonts w:ascii="宋体" w:hAnsi="宋体"/>
          <w:color w:val="000000"/>
          <w:szCs w:val="21"/>
          <w:highlight w:val="none"/>
        </w:rPr>
        <w:tab/>
      </w:r>
      <w:r>
        <w:rPr>
          <w:rFonts w:ascii="宋体" w:hAnsi="宋体"/>
          <w:color w:val="000000"/>
          <w:szCs w:val="21"/>
          <w:highlight w:val="none"/>
        </w:rPr>
        <w:t>临时工程：指为完成合同约定的永久工程所修建的各类临时性工程，不包括施工设备。临时工程的约定</w:t>
      </w:r>
      <w:r>
        <w:rPr>
          <w:rFonts w:ascii="黑体" w:hAnsi="黑体" w:eastAsia="黑体"/>
          <w:color w:val="000000"/>
          <w:szCs w:val="21"/>
          <w:highlight w:val="none"/>
        </w:rPr>
        <w:t>见合同条款专用部分</w:t>
      </w:r>
      <w:r>
        <w:rPr>
          <w:rFonts w:ascii="宋体" w:hAnsi="宋体"/>
          <w:color w:val="000000"/>
          <w:szCs w:val="21"/>
          <w:highlight w:val="none"/>
        </w:rPr>
        <w:t>。</w:t>
      </w:r>
    </w:p>
    <w:p w14:paraId="69725F92">
      <w:pPr>
        <w:spacing w:line="360" w:lineRule="auto"/>
        <w:ind w:firstLine="420" w:firstLineChars="200"/>
        <w:rPr>
          <w:rFonts w:ascii="宋体" w:hAnsi="宋体"/>
          <w:color w:val="000000"/>
          <w:szCs w:val="21"/>
          <w:highlight w:val="none"/>
        </w:rPr>
      </w:pPr>
      <w:r>
        <w:rPr>
          <w:rFonts w:ascii="宋体" w:hAnsi="宋体"/>
          <w:color w:val="000000"/>
          <w:szCs w:val="21"/>
          <w:highlight w:val="none"/>
        </w:rPr>
        <w:t>1.1.3.4</w:t>
      </w:r>
      <w:r>
        <w:rPr>
          <w:rFonts w:ascii="宋体" w:hAnsi="宋体"/>
          <w:color w:val="000000"/>
          <w:szCs w:val="21"/>
          <w:highlight w:val="none"/>
        </w:rPr>
        <w:tab/>
      </w:r>
      <w:r>
        <w:rPr>
          <w:rFonts w:ascii="宋体" w:hAnsi="宋体"/>
          <w:color w:val="000000"/>
          <w:szCs w:val="21"/>
          <w:highlight w:val="none"/>
        </w:rPr>
        <w:t>单位工程：指具有相对独立的设计文件，能够独立组织施工并能形成独立使用功能的永久工程的组成部分。</w:t>
      </w:r>
    </w:p>
    <w:p w14:paraId="63C95973">
      <w:pPr>
        <w:spacing w:line="360" w:lineRule="auto"/>
        <w:ind w:firstLine="420" w:firstLineChars="200"/>
        <w:rPr>
          <w:rFonts w:ascii="宋体" w:hAnsi="宋体"/>
          <w:color w:val="000000"/>
          <w:szCs w:val="21"/>
          <w:highlight w:val="none"/>
        </w:rPr>
      </w:pPr>
      <w:r>
        <w:rPr>
          <w:rFonts w:ascii="宋体" w:hAnsi="宋体"/>
          <w:color w:val="000000"/>
          <w:szCs w:val="21"/>
          <w:highlight w:val="none"/>
        </w:rPr>
        <w:t>1.1.3.5</w:t>
      </w:r>
      <w:r>
        <w:rPr>
          <w:rFonts w:ascii="宋体" w:hAnsi="宋体"/>
          <w:color w:val="000000"/>
          <w:szCs w:val="21"/>
          <w:highlight w:val="none"/>
        </w:rPr>
        <w:tab/>
      </w:r>
      <w:r>
        <w:rPr>
          <w:rFonts w:ascii="宋体" w:hAnsi="宋体"/>
          <w:color w:val="000000"/>
          <w:szCs w:val="21"/>
          <w:highlight w:val="none"/>
        </w:rPr>
        <w:t>工程设备：指构成或计划构成永久工程一部分的机电设备、金属结构设备、仪器装置及其他类似的设备和装置。</w:t>
      </w:r>
    </w:p>
    <w:p w14:paraId="3E7982D2">
      <w:pPr>
        <w:spacing w:line="360" w:lineRule="auto"/>
        <w:ind w:firstLine="420" w:firstLineChars="200"/>
        <w:rPr>
          <w:rFonts w:ascii="宋体" w:hAnsi="宋体"/>
          <w:color w:val="000000"/>
          <w:szCs w:val="21"/>
          <w:highlight w:val="none"/>
        </w:rPr>
      </w:pPr>
      <w:r>
        <w:rPr>
          <w:rFonts w:ascii="宋体" w:hAnsi="宋体"/>
          <w:color w:val="000000"/>
          <w:szCs w:val="21"/>
          <w:highlight w:val="none"/>
        </w:rPr>
        <w:t>1.1.3.6</w:t>
      </w:r>
      <w:r>
        <w:rPr>
          <w:rFonts w:ascii="宋体" w:hAnsi="宋体"/>
          <w:color w:val="000000"/>
          <w:szCs w:val="21"/>
          <w:highlight w:val="none"/>
        </w:rPr>
        <w:tab/>
      </w:r>
      <w:r>
        <w:rPr>
          <w:rFonts w:ascii="宋体" w:hAnsi="宋体"/>
          <w:color w:val="000000"/>
          <w:szCs w:val="21"/>
          <w:highlight w:val="none"/>
        </w:rPr>
        <w:t>施工设备：指为完成合同约定的各项工作所需的设备、器具和其他物品，不包括临时工程和材料。</w:t>
      </w:r>
    </w:p>
    <w:p w14:paraId="569C774C">
      <w:pPr>
        <w:spacing w:line="360" w:lineRule="auto"/>
        <w:ind w:firstLine="420" w:firstLineChars="200"/>
        <w:rPr>
          <w:rFonts w:ascii="宋体" w:hAnsi="宋体"/>
          <w:color w:val="000000"/>
          <w:szCs w:val="21"/>
          <w:highlight w:val="none"/>
        </w:rPr>
      </w:pPr>
      <w:r>
        <w:rPr>
          <w:rFonts w:ascii="宋体" w:hAnsi="宋体"/>
          <w:color w:val="000000"/>
          <w:szCs w:val="21"/>
          <w:highlight w:val="none"/>
        </w:rPr>
        <w:t>1.1.3.7</w:t>
      </w:r>
      <w:r>
        <w:rPr>
          <w:rFonts w:ascii="宋体" w:hAnsi="宋体"/>
          <w:color w:val="000000"/>
          <w:szCs w:val="21"/>
          <w:highlight w:val="none"/>
        </w:rPr>
        <w:tab/>
      </w:r>
      <w:r>
        <w:rPr>
          <w:rFonts w:ascii="宋体" w:hAnsi="宋体"/>
          <w:color w:val="000000"/>
          <w:szCs w:val="21"/>
          <w:highlight w:val="none"/>
        </w:rPr>
        <w:t>临时设施：指为完成合同约定的各项工作所服务的临时性生产和生活设施。</w:t>
      </w:r>
    </w:p>
    <w:p w14:paraId="4B99839D">
      <w:pPr>
        <w:spacing w:line="360" w:lineRule="auto"/>
        <w:ind w:firstLine="420" w:firstLineChars="200"/>
        <w:rPr>
          <w:rFonts w:ascii="宋体" w:hAnsi="宋体"/>
          <w:color w:val="000000"/>
          <w:szCs w:val="21"/>
          <w:highlight w:val="none"/>
        </w:rPr>
      </w:pPr>
      <w:r>
        <w:rPr>
          <w:rFonts w:ascii="宋体" w:hAnsi="宋体"/>
          <w:color w:val="000000"/>
          <w:szCs w:val="21"/>
          <w:highlight w:val="none"/>
        </w:rPr>
        <w:t>1.1.3.8</w:t>
      </w:r>
      <w:r>
        <w:rPr>
          <w:rFonts w:ascii="宋体" w:hAnsi="宋体"/>
          <w:color w:val="000000"/>
          <w:szCs w:val="21"/>
          <w:highlight w:val="none"/>
        </w:rPr>
        <w:tab/>
      </w:r>
      <w:r>
        <w:rPr>
          <w:rFonts w:ascii="宋体" w:hAnsi="宋体"/>
          <w:color w:val="000000"/>
          <w:szCs w:val="21"/>
          <w:highlight w:val="none"/>
        </w:rPr>
        <w:t>承包人设备：指承包人自带的施工设备。</w:t>
      </w:r>
    </w:p>
    <w:p w14:paraId="5B5AF22E">
      <w:pPr>
        <w:spacing w:line="360" w:lineRule="auto"/>
        <w:ind w:firstLine="420" w:firstLineChars="200"/>
        <w:rPr>
          <w:rFonts w:ascii="宋体" w:hAnsi="宋体"/>
          <w:color w:val="000000"/>
          <w:szCs w:val="21"/>
          <w:highlight w:val="none"/>
        </w:rPr>
      </w:pPr>
      <w:r>
        <w:rPr>
          <w:rFonts w:ascii="宋体" w:hAnsi="宋体"/>
          <w:color w:val="000000"/>
          <w:szCs w:val="21"/>
          <w:highlight w:val="none"/>
        </w:rPr>
        <w:t>1.1.3.9</w:t>
      </w:r>
      <w:r>
        <w:rPr>
          <w:rFonts w:ascii="宋体" w:hAnsi="宋体"/>
          <w:color w:val="000000"/>
          <w:szCs w:val="21"/>
          <w:highlight w:val="none"/>
        </w:rPr>
        <w:tab/>
      </w:r>
      <w:r>
        <w:rPr>
          <w:rFonts w:ascii="宋体" w:hAnsi="宋体"/>
          <w:color w:val="000000"/>
          <w:szCs w:val="21"/>
          <w:highlight w:val="none"/>
        </w:rPr>
        <w:t>施工场地（或称工地、现场）：指用于合同工程施工的场所，以及在合同中指定作为施工场地组成部分的其他场所，包括永久占地和临时占地。</w:t>
      </w:r>
    </w:p>
    <w:p w14:paraId="4B09A7E0">
      <w:pPr>
        <w:spacing w:line="360" w:lineRule="auto"/>
        <w:ind w:firstLine="420" w:firstLineChars="200"/>
        <w:rPr>
          <w:rFonts w:ascii="宋体" w:hAnsi="宋体"/>
          <w:color w:val="000000"/>
          <w:szCs w:val="21"/>
          <w:highlight w:val="none"/>
        </w:rPr>
      </w:pPr>
      <w:r>
        <w:rPr>
          <w:rFonts w:ascii="宋体" w:hAnsi="宋体"/>
          <w:color w:val="000000"/>
          <w:szCs w:val="21"/>
          <w:highlight w:val="none"/>
        </w:rPr>
        <w:t>1.1.3.10</w:t>
      </w:r>
      <w:r>
        <w:rPr>
          <w:rFonts w:ascii="宋体" w:hAnsi="宋体"/>
          <w:color w:val="000000"/>
          <w:szCs w:val="21"/>
          <w:highlight w:val="none"/>
        </w:rPr>
        <w:tab/>
      </w:r>
      <w:r>
        <w:rPr>
          <w:rFonts w:ascii="宋体" w:hAnsi="宋体"/>
          <w:color w:val="000000"/>
          <w:szCs w:val="21"/>
          <w:highlight w:val="none"/>
        </w:rPr>
        <w:t>永久占地：指为实施合同工程需永久占用的土地。永久占地的约定见合同条款专用部分。</w:t>
      </w:r>
    </w:p>
    <w:p w14:paraId="4C7A1C0F">
      <w:pPr>
        <w:spacing w:line="360" w:lineRule="auto"/>
        <w:ind w:firstLine="420" w:firstLineChars="200"/>
        <w:rPr>
          <w:rFonts w:ascii="宋体" w:hAnsi="宋体"/>
          <w:color w:val="000000"/>
          <w:szCs w:val="21"/>
          <w:highlight w:val="none"/>
        </w:rPr>
      </w:pPr>
      <w:r>
        <w:rPr>
          <w:rFonts w:ascii="宋体" w:hAnsi="宋体"/>
          <w:color w:val="000000"/>
          <w:szCs w:val="21"/>
          <w:highlight w:val="none"/>
        </w:rPr>
        <w:t>1.1.3.11</w:t>
      </w:r>
      <w:r>
        <w:rPr>
          <w:rFonts w:ascii="宋体" w:hAnsi="宋体"/>
          <w:color w:val="000000"/>
          <w:szCs w:val="21"/>
          <w:highlight w:val="none"/>
        </w:rPr>
        <w:tab/>
      </w:r>
      <w:r>
        <w:rPr>
          <w:rFonts w:ascii="宋体" w:hAnsi="宋体"/>
          <w:color w:val="000000"/>
          <w:szCs w:val="21"/>
          <w:highlight w:val="none"/>
        </w:rPr>
        <w:t>临时占地：指为实施合同工程需临时占用的土地。临时占地的约定见合同条款专用部分。</w:t>
      </w:r>
    </w:p>
    <w:p w14:paraId="03934392">
      <w:pPr>
        <w:spacing w:line="360" w:lineRule="auto"/>
        <w:ind w:firstLine="420" w:firstLineChars="200"/>
        <w:rPr>
          <w:rFonts w:ascii="宋体" w:hAnsi="宋体"/>
          <w:color w:val="000000"/>
          <w:szCs w:val="21"/>
          <w:highlight w:val="none"/>
        </w:rPr>
      </w:pPr>
      <w:r>
        <w:rPr>
          <w:rFonts w:ascii="宋体" w:hAnsi="宋体"/>
          <w:color w:val="000000"/>
          <w:szCs w:val="21"/>
          <w:highlight w:val="none"/>
        </w:rPr>
        <w:t>1.1.3.12</w:t>
      </w:r>
      <w:r>
        <w:rPr>
          <w:rFonts w:ascii="宋体" w:hAnsi="宋体"/>
          <w:color w:val="000000"/>
          <w:szCs w:val="21"/>
          <w:highlight w:val="none"/>
        </w:rPr>
        <w:tab/>
      </w:r>
      <w:r>
        <w:rPr>
          <w:rFonts w:ascii="宋体" w:hAnsi="宋体"/>
          <w:color w:val="000000"/>
          <w:szCs w:val="21"/>
          <w:highlight w:val="none"/>
        </w:rPr>
        <w:t>材料：指构成或将构成永久工程组成部分的各类物品(工程设备除外)，包括合同中可能约定的承包人仅负责供应的材料。</w:t>
      </w:r>
    </w:p>
    <w:p w14:paraId="4393DC87">
      <w:pPr>
        <w:numPr>
          <w:ilvl w:val="2"/>
          <w:numId w:val="73"/>
        </w:numPr>
        <w:spacing w:line="360" w:lineRule="auto"/>
        <w:ind w:left="0" w:firstLine="420" w:firstLineChars="200"/>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日期</w:t>
      </w:r>
    </w:p>
    <w:p w14:paraId="1A80127E">
      <w:pPr>
        <w:spacing w:line="360" w:lineRule="auto"/>
        <w:ind w:firstLine="420" w:firstLineChars="200"/>
        <w:rPr>
          <w:rFonts w:ascii="宋体" w:hAnsi="宋体"/>
          <w:color w:val="000000"/>
          <w:szCs w:val="21"/>
          <w:highlight w:val="none"/>
        </w:rPr>
      </w:pPr>
      <w:r>
        <w:rPr>
          <w:rFonts w:ascii="宋体" w:hAnsi="宋体"/>
          <w:color w:val="000000"/>
          <w:szCs w:val="21"/>
          <w:highlight w:val="none"/>
        </w:rPr>
        <w:t>1.1.4.1</w:t>
      </w:r>
      <w:r>
        <w:rPr>
          <w:rFonts w:ascii="宋体" w:hAnsi="宋体"/>
          <w:color w:val="000000"/>
          <w:szCs w:val="21"/>
          <w:highlight w:val="none"/>
        </w:rPr>
        <w:tab/>
      </w:r>
      <w:r>
        <w:rPr>
          <w:rFonts w:ascii="宋体" w:hAnsi="宋体"/>
          <w:color w:val="000000"/>
          <w:szCs w:val="21"/>
          <w:highlight w:val="none"/>
        </w:rPr>
        <w:t>开工通知：指监理人按第 11.1 款通知承包人开工的函件。</w:t>
      </w:r>
    </w:p>
    <w:p w14:paraId="3E523162">
      <w:pPr>
        <w:spacing w:line="360" w:lineRule="auto"/>
        <w:ind w:firstLine="420" w:firstLineChars="200"/>
        <w:rPr>
          <w:rFonts w:ascii="宋体" w:hAnsi="宋体"/>
          <w:color w:val="000000"/>
          <w:szCs w:val="21"/>
          <w:highlight w:val="none"/>
        </w:rPr>
      </w:pPr>
      <w:r>
        <w:rPr>
          <w:rFonts w:ascii="宋体" w:hAnsi="宋体"/>
          <w:color w:val="000000"/>
          <w:szCs w:val="21"/>
          <w:highlight w:val="none"/>
        </w:rPr>
        <w:t>1.1.4.2</w:t>
      </w:r>
      <w:r>
        <w:rPr>
          <w:rFonts w:ascii="宋体" w:hAnsi="宋体"/>
          <w:color w:val="000000"/>
          <w:szCs w:val="21"/>
          <w:highlight w:val="none"/>
        </w:rPr>
        <w:tab/>
      </w:r>
      <w:r>
        <w:rPr>
          <w:rFonts w:ascii="宋体" w:hAnsi="宋体"/>
          <w:color w:val="000000"/>
          <w:szCs w:val="21"/>
          <w:highlight w:val="none"/>
        </w:rPr>
        <w:t>开工日期：指监理人按第 11.1 款发出的开工通知中写明的开工日期。</w:t>
      </w:r>
    </w:p>
    <w:p w14:paraId="723D4C9F">
      <w:pPr>
        <w:spacing w:line="360" w:lineRule="auto"/>
        <w:ind w:firstLine="420" w:firstLineChars="200"/>
        <w:rPr>
          <w:rFonts w:ascii="宋体" w:hAnsi="宋体"/>
          <w:color w:val="000000"/>
          <w:szCs w:val="21"/>
          <w:highlight w:val="none"/>
        </w:rPr>
      </w:pPr>
      <w:r>
        <w:rPr>
          <w:rFonts w:ascii="宋体" w:hAnsi="宋体"/>
          <w:color w:val="000000"/>
          <w:szCs w:val="21"/>
          <w:highlight w:val="none"/>
        </w:rPr>
        <w:t>1.1.4.3</w:t>
      </w:r>
      <w:r>
        <w:rPr>
          <w:rFonts w:ascii="宋体" w:hAnsi="宋体"/>
          <w:color w:val="000000"/>
          <w:szCs w:val="21"/>
          <w:highlight w:val="none"/>
        </w:rPr>
        <w:tab/>
      </w:r>
      <w:r>
        <w:rPr>
          <w:rFonts w:ascii="宋体" w:hAnsi="宋体"/>
          <w:color w:val="000000"/>
          <w:szCs w:val="21"/>
          <w:highlight w:val="none"/>
        </w:rPr>
        <w:t>工期：指承包人在投标函中承诺的完成合同工程所需的期限，包括按第</w:t>
      </w:r>
    </w:p>
    <w:p w14:paraId="34B16FAA">
      <w:pPr>
        <w:spacing w:line="360" w:lineRule="auto"/>
        <w:ind w:firstLine="420" w:firstLineChars="200"/>
        <w:rPr>
          <w:rFonts w:ascii="宋体" w:hAnsi="宋体"/>
          <w:color w:val="000000"/>
          <w:szCs w:val="21"/>
          <w:highlight w:val="none"/>
        </w:rPr>
      </w:pPr>
      <w:r>
        <w:rPr>
          <w:rFonts w:ascii="宋体" w:hAnsi="宋体"/>
          <w:color w:val="000000"/>
          <w:szCs w:val="21"/>
          <w:highlight w:val="none"/>
        </w:rPr>
        <w:t>11.3 款、第 11.4 款和第 11.6 款约定所作的变更。</w:t>
      </w:r>
    </w:p>
    <w:p w14:paraId="1615A8FF">
      <w:pPr>
        <w:spacing w:line="360" w:lineRule="auto"/>
        <w:ind w:firstLine="420" w:firstLineChars="200"/>
        <w:rPr>
          <w:rFonts w:ascii="宋体" w:hAnsi="宋体"/>
          <w:color w:val="000000"/>
          <w:szCs w:val="21"/>
          <w:highlight w:val="none"/>
        </w:rPr>
      </w:pPr>
      <w:r>
        <w:rPr>
          <w:rFonts w:ascii="宋体" w:hAnsi="宋体"/>
          <w:color w:val="000000"/>
          <w:szCs w:val="21"/>
          <w:highlight w:val="none"/>
        </w:rPr>
        <w:t>1.1.4.4</w:t>
      </w:r>
      <w:r>
        <w:rPr>
          <w:rFonts w:ascii="宋体" w:hAnsi="宋体"/>
          <w:color w:val="000000"/>
          <w:szCs w:val="21"/>
          <w:highlight w:val="none"/>
        </w:rPr>
        <w:tab/>
      </w:r>
      <w:r>
        <w:rPr>
          <w:rFonts w:ascii="宋体" w:hAnsi="宋体"/>
          <w:color w:val="000000"/>
          <w:szCs w:val="21"/>
          <w:highlight w:val="none"/>
        </w:rPr>
        <w:t>竣工日期：指第 1.1.4.3 目约定工期届满时的日期。实际竣工日期以工程接收证书中写明的日期为准。</w:t>
      </w:r>
    </w:p>
    <w:p w14:paraId="5801091D">
      <w:pPr>
        <w:spacing w:line="360" w:lineRule="auto"/>
        <w:ind w:firstLine="420" w:firstLineChars="200"/>
        <w:rPr>
          <w:rFonts w:ascii="宋体" w:hAnsi="宋体"/>
          <w:color w:val="000000"/>
          <w:szCs w:val="21"/>
          <w:highlight w:val="none"/>
        </w:rPr>
      </w:pPr>
      <w:r>
        <w:rPr>
          <w:rFonts w:ascii="宋体" w:hAnsi="宋体"/>
          <w:color w:val="000000"/>
          <w:szCs w:val="21"/>
          <w:highlight w:val="none"/>
        </w:rPr>
        <w:t>1.1.4.5</w:t>
      </w:r>
      <w:r>
        <w:rPr>
          <w:rFonts w:ascii="宋体" w:hAnsi="宋体"/>
          <w:color w:val="000000"/>
          <w:szCs w:val="21"/>
          <w:highlight w:val="none"/>
        </w:rPr>
        <w:tab/>
      </w:r>
      <w:r>
        <w:rPr>
          <w:rFonts w:ascii="宋体" w:hAnsi="宋体"/>
          <w:color w:val="000000"/>
          <w:szCs w:val="21"/>
          <w:highlight w:val="none"/>
        </w:rPr>
        <w:t>缺陷责任期：指履行第 19.2 款约定的缺陷责任的期限，包括根据第19.3款约定所作的延长。缺陷责任期的具体期限见合同条款专用部分。</w:t>
      </w:r>
    </w:p>
    <w:p w14:paraId="3AC78C81">
      <w:pPr>
        <w:spacing w:line="360" w:lineRule="auto"/>
        <w:ind w:firstLine="420" w:firstLineChars="200"/>
        <w:rPr>
          <w:rFonts w:ascii="宋体" w:hAnsi="宋体"/>
          <w:color w:val="000000"/>
          <w:szCs w:val="21"/>
          <w:highlight w:val="none"/>
        </w:rPr>
      </w:pPr>
      <w:r>
        <w:rPr>
          <w:rFonts w:ascii="宋体" w:hAnsi="宋体"/>
          <w:color w:val="000000"/>
          <w:szCs w:val="21"/>
          <w:highlight w:val="none"/>
        </w:rPr>
        <w:t>1.1.4.6</w:t>
      </w:r>
      <w:r>
        <w:rPr>
          <w:rFonts w:ascii="宋体" w:hAnsi="宋体"/>
          <w:color w:val="000000"/>
          <w:szCs w:val="21"/>
          <w:highlight w:val="none"/>
        </w:rPr>
        <w:tab/>
      </w:r>
      <w:r>
        <w:rPr>
          <w:rFonts w:ascii="宋体" w:hAnsi="宋体"/>
          <w:color w:val="000000"/>
          <w:szCs w:val="21"/>
          <w:highlight w:val="none"/>
        </w:rPr>
        <w:t>基准日期：指投标截止时间前 28 天的日期。</w:t>
      </w:r>
    </w:p>
    <w:p w14:paraId="14660B14">
      <w:pPr>
        <w:spacing w:line="360" w:lineRule="auto"/>
        <w:ind w:firstLine="420" w:firstLineChars="200"/>
        <w:rPr>
          <w:rFonts w:ascii="宋体" w:hAnsi="宋体"/>
          <w:color w:val="000000"/>
          <w:szCs w:val="21"/>
          <w:highlight w:val="none"/>
        </w:rPr>
      </w:pPr>
      <w:r>
        <w:rPr>
          <w:rFonts w:ascii="宋体" w:hAnsi="宋体"/>
          <w:color w:val="000000"/>
          <w:szCs w:val="21"/>
          <w:highlight w:val="none"/>
        </w:rPr>
        <w:t>1.1.4.7</w:t>
      </w:r>
      <w:r>
        <w:rPr>
          <w:rFonts w:ascii="宋体" w:hAnsi="宋体"/>
          <w:color w:val="000000"/>
          <w:szCs w:val="21"/>
          <w:highlight w:val="none"/>
        </w:rPr>
        <w:tab/>
      </w:r>
      <w:r>
        <w:rPr>
          <w:rFonts w:ascii="宋体" w:hAnsi="宋体"/>
          <w:color w:val="000000"/>
          <w:szCs w:val="21"/>
          <w:highlight w:val="none"/>
        </w:rPr>
        <w:t>天：除特别指明外，指日历天。合同中按天计算时间的，开始当天不计入，从次日开始计算。期限最后一天的截止时间为当天 24:00。</w:t>
      </w:r>
    </w:p>
    <w:p w14:paraId="29C3CC6B">
      <w:pPr>
        <w:spacing w:line="360" w:lineRule="auto"/>
        <w:ind w:firstLine="420" w:firstLineChars="200"/>
        <w:rPr>
          <w:rFonts w:ascii="宋体" w:hAnsi="宋体"/>
          <w:color w:val="000000"/>
          <w:szCs w:val="21"/>
          <w:highlight w:val="none"/>
        </w:rPr>
      </w:pPr>
      <w:r>
        <w:rPr>
          <w:rFonts w:ascii="宋体" w:hAnsi="宋体"/>
          <w:color w:val="000000"/>
          <w:szCs w:val="21"/>
          <w:highlight w:val="none"/>
        </w:rPr>
        <w:t>1.1.4.8 保修期：是根据现行有关法律规定，在合同条款第 19.7 款中约定的由承包人负责对合同约定的保修范围内发生的质量问题履行保修义务并对造成的损失承担赔偿责任的期限。</w:t>
      </w:r>
    </w:p>
    <w:p w14:paraId="5785E9A7">
      <w:pPr>
        <w:spacing w:line="360" w:lineRule="auto"/>
        <w:ind w:firstLine="420" w:firstLineChars="200"/>
        <w:rPr>
          <w:rFonts w:ascii="宋体" w:hAnsi="宋体"/>
          <w:color w:val="000000"/>
          <w:szCs w:val="21"/>
          <w:highlight w:val="none"/>
        </w:rPr>
      </w:pPr>
      <w:r>
        <w:rPr>
          <w:rFonts w:ascii="宋体" w:hAnsi="宋体"/>
          <w:color w:val="000000"/>
          <w:szCs w:val="21"/>
          <w:highlight w:val="none"/>
        </w:rPr>
        <w:t>1.1.5</w:t>
      </w:r>
      <w:r>
        <w:rPr>
          <w:rFonts w:ascii="宋体" w:hAnsi="宋体"/>
          <w:color w:val="000000"/>
          <w:szCs w:val="21"/>
          <w:highlight w:val="none"/>
        </w:rPr>
        <w:tab/>
      </w:r>
      <w:r>
        <w:rPr>
          <w:rFonts w:ascii="宋体" w:hAnsi="宋体"/>
          <w:color w:val="000000"/>
          <w:szCs w:val="21"/>
          <w:highlight w:val="none"/>
        </w:rPr>
        <w:t>合同价格和费用</w:t>
      </w:r>
    </w:p>
    <w:p w14:paraId="4761A221">
      <w:pPr>
        <w:spacing w:line="360" w:lineRule="auto"/>
        <w:ind w:firstLine="420" w:firstLineChars="200"/>
        <w:rPr>
          <w:rFonts w:ascii="宋体" w:hAnsi="宋体"/>
          <w:color w:val="000000"/>
          <w:szCs w:val="21"/>
          <w:highlight w:val="none"/>
        </w:rPr>
      </w:pPr>
      <w:r>
        <w:rPr>
          <w:rFonts w:ascii="宋体" w:hAnsi="宋体"/>
          <w:color w:val="000000"/>
          <w:szCs w:val="21"/>
          <w:highlight w:val="none"/>
        </w:rPr>
        <w:t>1.1.5.1</w:t>
      </w:r>
      <w:r>
        <w:rPr>
          <w:rFonts w:ascii="宋体" w:hAnsi="宋体"/>
          <w:color w:val="000000"/>
          <w:szCs w:val="21"/>
          <w:highlight w:val="none"/>
        </w:rPr>
        <w:tab/>
      </w:r>
      <w:r>
        <w:rPr>
          <w:rFonts w:ascii="宋体" w:hAnsi="宋体"/>
          <w:color w:val="000000"/>
          <w:szCs w:val="21"/>
          <w:highlight w:val="none"/>
        </w:rPr>
        <w:t>签约合同价：指签定合同时合同协议书中写明的，包括了暂列金额、暂估价的合同总金额。</w:t>
      </w:r>
    </w:p>
    <w:p w14:paraId="0795AC80">
      <w:pPr>
        <w:spacing w:line="360" w:lineRule="auto"/>
        <w:ind w:firstLine="420" w:firstLineChars="200"/>
        <w:rPr>
          <w:rFonts w:ascii="宋体" w:hAnsi="宋体"/>
          <w:color w:val="000000"/>
          <w:szCs w:val="21"/>
          <w:highlight w:val="none"/>
        </w:rPr>
      </w:pPr>
      <w:r>
        <w:rPr>
          <w:rFonts w:ascii="宋体" w:hAnsi="宋体"/>
          <w:color w:val="000000"/>
          <w:szCs w:val="21"/>
          <w:highlight w:val="none"/>
        </w:rPr>
        <w:t>1.1.5.2</w:t>
      </w:r>
      <w:r>
        <w:rPr>
          <w:rFonts w:ascii="宋体" w:hAnsi="宋体"/>
          <w:color w:val="000000"/>
          <w:szCs w:val="21"/>
          <w:highlight w:val="none"/>
        </w:rPr>
        <w:tab/>
      </w:r>
      <w:r>
        <w:rPr>
          <w:rFonts w:ascii="宋体" w:hAnsi="宋体"/>
          <w:color w:val="000000"/>
          <w:szCs w:val="21"/>
          <w:highlight w:val="none"/>
        </w:rPr>
        <w:t>合同价格：指承包人按合同约定完成了包括缺陷责任期内的全部承包工作后，发包人应付给承包人的金额，包括在履行合同过程中按合同约定进行的变更和调整。</w:t>
      </w:r>
    </w:p>
    <w:p w14:paraId="14075C2E">
      <w:pPr>
        <w:spacing w:line="360" w:lineRule="auto"/>
        <w:ind w:firstLine="420" w:firstLineChars="200"/>
        <w:rPr>
          <w:rFonts w:ascii="宋体" w:hAnsi="宋体"/>
          <w:color w:val="000000"/>
          <w:szCs w:val="21"/>
          <w:highlight w:val="none"/>
        </w:rPr>
      </w:pPr>
      <w:r>
        <w:rPr>
          <w:rFonts w:ascii="宋体" w:hAnsi="宋体"/>
          <w:color w:val="000000"/>
          <w:szCs w:val="21"/>
          <w:highlight w:val="none"/>
        </w:rPr>
        <w:t>1.1.5.3 费用：指为履行合同所发生的或将要发生的所有合理开支，包括管理费和应分摊的其他费用，但不包括利润。</w:t>
      </w:r>
    </w:p>
    <w:p w14:paraId="79681498">
      <w:pPr>
        <w:spacing w:line="360" w:lineRule="auto"/>
        <w:ind w:firstLine="420" w:firstLineChars="200"/>
        <w:rPr>
          <w:rFonts w:ascii="宋体" w:hAnsi="宋体"/>
          <w:color w:val="000000"/>
          <w:szCs w:val="21"/>
          <w:highlight w:val="none"/>
        </w:rPr>
      </w:pPr>
      <w:r>
        <w:rPr>
          <w:rFonts w:ascii="宋体" w:hAnsi="宋体"/>
          <w:color w:val="000000"/>
          <w:szCs w:val="21"/>
          <w:highlight w:val="none"/>
        </w:rPr>
        <w:t>1.1.5.4 暂列金额：指已标价工程量清单中所列的暂列金额，用于在签订协议书时尚未确定或不可预见变更的施工及其所需材料、工程设备、服务等的金额，包括以计日工方式支付的金额。</w:t>
      </w:r>
    </w:p>
    <w:p w14:paraId="28EAFACA">
      <w:pPr>
        <w:spacing w:line="360" w:lineRule="auto"/>
        <w:ind w:firstLine="420" w:firstLineChars="200"/>
        <w:rPr>
          <w:rFonts w:ascii="宋体" w:hAnsi="宋体"/>
          <w:color w:val="000000"/>
          <w:szCs w:val="21"/>
          <w:highlight w:val="none"/>
        </w:rPr>
      </w:pPr>
      <w:r>
        <w:rPr>
          <w:rFonts w:ascii="宋体" w:hAnsi="宋体"/>
          <w:color w:val="000000"/>
          <w:szCs w:val="21"/>
          <w:highlight w:val="none"/>
        </w:rPr>
        <w:t>1.1.5.5 暂估价：指发包人在工程量清单中给定的用于支付必然发生但暂时不能确定价格的材料、设备以及专业工程的金额。</w:t>
      </w:r>
    </w:p>
    <w:p w14:paraId="59A3DCB1">
      <w:pPr>
        <w:spacing w:line="360" w:lineRule="auto"/>
        <w:ind w:firstLine="420" w:firstLineChars="200"/>
        <w:rPr>
          <w:rFonts w:ascii="宋体" w:hAnsi="宋体"/>
          <w:color w:val="000000"/>
          <w:szCs w:val="21"/>
          <w:highlight w:val="none"/>
        </w:rPr>
      </w:pPr>
      <w:r>
        <w:rPr>
          <w:rFonts w:ascii="宋体" w:hAnsi="宋体"/>
          <w:color w:val="000000"/>
          <w:szCs w:val="21"/>
          <w:highlight w:val="none"/>
        </w:rPr>
        <w:t>1.1.5.6 计日工：指对零星工作采取的一种计价方式，按合同中的计日工子目及其单价计价付款。</w:t>
      </w:r>
    </w:p>
    <w:p w14:paraId="7E564CD0">
      <w:pPr>
        <w:spacing w:line="360" w:lineRule="auto"/>
        <w:ind w:firstLine="420" w:firstLineChars="200"/>
        <w:rPr>
          <w:rFonts w:ascii="宋体" w:hAnsi="宋体"/>
          <w:color w:val="000000"/>
          <w:szCs w:val="21"/>
          <w:highlight w:val="none"/>
        </w:rPr>
      </w:pPr>
      <w:r>
        <w:rPr>
          <w:rFonts w:ascii="宋体" w:hAnsi="宋体"/>
          <w:color w:val="000000"/>
          <w:szCs w:val="21"/>
          <w:highlight w:val="none"/>
        </w:rPr>
        <w:t>1.1.5.7 质量保证金（或称保留金）：指按第 17.4.1 项约定用于保证在缺陷责任期内履行缺陷修复义务的金额。</w:t>
      </w:r>
    </w:p>
    <w:p w14:paraId="4FCDB196">
      <w:pPr>
        <w:spacing w:line="360" w:lineRule="auto"/>
        <w:ind w:firstLine="420" w:firstLineChars="200"/>
        <w:rPr>
          <w:rFonts w:ascii="宋体" w:hAnsi="宋体"/>
          <w:color w:val="000000"/>
          <w:szCs w:val="21"/>
          <w:highlight w:val="none"/>
        </w:rPr>
      </w:pPr>
      <w:r>
        <w:rPr>
          <w:rFonts w:ascii="宋体" w:hAnsi="宋体"/>
          <w:color w:val="000000"/>
          <w:szCs w:val="21"/>
          <w:highlight w:val="none"/>
        </w:rPr>
        <w:t>1.1.6</w:t>
      </w:r>
      <w:r>
        <w:rPr>
          <w:rFonts w:ascii="宋体" w:hAnsi="宋体"/>
          <w:color w:val="000000"/>
          <w:szCs w:val="21"/>
          <w:highlight w:val="none"/>
        </w:rPr>
        <w:tab/>
      </w:r>
      <w:r>
        <w:rPr>
          <w:rFonts w:ascii="宋体" w:hAnsi="宋体"/>
          <w:color w:val="000000"/>
          <w:szCs w:val="21"/>
          <w:highlight w:val="none"/>
        </w:rPr>
        <w:t xml:space="preserve">书面形式 书面形式：指合同文件、信函、电报、传真等可以有形地表现所载内容的形式。 </w:t>
      </w:r>
    </w:p>
    <w:p w14:paraId="2122A23C">
      <w:pPr>
        <w:spacing w:line="360" w:lineRule="auto"/>
        <w:ind w:firstLine="420" w:firstLineChars="200"/>
        <w:rPr>
          <w:rFonts w:ascii="宋体" w:hAnsi="宋体"/>
          <w:color w:val="000000"/>
          <w:szCs w:val="21"/>
          <w:highlight w:val="none"/>
        </w:rPr>
      </w:pPr>
      <w:r>
        <w:rPr>
          <w:rFonts w:ascii="宋体" w:hAnsi="宋体"/>
          <w:color w:val="000000"/>
          <w:szCs w:val="21"/>
          <w:highlight w:val="none"/>
        </w:rPr>
        <w:t>1.1.7</w:t>
      </w:r>
      <w:r>
        <w:rPr>
          <w:rFonts w:ascii="宋体" w:hAnsi="宋体"/>
          <w:color w:val="000000"/>
          <w:szCs w:val="21"/>
          <w:highlight w:val="none"/>
        </w:rPr>
        <w:tab/>
      </w:r>
      <w:r>
        <w:rPr>
          <w:rFonts w:ascii="宋体" w:hAnsi="宋体"/>
          <w:color w:val="000000"/>
          <w:szCs w:val="21"/>
          <w:highlight w:val="none"/>
        </w:rPr>
        <w:t>争议评审组</w:t>
      </w:r>
    </w:p>
    <w:p w14:paraId="48B68A00">
      <w:pPr>
        <w:spacing w:line="360" w:lineRule="auto"/>
        <w:ind w:firstLine="420" w:firstLineChars="200"/>
        <w:rPr>
          <w:rFonts w:ascii="宋体" w:hAnsi="宋体"/>
          <w:color w:val="000000"/>
          <w:szCs w:val="21"/>
          <w:highlight w:val="none"/>
        </w:rPr>
      </w:pPr>
      <w:r>
        <w:rPr>
          <w:rFonts w:ascii="宋体" w:hAnsi="宋体"/>
          <w:color w:val="000000"/>
          <w:szCs w:val="21"/>
          <w:highlight w:val="none"/>
        </w:rPr>
        <w:t>争议评审组：是由发包人和承包人共同聘请的人员组成的独立、公正的第三方临时性组织，一般由一名或者三名合同管理和（或）工程管理专家组成。争议评审组负责对发包人和</w:t>
      </w:r>
    </w:p>
    <w:p w14:paraId="1DD8F04D">
      <w:pPr>
        <w:spacing w:line="360" w:lineRule="auto"/>
        <w:ind w:firstLine="420" w:firstLineChars="200"/>
        <w:rPr>
          <w:rFonts w:ascii="宋体" w:hAnsi="宋体"/>
          <w:color w:val="000000"/>
          <w:szCs w:val="21"/>
          <w:highlight w:val="none"/>
        </w:rPr>
      </w:pPr>
      <w:r>
        <w:rPr>
          <w:rFonts w:ascii="宋体" w:hAnsi="宋体"/>
          <w:color w:val="000000"/>
          <w:szCs w:val="21"/>
          <w:highlight w:val="none"/>
        </w:rPr>
        <w:t>（或）承包人提请进行评审的本合同项下的争议进行评审并在规定的期限内给出评审意见， 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26878CB2">
      <w:pPr>
        <w:spacing w:line="360" w:lineRule="auto"/>
        <w:ind w:firstLine="420" w:firstLineChars="200"/>
        <w:rPr>
          <w:rFonts w:ascii="宋体" w:hAnsi="宋体"/>
          <w:color w:val="000000"/>
          <w:szCs w:val="21"/>
          <w:highlight w:val="none"/>
        </w:rPr>
      </w:pPr>
      <w:r>
        <w:rPr>
          <w:rFonts w:ascii="宋体" w:hAnsi="宋体"/>
          <w:color w:val="000000"/>
          <w:szCs w:val="21"/>
          <w:highlight w:val="none"/>
        </w:rPr>
        <w:t>1.1.8</w:t>
      </w:r>
      <w:r>
        <w:rPr>
          <w:rFonts w:ascii="宋体" w:hAnsi="宋体"/>
          <w:color w:val="000000"/>
          <w:szCs w:val="21"/>
          <w:highlight w:val="none"/>
        </w:rPr>
        <w:tab/>
      </w:r>
      <w:r>
        <w:rPr>
          <w:rFonts w:ascii="宋体" w:hAnsi="宋体"/>
          <w:color w:val="000000"/>
          <w:szCs w:val="21"/>
          <w:highlight w:val="none"/>
        </w:rPr>
        <w:t>其他需要补充的内容</w:t>
      </w:r>
    </w:p>
    <w:p w14:paraId="392D5085">
      <w:pPr>
        <w:spacing w:line="360" w:lineRule="auto"/>
        <w:ind w:firstLine="420" w:firstLineChars="200"/>
        <w:rPr>
          <w:rFonts w:ascii="宋体" w:hAnsi="宋体"/>
          <w:color w:val="000000"/>
          <w:szCs w:val="21"/>
          <w:highlight w:val="none"/>
        </w:rPr>
      </w:pPr>
      <w:r>
        <w:rPr>
          <w:rFonts w:ascii="宋体" w:hAnsi="宋体"/>
          <w:color w:val="000000"/>
          <w:szCs w:val="21"/>
          <w:highlight w:val="none"/>
        </w:rPr>
        <w:t>其他需要补充的内容</w:t>
      </w:r>
      <w:r>
        <w:rPr>
          <w:rFonts w:ascii="黑体" w:hAnsi="黑体" w:eastAsia="黑体"/>
          <w:color w:val="000000"/>
          <w:szCs w:val="21"/>
          <w:highlight w:val="none"/>
        </w:rPr>
        <w:t>见合同条款专用部分</w:t>
      </w:r>
      <w:r>
        <w:rPr>
          <w:rFonts w:ascii="宋体" w:hAnsi="宋体"/>
          <w:color w:val="000000"/>
          <w:szCs w:val="21"/>
          <w:highlight w:val="none"/>
        </w:rPr>
        <w:t>。</w:t>
      </w:r>
    </w:p>
    <w:p w14:paraId="1A76DF93">
      <w:pPr>
        <w:numPr>
          <w:ilvl w:val="1"/>
          <w:numId w:val="73"/>
        </w:numPr>
        <w:spacing w:line="360" w:lineRule="auto"/>
        <w:rPr>
          <w:rFonts w:ascii="宋体" w:hAnsi="宋体"/>
          <w:color w:val="000000"/>
          <w:szCs w:val="21"/>
          <w:highlight w:val="none"/>
        </w:rPr>
      </w:pPr>
      <w:r>
        <w:rPr>
          <w:rFonts w:hint="eastAsia" w:ascii="宋体" w:hAnsi="宋体"/>
          <w:color w:val="000000"/>
          <w:sz w:val="24"/>
          <w:highlight w:val="none"/>
        </w:rPr>
        <w:t xml:space="preserve">  </w:t>
      </w:r>
      <w:r>
        <w:rPr>
          <w:rFonts w:ascii="宋体" w:hAnsi="宋体"/>
          <w:color w:val="000000"/>
          <w:sz w:val="24"/>
          <w:highlight w:val="none"/>
        </w:rPr>
        <w:t>语言文字</w:t>
      </w:r>
    </w:p>
    <w:p w14:paraId="5D6BDB66">
      <w:pPr>
        <w:spacing w:line="360" w:lineRule="auto"/>
        <w:ind w:firstLine="420" w:firstLineChars="200"/>
        <w:rPr>
          <w:rFonts w:ascii="宋体" w:hAnsi="宋体"/>
          <w:color w:val="000000"/>
          <w:szCs w:val="21"/>
          <w:highlight w:val="none"/>
        </w:rPr>
      </w:pPr>
      <w:r>
        <w:rPr>
          <w:rFonts w:ascii="宋体" w:hAnsi="宋体"/>
          <w:color w:val="000000"/>
          <w:szCs w:val="21"/>
          <w:highlight w:val="none"/>
        </w:rPr>
        <w:t>除专用术语外，合同使用的语言文字为中文。必要时专用术语应附有中文注释。</w:t>
      </w:r>
    </w:p>
    <w:p w14:paraId="0DCCBF76">
      <w:pPr>
        <w:numPr>
          <w:ilvl w:val="1"/>
          <w:numId w:val="73"/>
        </w:numPr>
        <w:spacing w:line="360" w:lineRule="auto"/>
        <w:rPr>
          <w:rFonts w:ascii="宋体" w:hAnsi="宋体"/>
          <w:color w:val="000000"/>
          <w:sz w:val="24"/>
          <w:highlight w:val="none"/>
        </w:rPr>
      </w:pPr>
      <w:bookmarkStart w:id="558" w:name="_bookmark89"/>
      <w:bookmarkEnd w:id="558"/>
      <w:r>
        <w:rPr>
          <w:rFonts w:hint="eastAsia" w:ascii="宋体" w:hAnsi="宋体"/>
          <w:color w:val="000000"/>
          <w:sz w:val="24"/>
          <w:highlight w:val="none"/>
        </w:rPr>
        <w:t xml:space="preserve">  </w:t>
      </w:r>
      <w:r>
        <w:rPr>
          <w:rFonts w:ascii="宋体" w:hAnsi="宋体"/>
          <w:color w:val="000000"/>
          <w:sz w:val="24"/>
          <w:highlight w:val="none"/>
        </w:rPr>
        <w:t>法律</w:t>
      </w:r>
    </w:p>
    <w:p w14:paraId="02D9B876">
      <w:pPr>
        <w:spacing w:line="360" w:lineRule="auto"/>
        <w:ind w:firstLine="420" w:firstLineChars="200"/>
        <w:rPr>
          <w:rFonts w:ascii="宋体" w:hAnsi="宋体"/>
          <w:color w:val="000000"/>
          <w:szCs w:val="21"/>
          <w:highlight w:val="none"/>
        </w:rPr>
      </w:pPr>
      <w:r>
        <w:rPr>
          <w:rFonts w:ascii="宋体" w:hAnsi="宋体"/>
          <w:color w:val="000000"/>
          <w:szCs w:val="21"/>
          <w:highlight w:val="none"/>
        </w:rPr>
        <w:t>适用于合同的法律包括中华人民共和国法律、行政法规、部门规章，以及工程所在地的地方法规、自治条例、单行条例和地方政府规章。</w:t>
      </w:r>
    </w:p>
    <w:p w14:paraId="758628E2">
      <w:pPr>
        <w:numPr>
          <w:ilvl w:val="1"/>
          <w:numId w:val="73"/>
        </w:numPr>
        <w:spacing w:line="360" w:lineRule="auto"/>
        <w:rPr>
          <w:rFonts w:ascii="宋体" w:hAnsi="宋体"/>
          <w:color w:val="000000"/>
          <w:sz w:val="24"/>
          <w:highlight w:val="none"/>
        </w:rPr>
      </w:pPr>
      <w:bookmarkStart w:id="559" w:name="_bookmark90"/>
      <w:bookmarkEnd w:id="559"/>
      <w:r>
        <w:rPr>
          <w:rFonts w:hint="eastAsia" w:ascii="宋体" w:hAnsi="宋体"/>
          <w:color w:val="000000"/>
          <w:sz w:val="24"/>
          <w:highlight w:val="none"/>
        </w:rPr>
        <w:t xml:space="preserve">  </w:t>
      </w:r>
      <w:r>
        <w:rPr>
          <w:rFonts w:ascii="宋体" w:hAnsi="宋体"/>
          <w:color w:val="000000"/>
          <w:sz w:val="24"/>
          <w:highlight w:val="none"/>
        </w:rPr>
        <w:t>合同文件的优先顺序</w:t>
      </w:r>
    </w:p>
    <w:p w14:paraId="36DB51C7">
      <w:pPr>
        <w:spacing w:line="360" w:lineRule="auto"/>
        <w:ind w:firstLine="420" w:firstLineChars="200"/>
        <w:rPr>
          <w:rFonts w:ascii="宋体" w:hAnsi="宋体"/>
          <w:color w:val="000000"/>
          <w:szCs w:val="21"/>
          <w:highlight w:val="none"/>
        </w:rPr>
      </w:pPr>
      <w:r>
        <w:rPr>
          <w:rFonts w:ascii="宋体" w:hAnsi="宋体"/>
          <w:color w:val="000000"/>
          <w:szCs w:val="21"/>
          <w:highlight w:val="none"/>
        </w:rPr>
        <w:t>组成合同的各项文件应互相解释，互为说明。除合同条款专用部分另有约定外，解释合 同文件的优先顺序如下：</w:t>
      </w:r>
    </w:p>
    <w:p w14:paraId="16DD0A73">
      <w:pPr>
        <w:spacing w:line="360" w:lineRule="auto"/>
        <w:ind w:firstLine="420" w:firstLineChars="200"/>
        <w:rPr>
          <w:rFonts w:ascii="宋体" w:hAnsi="宋体"/>
          <w:color w:val="000000"/>
          <w:szCs w:val="21"/>
          <w:highlight w:val="none"/>
        </w:rPr>
      </w:pPr>
      <w:r>
        <w:rPr>
          <w:rFonts w:ascii="宋体" w:hAnsi="宋体"/>
          <w:color w:val="000000"/>
          <w:szCs w:val="21"/>
          <w:highlight w:val="none"/>
        </w:rPr>
        <w:t>（1）合同协议书；</w:t>
      </w:r>
    </w:p>
    <w:p w14:paraId="38E6985F">
      <w:pPr>
        <w:spacing w:line="360" w:lineRule="auto"/>
        <w:ind w:firstLine="420" w:firstLineChars="200"/>
        <w:rPr>
          <w:rFonts w:ascii="宋体" w:hAnsi="宋体"/>
          <w:color w:val="000000"/>
          <w:szCs w:val="21"/>
          <w:highlight w:val="none"/>
        </w:rPr>
      </w:pPr>
      <w:r>
        <w:rPr>
          <w:rFonts w:ascii="宋体" w:hAnsi="宋体"/>
          <w:color w:val="000000"/>
          <w:szCs w:val="21"/>
          <w:highlight w:val="none"/>
        </w:rPr>
        <w:t>（2）中标通知书；</w:t>
      </w:r>
    </w:p>
    <w:p w14:paraId="01705001">
      <w:pPr>
        <w:spacing w:line="360" w:lineRule="auto"/>
        <w:ind w:firstLine="420" w:firstLineChars="200"/>
        <w:rPr>
          <w:rFonts w:ascii="宋体" w:hAnsi="宋体"/>
          <w:color w:val="000000"/>
          <w:szCs w:val="21"/>
          <w:highlight w:val="none"/>
        </w:rPr>
      </w:pPr>
      <w:r>
        <w:rPr>
          <w:rFonts w:ascii="宋体" w:hAnsi="宋体"/>
          <w:color w:val="000000"/>
          <w:szCs w:val="21"/>
          <w:highlight w:val="none"/>
        </w:rPr>
        <w:t>（3）投标函及投标函附录；</w:t>
      </w:r>
    </w:p>
    <w:p w14:paraId="4CB9E186">
      <w:pPr>
        <w:spacing w:line="360" w:lineRule="auto"/>
        <w:ind w:firstLine="420" w:firstLineChars="200"/>
        <w:rPr>
          <w:rFonts w:ascii="宋体" w:hAnsi="宋体"/>
          <w:color w:val="000000"/>
          <w:szCs w:val="21"/>
          <w:highlight w:val="none"/>
        </w:rPr>
      </w:pPr>
      <w:r>
        <w:rPr>
          <w:rFonts w:ascii="宋体" w:hAnsi="宋体"/>
          <w:color w:val="000000"/>
          <w:szCs w:val="21"/>
          <w:highlight w:val="none"/>
        </w:rPr>
        <w:t>（4）合同条款专用部分；</w:t>
      </w:r>
    </w:p>
    <w:p w14:paraId="120D9D23">
      <w:pPr>
        <w:spacing w:line="360" w:lineRule="auto"/>
        <w:ind w:firstLine="420" w:firstLineChars="200"/>
        <w:rPr>
          <w:rFonts w:ascii="宋体" w:hAnsi="宋体"/>
          <w:color w:val="000000"/>
          <w:szCs w:val="21"/>
          <w:highlight w:val="none"/>
        </w:rPr>
      </w:pPr>
      <w:r>
        <w:rPr>
          <w:rFonts w:ascii="宋体" w:hAnsi="宋体"/>
          <w:color w:val="000000"/>
          <w:szCs w:val="21"/>
          <w:highlight w:val="none"/>
        </w:rPr>
        <w:t>（5）合同条款通用部分；</w:t>
      </w:r>
    </w:p>
    <w:p w14:paraId="2F520349">
      <w:pPr>
        <w:spacing w:line="360" w:lineRule="auto"/>
        <w:ind w:firstLine="420" w:firstLineChars="200"/>
        <w:rPr>
          <w:rFonts w:ascii="宋体" w:hAnsi="宋体"/>
          <w:color w:val="000000"/>
          <w:szCs w:val="21"/>
          <w:highlight w:val="none"/>
        </w:rPr>
      </w:pPr>
      <w:r>
        <w:rPr>
          <w:rFonts w:ascii="宋体" w:hAnsi="宋体"/>
          <w:color w:val="000000"/>
          <w:szCs w:val="21"/>
          <w:highlight w:val="none"/>
        </w:rPr>
        <w:t>（6）技术标准和要求；</w:t>
      </w:r>
    </w:p>
    <w:p w14:paraId="7854CA81">
      <w:pPr>
        <w:spacing w:line="360" w:lineRule="auto"/>
        <w:ind w:firstLine="420" w:firstLineChars="200"/>
        <w:rPr>
          <w:rFonts w:ascii="宋体" w:hAnsi="宋体"/>
          <w:color w:val="000000"/>
          <w:szCs w:val="21"/>
          <w:highlight w:val="none"/>
        </w:rPr>
      </w:pPr>
      <w:r>
        <w:rPr>
          <w:rFonts w:ascii="宋体" w:hAnsi="宋体"/>
          <w:color w:val="000000"/>
          <w:szCs w:val="21"/>
          <w:highlight w:val="none"/>
        </w:rPr>
        <w:t>（7）图纸；</w:t>
      </w:r>
    </w:p>
    <w:p w14:paraId="67E99F89">
      <w:pPr>
        <w:spacing w:line="360" w:lineRule="auto"/>
        <w:ind w:firstLine="420" w:firstLineChars="200"/>
        <w:rPr>
          <w:rFonts w:ascii="宋体" w:hAnsi="宋体"/>
          <w:color w:val="000000"/>
          <w:szCs w:val="21"/>
          <w:highlight w:val="none"/>
        </w:rPr>
      </w:pPr>
      <w:r>
        <w:rPr>
          <w:rFonts w:ascii="宋体" w:hAnsi="宋体"/>
          <w:color w:val="000000"/>
          <w:szCs w:val="21"/>
          <w:highlight w:val="none"/>
        </w:rPr>
        <w:t>（8）已标价工程量清单；</w:t>
      </w:r>
    </w:p>
    <w:p w14:paraId="089A4189">
      <w:pPr>
        <w:spacing w:line="360" w:lineRule="auto"/>
        <w:ind w:firstLine="420" w:firstLineChars="200"/>
        <w:rPr>
          <w:rFonts w:ascii="宋体" w:hAnsi="宋体"/>
          <w:color w:val="000000"/>
          <w:szCs w:val="21"/>
          <w:highlight w:val="none"/>
        </w:rPr>
      </w:pPr>
      <w:r>
        <w:rPr>
          <w:rFonts w:ascii="宋体" w:hAnsi="宋体"/>
          <w:color w:val="000000"/>
          <w:szCs w:val="21"/>
          <w:highlight w:val="none"/>
        </w:rPr>
        <w:t>（9）其他合同文件。</w:t>
      </w:r>
    </w:p>
    <w:p w14:paraId="20D0D46D">
      <w:pPr>
        <w:spacing w:line="360" w:lineRule="auto"/>
        <w:ind w:firstLine="420" w:firstLineChars="200"/>
        <w:rPr>
          <w:rFonts w:ascii="宋体" w:hAnsi="宋体"/>
          <w:color w:val="000000"/>
          <w:szCs w:val="21"/>
          <w:highlight w:val="none"/>
        </w:rPr>
      </w:pPr>
      <w:r>
        <w:rPr>
          <w:rFonts w:ascii="宋体" w:hAnsi="宋体"/>
          <w:color w:val="000000"/>
          <w:szCs w:val="21"/>
          <w:highlight w:val="none"/>
        </w:rPr>
        <w:t>附注：构成合同文件的图纸与技术标准和要求之间有矛盾或者不一致的，应以其中要求较严格的标准为准。</w:t>
      </w:r>
    </w:p>
    <w:p w14:paraId="06722128">
      <w:pPr>
        <w:spacing w:line="360" w:lineRule="auto"/>
        <w:ind w:firstLine="420" w:firstLineChars="200"/>
        <w:rPr>
          <w:rFonts w:ascii="宋体" w:hAnsi="宋体"/>
          <w:color w:val="000000"/>
          <w:szCs w:val="21"/>
          <w:highlight w:val="none"/>
        </w:rPr>
      </w:pPr>
      <w:r>
        <w:rPr>
          <w:rFonts w:ascii="宋体" w:hAnsi="宋体"/>
          <w:color w:val="000000"/>
          <w:szCs w:val="21"/>
          <w:highlight w:val="none"/>
        </w:rPr>
        <w:t>合同双方在合同履行过程中签署的不背离合同实质性内容的补充协议，应当视为合同文件的有效组成部分，其解释顺序视其内容与其他合同文件的相互关系而定。</w:t>
      </w:r>
    </w:p>
    <w:p w14:paraId="636EC0EA">
      <w:pPr>
        <w:spacing w:line="360" w:lineRule="auto"/>
        <w:rPr>
          <w:rFonts w:ascii="宋体" w:hAnsi="宋体"/>
          <w:color w:val="000000"/>
          <w:sz w:val="24"/>
          <w:highlight w:val="none"/>
        </w:rPr>
      </w:pPr>
      <w:bookmarkStart w:id="560" w:name="_bookmark91"/>
      <w:bookmarkEnd w:id="560"/>
      <w:r>
        <w:rPr>
          <w:rFonts w:ascii="宋体" w:hAnsi="宋体"/>
          <w:color w:val="000000"/>
          <w:sz w:val="24"/>
          <w:highlight w:val="none"/>
        </w:rPr>
        <w:t>1.5</w:t>
      </w:r>
      <w:r>
        <w:rPr>
          <w:rFonts w:hint="eastAsia" w:ascii="宋体" w:hAnsi="宋体"/>
          <w:color w:val="000000"/>
          <w:sz w:val="24"/>
          <w:highlight w:val="none"/>
        </w:rPr>
        <w:t xml:space="preserve">   </w:t>
      </w:r>
      <w:r>
        <w:rPr>
          <w:rFonts w:ascii="宋体" w:hAnsi="宋体"/>
          <w:color w:val="000000"/>
          <w:sz w:val="24"/>
          <w:highlight w:val="none"/>
        </w:rPr>
        <w:tab/>
      </w:r>
      <w:r>
        <w:rPr>
          <w:rFonts w:ascii="宋体" w:hAnsi="宋体"/>
          <w:color w:val="000000"/>
          <w:sz w:val="24"/>
          <w:highlight w:val="none"/>
        </w:rPr>
        <w:t>合同协议书</w:t>
      </w:r>
    </w:p>
    <w:p w14:paraId="2AEBB27E">
      <w:pPr>
        <w:spacing w:line="360" w:lineRule="auto"/>
        <w:ind w:firstLine="420" w:firstLineChars="200"/>
        <w:rPr>
          <w:rFonts w:ascii="宋体" w:hAnsi="宋体"/>
          <w:color w:val="000000"/>
          <w:szCs w:val="21"/>
          <w:highlight w:val="none"/>
        </w:rPr>
      </w:pPr>
      <w:r>
        <w:rPr>
          <w:rFonts w:ascii="宋体" w:hAnsi="宋体"/>
          <w:color w:val="000000"/>
          <w:szCs w:val="21"/>
          <w:highlight w:val="none"/>
        </w:rPr>
        <w:t>指由发包人与承包人共同签署的用于明确当事人合同关系的文件。承包人按照中标通知 书规定的时间与发包人签订的合同协议书，除法律另有规定或合同条款专用部分另有约定 外，发包人和承包人的法定代表人或其委托代理人在合同协议书上签字并盖单位章后，合同 生效。合同生效的条件</w:t>
      </w:r>
      <w:r>
        <w:rPr>
          <w:rFonts w:ascii="黑体" w:hAnsi="黑体" w:eastAsia="黑体"/>
          <w:color w:val="000000"/>
          <w:szCs w:val="21"/>
          <w:highlight w:val="none"/>
        </w:rPr>
        <w:t>见合同条款专用部分</w:t>
      </w:r>
      <w:r>
        <w:rPr>
          <w:rFonts w:ascii="宋体" w:hAnsi="宋体"/>
          <w:color w:val="000000"/>
          <w:szCs w:val="21"/>
          <w:highlight w:val="none"/>
        </w:rPr>
        <w:t>。</w:t>
      </w:r>
    </w:p>
    <w:p w14:paraId="2F2B4B50">
      <w:pPr>
        <w:spacing w:line="360" w:lineRule="auto"/>
        <w:rPr>
          <w:rFonts w:ascii="宋体" w:hAnsi="宋体"/>
          <w:color w:val="000000"/>
          <w:sz w:val="24"/>
          <w:highlight w:val="none"/>
        </w:rPr>
      </w:pPr>
      <w:bookmarkStart w:id="561" w:name="_bookmark92"/>
      <w:bookmarkEnd w:id="561"/>
      <w:r>
        <w:rPr>
          <w:rFonts w:ascii="宋体" w:hAnsi="宋体"/>
          <w:color w:val="000000"/>
          <w:sz w:val="24"/>
          <w:highlight w:val="none"/>
        </w:rPr>
        <w:t>1.6</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图纸和承包人文件</w:t>
      </w:r>
    </w:p>
    <w:p w14:paraId="2AF5171A">
      <w:pPr>
        <w:spacing w:line="360" w:lineRule="auto"/>
        <w:ind w:firstLine="420" w:firstLineChars="200"/>
        <w:rPr>
          <w:rFonts w:ascii="宋体" w:hAnsi="宋体"/>
          <w:color w:val="000000"/>
          <w:szCs w:val="21"/>
          <w:highlight w:val="none"/>
        </w:rPr>
      </w:pPr>
      <w:r>
        <w:rPr>
          <w:rFonts w:ascii="宋体" w:hAnsi="宋体"/>
          <w:color w:val="000000"/>
          <w:szCs w:val="21"/>
          <w:highlight w:val="none"/>
        </w:rPr>
        <w:t>1.6.1</w:t>
      </w:r>
      <w:r>
        <w:rPr>
          <w:rFonts w:ascii="宋体" w:hAnsi="宋体"/>
          <w:color w:val="000000"/>
          <w:szCs w:val="21"/>
          <w:highlight w:val="none"/>
        </w:rPr>
        <w:tab/>
      </w:r>
      <w:r>
        <w:rPr>
          <w:rFonts w:ascii="宋体" w:hAnsi="宋体"/>
          <w:color w:val="000000"/>
          <w:szCs w:val="21"/>
          <w:highlight w:val="none"/>
        </w:rPr>
        <w:t>图纸的提供</w:t>
      </w:r>
    </w:p>
    <w:p w14:paraId="17840E86">
      <w:pPr>
        <w:spacing w:line="360" w:lineRule="auto"/>
        <w:ind w:firstLine="420" w:firstLineChars="200"/>
        <w:rPr>
          <w:rFonts w:ascii="宋体" w:hAnsi="宋体"/>
          <w:color w:val="000000"/>
          <w:szCs w:val="21"/>
          <w:highlight w:val="none"/>
        </w:rPr>
      </w:pPr>
      <w:r>
        <w:rPr>
          <w:rFonts w:ascii="宋体" w:hAnsi="宋体"/>
          <w:color w:val="000000"/>
          <w:szCs w:val="21"/>
          <w:highlight w:val="none"/>
        </w:rPr>
        <w:t>（1）发包人按照合同约定向承包人提供图纸。发包人未按时提供图纸造成工期延误的，按第 11.3 款的约定办理。承包人需要增加图纸套数的，发包人应代为复制，复制费用由承包人承担。</w:t>
      </w:r>
    </w:p>
    <w:p w14:paraId="402DE87F">
      <w:pPr>
        <w:spacing w:line="360" w:lineRule="auto"/>
        <w:ind w:firstLine="420" w:firstLineChars="200"/>
        <w:rPr>
          <w:rFonts w:ascii="宋体" w:hAnsi="宋体"/>
          <w:color w:val="000000"/>
          <w:szCs w:val="21"/>
          <w:highlight w:val="none"/>
        </w:rPr>
      </w:pPr>
      <w:r>
        <w:rPr>
          <w:rFonts w:ascii="宋体" w:hAnsi="宋体"/>
          <w:color w:val="000000"/>
          <w:szCs w:val="21"/>
          <w:highlight w:val="none"/>
        </w:rPr>
        <w:t>（2）依据合同条款专用部分第 10.1 款约定制定的合同进度计划，或依据合同条款专用部分第 10.2 款约定修订的合同进度计划，经监理人批准后 7 日内，承包人应当根据合同进度计划或合同进度计划修订和本项约定的图纸提供期限和数量，编制或者修改图纸供应计划 并报送监理人，其中应当载明承包人对各最新版本图纸(包括第 1.6.3 项约定的图纸修改图)的最迟需求时间，监理人应当在收到图纸供应计划后 7 天内批复或提出修改意见，否则该图 纸供应计划视为得到批准。</w:t>
      </w:r>
    </w:p>
    <w:p w14:paraId="3C3D245B">
      <w:pPr>
        <w:spacing w:line="360" w:lineRule="auto"/>
        <w:ind w:firstLine="420" w:firstLineChars="200"/>
        <w:rPr>
          <w:rFonts w:ascii="宋体" w:hAnsi="宋体"/>
          <w:color w:val="000000"/>
          <w:szCs w:val="21"/>
          <w:highlight w:val="none"/>
        </w:rPr>
      </w:pPr>
      <w:r>
        <w:rPr>
          <w:rFonts w:ascii="宋体" w:hAnsi="宋体"/>
          <w:color w:val="000000"/>
          <w:szCs w:val="21"/>
          <w:highlight w:val="none"/>
        </w:rPr>
        <w:t>（3）经监理人批准最新的图纸供应计划对合同双方有合同约束力，应当作为发包人或 者监理人向承包人提供图纸的主要依据。发包人或者监理人不按照图纸供应计划提供图纸而 导致承包人费用增加和（或）工期延误的，由发包人承担赔偿责任。</w:t>
      </w:r>
    </w:p>
    <w:p w14:paraId="10A89732">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（4）承包人未按照约定的时间向监理人提交图纸供应计划,致使发包人或者监理人未能 在约定的时间内提供相应图纸或者承包人未按照图纸供应计划组织施工所造成的费用增加 和（或）工期延误由承包人承担。</w:t>
      </w:r>
    </w:p>
    <w:p w14:paraId="2EBD0E5D">
      <w:pPr>
        <w:spacing w:line="360" w:lineRule="auto"/>
        <w:ind w:firstLine="420" w:firstLineChars="200"/>
        <w:rPr>
          <w:rFonts w:ascii="宋体" w:hAnsi="宋体"/>
          <w:color w:val="000000"/>
          <w:szCs w:val="21"/>
          <w:highlight w:val="none"/>
        </w:rPr>
      </w:pPr>
      <w:r>
        <w:rPr>
          <w:rFonts w:ascii="宋体" w:hAnsi="宋体"/>
          <w:color w:val="000000"/>
          <w:szCs w:val="21"/>
          <w:highlight w:val="none"/>
        </w:rPr>
        <w:t>（5）发包人提供图纸的期限、数量和其他约定</w:t>
      </w:r>
      <w:r>
        <w:rPr>
          <w:rFonts w:ascii="黑体" w:hAnsi="黑体" w:eastAsia="黑体"/>
          <w:color w:val="000000"/>
          <w:szCs w:val="21"/>
          <w:highlight w:val="none"/>
        </w:rPr>
        <w:t>见合同条款专用部分</w:t>
      </w:r>
      <w:r>
        <w:rPr>
          <w:rFonts w:ascii="宋体" w:hAnsi="宋体"/>
          <w:color w:val="000000"/>
          <w:szCs w:val="21"/>
          <w:highlight w:val="none"/>
        </w:rPr>
        <w:t>。</w:t>
      </w:r>
    </w:p>
    <w:p w14:paraId="25DCDE47">
      <w:pPr>
        <w:spacing w:line="360" w:lineRule="auto"/>
        <w:ind w:firstLine="420" w:firstLineChars="200"/>
        <w:rPr>
          <w:rFonts w:ascii="宋体" w:hAnsi="宋体"/>
          <w:color w:val="000000"/>
          <w:szCs w:val="21"/>
          <w:highlight w:val="none"/>
        </w:rPr>
      </w:pPr>
      <w:r>
        <w:rPr>
          <w:rFonts w:ascii="宋体" w:hAnsi="宋体"/>
          <w:color w:val="000000"/>
          <w:szCs w:val="21"/>
          <w:highlight w:val="none"/>
        </w:rPr>
        <w:t>1.6.2</w:t>
      </w:r>
      <w:r>
        <w:rPr>
          <w:rFonts w:ascii="宋体" w:hAnsi="宋体"/>
          <w:color w:val="000000"/>
          <w:szCs w:val="21"/>
          <w:highlight w:val="none"/>
        </w:rPr>
        <w:tab/>
      </w:r>
      <w:r>
        <w:rPr>
          <w:rFonts w:ascii="宋体" w:hAnsi="宋体"/>
          <w:color w:val="000000"/>
          <w:szCs w:val="21"/>
          <w:highlight w:val="none"/>
        </w:rPr>
        <w:t>承包人提供的文件</w:t>
      </w:r>
    </w:p>
    <w:p w14:paraId="25481120">
      <w:pPr>
        <w:spacing w:line="360" w:lineRule="auto"/>
        <w:ind w:firstLine="420" w:firstLineChars="200"/>
        <w:rPr>
          <w:rFonts w:ascii="宋体" w:hAnsi="宋体"/>
          <w:color w:val="000000"/>
          <w:szCs w:val="21"/>
          <w:highlight w:val="none"/>
        </w:rPr>
      </w:pPr>
      <w:r>
        <w:rPr>
          <w:rFonts w:ascii="宋体" w:hAnsi="宋体"/>
          <w:color w:val="000000"/>
          <w:szCs w:val="21"/>
          <w:highlight w:val="none"/>
        </w:rPr>
        <w:t>（1）由承包人提供的文件包括部分工程的大样图、加工图等，承包人应当按照约定的 范围、数量和期限报送监理人，监理人应当在约定的期限内批复。承包人提供文件的范围、 数量、期限和监理人批复期限以及其他约定见合同条款专用部分。</w:t>
      </w:r>
    </w:p>
    <w:p w14:paraId="58C5CF77">
      <w:pPr>
        <w:spacing w:line="360" w:lineRule="auto"/>
        <w:ind w:firstLine="420" w:firstLineChars="200"/>
        <w:rPr>
          <w:rFonts w:ascii="宋体" w:hAnsi="宋体"/>
          <w:color w:val="000000"/>
          <w:szCs w:val="21"/>
          <w:highlight w:val="none"/>
        </w:rPr>
      </w:pPr>
      <w:r>
        <w:rPr>
          <w:rFonts w:ascii="宋体" w:hAnsi="宋体"/>
          <w:color w:val="000000"/>
          <w:szCs w:val="21"/>
          <w:highlight w:val="none"/>
        </w:rPr>
        <w:t>（2）除合同条款第 4.1.10 项约定的由承包人提供的设计文件外，本项约定的其他应由 承包人提供的文件，包括必要的加工图和大样图，均不能作为合同计量与支付的依据文件。</w:t>
      </w:r>
    </w:p>
    <w:p w14:paraId="37B4F61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1.6.3   </w:t>
      </w:r>
      <w:r>
        <w:rPr>
          <w:rFonts w:ascii="宋体" w:hAnsi="宋体"/>
          <w:color w:val="000000"/>
          <w:szCs w:val="21"/>
          <w:highlight w:val="none"/>
        </w:rPr>
        <w:t>图纸的修改</w:t>
      </w:r>
    </w:p>
    <w:p w14:paraId="34511BAF">
      <w:pPr>
        <w:spacing w:line="360" w:lineRule="auto"/>
        <w:ind w:firstLine="420" w:firstLineChars="200"/>
        <w:rPr>
          <w:rFonts w:ascii="宋体" w:hAnsi="宋体"/>
          <w:color w:val="000000"/>
          <w:szCs w:val="21"/>
          <w:highlight w:val="none"/>
        </w:rPr>
      </w:pPr>
      <w:r>
        <w:rPr>
          <w:rFonts w:ascii="宋体" w:hAnsi="宋体"/>
          <w:color w:val="000000"/>
          <w:szCs w:val="21"/>
          <w:highlight w:val="none"/>
        </w:rPr>
        <w:t>图纸需要修改和补充的，监理人应当按照合同条款第 1.6.1（2）目约定的有合同约束 力的图纸供应计划，签发图纸修改图给承包人。承包人应按修改后的图纸施工。</w:t>
      </w:r>
    </w:p>
    <w:p w14:paraId="269FC7D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1.6.4   </w:t>
      </w:r>
      <w:r>
        <w:rPr>
          <w:rFonts w:ascii="宋体" w:hAnsi="宋体"/>
          <w:color w:val="000000"/>
          <w:szCs w:val="21"/>
          <w:highlight w:val="none"/>
        </w:rPr>
        <w:t>图纸的错误</w:t>
      </w:r>
    </w:p>
    <w:p w14:paraId="5AC15C17">
      <w:pPr>
        <w:spacing w:line="360" w:lineRule="auto"/>
        <w:ind w:firstLine="420" w:firstLineChars="200"/>
        <w:rPr>
          <w:rFonts w:ascii="宋体" w:hAnsi="宋体"/>
          <w:color w:val="000000"/>
          <w:szCs w:val="21"/>
          <w:highlight w:val="none"/>
        </w:rPr>
      </w:pPr>
      <w:r>
        <w:rPr>
          <w:rFonts w:ascii="宋体" w:hAnsi="宋体"/>
          <w:color w:val="000000"/>
          <w:szCs w:val="21"/>
          <w:highlight w:val="none"/>
        </w:rPr>
        <w:t xml:space="preserve">承包人发现发包人提供的图纸存在明显错误或疏忽，应及时通知监理人。 </w:t>
      </w:r>
    </w:p>
    <w:p w14:paraId="46F6BCEA">
      <w:pPr>
        <w:spacing w:line="360" w:lineRule="auto"/>
        <w:ind w:firstLine="420" w:firstLineChars="200"/>
        <w:rPr>
          <w:rFonts w:ascii="宋体" w:hAnsi="宋体"/>
          <w:color w:val="000000"/>
          <w:szCs w:val="21"/>
          <w:highlight w:val="none"/>
        </w:rPr>
      </w:pPr>
      <w:r>
        <w:rPr>
          <w:rFonts w:ascii="宋体" w:hAnsi="宋体"/>
          <w:color w:val="000000"/>
          <w:szCs w:val="21"/>
          <w:highlight w:val="none"/>
        </w:rPr>
        <w:t>1.6.5</w:t>
      </w:r>
      <w:r>
        <w:rPr>
          <w:rFonts w:ascii="宋体" w:hAnsi="宋体"/>
          <w:color w:val="000000"/>
          <w:szCs w:val="21"/>
          <w:highlight w:val="none"/>
        </w:rPr>
        <w:tab/>
      </w:r>
      <w:r>
        <w:rPr>
          <w:rFonts w:ascii="宋体" w:hAnsi="宋体"/>
          <w:color w:val="000000"/>
          <w:szCs w:val="21"/>
          <w:highlight w:val="none"/>
        </w:rPr>
        <w:t>图纸和承包人文件的保管</w:t>
      </w:r>
    </w:p>
    <w:p w14:paraId="02BA3FB1">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监理人和承包人均应在施工场地各保存一套完整的包含第 1.6.1 项、第 1.6.2 项、第1.6.3 项约定内容的图纸和承包人文件。</w:t>
      </w:r>
    </w:p>
    <w:p w14:paraId="3E2A253E">
      <w:pPr>
        <w:spacing w:line="360" w:lineRule="auto"/>
        <w:rPr>
          <w:rFonts w:ascii="宋体" w:hAnsi="宋体"/>
          <w:color w:val="000000"/>
          <w:sz w:val="24"/>
          <w:highlight w:val="none"/>
        </w:rPr>
      </w:pPr>
      <w:r>
        <w:rPr>
          <w:rFonts w:hint="eastAsia" w:ascii="宋体" w:hAnsi="宋体"/>
          <w:color w:val="000000"/>
          <w:sz w:val="24"/>
          <w:highlight w:val="none"/>
        </w:rPr>
        <w:t xml:space="preserve">1.7    </w:t>
      </w:r>
      <w:r>
        <w:rPr>
          <w:rFonts w:ascii="宋体" w:hAnsi="宋体"/>
          <w:color w:val="000000"/>
          <w:sz w:val="24"/>
          <w:highlight w:val="none"/>
        </w:rPr>
        <w:t>联络</w:t>
      </w:r>
    </w:p>
    <w:p w14:paraId="71E3A15A">
      <w:pPr>
        <w:spacing w:line="360" w:lineRule="auto"/>
        <w:ind w:firstLine="420" w:firstLineChars="200"/>
        <w:rPr>
          <w:rFonts w:ascii="宋体" w:hAnsi="宋体"/>
          <w:color w:val="000000"/>
          <w:szCs w:val="21"/>
          <w:highlight w:val="none"/>
        </w:rPr>
      </w:pPr>
      <w:r>
        <w:rPr>
          <w:rFonts w:ascii="宋体" w:hAnsi="宋体"/>
          <w:color w:val="000000"/>
          <w:szCs w:val="21"/>
          <w:highlight w:val="none"/>
        </w:rPr>
        <w:t>1.7.1</w:t>
      </w:r>
      <w:r>
        <w:rPr>
          <w:rFonts w:ascii="宋体" w:hAnsi="宋体"/>
          <w:color w:val="000000"/>
          <w:szCs w:val="21"/>
          <w:highlight w:val="none"/>
        </w:rPr>
        <w:tab/>
      </w:r>
      <w:r>
        <w:rPr>
          <w:rFonts w:ascii="宋体" w:hAnsi="宋体"/>
          <w:color w:val="000000"/>
          <w:szCs w:val="21"/>
          <w:highlight w:val="none"/>
        </w:rPr>
        <w:t>与合同有关的通知、批准、证明、证书、指示、要求、请求、同意、意见、确定和决定等，均应采用书面形式。</w:t>
      </w:r>
    </w:p>
    <w:p w14:paraId="44B1E4C5">
      <w:pPr>
        <w:spacing w:line="360" w:lineRule="auto"/>
        <w:ind w:firstLine="420" w:firstLineChars="200"/>
        <w:rPr>
          <w:rFonts w:ascii="宋体" w:hAnsi="宋体"/>
          <w:color w:val="000000"/>
          <w:szCs w:val="21"/>
          <w:highlight w:val="none"/>
        </w:rPr>
      </w:pPr>
      <w:r>
        <w:rPr>
          <w:rFonts w:ascii="宋体" w:hAnsi="宋体"/>
          <w:color w:val="000000"/>
          <w:szCs w:val="21"/>
          <w:highlight w:val="none"/>
        </w:rPr>
        <w:t>1.7.2</w:t>
      </w:r>
      <w:r>
        <w:rPr>
          <w:rFonts w:ascii="宋体" w:hAnsi="宋体"/>
          <w:color w:val="000000"/>
          <w:szCs w:val="21"/>
          <w:highlight w:val="none"/>
        </w:rPr>
        <w:tab/>
      </w:r>
      <w:r>
        <w:rPr>
          <w:rFonts w:ascii="宋体" w:hAnsi="宋体"/>
          <w:color w:val="000000"/>
          <w:szCs w:val="21"/>
          <w:highlight w:val="none"/>
        </w:rPr>
        <w:t>第 1.7.1 项中的通知、批准、证明、证书、指示、要求、请求、同意、意见、确定和决定等来往函件，均应在合同约定的期限内送达指定地点和接收人，并办理签收手续。</w:t>
      </w:r>
    </w:p>
    <w:p w14:paraId="77A222C5">
      <w:pPr>
        <w:spacing w:line="360" w:lineRule="auto"/>
        <w:ind w:firstLine="420" w:firstLineChars="200"/>
        <w:rPr>
          <w:rFonts w:ascii="宋体" w:hAnsi="宋体"/>
          <w:color w:val="000000"/>
          <w:szCs w:val="21"/>
          <w:highlight w:val="none"/>
        </w:rPr>
      </w:pPr>
      <w:r>
        <w:rPr>
          <w:rFonts w:ascii="宋体" w:hAnsi="宋体"/>
          <w:color w:val="000000"/>
          <w:szCs w:val="21"/>
          <w:highlight w:val="none"/>
        </w:rPr>
        <w:t>（1）联络来往信函的送达期限：合同约定了发出期限的，送达期限为合同约定的发出 期限后的 24 小时内；合同约定了通知、提供或者报送期限的，通知、提供或者报送期限即为送达期限。</w:t>
      </w:r>
    </w:p>
    <w:p w14:paraId="221CCB2A">
      <w:pPr>
        <w:spacing w:line="360" w:lineRule="auto"/>
        <w:ind w:firstLine="420" w:firstLineChars="200"/>
        <w:rPr>
          <w:rFonts w:ascii="宋体" w:hAnsi="宋体"/>
          <w:color w:val="000000"/>
          <w:szCs w:val="21"/>
          <w:highlight w:val="none"/>
        </w:rPr>
      </w:pPr>
      <w:r>
        <w:rPr>
          <w:rFonts w:ascii="宋体" w:hAnsi="宋体"/>
          <w:color w:val="000000"/>
          <w:szCs w:val="21"/>
          <w:highlight w:val="none"/>
        </w:rPr>
        <w:t>（2）发包人指定的接收人和接收地点见合同条款专用部分。</w:t>
      </w:r>
    </w:p>
    <w:p w14:paraId="45AADDCE">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（3）监理人指定的接收人和接收地点见合同条款专用部分。</w:t>
      </w:r>
    </w:p>
    <w:p w14:paraId="470BEF9E">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（4）承包人指定的接收人为合同协议书中载明的承包人项目经理本人或者项目经理的 授权代表。承包人应在收到开工通知后 7 天内，按照合同条款第 4.5.4 项的约定，将授权代表其接收来往信函的项目经理的授权代表姓名和授权范围通知监理人。除合同另有约定外，承包人施工场地管理机构的办公地点即为承包人指定的接收地点。</w:t>
      </w:r>
    </w:p>
    <w:p w14:paraId="2FF45AB0">
      <w:pPr>
        <w:spacing w:line="360" w:lineRule="auto"/>
        <w:ind w:firstLine="420" w:firstLineChars="200"/>
        <w:rPr>
          <w:rFonts w:ascii="宋体" w:hAnsi="宋体"/>
          <w:color w:val="000000"/>
          <w:szCs w:val="21"/>
          <w:highlight w:val="none"/>
        </w:rPr>
      </w:pPr>
      <w:r>
        <w:rPr>
          <w:rFonts w:ascii="宋体" w:hAnsi="宋体"/>
          <w:color w:val="000000"/>
          <w:szCs w:val="21"/>
          <w:highlight w:val="none"/>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C47E70E">
      <w:pPr>
        <w:spacing w:line="360" w:lineRule="auto"/>
        <w:ind w:firstLine="420" w:firstLineChars="200"/>
        <w:rPr>
          <w:rFonts w:ascii="宋体" w:hAnsi="宋体"/>
          <w:color w:val="000000"/>
          <w:szCs w:val="21"/>
          <w:highlight w:val="none"/>
        </w:rPr>
      </w:pPr>
      <w:r>
        <w:rPr>
          <w:rFonts w:ascii="宋体" w:hAnsi="宋体"/>
          <w:color w:val="000000"/>
          <w:szCs w:val="21"/>
          <w:highlight w:val="none"/>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D77EB1C">
      <w:pPr>
        <w:numPr>
          <w:ilvl w:val="1"/>
          <w:numId w:val="74"/>
        </w:numPr>
        <w:spacing w:line="360" w:lineRule="auto"/>
        <w:jc w:val="left"/>
        <w:rPr>
          <w:rFonts w:ascii="宋体" w:hAnsi="宋体"/>
          <w:color w:val="000000"/>
          <w:sz w:val="24"/>
          <w:highlight w:val="none"/>
        </w:rPr>
      </w:pPr>
      <w:r>
        <w:rPr>
          <w:rFonts w:hint="eastAsia" w:ascii="宋体" w:hAnsi="宋体"/>
          <w:color w:val="000000"/>
          <w:sz w:val="24"/>
          <w:highlight w:val="none"/>
        </w:rPr>
        <w:t xml:space="preserve">   </w:t>
      </w:r>
      <w:r>
        <w:rPr>
          <w:rFonts w:ascii="宋体" w:hAnsi="宋体"/>
          <w:color w:val="000000"/>
          <w:sz w:val="24"/>
          <w:highlight w:val="none"/>
        </w:rPr>
        <w:t>转让</w:t>
      </w:r>
    </w:p>
    <w:p w14:paraId="7C838801">
      <w:pPr>
        <w:spacing w:line="360" w:lineRule="auto"/>
        <w:ind w:firstLine="420" w:firstLineChars="200"/>
        <w:rPr>
          <w:rFonts w:ascii="宋体" w:hAnsi="宋体"/>
          <w:color w:val="000000"/>
          <w:szCs w:val="21"/>
          <w:highlight w:val="none"/>
        </w:rPr>
      </w:pPr>
      <w:r>
        <w:rPr>
          <w:rFonts w:ascii="宋体" w:hAnsi="宋体"/>
          <w:color w:val="000000"/>
          <w:szCs w:val="21"/>
          <w:highlight w:val="none"/>
        </w:rPr>
        <w:t>除合同另有约定外，未经对方当事人同意，一方当事人不得将合同权利全部或部分转让 给第三人，也不得全部或部分转移合同义务。</w:t>
      </w:r>
    </w:p>
    <w:p w14:paraId="5D0591DC">
      <w:pPr>
        <w:numPr>
          <w:ilvl w:val="1"/>
          <w:numId w:val="74"/>
        </w:numPr>
        <w:spacing w:line="360" w:lineRule="auto"/>
        <w:rPr>
          <w:rFonts w:ascii="宋体" w:hAnsi="宋体"/>
          <w:color w:val="000000"/>
          <w:sz w:val="24"/>
          <w:highlight w:val="none"/>
        </w:rPr>
      </w:pPr>
      <w:bookmarkStart w:id="562" w:name="_bookmark95"/>
      <w:bookmarkEnd w:id="562"/>
      <w:r>
        <w:rPr>
          <w:rFonts w:hint="eastAsia" w:ascii="宋体" w:hAnsi="宋体"/>
          <w:color w:val="000000"/>
          <w:sz w:val="24"/>
          <w:highlight w:val="none"/>
        </w:rPr>
        <w:t xml:space="preserve">   </w:t>
      </w:r>
      <w:r>
        <w:rPr>
          <w:rFonts w:ascii="宋体" w:hAnsi="宋体"/>
          <w:color w:val="000000"/>
          <w:sz w:val="24"/>
          <w:highlight w:val="none"/>
        </w:rPr>
        <w:t>严禁贿赂</w:t>
      </w:r>
    </w:p>
    <w:p w14:paraId="39B99CBC">
      <w:pPr>
        <w:spacing w:line="360" w:lineRule="auto"/>
        <w:ind w:firstLine="420" w:firstLineChars="200"/>
        <w:rPr>
          <w:rFonts w:ascii="宋体" w:hAnsi="宋体"/>
          <w:color w:val="000000"/>
          <w:szCs w:val="21"/>
          <w:highlight w:val="none"/>
        </w:rPr>
      </w:pPr>
      <w:r>
        <w:rPr>
          <w:rFonts w:ascii="宋体" w:hAnsi="宋体"/>
          <w:color w:val="000000"/>
          <w:szCs w:val="21"/>
          <w:highlight w:val="none"/>
        </w:rPr>
        <w:t>合同双方当事人不得以贿赂或变相贿赂的方式，谋取不当利益或损害对方权益。因贿赂 造成对方损失的，行为人应赔偿损失，并承担相应的法律责任。</w:t>
      </w:r>
    </w:p>
    <w:p w14:paraId="20BE9CC9">
      <w:pPr>
        <w:spacing w:line="360" w:lineRule="auto"/>
        <w:rPr>
          <w:rFonts w:ascii="宋体" w:hAnsi="宋体"/>
          <w:color w:val="000000"/>
          <w:sz w:val="24"/>
          <w:highlight w:val="none"/>
        </w:rPr>
      </w:pPr>
      <w:bookmarkStart w:id="563" w:name="_bookmark96"/>
      <w:bookmarkEnd w:id="563"/>
      <w:r>
        <w:rPr>
          <w:rFonts w:ascii="宋体" w:hAnsi="宋体"/>
          <w:color w:val="000000"/>
          <w:sz w:val="24"/>
          <w:highlight w:val="none"/>
        </w:rPr>
        <w:t>1.10</w:t>
      </w:r>
      <w:r>
        <w:rPr>
          <w:rFonts w:ascii="宋体" w:hAnsi="宋体"/>
          <w:color w:val="000000"/>
          <w:sz w:val="24"/>
          <w:highlight w:val="none"/>
        </w:rPr>
        <w:tab/>
      </w:r>
      <w:r>
        <w:rPr>
          <w:rFonts w:ascii="宋体" w:hAnsi="宋体"/>
          <w:color w:val="000000"/>
          <w:sz w:val="24"/>
          <w:highlight w:val="none"/>
        </w:rPr>
        <w:t>化石、文物</w:t>
      </w:r>
    </w:p>
    <w:p w14:paraId="4B917F3F">
      <w:pPr>
        <w:spacing w:line="360" w:lineRule="auto"/>
        <w:ind w:firstLine="420" w:firstLineChars="200"/>
        <w:rPr>
          <w:rFonts w:ascii="宋体" w:hAnsi="宋体"/>
          <w:color w:val="000000"/>
          <w:szCs w:val="21"/>
          <w:highlight w:val="none"/>
        </w:rPr>
      </w:pPr>
      <w:r>
        <w:rPr>
          <w:rFonts w:ascii="宋体" w:hAnsi="宋体"/>
          <w:color w:val="000000"/>
          <w:szCs w:val="21"/>
          <w:highlight w:val="none"/>
        </w:rPr>
        <w:t>1.10.1 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 工期延误由发包人承担。</w:t>
      </w:r>
    </w:p>
    <w:p w14:paraId="27CB5E84">
      <w:pPr>
        <w:spacing w:line="360" w:lineRule="auto"/>
        <w:ind w:firstLine="420" w:firstLineChars="200"/>
        <w:rPr>
          <w:rFonts w:ascii="宋体" w:hAnsi="宋体"/>
          <w:color w:val="000000"/>
          <w:szCs w:val="21"/>
          <w:highlight w:val="none"/>
        </w:rPr>
      </w:pPr>
      <w:r>
        <w:rPr>
          <w:rFonts w:ascii="宋体" w:hAnsi="宋体"/>
          <w:color w:val="000000"/>
          <w:szCs w:val="21"/>
          <w:highlight w:val="none"/>
        </w:rPr>
        <w:t>1.10.2</w:t>
      </w:r>
      <w:r>
        <w:rPr>
          <w:rFonts w:ascii="宋体" w:hAnsi="宋体"/>
          <w:color w:val="000000"/>
          <w:szCs w:val="21"/>
          <w:highlight w:val="none"/>
        </w:rPr>
        <w:tab/>
      </w:r>
      <w:r>
        <w:rPr>
          <w:rFonts w:ascii="宋体" w:hAnsi="宋体"/>
          <w:color w:val="000000"/>
          <w:szCs w:val="21"/>
          <w:highlight w:val="none"/>
        </w:rPr>
        <w:t>承包人发现文物后不及时报告或隐瞒不报，致使文物丢失或损坏的，应赔偿损 失，并承担相应的法律责任。</w:t>
      </w:r>
    </w:p>
    <w:p w14:paraId="3FF5C47F">
      <w:pPr>
        <w:spacing w:line="360" w:lineRule="auto"/>
        <w:rPr>
          <w:rFonts w:ascii="宋体" w:hAnsi="宋体"/>
          <w:color w:val="000000"/>
          <w:sz w:val="24"/>
          <w:highlight w:val="none"/>
        </w:rPr>
      </w:pPr>
      <w:r>
        <w:rPr>
          <w:rFonts w:ascii="宋体" w:hAnsi="宋体"/>
          <w:color w:val="000000"/>
          <w:sz w:val="24"/>
          <w:highlight w:val="none"/>
        </w:rPr>
        <w:t>1.11</w:t>
      </w:r>
      <w:r>
        <w:rPr>
          <w:rFonts w:ascii="宋体" w:hAnsi="宋体"/>
          <w:color w:val="000000"/>
          <w:sz w:val="24"/>
          <w:highlight w:val="none"/>
        </w:rPr>
        <w:tab/>
      </w:r>
      <w:r>
        <w:rPr>
          <w:rFonts w:ascii="宋体" w:hAnsi="宋体"/>
          <w:color w:val="000000"/>
          <w:sz w:val="24"/>
          <w:highlight w:val="none"/>
        </w:rPr>
        <w:t>专利技术</w:t>
      </w:r>
    </w:p>
    <w:p w14:paraId="52800E1C">
      <w:pPr>
        <w:spacing w:line="360" w:lineRule="auto"/>
        <w:ind w:firstLine="420" w:firstLineChars="200"/>
        <w:rPr>
          <w:rFonts w:ascii="宋体" w:hAnsi="宋体"/>
          <w:color w:val="000000"/>
          <w:szCs w:val="21"/>
          <w:highlight w:val="none"/>
        </w:rPr>
      </w:pPr>
      <w:r>
        <w:rPr>
          <w:rFonts w:ascii="宋体" w:hAnsi="宋体"/>
          <w:color w:val="000000"/>
          <w:szCs w:val="21"/>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15AA1713">
      <w:pPr>
        <w:spacing w:line="360" w:lineRule="auto"/>
        <w:ind w:firstLine="420" w:firstLineChars="200"/>
        <w:rPr>
          <w:rFonts w:ascii="宋体" w:hAnsi="宋体"/>
          <w:color w:val="000000"/>
          <w:szCs w:val="21"/>
          <w:highlight w:val="none"/>
        </w:rPr>
      </w:pPr>
      <w:r>
        <w:rPr>
          <w:rFonts w:ascii="宋体" w:hAnsi="宋体"/>
          <w:color w:val="000000"/>
          <w:szCs w:val="21"/>
          <w:highlight w:val="none"/>
        </w:rPr>
        <w:t>1.11.2</w:t>
      </w:r>
      <w:r>
        <w:rPr>
          <w:rFonts w:ascii="宋体" w:hAnsi="宋体"/>
          <w:color w:val="000000"/>
          <w:szCs w:val="21"/>
          <w:highlight w:val="none"/>
        </w:rPr>
        <w:tab/>
      </w:r>
      <w:r>
        <w:rPr>
          <w:rFonts w:ascii="宋体" w:hAnsi="宋体"/>
          <w:color w:val="000000"/>
          <w:szCs w:val="21"/>
          <w:highlight w:val="none"/>
        </w:rPr>
        <w:t>承包人在投标文件中采用专利技术的，专利技术的使用费包含在投标报价内。</w:t>
      </w:r>
    </w:p>
    <w:p w14:paraId="3943F1A5">
      <w:pPr>
        <w:spacing w:line="360" w:lineRule="auto"/>
        <w:ind w:firstLine="420" w:firstLineChars="200"/>
        <w:rPr>
          <w:rFonts w:ascii="宋体" w:hAnsi="宋体"/>
          <w:color w:val="000000"/>
          <w:szCs w:val="21"/>
          <w:highlight w:val="none"/>
        </w:rPr>
      </w:pPr>
      <w:r>
        <w:rPr>
          <w:rFonts w:ascii="宋体" w:hAnsi="宋体"/>
          <w:color w:val="000000"/>
          <w:szCs w:val="21"/>
          <w:highlight w:val="none"/>
        </w:rPr>
        <w:t>1.11.3</w:t>
      </w:r>
      <w:r>
        <w:rPr>
          <w:rFonts w:ascii="宋体" w:hAnsi="宋体"/>
          <w:color w:val="000000"/>
          <w:szCs w:val="21"/>
          <w:highlight w:val="none"/>
        </w:rPr>
        <w:tab/>
      </w:r>
      <w:r>
        <w:rPr>
          <w:rFonts w:ascii="宋体" w:hAnsi="宋体"/>
          <w:color w:val="000000"/>
          <w:szCs w:val="21"/>
          <w:highlight w:val="none"/>
        </w:rPr>
        <w:t>承包人的技术秘密和声明需要保密的资料和信息，发包人和监理人不得为合同以外的目的泄露给他人。</w:t>
      </w:r>
    </w:p>
    <w:p w14:paraId="7E9A1430">
      <w:pPr>
        <w:spacing w:line="360" w:lineRule="auto"/>
        <w:rPr>
          <w:rFonts w:ascii="宋体" w:hAnsi="宋体"/>
          <w:color w:val="000000"/>
          <w:sz w:val="24"/>
          <w:highlight w:val="none"/>
        </w:rPr>
      </w:pPr>
      <w:bookmarkStart w:id="564" w:name="_bookmark98"/>
      <w:bookmarkEnd w:id="564"/>
      <w:r>
        <w:rPr>
          <w:rFonts w:ascii="宋体" w:hAnsi="宋体"/>
          <w:color w:val="000000"/>
          <w:sz w:val="24"/>
          <w:highlight w:val="none"/>
        </w:rPr>
        <w:t>1.12</w:t>
      </w:r>
      <w:r>
        <w:rPr>
          <w:rFonts w:ascii="宋体" w:hAnsi="宋体"/>
          <w:color w:val="000000"/>
          <w:sz w:val="24"/>
          <w:highlight w:val="none"/>
        </w:rPr>
        <w:tab/>
      </w:r>
      <w:r>
        <w:rPr>
          <w:rFonts w:ascii="宋体" w:hAnsi="宋体"/>
          <w:color w:val="000000"/>
          <w:sz w:val="24"/>
          <w:highlight w:val="none"/>
        </w:rPr>
        <w:t>图纸和文件的保密</w:t>
      </w:r>
    </w:p>
    <w:p w14:paraId="7805800D">
      <w:pPr>
        <w:spacing w:line="360" w:lineRule="auto"/>
        <w:ind w:firstLine="420" w:firstLineChars="200"/>
        <w:rPr>
          <w:rFonts w:ascii="宋体" w:hAnsi="宋体"/>
          <w:color w:val="000000"/>
          <w:szCs w:val="21"/>
          <w:highlight w:val="none"/>
        </w:rPr>
      </w:pPr>
      <w:r>
        <w:rPr>
          <w:rFonts w:ascii="宋体" w:hAnsi="宋体"/>
          <w:color w:val="000000"/>
          <w:szCs w:val="21"/>
          <w:highlight w:val="none"/>
        </w:rPr>
        <w:t>1.12.1</w:t>
      </w:r>
      <w:r>
        <w:rPr>
          <w:rFonts w:ascii="宋体" w:hAnsi="宋体"/>
          <w:color w:val="000000"/>
          <w:szCs w:val="21"/>
          <w:highlight w:val="none"/>
        </w:rPr>
        <w:tab/>
      </w:r>
      <w:r>
        <w:rPr>
          <w:rFonts w:ascii="宋体" w:hAnsi="宋体"/>
          <w:color w:val="000000"/>
          <w:szCs w:val="21"/>
          <w:highlight w:val="none"/>
        </w:rPr>
        <w:t>发包人提供的图纸和文件，未经发包人同意，承包人不得为合同以外的目的泄露给他人或公开发表与引用。</w:t>
      </w:r>
    </w:p>
    <w:p w14:paraId="060E746D">
      <w:pPr>
        <w:spacing w:line="360" w:lineRule="auto"/>
        <w:ind w:firstLine="420" w:firstLineChars="200"/>
        <w:rPr>
          <w:rFonts w:ascii="宋体" w:hAnsi="宋体"/>
          <w:color w:val="000000"/>
          <w:szCs w:val="21"/>
          <w:highlight w:val="none"/>
        </w:rPr>
      </w:pPr>
      <w:r>
        <w:rPr>
          <w:rFonts w:ascii="宋体" w:hAnsi="宋体"/>
          <w:color w:val="000000"/>
          <w:szCs w:val="21"/>
          <w:highlight w:val="none"/>
        </w:rPr>
        <w:t>1.12.2</w:t>
      </w:r>
      <w:r>
        <w:rPr>
          <w:rFonts w:ascii="宋体" w:hAnsi="宋体"/>
          <w:color w:val="000000"/>
          <w:szCs w:val="21"/>
          <w:highlight w:val="none"/>
        </w:rPr>
        <w:tab/>
      </w:r>
      <w:r>
        <w:rPr>
          <w:rFonts w:ascii="宋体" w:hAnsi="宋体"/>
          <w:color w:val="000000"/>
          <w:szCs w:val="21"/>
          <w:highlight w:val="none"/>
        </w:rPr>
        <w:t>承包人提供的文件，未经承包人同意，发包人和监理人不得为合同以外的目的泄露给他人或公开发表与引用。</w:t>
      </w:r>
    </w:p>
    <w:p w14:paraId="73953D41">
      <w:pPr>
        <w:spacing w:line="360" w:lineRule="auto"/>
        <w:rPr>
          <w:rFonts w:ascii="宋体" w:hAnsi="宋体"/>
          <w:color w:val="000000"/>
          <w:sz w:val="28"/>
          <w:szCs w:val="28"/>
          <w:highlight w:val="none"/>
        </w:rPr>
      </w:pPr>
      <w:bookmarkStart w:id="565" w:name="_bookmark99"/>
      <w:bookmarkEnd w:id="565"/>
      <w:r>
        <w:rPr>
          <w:rFonts w:ascii="宋体" w:hAnsi="宋体"/>
          <w:color w:val="000000"/>
          <w:sz w:val="28"/>
          <w:szCs w:val="28"/>
          <w:highlight w:val="none"/>
        </w:rPr>
        <w:t>2.发包人义务</w:t>
      </w:r>
    </w:p>
    <w:p w14:paraId="3F5BE7A4">
      <w:pPr>
        <w:spacing w:line="360" w:lineRule="auto"/>
        <w:rPr>
          <w:rFonts w:ascii="宋体" w:hAnsi="宋体"/>
          <w:color w:val="000000"/>
          <w:sz w:val="24"/>
          <w:highlight w:val="none"/>
        </w:rPr>
      </w:pPr>
      <w:bookmarkStart w:id="566" w:name="_bookmark100"/>
      <w:bookmarkEnd w:id="566"/>
      <w:r>
        <w:rPr>
          <w:rFonts w:ascii="宋体" w:hAnsi="宋体"/>
          <w:color w:val="000000"/>
          <w:sz w:val="24"/>
          <w:highlight w:val="none"/>
        </w:rPr>
        <w:t>2.1</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遵守法律</w:t>
      </w:r>
    </w:p>
    <w:p w14:paraId="43D25053">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发包人在履行合同过程中应遵守法律，并保证承包人免于承担因发包人违反法律而引起的任何责任。</w:t>
      </w:r>
    </w:p>
    <w:p w14:paraId="76606082">
      <w:pPr>
        <w:spacing w:line="360" w:lineRule="auto"/>
        <w:rPr>
          <w:rFonts w:ascii="宋体" w:hAnsi="宋体"/>
          <w:color w:val="000000"/>
          <w:sz w:val="24"/>
          <w:highlight w:val="none"/>
        </w:rPr>
      </w:pPr>
      <w:bookmarkStart w:id="567" w:name="_bookmark101"/>
      <w:bookmarkEnd w:id="567"/>
      <w:r>
        <w:rPr>
          <w:rFonts w:ascii="宋体" w:hAnsi="宋体"/>
          <w:color w:val="000000"/>
          <w:sz w:val="24"/>
          <w:highlight w:val="none"/>
        </w:rPr>
        <w:t>2.2</w:t>
      </w:r>
      <w:r>
        <w:rPr>
          <w:rFonts w:hint="eastAsia" w:ascii="宋体" w:hAnsi="宋体"/>
          <w:color w:val="000000"/>
          <w:sz w:val="24"/>
          <w:highlight w:val="none"/>
        </w:rPr>
        <w:t xml:space="preserve">  </w:t>
      </w:r>
      <w:r>
        <w:rPr>
          <w:rFonts w:ascii="宋体" w:hAnsi="宋体"/>
          <w:color w:val="000000"/>
          <w:sz w:val="24"/>
          <w:highlight w:val="none"/>
        </w:rPr>
        <w:tab/>
      </w:r>
      <w:r>
        <w:rPr>
          <w:rFonts w:ascii="宋体" w:hAnsi="宋体"/>
          <w:color w:val="000000"/>
          <w:sz w:val="24"/>
          <w:highlight w:val="none"/>
        </w:rPr>
        <w:t>发出开工通知</w:t>
      </w:r>
    </w:p>
    <w:p w14:paraId="6A634BB1">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发包人应委托监理人按第 11.1 款的约定向承包人发出开工通知。</w:t>
      </w:r>
    </w:p>
    <w:p w14:paraId="7E5BB7DD">
      <w:pPr>
        <w:spacing w:line="360" w:lineRule="auto"/>
        <w:rPr>
          <w:rFonts w:ascii="宋体" w:hAnsi="宋体"/>
          <w:color w:val="000000"/>
          <w:sz w:val="24"/>
          <w:highlight w:val="none"/>
        </w:rPr>
      </w:pPr>
      <w:bookmarkStart w:id="568" w:name="_bookmark102"/>
      <w:bookmarkEnd w:id="568"/>
      <w:r>
        <w:rPr>
          <w:rFonts w:ascii="宋体" w:hAnsi="宋体"/>
          <w:color w:val="000000"/>
          <w:sz w:val="24"/>
          <w:highlight w:val="none"/>
        </w:rPr>
        <w:t>2.3</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提供施工场地</w:t>
      </w:r>
    </w:p>
    <w:p w14:paraId="1FA98F13">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在约定期限前确保施工场地具备施工条件并移交给承包人，具体施工条件在“技术标准和要求”第一节“一般要求”中约定。发包人最迟应当在移交施工场地的同时向承包人提供施工场地内地下管线和地下设施等有关资料，并保证资料的真实、准确和完整。</w:t>
      </w:r>
    </w:p>
    <w:p w14:paraId="46E2940F">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发包人移交施工场地的期限见合同条款专用部分。</w:t>
      </w:r>
    </w:p>
    <w:p w14:paraId="7D56DA36">
      <w:pPr>
        <w:spacing w:line="360" w:lineRule="auto"/>
        <w:rPr>
          <w:rFonts w:ascii="宋体" w:hAnsi="宋体"/>
          <w:color w:val="000000"/>
          <w:sz w:val="24"/>
          <w:highlight w:val="none"/>
        </w:rPr>
      </w:pPr>
      <w:bookmarkStart w:id="569" w:name="_bookmark103"/>
      <w:bookmarkEnd w:id="569"/>
      <w:r>
        <w:rPr>
          <w:rFonts w:ascii="宋体" w:hAnsi="宋体"/>
          <w:color w:val="000000"/>
          <w:sz w:val="24"/>
          <w:highlight w:val="none"/>
        </w:rPr>
        <w:t xml:space="preserve">2.4 </w:t>
      </w:r>
      <w:r>
        <w:rPr>
          <w:rFonts w:hint="eastAsia" w:ascii="宋体" w:hAnsi="宋体"/>
          <w:color w:val="000000"/>
          <w:sz w:val="24"/>
          <w:highlight w:val="none"/>
        </w:rPr>
        <w:t xml:space="preserve">   </w:t>
      </w:r>
      <w:r>
        <w:rPr>
          <w:rFonts w:ascii="宋体" w:hAnsi="宋体"/>
          <w:color w:val="000000"/>
          <w:sz w:val="24"/>
          <w:highlight w:val="none"/>
        </w:rPr>
        <w:t>协助承包人办理证件和批件</w:t>
      </w:r>
    </w:p>
    <w:p w14:paraId="07FE56DC">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发包人应协助承包人办理法律规定的有关施工证件和批件。</w:t>
      </w:r>
    </w:p>
    <w:p w14:paraId="4356F889">
      <w:pPr>
        <w:spacing w:line="360" w:lineRule="auto"/>
        <w:rPr>
          <w:rFonts w:ascii="宋体" w:hAnsi="宋体"/>
          <w:color w:val="000000"/>
          <w:sz w:val="24"/>
          <w:highlight w:val="none"/>
        </w:rPr>
      </w:pPr>
      <w:bookmarkStart w:id="570" w:name="_bookmark104"/>
      <w:bookmarkEnd w:id="570"/>
      <w:r>
        <w:rPr>
          <w:rFonts w:ascii="宋体" w:hAnsi="宋体"/>
          <w:color w:val="000000"/>
          <w:sz w:val="24"/>
          <w:highlight w:val="none"/>
        </w:rPr>
        <w:t xml:space="preserve">2.5 </w:t>
      </w:r>
      <w:r>
        <w:rPr>
          <w:rFonts w:hint="eastAsia" w:ascii="宋体" w:hAnsi="宋体"/>
          <w:color w:val="000000"/>
          <w:sz w:val="24"/>
          <w:highlight w:val="none"/>
        </w:rPr>
        <w:t xml:space="preserve">   </w:t>
      </w:r>
      <w:r>
        <w:rPr>
          <w:rFonts w:ascii="宋体" w:hAnsi="宋体"/>
          <w:color w:val="000000"/>
          <w:sz w:val="24"/>
          <w:highlight w:val="none"/>
        </w:rPr>
        <w:t>组织设计交底</w:t>
      </w:r>
    </w:p>
    <w:p w14:paraId="7A896599">
      <w:pPr>
        <w:spacing w:line="360" w:lineRule="auto"/>
        <w:ind w:firstLine="420" w:firstLineChars="200"/>
        <w:rPr>
          <w:rFonts w:ascii="宋体" w:hAnsi="宋体"/>
          <w:color w:val="000000"/>
          <w:szCs w:val="21"/>
          <w:highlight w:val="none"/>
        </w:rPr>
      </w:pPr>
      <w:r>
        <w:rPr>
          <w:rFonts w:ascii="宋体" w:hAnsi="宋体"/>
          <w:color w:val="000000"/>
          <w:szCs w:val="21"/>
          <w:highlight w:val="none"/>
        </w:rPr>
        <w:t xml:space="preserve">发包人应根据批准的合同进度计划，组织设计单位向承包人进行设计交底。 </w:t>
      </w:r>
    </w:p>
    <w:p w14:paraId="040BA9E1">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发包人应在第 11.1.1 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4E80C3A0">
      <w:pPr>
        <w:spacing w:line="360" w:lineRule="auto"/>
        <w:rPr>
          <w:rFonts w:ascii="宋体" w:hAnsi="宋体"/>
          <w:color w:val="000000"/>
          <w:sz w:val="24"/>
          <w:highlight w:val="none"/>
        </w:rPr>
      </w:pPr>
      <w:bookmarkStart w:id="571" w:name="_bookmark105"/>
      <w:bookmarkEnd w:id="571"/>
      <w:r>
        <w:rPr>
          <w:rFonts w:ascii="宋体" w:hAnsi="宋体"/>
          <w:color w:val="000000"/>
          <w:sz w:val="24"/>
          <w:highlight w:val="none"/>
        </w:rPr>
        <w:t xml:space="preserve">2.6 </w:t>
      </w:r>
      <w:r>
        <w:rPr>
          <w:rFonts w:hint="eastAsia" w:ascii="宋体" w:hAnsi="宋体"/>
          <w:color w:val="000000"/>
          <w:sz w:val="24"/>
          <w:highlight w:val="none"/>
        </w:rPr>
        <w:t xml:space="preserve">   </w:t>
      </w:r>
      <w:r>
        <w:rPr>
          <w:rFonts w:ascii="宋体" w:hAnsi="宋体"/>
          <w:color w:val="000000"/>
          <w:sz w:val="24"/>
          <w:highlight w:val="none"/>
        </w:rPr>
        <w:t>支付合同价款</w:t>
      </w:r>
    </w:p>
    <w:p w14:paraId="3CDDB561">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发包人应按合同约定向承包人及时支付合同价款。</w:t>
      </w:r>
    </w:p>
    <w:p w14:paraId="2084256E">
      <w:pPr>
        <w:spacing w:line="360" w:lineRule="auto"/>
        <w:rPr>
          <w:rFonts w:ascii="宋体" w:hAnsi="宋体"/>
          <w:color w:val="000000"/>
          <w:sz w:val="24"/>
          <w:highlight w:val="none"/>
        </w:rPr>
      </w:pPr>
      <w:bookmarkStart w:id="572" w:name="_bookmark106"/>
      <w:bookmarkEnd w:id="572"/>
      <w:r>
        <w:rPr>
          <w:rFonts w:ascii="宋体" w:hAnsi="宋体"/>
          <w:color w:val="000000"/>
          <w:sz w:val="24"/>
          <w:highlight w:val="none"/>
        </w:rPr>
        <w:t xml:space="preserve">2.7 </w:t>
      </w:r>
      <w:r>
        <w:rPr>
          <w:rFonts w:hint="eastAsia" w:ascii="宋体" w:hAnsi="宋体"/>
          <w:color w:val="000000"/>
          <w:sz w:val="24"/>
          <w:highlight w:val="none"/>
        </w:rPr>
        <w:t xml:space="preserve">   </w:t>
      </w:r>
      <w:r>
        <w:rPr>
          <w:rFonts w:ascii="宋体" w:hAnsi="宋体"/>
          <w:color w:val="000000"/>
          <w:sz w:val="24"/>
          <w:highlight w:val="none"/>
        </w:rPr>
        <w:t>组织竣工验收</w:t>
      </w:r>
    </w:p>
    <w:p w14:paraId="089CA29D">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发包人应按合同约定及时组织竣工验收。</w:t>
      </w:r>
    </w:p>
    <w:p w14:paraId="7C17169B">
      <w:pPr>
        <w:spacing w:line="360" w:lineRule="auto"/>
        <w:rPr>
          <w:rFonts w:ascii="宋体" w:hAnsi="宋体"/>
          <w:color w:val="000000"/>
          <w:sz w:val="24"/>
          <w:highlight w:val="none"/>
        </w:rPr>
      </w:pPr>
      <w:bookmarkStart w:id="573" w:name="_bookmark107"/>
      <w:bookmarkEnd w:id="573"/>
      <w:r>
        <w:rPr>
          <w:rFonts w:ascii="宋体" w:hAnsi="宋体"/>
          <w:color w:val="000000"/>
          <w:sz w:val="24"/>
          <w:highlight w:val="none"/>
        </w:rPr>
        <w:t>2.8</w:t>
      </w:r>
      <w:r>
        <w:rPr>
          <w:rFonts w:hint="eastAsia" w:ascii="宋体" w:hAnsi="宋体"/>
          <w:color w:val="000000"/>
          <w:sz w:val="24"/>
          <w:highlight w:val="none"/>
        </w:rPr>
        <w:t xml:space="preserve">   </w:t>
      </w:r>
      <w:r>
        <w:rPr>
          <w:rFonts w:ascii="宋体" w:hAnsi="宋体"/>
          <w:color w:val="000000"/>
          <w:sz w:val="24"/>
          <w:highlight w:val="none"/>
        </w:rPr>
        <w:t xml:space="preserve"> 向承包人提交支付担保</w:t>
      </w:r>
    </w:p>
    <w:p w14:paraId="1CCB33A5">
      <w:pPr>
        <w:spacing w:line="360" w:lineRule="auto"/>
        <w:ind w:firstLine="420" w:firstLineChars="200"/>
        <w:rPr>
          <w:rFonts w:ascii="宋体" w:hAnsi="宋体"/>
          <w:color w:val="000000"/>
          <w:szCs w:val="21"/>
          <w:highlight w:val="none"/>
        </w:rPr>
      </w:pPr>
      <w:r>
        <w:rPr>
          <w:rFonts w:ascii="宋体" w:hAnsi="宋体"/>
          <w:color w:val="000000"/>
          <w:szCs w:val="21"/>
          <w:highlight w:val="none"/>
        </w:rPr>
        <w:t>（1）发包人要求承包人提交履约担保的，除合同条款专用部分另有约定的，在承包人按合同条款第 4.2 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3A88F3D2">
      <w:pPr>
        <w:spacing w:line="360" w:lineRule="auto"/>
        <w:ind w:firstLine="420" w:firstLineChars="200"/>
        <w:rPr>
          <w:rFonts w:ascii="宋体" w:hAnsi="宋体"/>
          <w:color w:val="000000"/>
          <w:szCs w:val="21"/>
          <w:highlight w:val="none"/>
        </w:rPr>
      </w:pPr>
      <w:r>
        <w:rPr>
          <w:rFonts w:ascii="宋体" w:hAnsi="宋体"/>
          <w:color w:val="000000"/>
          <w:szCs w:val="21"/>
          <w:highlight w:val="none"/>
        </w:rPr>
        <w:t>（2）支付担保的有效期应当自本合同生效之日起至发包人实际支付竣工付款之日止。</w:t>
      </w:r>
    </w:p>
    <w:p w14:paraId="32FE7F94">
      <w:pPr>
        <w:spacing w:line="360" w:lineRule="auto"/>
        <w:ind w:firstLine="420" w:firstLineChars="200"/>
        <w:rPr>
          <w:rFonts w:ascii="宋体" w:hAnsi="宋体"/>
          <w:color w:val="000000"/>
          <w:szCs w:val="21"/>
          <w:highlight w:val="none"/>
        </w:rPr>
      </w:pPr>
      <w:r>
        <w:rPr>
          <w:rFonts w:ascii="宋体" w:hAnsi="宋体"/>
          <w:color w:val="000000"/>
          <w:szCs w:val="21"/>
          <w:highlight w:val="none"/>
        </w:rPr>
        <w:t>（3）发包人无法获得一份不带具体截止日期的履约担保，支付担保中应当约定有“变 更工程竣工付款支付日期的，保证期间按照变更后的竣工付款支付日期做相应调整”或类似约定的条款。</w:t>
      </w:r>
    </w:p>
    <w:p w14:paraId="687124C2">
      <w:pPr>
        <w:spacing w:line="360" w:lineRule="auto"/>
        <w:ind w:firstLine="420" w:firstLineChars="200"/>
        <w:rPr>
          <w:rFonts w:ascii="宋体" w:hAnsi="宋体"/>
          <w:color w:val="000000"/>
          <w:szCs w:val="21"/>
          <w:highlight w:val="none"/>
        </w:rPr>
      </w:pPr>
      <w:r>
        <w:rPr>
          <w:rFonts w:ascii="宋体" w:hAnsi="宋体"/>
          <w:color w:val="000000"/>
          <w:szCs w:val="21"/>
          <w:highlight w:val="none"/>
        </w:rPr>
        <w:t>（4）支付担保应当在发包人付清竣工付款之日后 28 天内退还给发包人；承包人不承担发包人与支付担保有关的任何利息或其它类似的费用或者收益。</w:t>
      </w:r>
    </w:p>
    <w:p w14:paraId="579C1811">
      <w:pPr>
        <w:spacing w:line="360" w:lineRule="auto"/>
        <w:rPr>
          <w:rFonts w:ascii="宋体" w:hAnsi="宋体"/>
          <w:color w:val="000000"/>
          <w:sz w:val="24"/>
          <w:highlight w:val="none"/>
        </w:rPr>
      </w:pPr>
      <w:bookmarkStart w:id="574" w:name="_bookmark108"/>
      <w:bookmarkEnd w:id="574"/>
      <w:r>
        <w:rPr>
          <w:rFonts w:ascii="宋体" w:hAnsi="宋体"/>
          <w:color w:val="000000"/>
          <w:sz w:val="24"/>
          <w:highlight w:val="none"/>
        </w:rPr>
        <w:t xml:space="preserve">2.9 </w:t>
      </w:r>
      <w:r>
        <w:rPr>
          <w:rFonts w:hint="eastAsia" w:ascii="宋体" w:hAnsi="宋体"/>
          <w:color w:val="000000"/>
          <w:sz w:val="24"/>
          <w:highlight w:val="none"/>
        </w:rPr>
        <w:t xml:space="preserve">   </w:t>
      </w:r>
      <w:r>
        <w:rPr>
          <w:rFonts w:ascii="宋体" w:hAnsi="宋体"/>
          <w:color w:val="000000"/>
          <w:sz w:val="24"/>
          <w:highlight w:val="none"/>
        </w:rPr>
        <w:t>办理工程质量监督手续</w:t>
      </w:r>
    </w:p>
    <w:p w14:paraId="1A542C1B">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发包人应按有关规定及时办理工程质量监督手续。</w:t>
      </w:r>
    </w:p>
    <w:p w14:paraId="2A2CB8D0">
      <w:pPr>
        <w:spacing w:line="360" w:lineRule="auto"/>
        <w:rPr>
          <w:rFonts w:ascii="宋体" w:hAnsi="宋体"/>
          <w:color w:val="000000"/>
          <w:sz w:val="24"/>
          <w:highlight w:val="none"/>
        </w:rPr>
      </w:pPr>
      <w:bookmarkStart w:id="575" w:name="_bookmark109"/>
      <w:bookmarkEnd w:id="575"/>
      <w:r>
        <w:rPr>
          <w:rFonts w:ascii="宋体" w:hAnsi="宋体"/>
          <w:color w:val="000000"/>
          <w:sz w:val="24"/>
          <w:highlight w:val="none"/>
        </w:rPr>
        <w:t>2.10</w:t>
      </w:r>
      <w:r>
        <w:rPr>
          <w:rFonts w:ascii="宋体" w:hAnsi="宋体"/>
          <w:color w:val="000000"/>
          <w:sz w:val="24"/>
          <w:highlight w:val="none"/>
        </w:rPr>
        <w:tab/>
      </w:r>
      <w:r>
        <w:rPr>
          <w:rFonts w:ascii="宋体" w:hAnsi="宋体"/>
          <w:color w:val="000000"/>
          <w:sz w:val="24"/>
          <w:highlight w:val="none"/>
        </w:rPr>
        <w:t>环境保护责任</w:t>
      </w:r>
    </w:p>
    <w:p w14:paraId="10BAD576">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发包人对建筑垃圾处理、施工扬尘治理负总责。</w:t>
      </w:r>
    </w:p>
    <w:p w14:paraId="6A9BD7CC">
      <w:pPr>
        <w:spacing w:line="360" w:lineRule="auto"/>
        <w:rPr>
          <w:rFonts w:ascii="宋体" w:hAnsi="宋体"/>
          <w:color w:val="000000"/>
          <w:sz w:val="24"/>
          <w:highlight w:val="none"/>
        </w:rPr>
      </w:pPr>
      <w:bookmarkStart w:id="576" w:name="_bookmark110"/>
      <w:bookmarkEnd w:id="576"/>
      <w:r>
        <w:rPr>
          <w:rFonts w:ascii="宋体" w:hAnsi="宋体"/>
          <w:color w:val="000000"/>
          <w:sz w:val="24"/>
          <w:highlight w:val="none"/>
        </w:rPr>
        <w:t>2.11</w:t>
      </w:r>
      <w:r>
        <w:rPr>
          <w:rFonts w:ascii="宋体" w:hAnsi="宋体"/>
          <w:color w:val="000000"/>
          <w:sz w:val="24"/>
          <w:highlight w:val="none"/>
        </w:rPr>
        <w:tab/>
      </w:r>
      <w:r>
        <w:rPr>
          <w:rFonts w:ascii="宋体" w:hAnsi="宋体"/>
          <w:color w:val="000000"/>
          <w:sz w:val="24"/>
          <w:highlight w:val="none"/>
        </w:rPr>
        <w:t>移交工程档案</w:t>
      </w:r>
    </w:p>
    <w:p w14:paraId="77B29555">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发包人应根据建设行政主管部门和（或）城市建设档案管理机构的规定，收集、整理、立卷、归档工程资料，并按规定时间向建设行政主管部门或者城市建设档案管理机构移交规定的工程档案。</w:t>
      </w:r>
    </w:p>
    <w:p w14:paraId="1917D11F">
      <w:pPr>
        <w:spacing w:line="360" w:lineRule="auto"/>
        <w:rPr>
          <w:rFonts w:ascii="宋体" w:hAnsi="宋体"/>
          <w:color w:val="000000"/>
          <w:sz w:val="24"/>
          <w:highlight w:val="none"/>
        </w:rPr>
      </w:pPr>
      <w:bookmarkStart w:id="577" w:name="_bookmark111"/>
      <w:bookmarkEnd w:id="577"/>
      <w:r>
        <w:rPr>
          <w:rFonts w:ascii="宋体" w:hAnsi="宋体"/>
          <w:color w:val="000000"/>
          <w:sz w:val="24"/>
          <w:highlight w:val="none"/>
        </w:rPr>
        <w:t>2.12</w:t>
      </w:r>
      <w:r>
        <w:rPr>
          <w:rFonts w:ascii="宋体" w:hAnsi="宋体"/>
          <w:color w:val="000000"/>
          <w:sz w:val="24"/>
          <w:highlight w:val="none"/>
        </w:rPr>
        <w:tab/>
      </w:r>
      <w:r>
        <w:rPr>
          <w:rFonts w:ascii="宋体" w:hAnsi="宋体"/>
          <w:color w:val="000000"/>
          <w:sz w:val="24"/>
          <w:highlight w:val="none"/>
        </w:rPr>
        <w:t>批准和确认</w:t>
      </w:r>
    </w:p>
    <w:p w14:paraId="41BE53D3">
      <w:pPr>
        <w:spacing w:line="360" w:lineRule="auto"/>
        <w:ind w:firstLine="420" w:firstLineChars="200"/>
        <w:rPr>
          <w:rFonts w:ascii="宋体" w:hAnsi="宋体"/>
          <w:color w:val="000000"/>
          <w:szCs w:val="21"/>
          <w:highlight w:val="none"/>
        </w:rPr>
      </w:pPr>
      <w:r>
        <w:rPr>
          <w:rFonts w:ascii="宋体" w:hAnsi="宋体"/>
          <w:color w:val="000000"/>
          <w:szCs w:val="21"/>
          <w:highlight w:val="none"/>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DA29D05">
      <w:pPr>
        <w:spacing w:line="360" w:lineRule="auto"/>
        <w:rPr>
          <w:rFonts w:ascii="宋体" w:hAnsi="宋体"/>
          <w:color w:val="000000"/>
          <w:sz w:val="24"/>
          <w:highlight w:val="none"/>
        </w:rPr>
      </w:pPr>
      <w:bookmarkStart w:id="578" w:name="_bookmark112"/>
      <w:bookmarkEnd w:id="578"/>
      <w:r>
        <w:rPr>
          <w:rFonts w:ascii="宋体" w:hAnsi="宋体"/>
          <w:color w:val="000000"/>
          <w:sz w:val="24"/>
          <w:highlight w:val="none"/>
        </w:rPr>
        <w:t>2.13</w:t>
      </w:r>
      <w:r>
        <w:rPr>
          <w:rFonts w:ascii="宋体" w:hAnsi="宋体"/>
          <w:color w:val="000000"/>
          <w:sz w:val="24"/>
          <w:highlight w:val="none"/>
        </w:rPr>
        <w:tab/>
      </w:r>
      <w:r>
        <w:rPr>
          <w:rFonts w:ascii="宋体" w:hAnsi="宋体"/>
          <w:color w:val="000000"/>
          <w:sz w:val="24"/>
          <w:highlight w:val="none"/>
        </w:rPr>
        <w:t>其他义务</w:t>
      </w:r>
    </w:p>
    <w:p w14:paraId="226E9AB7">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发包人应履行的其他义务见合同条款专用部分。</w:t>
      </w:r>
    </w:p>
    <w:p w14:paraId="0832266A">
      <w:pPr>
        <w:spacing w:line="360" w:lineRule="auto"/>
        <w:rPr>
          <w:rFonts w:ascii="宋体" w:hAnsi="宋体"/>
          <w:color w:val="000000"/>
          <w:sz w:val="28"/>
          <w:szCs w:val="28"/>
          <w:highlight w:val="none"/>
        </w:rPr>
      </w:pPr>
      <w:bookmarkStart w:id="579" w:name="_bookmark113"/>
      <w:bookmarkEnd w:id="579"/>
      <w:r>
        <w:rPr>
          <w:rFonts w:ascii="宋体" w:hAnsi="宋体"/>
          <w:color w:val="000000"/>
          <w:sz w:val="28"/>
          <w:szCs w:val="28"/>
          <w:highlight w:val="none"/>
        </w:rPr>
        <w:t>3.监理人</w:t>
      </w:r>
    </w:p>
    <w:p w14:paraId="06F87260">
      <w:pPr>
        <w:spacing w:line="360" w:lineRule="auto"/>
        <w:rPr>
          <w:rFonts w:ascii="宋体" w:hAnsi="宋体"/>
          <w:color w:val="000000"/>
          <w:sz w:val="24"/>
          <w:highlight w:val="none"/>
        </w:rPr>
      </w:pPr>
      <w:bookmarkStart w:id="580" w:name="_bookmark114"/>
      <w:bookmarkEnd w:id="580"/>
      <w:r>
        <w:rPr>
          <w:rFonts w:ascii="宋体" w:hAnsi="宋体"/>
          <w:color w:val="000000"/>
          <w:sz w:val="24"/>
          <w:highlight w:val="none"/>
        </w:rPr>
        <w:t>3.1</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监理人的职责和权力</w:t>
      </w:r>
    </w:p>
    <w:p w14:paraId="04487364">
      <w:pPr>
        <w:spacing w:line="360" w:lineRule="auto"/>
        <w:ind w:firstLine="420" w:firstLineChars="200"/>
        <w:rPr>
          <w:rFonts w:ascii="宋体" w:hAnsi="宋体"/>
          <w:color w:val="000000"/>
          <w:szCs w:val="21"/>
          <w:highlight w:val="none"/>
        </w:rPr>
      </w:pPr>
      <w:r>
        <w:rPr>
          <w:rFonts w:ascii="宋体" w:hAnsi="宋体"/>
          <w:color w:val="000000"/>
          <w:szCs w:val="21"/>
          <w:highlight w:val="none"/>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6A7F84BD">
      <w:pPr>
        <w:spacing w:line="360" w:lineRule="auto"/>
        <w:ind w:firstLine="420" w:firstLineChars="200"/>
        <w:rPr>
          <w:rFonts w:ascii="宋体" w:hAnsi="宋体"/>
          <w:color w:val="000000"/>
          <w:szCs w:val="21"/>
          <w:highlight w:val="none"/>
        </w:rPr>
      </w:pPr>
      <w:r>
        <w:rPr>
          <w:rFonts w:ascii="宋体" w:hAnsi="宋体"/>
          <w:color w:val="000000"/>
          <w:szCs w:val="21"/>
          <w:highlight w:val="none"/>
        </w:rPr>
        <w:t>3.1.2 监理人发出的任何指示应视为已得到发包人的批准，但监理人无权免除或变更合同约定的发包人和承包人的权利、义务和责任。</w:t>
      </w:r>
    </w:p>
    <w:p w14:paraId="39143674">
      <w:pPr>
        <w:spacing w:line="360" w:lineRule="auto"/>
        <w:ind w:firstLine="420" w:firstLineChars="200"/>
        <w:rPr>
          <w:rFonts w:ascii="宋体" w:hAnsi="宋体"/>
          <w:color w:val="000000"/>
          <w:szCs w:val="21"/>
          <w:highlight w:val="none"/>
        </w:rPr>
      </w:pPr>
      <w:r>
        <w:rPr>
          <w:rFonts w:ascii="宋体" w:hAnsi="宋体"/>
          <w:color w:val="000000"/>
          <w:szCs w:val="21"/>
          <w:highlight w:val="none"/>
        </w:rPr>
        <w:t>3.1.3 合同约定应由承包人承担的义务和责任，不因监理人对承包人提交文件的审查或批准，对工程、材料和设备的检查和检验，以及为实施监理作出的指示等职务行为而减轻或解除。</w:t>
      </w:r>
    </w:p>
    <w:p w14:paraId="5779DA47">
      <w:pPr>
        <w:spacing w:line="360" w:lineRule="auto"/>
        <w:rPr>
          <w:rFonts w:ascii="宋体" w:hAnsi="宋体"/>
          <w:color w:val="000000"/>
          <w:sz w:val="24"/>
          <w:highlight w:val="none"/>
        </w:rPr>
      </w:pPr>
      <w:bookmarkStart w:id="581" w:name="_bookmark115"/>
      <w:bookmarkEnd w:id="581"/>
      <w:r>
        <w:rPr>
          <w:rFonts w:ascii="宋体" w:hAnsi="宋体"/>
          <w:color w:val="000000"/>
          <w:sz w:val="24"/>
          <w:highlight w:val="none"/>
        </w:rPr>
        <w:t>3.2</w:t>
      </w:r>
      <w:r>
        <w:rPr>
          <w:rFonts w:hint="eastAsia" w:ascii="宋体" w:hAnsi="宋体"/>
          <w:color w:val="000000"/>
          <w:sz w:val="24"/>
          <w:highlight w:val="none"/>
        </w:rPr>
        <w:t xml:space="preserve">  </w:t>
      </w:r>
      <w:r>
        <w:rPr>
          <w:rFonts w:ascii="宋体" w:hAnsi="宋体"/>
          <w:color w:val="000000"/>
          <w:sz w:val="24"/>
          <w:highlight w:val="none"/>
        </w:rPr>
        <w:tab/>
      </w:r>
      <w:r>
        <w:rPr>
          <w:rFonts w:ascii="宋体" w:hAnsi="宋体"/>
          <w:color w:val="000000"/>
          <w:sz w:val="24"/>
          <w:highlight w:val="none"/>
        </w:rPr>
        <w:t>总监理工程师</w:t>
      </w:r>
    </w:p>
    <w:p w14:paraId="78B7C356">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发包人应在发出开工通知前将总监理工程师的任命通知承包人。总监理工程师更换时， 应在调离 14 天前通知承包人。总监理工程师短期离开施工场地的，应委派代表代行其职责， 并通知承包人。</w:t>
      </w:r>
    </w:p>
    <w:p w14:paraId="3CCDA983">
      <w:pPr>
        <w:spacing w:line="360" w:lineRule="auto"/>
        <w:rPr>
          <w:rFonts w:ascii="宋体" w:hAnsi="宋体"/>
          <w:color w:val="000000"/>
          <w:sz w:val="24"/>
          <w:highlight w:val="none"/>
        </w:rPr>
      </w:pPr>
      <w:bookmarkStart w:id="582" w:name="_bookmark116"/>
      <w:bookmarkEnd w:id="582"/>
      <w:r>
        <w:rPr>
          <w:rFonts w:ascii="宋体" w:hAnsi="宋体"/>
          <w:color w:val="000000"/>
          <w:sz w:val="24"/>
          <w:highlight w:val="none"/>
        </w:rPr>
        <w:t>3.3</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监理人员</w:t>
      </w:r>
    </w:p>
    <w:p w14:paraId="38ECD664">
      <w:pPr>
        <w:spacing w:line="360" w:lineRule="auto"/>
        <w:ind w:firstLine="420" w:firstLineChars="200"/>
        <w:rPr>
          <w:rFonts w:ascii="宋体" w:hAnsi="宋体"/>
          <w:color w:val="000000"/>
          <w:szCs w:val="21"/>
          <w:highlight w:val="none"/>
        </w:rPr>
      </w:pPr>
      <w:r>
        <w:rPr>
          <w:rFonts w:ascii="宋体" w:hAnsi="宋体"/>
          <w:color w:val="000000"/>
          <w:szCs w:val="21"/>
          <w:highlight w:val="none"/>
        </w:rPr>
        <w:t>3.3.1 总监理工程师可以授权其他监理人员负责执行其指派的一项或多项监理工作。 总监理工程师应将被授权监理人员的姓名及其授权范围通知承包人。被授权的监理人员在授 权范围内发出的指示视为已得到总监理工程师的同意，与总监理工程师发出的指示具有同等 效力。总监理工程师撤销某项授权时，应将撤销授权的决定及时通知承包人。</w:t>
      </w:r>
    </w:p>
    <w:p w14:paraId="70E97EF6">
      <w:pPr>
        <w:spacing w:line="360" w:lineRule="auto"/>
        <w:ind w:firstLine="420" w:firstLineChars="200"/>
        <w:rPr>
          <w:rFonts w:ascii="宋体" w:hAnsi="宋体"/>
          <w:color w:val="000000"/>
          <w:szCs w:val="21"/>
          <w:highlight w:val="none"/>
        </w:rPr>
      </w:pPr>
      <w:r>
        <w:rPr>
          <w:rFonts w:ascii="宋体" w:hAnsi="宋体"/>
          <w:color w:val="000000"/>
          <w:szCs w:val="21"/>
          <w:highlight w:val="none"/>
        </w:rPr>
        <w:t>3.3.2</w:t>
      </w:r>
      <w:r>
        <w:rPr>
          <w:rFonts w:ascii="宋体" w:hAnsi="宋体"/>
          <w:color w:val="000000"/>
          <w:szCs w:val="21"/>
          <w:highlight w:val="none"/>
        </w:rPr>
        <w:tab/>
      </w:r>
      <w:r>
        <w:rPr>
          <w:rFonts w:ascii="宋体" w:hAnsi="宋体"/>
          <w:color w:val="000000"/>
          <w:szCs w:val="21"/>
          <w:highlight w:val="none"/>
        </w:rPr>
        <w:t>监理人员对承包人的任何工作、工程或其采用的材料和工程设备未在约定的或合理的期限内提出否定意见的，视为已获批准，但不影响监理人在以后拒绝该项工作、工程、 材料或工程设备的权利。</w:t>
      </w:r>
    </w:p>
    <w:p w14:paraId="48B88BE4">
      <w:pPr>
        <w:spacing w:line="360" w:lineRule="auto"/>
        <w:ind w:firstLine="420" w:firstLineChars="200"/>
        <w:rPr>
          <w:rFonts w:ascii="宋体" w:hAnsi="宋体"/>
          <w:color w:val="000000"/>
          <w:szCs w:val="21"/>
          <w:highlight w:val="none"/>
        </w:rPr>
      </w:pPr>
      <w:r>
        <w:rPr>
          <w:rFonts w:ascii="宋体" w:hAnsi="宋体"/>
          <w:color w:val="000000"/>
          <w:szCs w:val="21"/>
          <w:highlight w:val="none"/>
        </w:rPr>
        <w:t>3.3.3</w:t>
      </w:r>
      <w:r>
        <w:rPr>
          <w:rFonts w:ascii="宋体" w:hAnsi="宋体"/>
          <w:color w:val="000000"/>
          <w:szCs w:val="21"/>
          <w:highlight w:val="none"/>
        </w:rPr>
        <w:tab/>
      </w:r>
      <w:r>
        <w:rPr>
          <w:rFonts w:ascii="宋体" w:hAnsi="宋体"/>
          <w:color w:val="000000"/>
          <w:szCs w:val="21"/>
          <w:highlight w:val="none"/>
        </w:rPr>
        <w:t>承包人对总监理工程师授权的监理人员发出的指示有疑问的，可向总监理工程师提出书面异议，总监理工程师应在48小时内对该指示予以确认、更改或撤销。</w:t>
      </w:r>
    </w:p>
    <w:p w14:paraId="6ADB92A7">
      <w:pPr>
        <w:spacing w:line="360" w:lineRule="auto"/>
        <w:ind w:firstLine="420" w:firstLineChars="200"/>
        <w:rPr>
          <w:rFonts w:ascii="宋体" w:hAnsi="宋体"/>
          <w:color w:val="000000"/>
          <w:szCs w:val="21"/>
          <w:highlight w:val="none"/>
        </w:rPr>
      </w:pPr>
      <w:r>
        <w:rPr>
          <w:rFonts w:ascii="宋体" w:hAnsi="宋体"/>
          <w:color w:val="000000"/>
          <w:szCs w:val="21"/>
          <w:highlight w:val="none"/>
        </w:rPr>
        <w:t>3.3.4</w:t>
      </w:r>
      <w:r>
        <w:rPr>
          <w:rFonts w:ascii="宋体" w:hAnsi="宋体"/>
          <w:color w:val="000000"/>
          <w:szCs w:val="21"/>
          <w:highlight w:val="none"/>
        </w:rPr>
        <w:tab/>
      </w:r>
      <w:r>
        <w:rPr>
          <w:rFonts w:ascii="宋体" w:hAnsi="宋体"/>
          <w:color w:val="000000"/>
          <w:szCs w:val="21"/>
          <w:highlight w:val="none"/>
        </w:rPr>
        <w:t>总监理工程师不应将合同条款通用部分第3.5款约定应由总监理工程师作出确定的权力授权或者委托给其他监理人员。</w:t>
      </w:r>
    </w:p>
    <w:p w14:paraId="0495EEEF">
      <w:pPr>
        <w:spacing w:line="360" w:lineRule="auto"/>
        <w:rPr>
          <w:rFonts w:ascii="宋体" w:hAnsi="宋体"/>
          <w:color w:val="000000"/>
          <w:sz w:val="24"/>
          <w:highlight w:val="none"/>
        </w:rPr>
      </w:pPr>
      <w:bookmarkStart w:id="583" w:name="_bookmark117"/>
      <w:bookmarkEnd w:id="583"/>
      <w:r>
        <w:rPr>
          <w:rFonts w:ascii="宋体" w:hAnsi="宋体"/>
          <w:color w:val="000000"/>
          <w:sz w:val="24"/>
          <w:highlight w:val="none"/>
        </w:rPr>
        <w:t>3.4</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监理人的指示</w:t>
      </w:r>
    </w:p>
    <w:p w14:paraId="06FBE76C">
      <w:pPr>
        <w:spacing w:line="360" w:lineRule="auto"/>
        <w:ind w:firstLine="420" w:firstLineChars="200"/>
        <w:rPr>
          <w:rFonts w:ascii="宋体" w:hAnsi="宋体"/>
          <w:color w:val="000000"/>
          <w:szCs w:val="21"/>
          <w:highlight w:val="none"/>
        </w:rPr>
      </w:pPr>
      <w:r>
        <w:rPr>
          <w:rFonts w:ascii="宋体" w:hAnsi="宋体"/>
          <w:color w:val="000000"/>
          <w:szCs w:val="21"/>
          <w:highlight w:val="none"/>
        </w:rPr>
        <w:t>3.4.1</w:t>
      </w:r>
      <w:r>
        <w:rPr>
          <w:rFonts w:ascii="宋体" w:hAnsi="宋体"/>
          <w:color w:val="000000"/>
          <w:szCs w:val="21"/>
          <w:highlight w:val="none"/>
        </w:rPr>
        <w:tab/>
      </w:r>
      <w:r>
        <w:rPr>
          <w:rFonts w:ascii="宋体" w:hAnsi="宋体"/>
          <w:color w:val="000000"/>
          <w:szCs w:val="21"/>
          <w:highlight w:val="none"/>
        </w:rPr>
        <w:t>监理人应按第3.1款的约定向承包人发出指示，监理人的指示应加盖监理人授权的施工场地机构章，并由总监理工程师或总监理工程师按第3.3.1项约定授权的监理人员 签字。</w:t>
      </w:r>
    </w:p>
    <w:p w14:paraId="08E9CE3D">
      <w:pPr>
        <w:spacing w:line="360" w:lineRule="auto"/>
        <w:ind w:firstLine="420" w:firstLineChars="200"/>
        <w:rPr>
          <w:rFonts w:ascii="宋体" w:hAnsi="宋体"/>
          <w:color w:val="000000"/>
          <w:szCs w:val="21"/>
          <w:highlight w:val="none"/>
        </w:rPr>
      </w:pPr>
      <w:r>
        <w:rPr>
          <w:rFonts w:ascii="宋体" w:hAnsi="宋体"/>
          <w:color w:val="000000"/>
          <w:szCs w:val="21"/>
          <w:highlight w:val="none"/>
        </w:rPr>
        <w:t>3.4.2</w:t>
      </w:r>
      <w:r>
        <w:rPr>
          <w:rFonts w:ascii="宋体" w:hAnsi="宋体"/>
          <w:color w:val="000000"/>
          <w:szCs w:val="21"/>
          <w:highlight w:val="none"/>
        </w:rPr>
        <w:tab/>
      </w:r>
      <w:r>
        <w:rPr>
          <w:rFonts w:ascii="宋体" w:hAnsi="宋体"/>
          <w:color w:val="000000"/>
          <w:szCs w:val="21"/>
          <w:highlight w:val="none"/>
        </w:rPr>
        <w:t>承包人收到监理人按第3.4.1项作出的指示后，应遵照执行。指示构成变更的，应按第 15 条处理。</w:t>
      </w:r>
    </w:p>
    <w:p w14:paraId="0C99AFE3">
      <w:pPr>
        <w:spacing w:line="360" w:lineRule="auto"/>
        <w:ind w:firstLine="420" w:firstLineChars="200"/>
        <w:rPr>
          <w:rFonts w:ascii="宋体" w:hAnsi="宋体"/>
          <w:color w:val="000000"/>
          <w:szCs w:val="21"/>
          <w:highlight w:val="none"/>
        </w:rPr>
      </w:pPr>
      <w:r>
        <w:rPr>
          <w:rFonts w:ascii="宋体" w:hAnsi="宋体"/>
          <w:color w:val="000000"/>
          <w:szCs w:val="21"/>
          <w:highlight w:val="none"/>
        </w:rPr>
        <w:t>3.4.3</w:t>
      </w:r>
      <w:r>
        <w:rPr>
          <w:rFonts w:ascii="宋体" w:hAnsi="宋体"/>
          <w:color w:val="000000"/>
          <w:szCs w:val="21"/>
          <w:highlight w:val="none"/>
        </w:rPr>
        <w:tab/>
      </w:r>
      <w:r>
        <w:rPr>
          <w:rFonts w:ascii="宋体" w:hAnsi="宋体"/>
          <w:color w:val="000000"/>
          <w:szCs w:val="21"/>
          <w:highlight w:val="none"/>
        </w:rPr>
        <w:t>在紧急情况下，总监理工程师或被授权的监理人员可以当场签发临时书面指示，承包人应遵照执行。承包人应在收到上述临时书面指示后24小时内，向监理人发出书面确认函。监理人在收到书面确认函后 24 小时内未予答复的，该书面确认函应被视为监理人的 正式指示。</w:t>
      </w:r>
    </w:p>
    <w:p w14:paraId="7EFD5401">
      <w:pPr>
        <w:spacing w:line="360" w:lineRule="auto"/>
        <w:ind w:firstLine="420" w:firstLineChars="200"/>
        <w:rPr>
          <w:rFonts w:ascii="宋体" w:hAnsi="宋体"/>
          <w:color w:val="000000"/>
          <w:szCs w:val="21"/>
          <w:highlight w:val="none"/>
        </w:rPr>
      </w:pPr>
      <w:r>
        <w:rPr>
          <w:rFonts w:ascii="宋体" w:hAnsi="宋体"/>
          <w:color w:val="000000"/>
          <w:szCs w:val="21"/>
          <w:highlight w:val="none"/>
        </w:rPr>
        <w:t>3.4.4</w:t>
      </w:r>
      <w:r>
        <w:rPr>
          <w:rFonts w:ascii="宋体" w:hAnsi="宋体"/>
          <w:color w:val="000000"/>
          <w:szCs w:val="21"/>
          <w:highlight w:val="none"/>
        </w:rPr>
        <w:tab/>
      </w:r>
      <w:r>
        <w:rPr>
          <w:rFonts w:ascii="宋体" w:hAnsi="宋体"/>
          <w:color w:val="000000"/>
          <w:szCs w:val="21"/>
          <w:highlight w:val="none"/>
        </w:rPr>
        <w:t>除合同另有约定外，承包人只从总监理工程师或按第3.3.1项被授权的监理人员处取得指示。</w:t>
      </w:r>
    </w:p>
    <w:p w14:paraId="578CA193">
      <w:pPr>
        <w:spacing w:line="360" w:lineRule="auto"/>
        <w:ind w:firstLine="420" w:firstLineChars="200"/>
        <w:rPr>
          <w:rFonts w:ascii="宋体" w:hAnsi="宋体"/>
          <w:color w:val="000000"/>
          <w:szCs w:val="21"/>
          <w:highlight w:val="none"/>
        </w:rPr>
      </w:pPr>
      <w:r>
        <w:rPr>
          <w:rFonts w:ascii="宋体" w:hAnsi="宋体"/>
          <w:color w:val="000000"/>
          <w:szCs w:val="21"/>
          <w:highlight w:val="none"/>
        </w:rPr>
        <w:t>3.4.5 由于监理人未能按合同约定发出指示、指示延误或指示错误而导致承包人费用增加和（或）工期延误的，由发包人承担赔偿责任。</w:t>
      </w:r>
    </w:p>
    <w:p w14:paraId="491F5DF1">
      <w:pPr>
        <w:spacing w:line="360" w:lineRule="auto"/>
        <w:rPr>
          <w:rFonts w:ascii="宋体" w:hAnsi="宋体"/>
          <w:color w:val="000000"/>
          <w:sz w:val="24"/>
          <w:highlight w:val="none"/>
        </w:rPr>
      </w:pPr>
      <w:bookmarkStart w:id="584" w:name="_bookmark118"/>
      <w:bookmarkEnd w:id="584"/>
      <w:r>
        <w:rPr>
          <w:rFonts w:ascii="宋体" w:hAnsi="宋体"/>
          <w:color w:val="000000"/>
          <w:sz w:val="24"/>
          <w:highlight w:val="none"/>
        </w:rPr>
        <w:t>3.5</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商定或确定</w:t>
      </w:r>
    </w:p>
    <w:p w14:paraId="5363C2B6">
      <w:pPr>
        <w:spacing w:line="360" w:lineRule="auto"/>
        <w:ind w:firstLine="420" w:firstLineChars="200"/>
        <w:rPr>
          <w:rFonts w:ascii="宋体" w:hAnsi="宋体"/>
          <w:color w:val="000000"/>
          <w:szCs w:val="21"/>
          <w:highlight w:val="none"/>
        </w:rPr>
      </w:pPr>
      <w:r>
        <w:rPr>
          <w:rFonts w:ascii="宋体" w:hAnsi="宋体"/>
          <w:color w:val="000000"/>
          <w:szCs w:val="21"/>
          <w:highlight w:val="none"/>
        </w:rPr>
        <w:t>3.5.1 总监理工程师应按照本款对任何事项进行商定或确定时，总监理工程师应与合同当事人协商，尽量达成一致。不能达成一致的，总监理工程师应认真研究后审慎确定。</w:t>
      </w:r>
    </w:p>
    <w:p w14:paraId="3531A9FE">
      <w:pPr>
        <w:spacing w:line="360" w:lineRule="auto"/>
        <w:ind w:firstLine="420" w:firstLineChars="200"/>
        <w:rPr>
          <w:rFonts w:ascii="宋体" w:hAnsi="宋体"/>
          <w:color w:val="000000"/>
          <w:szCs w:val="21"/>
          <w:highlight w:val="none"/>
        </w:rPr>
      </w:pPr>
      <w:r>
        <w:rPr>
          <w:rFonts w:ascii="宋体" w:hAnsi="宋体"/>
          <w:color w:val="000000"/>
          <w:szCs w:val="21"/>
          <w:highlight w:val="none"/>
        </w:rPr>
        <w:t>3.5.2</w:t>
      </w:r>
      <w:r>
        <w:rPr>
          <w:rFonts w:ascii="宋体" w:hAnsi="宋体"/>
          <w:color w:val="000000"/>
          <w:szCs w:val="21"/>
          <w:highlight w:val="none"/>
        </w:rPr>
        <w:tab/>
      </w:r>
      <w:r>
        <w:rPr>
          <w:rFonts w:ascii="宋体" w:hAnsi="宋体"/>
          <w:color w:val="000000"/>
          <w:szCs w:val="21"/>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w:t>
      </w:r>
    </w:p>
    <w:p w14:paraId="4D534200">
      <w:pPr>
        <w:spacing w:line="360" w:lineRule="auto"/>
        <w:rPr>
          <w:rFonts w:ascii="宋体" w:hAnsi="宋体"/>
          <w:color w:val="000000"/>
          <w:sz w:val="24"/>
          <w:highlight w:val="none"/>
        </w:rPr>
      </w:pPr>
      <w:bookmarkStart w:id="585" w:name="_bookmark119"/>
      <w:bookmarkEnd w:id="585"/>
      <w:r>
        <w:rPr>
          <w:rFonts w:ascii="宋体" w:hAnsi="宋体"/>
          <w:color w:val="000000"/>
          <w:sz w:val="24"/>
          <w:highlight w:val="none"/>
        </w:rPr>
        <w:t>3.6</w:t>
      </w:r>
      <w:r>
        <w:rPr>
          <w:rFonts w:ascii="宋体" w:hAnsi="宋体"/>
          <w:color w:val="000000"/>
          <w:sz w:val="24"/>
          <w:highlight w:val="none"/>
        </w:rPr>
        <w:tab/>
      </w:r>
      <w:r>
        <w:rPr>
          <w:rFonts w:hint="eastAsia" w:ascii="宋体" w:hAnsi="宋体"/>
          <w:color w:val="000000"/>
          <w:sz w:val="24"/>
          <w:highlight w:val="none"/>
        </w:rPr>
        <w:t xml:space="preserve">   </w:t>
      </w:r>
      <w:r>
        <w:rPr>
          <w:rFonts w:ascii="宋体" w:hAnsi="宋体"/>
          <w:color w:val="000000"/>
          <w:sz w:val="24"/>
          <w:highlight w:val="none"/>
        </w:rPr>
        <w:t>监理人的宽恕</w:t>
      </w:r>
    </w:p>
    <w:p w14:paraId="0E17D3D8">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326B0C7">
      <w:pPr>
        <w:spacing w:line="360" w:lineRule="auto"/>
        <w:rPr>
          <w:rFonts w:ascii="宋体" w:hAnsi="宋体"/>
          <w:color w:val="000000"/>
          <w:sz w:val="28"/>
          <w:szCs w:val="28"/>
          <w:highlight w:val="none"/>
        </w:rPr>
      </w:pPr>
      <w:bookmarkStart w:id="586" w:name="_bookmark120"/>
      <w:bookmarkEnd w:id="586"/>
      <w:r>
        <w:rPr>
          <w:rFonts w:ascii="宋体" w:hAnsi="宋体"/>
          <w:color w:val="000000"/>
          <w:sz w:val="28"/>
          <w:szCs w:val="28"/>
          <w:highlight w:val="none"/>
        </w:rPr>
        <w:t>4.承包人</w:t>
      </w:r>
    </w:p>
    <w:p w14:paraId="3E589BAF">
      <w:pPr>
        <w:spacing w:line="360" w:lineRule="auto"/>
        <w:rPr>
          <w:rFonts w:ascii="宋体" w:hAnsi="宋体"/>
          <w:color w:val="000000"/>
          <w:sz w:val="24"/>
          <w:highlight w:val="none"/>
        </w:rPr>
      </w:pPr>
      <w:bookmarkStart w:id="587" w:name="_bookmark121"/>
      <w:bookmarkEnd w:id="587"/>
      <w:r>
        <w:rPr>
          <w:rFonts w:ascii="宋体" w:hAnsi="宋体"/>
          <w:color w:val="000000"/>
          <w:sz w:val="24"/>
          <w:highlight w:val="none"/>
        </w:rPr>
        <w:t>4.1</w:t>
      </w:r>
      <w:r>
        <w:rPr>
          <w:rFonts w:ascii="宋体" w:hAnsi="宋体"/>
          <w:color w:val="000000"/>
          <w:sz w:val="24"/>
          <w:highlight w:val="none"/>
        </w:rPr>
        <w:tab/>
      </w:r>
      <w:r>
        <w:rPr>
          <w:rFonts w:ascii="宋体" w:hAnsi="宋体"/>
          <w:color w:val="000000"/>
          <w:sz w:val="24"/>
          <w:highlight w:val="none"/>
        </w:rPr>
        <w:t>承包人的一般义务</w:t>
      </w:r>
    </w:p>
    <w:p w14:paraId="685956CC">
      <w:pPr>
        <w:numPr>
          <w:ilvl w:val="2"/>
          <w:numId w:val="75"/>
        </w:numPr>
        <w:spacing w:line="360" w:lineRule="auto"/>
        <w:ind w:left="1260" w:firstLine="420" w:firstLineChars="200"/>
        <w:rPr>
          <w:rFonts w:ascii="宋体" w:hAnsi="宋体"/>
          <w:color w:val="000000"/>
          <w:szCs w:val="21"/>
          <w:highlight w:val="none"/>
        </w:rPr>
      </w:pPr>
      <w:r>
        <w:rPr>
          <w:rFonts w:ascii="宋体" w:hAnsi="宋体"/>
          <w:color w:val="000000"/>
          <w:szCs w:val="21"/>
          <w:highlight w:val="none"/>
        </w:rPr>
        <w:t xml:space="preserve">遵守法律 </w:t>
      </w:r>
    </w:p>
    <w:p w14:paraId="4663C23A">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承包人在履行合同过程中应遵守法律，并保证发包人免于承担因承包人违反法律而引起的任何责任。</w:t>
      </w:r>
    </w:p>
    <w:p w14:paraId="7C1EF70B">
      <w:pPr>
        <w:numPr>
          <w:ilvl w:val="2"/>
          <w:numId w:val="75"/>
        </w:numPr>
        <w:spacing w:line="360" w:lineRule="auto"/>
        <w:ind w:left="1260" w:firstLine="420" w:firstLineChars="200"/>
        <w:rPr>
          <w:rFonts w:ascii="宋体" w:hAnsi="宋体"/>
          <w:color w:val="000000"/>
          <w:szCs w:val="21"/>
          <w:highlight w:val="none"/>
        </w:rPr>
      </w:pPr>
      <w:r>
        <w:rPr>
          <w:rFonts w:ascii="宋体" w:hAnsi="宋体"/>
          <w:color w:val="000000"/>
          <w:szCs w:val="21"/>
          <w:highlight w:val="none"/>
        </w:rPr>
        <w:t xml:space="preserve">依法纳税 </w:t>
      </w:r>
    </w:p>
    <w:p w14:paraId="4AF8683E">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承包人应按有关法律规定纳税，应缴纳的税金包括在合同价格内。</w:t>
      </w:r>
    </w:p>
    <w:p w14:paraId="36C3E71E">
      <w:pPr>
        <w:spacing w:line="360" w:lineRule="auto"/>
        <w:ind w:firstLine="420" w:firstLineChars="200"/>
        <w:rPr>
          <w:rFonts w:ascii="宋体" w:hAnsi="宋体"/>
          <w:color w:val="000000"/>
          <w:szCs w:val="21"/>
          <w:highlight w:val="none"/>
        </w:rPr>
      </w:pPr>
      <w:r>
        <w:rPr>
          <w:rFonts w:ascii="宋体" w:hAnsi="宋体"/>
          <w:color w:val="000000"/>
          <w:szCs w:val="21"/>
          <w:highlight w:val="none"/>
        </w:rPr>
        <w:t>4.1.3</w:t>
      </w:r>
      <w:r>
        <w:rPr>
          <w:rFonts w:ascii="宋体" w:hAnsi="宋体"/>
          <w:color w:val="000000"/>
          <w:szCs w:val="21"/>
          <w:highlight w:val="none"/>
        </w:rPr>
        <w:tab/>
      </w:r>
      <w:r>
        <w:rPr>
          <w:rFonts w:ascii="宋体" w:hAnsi="宋体"/>
          <w:color w:val="000000"/>
          <w:szCs w:val="21"/>
          <w:highlight w:val="none"/>
        </w:rPr>
        <w:t>完成各项承包工作</w:t>
      </w:r>
    </w:p>
    <w:p w14:paraId="14864683">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应按合同约定以及监理人根据第3.4款作出的指示，实施、完成全部工程，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7E4BD68B">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还应当依法合规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w:t>
      </w:r>
    </w:p>
    <w:p w14:paraId="3E729339">
      <w:pPr>
        <w:spacing w:line="360" w:lineRule="auto"/>
        <w:ind w:firstLine="420" w:firstLineChars="200"/>
        <w:rPr>
          <w:rFonts w:ascii="宋体" w:hAnsi="宋体"/>
          <w:color w:val="000000"/>
          <w:szCs w:val="21"/>
          <w:highlight w:val="none"/>
        </w:rPr>
      </w:pPr>
      <w:r>
        <w:rPr>
          <w:rFonts w:ascii="宋体" w:hAnsi="宋体"/>
          <w:color w:val="000000"/>
          <w:szCs w:val="21"/>
          <w:highlight w:val="none"/>
        </w:rPr>
        <w:t>4.1.4</w:t>
      </w:r>
      <w:r>
        <w:rPr>
          <w:rFonts w:ascii="宋体" w:hAnsi="宋体"/>
          <w:color w:val="000000"/>
          <w:szCs w:val="21"/>
          <w:highlight w:val="none"/>
        </w:rPr>
        <w:tab/>
      </w:r>
      <w:r>
        <w:rPr>
          <w:rFonts w:ascii="宋体" w:hAnsi="宋体"/>
          <w:color w:val="000000"/>
          <w:szCs w:val="21"/>
          <w:highlight w:val="none"/>
        </w:rPr>
        <w:t>对施工作业和施工方法的完备性负责</w:t>
      </w:r>
    </w:p>
    <w:p w14:paraId="4C86CDF1">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承包人应按合同约定的工作内容和施工进度要求，编制施工组织设计和施工措施计划，并对所有施工作业和施工方法的完备性和安全可靠性负责。</w:t>
      </w:r>
    </w:p>
    <w:p w14:paraId="6A978764">
      <w:pPr>
        <w:spacing w:line="360" w:lineRule="auto"/>
        <w:ind w:firstLine="420" w:firstLineChars="200"/>
        <w:rPr>
          <w:rFonts w:ascii="宋体" w:hAnsi="宋体"/>
          <w:color w:val="000000"/>
          <w:szCs w:val="21"/>
          <w:highlight w:val="none"/>
        </w:rPr>
      </w:pPr>
      <w:r>
        <w:rPr>
          <w:rFonts w:ascii="宋体" w:hAnsi="宋体"/>
          <w:color w:val="000000"/>
          <w:szCs w:val="21"/>
          <w:highlight w:val="none"/>
        </w:rPr>
        <w:t>4.1.5</w:t>
      </w:r>
      <w:r>
        <w:rPr>
          <w:rFonts w:ascii="宋体" w:hAnsi="宋体"/>
          <w:color w:val="000000"/>
          <w:szCs w:val="21"/>
          <w:highlight w:val="none"/>
        </w:rPr>
        <w:tab/>
      </w:r>
      <w:r>
        <w:rPr>
          <w:rFonts w:ascii="宋体" w:hAnsi="宋体"/>
          <w:color w:val="000000"/>
          <w:szCs w:val="21"/>
          <w:highlight w:val="none"/>
        </w:rPr>
        <w:t>保证工程施工和人员的安全</w:t>
      </w:r>
    </w:p>
    <w:p w14:paraId="5231F64C">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承包人应按照第9.2款约定采取施工安全措施，确保工程及其人员、材料、设备和设施的安全，防止因工程施工造成的人身伤害和财产损失。</w:t>
      </w:r>
    </w:p>
    <w:p w14:paraId="61C29BD2">
      <w:pPr>
        <w:spacing w:line="360" w:lineRule="auto"/>
        <w:ind w:firstLine="420" w:firstLineChars="200"/>
        <w:rPr>
          <w:rFonts w:ascii="宋体" w:hAnsi="宋体"/>
          <w:color w:val="000000"/>
          <w:szCs w:val="21"/>
          <w:highlight w:val="none"/>
        </w:rPr>
      </w:pPr>
      <w:r>
        <w:rPr>
          <w:rFonts w:ascii="宋体" w:hAnsi="宋体"/>
          <w:color w:val="000000"/>
          <w:szCs w:val="21"/>
          <w:highlight w:val="none"/>
        </w:rPr>
        <w:t>4.1.6</w:t>
      </w:r>
      <w:r>
        <w:rPr>
          <w:rFonts w:ascii="宋体" w:hAnsi="宋体"/>
          <w:color w:val="000000"/>
          <w:szCs w:val="21"/>
          <w:highlight w:val="none"/>
        </w:rPr>
        <w:tab/>
      </w:r>
      <w:r>
        <w:rPr>
          <w:rFonts w:ascii="宋体" w:hAnsi="宋体"/>
          <w:color w:val="000000"/>
          <w:szCs w:val="21"/>
          <w:highlight w:val="none"/>
        </w:rPr>
        <w:t>负责施工场地及其周边环境与生态的保护工作</w:t>
      </w:r>
    </w:p>
    <w:p w14:paraId="01E0BBCF">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承包人应按照第9.4款约定负责施工场地及其周边环境与生态的保护工作。</w:t>
      </w:r>
    </w:p>
    <w:p w14:paraId="2591929F">
      <w:pPr>
        <w:spacing w:line="360" w:lineRule="auto"/>
        <w:ind w:firstLine="420" w:firstLineChars="200"/>
        <w:rPr>
          <w:rFonts w:ascii="宋体" w:hAnsi="宋体"/>
          <w:color w:val="000000"/>
          <w:szCs w:val="21"/>
          <w:highlight w:val="none"/>
        </w:rPr>
      </w:pPr>
      <w:r>
        <w:rPr>
          <w:rFonts w:ascii="宋体" w:hAnsi="宋体"/>
          <w:color w:val="000000"/>
          <w:szCs w:val="21"/>
          <w:highlight w:val="none"/>
        </w:rPr>
        <w:t>4.1.7</w:t>
      </w:r>
      <w:r>
        <w:rPr>
          <w:rFonts w:ascii="宋体" w:hAnsi="宋体"/>
          <w:color w:val="000000"/>
          <w:szCs w:val="21"/>
          <w:highlight w:val="none"/>
        </w:rPr>
        <w:tab/>
      </w:r>
      <w:r>
        <w:rPr>
          <w:rFonts w:ascii="宋体" w:hAnsi="宋体"/>
          <w:color w:val="000000"/>
          <w:szCs w:val="21"/>
          <w:highlight w:val="none"/>
        </w:rPr>
        <w:t>避免施工对公众与他人的利益造成损害</w:t>
      </w:r>
    </w:p>
    <w:p w14:paraId="5CB2ADDC">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DC4C86F">
      <w:pPr>
        <w:spacing w:line="360" w:lineRule="auto"/>
        <w:ind w:firstLine="420" w:firstLineChars="200"/>
        <w:rPr>
          <w:rFonts w:ascii="宋体" w:hAnsi="宋体"/>
          <w:color w:val="000000"/>
          <w:szCs w:val="21"/>
          <w:highlight w:val="none"/>
        </w:rPr>
      </w:pPr>
      <w:r>
        <w:rPr>
          <w:rFonts w:ascii="宋体" w:hAnsi="宋体"/>
          <w:color w:val="000000"/>
          <w:szCs w:val="21"/>
          <w:highlight w:val="none"/>
        </w:rPr>
        <w:t>4.1.8</w:t>
      </w:r>
      <w:r>
        <w:rPr>
          <w:rFonts w:ascii="宋体" w:hAnsi="宋体"/>
          <w:color w:val="000000"/>
          <w:szCs w:val="21"/>
          <w:highlight w:val="none"/>
        </w:rPr>
        <w:tab/>
      </w:r>
      <w:r>
        <w:rPr>
          <w:rFonts w:ascii="宋体" w:hAnsi="宋体"/>
          <w:color w:val="000000"/>
          <w:szCs w:val="21"/>
          <w:highlight w:val="none"/>
        </w:rPr>
        <w:t>为他人提供方便</w:t>
      </w:r>
    </w:p>
    <w:p w14:paraId="114A194D">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62B963AE">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（2）承包人还应按照监理人指示为独立承包人以外的他人在施工场地或者附近实施与合同工程有关的其他工作提供可能的条件，可能发生费用由监理人按合同条款通用部分第3.5款商定或者确定。</w:t>
      </w:r>
    </w:p>
    <w:p w14:paraId="7D31F9B3">
      <w:pPr>
        <w:spacing w:line="360" w:lineRule="auto"/>
        <w:ind w:firstLine="420" w:firstLineChars="200"/>
        <w:rPr>
          <w:rFonts w:ascii="宋体" w:hAnsi="宋体"/>
          <w:color w:val="000000"/>
          <w:szCs w:val="21"/>
          <w:highlight w:val="none"/>
        </w:rPr>
      </w:pPr>
      <w:r>
        <w:rPr>
          <w:rFonts w:ascii="宋体" w:hAnsi="宋体"/>
          <w:color w:val="000000"/>
          <w:szCs w:val="21"/>
          <w:highlight w:val="none"/>
        </w:rPr>
        <w:t>4.1.9</w:t>
      </w:r>
      <w:r>
        <w:rPr>
          <w:rFonts w:ascii="宋体" w:hAnsi="宋体"/>
          <w:color w:val="000000"/>
          <w:szCs w:val="21"/>
          <w:highlight w:val="none"/>
        </w:rPr>
        <w:tab/>
      </w:r>
      <w:r>
        <w:rPr>
          <w:rFonts w:ascii="宋体" w:hAnsi="宋体"/>
          <w:color w:val="000000"/>
          <w:szCs w:val="21"/>
          <w:highlight w:val="none"/>
        </w:rPr>
        <w:t>工程的维护和照管</w:t>
      </w:r>
    </w:p>
    <w:p w14:paraId="01455306">
      <w:pPr>
        <w:spacing w:line="360" w:lineRule="auto"/>
        <w:ind w:firstLine="420" w:firstLineChars="200"/>
        <w:rPr>
          <w:rFonts w:ascii="宋体" w:hAnsi="宋体"/>
          <w:color w:val="000000"/>
          <w:szCs w:val="21"/>
          <w:highlight w:val="none"/>
        </w:rPr>
      </w:pPr>
      <w:r>
        <w:rPr>
          <w:rFonts w:ascii="宋体" w:hAnsi="宋体"/>
          <w:color w:val="000000"/>
          <w:szCs w:val="21"/>
          <w:highlight w:val="none"/>
        </w:rPr>
        <w:t>工程接收证书颁发前，承包人应负责照管和维护工程。工程接收证书颁发时尚有部分未竣工工程的，承包人还应负责该未竣工工程的照管和维护工作，直至竣工后移交给发包人为止。</w:t>
      </w:r>
    </w:p>
    <w:p w14:paraId="5B8EBE8E">
      <w:pPr>
        <w:spacing w:line="360" w:lineRule="auto"/>
        <w:ind w:firstLine="420" w:firstLineChars="200"/>
        <w:rPr>
          <w:rFonts w:ascii="宋体" w:hAnsi="宋体"/>
          <w:color w:val="000000"/>
          <w:szCs w:val="21"/>
          <w:highlight w:val="none"/>
        </w:rPr>
      </w:pPr>
      <w:r>
        <w:rPr>
          <w:rFonts w:ascii="宋体" w:hAnsi="宋体"/>
          <w:color w:val="000000"/>
          <w:szCs w:val="21"/>
          <w:highlight w:val="none"/>
        </w:rPr>
        <w:t>4.1.10</w:t>
      </w:r>
      <w:r>
        <w:rPr>
          <w:rFonts w:ascii="宋体" w:hAnsi="宋体"/>
          <w:color w:val="000000"/>
          <w:szCs w:val="21"/>
          <w:highlight w:val="none"/>
        </w:rPr>
        <w:tab/>
      </w:r>
      <w:r>
        <w:rPr>
          <w:rFonts w:ascii="宋体" w:hAnsi="宋体"/>
          <w:color w:val="000000"/>
          <w:szCs w:val="21"/>
          <w:highlight w:val="none"/>
        </w:rPr>
        <w:t>承包人的设计工作</w:t>
      </w:r>
    </w:p>
    <w:p w14:paraId="0E314254">
      <w:pPr>
        <w:spacing w:line="360" w:lineRule="auto"/>
        <w:ind w:firstLine="420" w:firstLineChars="200"/>
        <w:rPr>
          <w:rFonts w:ascii="宋体" w:hAnsi="宋体"/>
          <w:color w:val="000000"/>
          <w:szCs w:val="21"/>
          <w:highlight w:val="none"/>
        </w:rPr>
      </w:pPr>
      <w:r>
        <w:rPr>
          <w:rFonts w:ascii="宋体" w:hAnsi="宋体"/>
          <w:color w:val="000000"/>
          <w:szCs w:val="21"/>
          <w:highlight w:val="none"/>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 容见合同条款专用部分。</w:t>
      </w:r>
    </w:p>
    <w:p w14:paraId="12CA4F4F">
      <w:pPr>
        <w:spacing w:line="360" w:lineRule="auto"/>
        <w:ind w:firstLine="420" w:firstLineChars="200"/>
        <w:rPr>
          <w:rFonts w:ascii="宋体" w:hAnsi="宋体"/>
          <w:color w:val="000000"/>
          <w:szCs w:val="21"/>
          <w:highlight w:val="none"/>
        </w:rPr>
      </w:pPr>
      <w:r>
        <w:rPr>
          <w:rFonts w:ascii="宋体" w:hAnsi="宋体"/>
          <w:color w:val="000000"/>
          <w:szCs w:val="21"/>
          <w:highlight w:val="none"/>
        </w:rPr>
        <w:t>4.1.11</w:t>
      </w:r>
      <w:r>
        <w:rPr>
          <w:rFonts w:ascii="宋体" w:hAnsi="宋体"/>
          <w:color w:val="000000"/>
          <w:szCs w:val="21"/>
          <w:highlight w:val="none"/>
        </w:rPr>
        <w:tab/>
      </w:r>
      <w:r>
        <w:rPr>
          <w:rFonts w:ascii="宋体" w:hAnsi="宋体"/>
          <w:color w:val="000000"/>
          <w:szCs w:val="21"/>
          <w:highlight w:val="none"/>
        </w:rPr>
        <w:t>农民工工资保证金</w:t>
      </w:r>
    </w:p>
    <w:p w14:paraId="7651456A">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承包人应在银行设立工资保证金专用账户，专项用于发生欠薪时支付农民工工资的应急保障。账户内资金启用应当经建设主管部门和劳动保障行政部门批准。</w:t>
      </w:r>
    </w:p>
    <w:p w14:paraId="26E0EACC">
      <w:pPr>
        <w:spacing w:line="360" w:lineRule="auto"/>
        <w:ind w:firstLine="420" w:firstLineChars="200"/>
        <w:rPr>
          <w:rFonts w:ascii="宋体" w:hAnsi="宋体"/>
          <w:color w:val="000000"/>
          <w:szCs w:val="21"/>
          <w:highlight w:val="none"/>
        </w:rPr>
      </w:pPr>
      <w:r>
        <w:rPr>
          <w:rFonts w:ascii="宋体" w:hAnsi="宋体"/>
          <w:color w:val="000000"/>
          <w:szCs w:val="21"/>
          <w:highlight w:val="none"/>
        </w:rPr>
        <w:t>4.1.12</w:t>
      </w:r>
      <w:r>
        <w:rPr>
          <w:rFonts w:ascii="宋体" w:hAnsi="宋体"/>
          <w:color w:val="000000"/>
          <w:szCs w:val="21"/>
          <w:highlight w:val="none"/>
        </w:rPr>
        <w:tab/>
      </w:r>
      <w:r>
        <w:rPr>
          <w:rFonts w:ascii="宋体" w:hAnsi="宋体"/>
          <w:color w:val="000000"/>
          <w:szCs w:val="21"/>
          <w:highlight w:val="none"/>
        </w:rPr>
        <w:t>其他义务</w:t>
      </w:r>
    </w:p>
    <w:p w14:paraId="1D9C4E2E">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承包人应履行的其他义务见合同条款专用部分。</w:t>
      </w:r>
    </w:p>
    <w:p w14:paraId="10700BC9">
      <w:pPr>
        <w:spacing w:line="360" w:lineRule="auto"/>
        <w:rPr>
          <w:rFonts w:ascii="宋体" w:hAnsi="宋体"/>
          <w:color w:val="000000"/>
          <w:sz w:val="24"/>
          <w:highlight w:val="none"/>
        </w:rPr>
      </w:pPr>
      <w:bookmarkStart w:id="588" w:name="_bookmark122"/>
      <w:bookmarkEnd w:id="588"/>
      <w:r>
        <w:rPr>
          <w:rFonts w:ascii="宋体" w:hAnsi="宋体"/>
          <w:color w:val="000000"/>
          <w:sz w:val="24"/>
          <w:highlight w:val="none"/>
        </w:rPr>
        <w:t>4.2 履约担保</w:t>
      </w:r>
    </w:p>
    <w:p w14:paraId="3580E607">
      <w:pPr>
        <w:spacing w:line="360" w:lineRule="auto"/>
        <w:ind w:firstLine="420" w:firstLineChars="200"/>
        <w:rPr>
          <w:rFonts w:ascii="宋体" w:hAnsi="宋体"/>
          <w:color w:val="000000"/>
          <w:szCs w:val="21"/>
          <w:highlight w:val="none"/>
        </w:rPr>
      </w:pPr>
      <w:r>
        <w:rPr>
          <w:rFonts w:ascii="宋体" w:hAnsi="宋体"/>
          <w:color w:val="000000"/>
          <w:szCs w:val="21"/>
          <w:highlight w:val="none"/>
        </w:rPr>
        <w:t>4.2.1</w:t>
      </w:r>
      <w:r>
        <w:rPr>
          <w:rFonts w:ascii="宋体" w:hAnsi="宋体"/>
          <w:color w:val="000000"/>
          <w:szCs w:val="21"/>
          <w:highlight w:val="none"/>
        </w:rPr>
        <w:tab/>
      </w:r>
      <w:r>
        <w:rPr>
          <w:rFonts w:ascii="宋体" w:hAnsi="宋体"/>
          <w:color w:val="000000"/>
          <w:szCs w:val="21"/>
          <w:highlight w:val="none"/>
        </w:rPr>
        <w:t>履约担保的格式和金额</w:t>
      </w:r>
    </w:p>
    <w:p w14:paraId="2D056360">
      <w:pPr>
        <w:spacing w:line="360" w:lineRule="auto"/>
        <w:ind w:firstLine="420" w:firstLineChars="200"/>
        <w:rPr>
          <w:rFonts w:ascii="宋体" w:hAnsi="宋体"/>
          <w:color w:val="000000"/>
          <w:szCs w:val="21"/>
          <w:highlight w:val="none"/>
        </w:rPr>
      </w:pPr>
      <w:r>
        <w:rPr>
          <w:rFonts w:ascii="宋体" w:hAnsi="宋体"/>
          <w:color w:val="000000"/>
          <w:szCs w:val="21"/>
          <w:highlight w:val="none"/>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14:paraId="42C222A1">
      <w:pPr>
        <w:spacing w:line="360" w:lineRule="auto"/>
        <w:ind w:firstLine="420" w:firstLineChars="200"/>
        <w:rPr>
          <w:rFonts w:ascii="宋体" w:hAnsi="宋体"/>
          <w:color w:val="000000"/>
          <w:szCs w:val="21"/>
          <w:highlight w:val="none"/>
        </w:rPr>
      </w:pPr>
      <w:r>
        <w:rPr>
          <w:rFonts w:ascii="宋体" w:hAnsi="宋体"/>
          <w:color w:val="000000"/>
          <w:szCs w:val="21"/>
          <w:highlight w:val="none"/>
        </w:rPr>
        <w:t>4.2.2</w:t>
      </w:r>
      <w:r>
        <w:rPr>
          <w:rFonts w:ascii="宋体" w:hAnsi="宋体"/>
          <w:color w:val="000000"/>
          <w:szCs w:val="21"/>
          <w:highlight w:val="none"/>
        </w:rPr>
        <w:tab/>
      </w:r>
      <w:r>
        <w:rPr>
          <w:rFonts w:ascii="宋体" w:hAnsi="宋体"/>
          <w:color w:val="000000"/>
          <w:szCs w:val="21"/>
          <w:highlight w:val="none"/>
        </w:rPr>
        <w:t>履约担保的有效期</w:t>
      </w:r>
    </w:p>
    <w:p w14:paraId="2CB762A4">
      <w:pPr>
        <w:spacing w:line="360" w:lineRule="auto"/>
        <w:ind w:firstLine="420" w:firstLineChars="200"/>
        <w:rPr>
          <w:rFonts w:ascii="宋体" w:hAnsi="宋体"/>
          <w:color w:val="000000"/>
          <w:szCs w:val="21"/>
          <w:highlight w:val="none"/>
        </w:rPr>
      </w:pPr>
      <w:r>
        <w:rPr>
          <w:rFonts w:ascii="宋体" w:hAnsi="宋体"/>
          <w:color w:val="000000"/>
          <w:szCs w:val="21"/>
          <w:highlight w:val="none"/>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124FF37D">
      <w:pPr>
        <w:spacing w:line="360" w:lineRule="auto"/>
        <w:ind w:firstLine="420" w:firstLineChars="200"/>
        <w:rPr>
          <w:rFonts w:ascii="宋体" w:hAnsi="宋体"/>
          <w:color w:val="000000"/>
          <w:szCs w:val="21"/>
          <w:highlight w:val="none"/>
        </w:rPr>
      </w:pPr>
      <w:r>
        <w:rPr>
          <w:rFonts w:ascii="宋体" w:hAnsi="宋体"/>
          <w:color w:val="000000"/>
          <w:szCs w:val="21"/>
          <w:highlight w:val="none"/>
        </w:rPr>
        <w:t>4.2.3</w:t>
      </w:r>
      <w:r>
        <w:rPr>
          <w:rFonts w:ascii="宋体" w:hAnsi="宋体"/>
          <w:color w:val="000000"/>
          <w:szCs w:val="21"/>
          <w:highlight w:val="none"/>
        </w:rPr>
        <w:tab/>
      </w:r>
      <w:r>
        <w:rPr>
          <w:rFonts w:ascii="宋体" w:hAnsi="宋体"/>
          <w:color w:val="000000"/>
          <w:szCs w:val="21"/>
          <w:highlight w:val="none"/>
        </w:rPr>
        <w:t>履约担保的退还</w:t>
      </w:r>
    </w:p>
    <w:p w14:paraId="203CC7F2">
      <w:pPr>
        <w:spacing w:line="360" w:lineRule="auto"/>
        <w:ind w:firstLine="420" w:firstLineChars="200"/>
        <w:rPr>
          <w:rFonts w:ascii="宋体" w:hAnsi="宋体"/>
          <w:color w:val="000000"/>
          <w:szCs w:val="21"/>
          <w:highlight w:val="none"/>
        </w:rPr>
      </w:pPr>
      <w:r>
        <w:rPr>
          <w:rFonts w:ascii="宋体" w:hAnsi="宋体"/>
          <w:color w:val="000000"/>
          <w:szCs w:val="21"/>
          <w:highlight w:val="none"/>
        </w:rPr>
        <w:t>履约担保应在监理人向承包人颁发（出具）工程接收证书之日后 28 天内退还给承包人。发包人不承担承包人与履约担保有关的任何利息或其它类似的费用或者收益。</w:t>
      </w:r>
    </w:p>
    <w:p w14:paraId="56CF57F8">
      <w:pPr>
        <w:spacing w:line="360" w:lineRule="auto"/>
        <w:ind w:firstLine="420" w:firstLineChars="200"/>
        <w:rPr>
          <w:rFonts w:ascii="宋体" w:hAnsi="宋体"/>
          <w:color w:val="000000"/>
          <w:szCs w:val="21"/>
          <w:highlight w:val="none"/>
        </w:rPr>
      </w:pPr>
      <w:r>
        <w:rPr>
          <w:rFonts w:ascii="宋体" w:hAnsi="宋体"/>
          <w:color w:val="000000"/>
          <w:szCs w:val="21"/>
          <w:highlight w:val="none"/>
        </w:rPr>
        <w:t>4.2.4</w:t>
      </w:r>
      <w:r>
        <w:rPr>
          <w:rFonts w:ascii="宋体" w:hAnsi="宋体"/>
          <w:color w:val="000000"/>
          <w:szCs w:val="21"/>
          <w:highlight w:val="none"/>
        </w:rPr>
        <w:tab/>
      </w:r>
      <w:r>
        <w:rPr>
          <w:rFonts w:ascii="宋体" w:hAnsi="宋体"/>
          <w:color w:val="000000"/>
          <w:szCs w:val="21"/>
          <w:highlight w:val="none"/>
        </w:rPr>
        <w:t>通知义务</w:t>
      </w:r>
    </w:p>
    <w:p w14:paraId="6B6EA2C0">
      <w:pPr>
        <w:spacing w:line="360" w:lineRule="auto"/>
        <w:ind w:firstLine="420" w:firstLineChars="200"/>
        <w:rPr>
          <w:rFonts w:ascii="宋体" w:hAnsi="宋体"/>
          <w:color w:val="000000"/>
          <w:szCs w:val="21"/>
          <w:highlight w:val="none"/>
        </w:rPr>
      </w:pPr>
      <w:r>
        <w:rPr>
          <w:rFonts w:ascii="宋体" w:hAnsi="宋体"/>
          <w:color w:val="000000"/>
          <w:szCs w:val="21"/>
          <w:highlight w:val="none"/>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0E66A1E7">
      <w:pPr>
        <w:spacing w:line="360" w:lineRule="auto"/>
        <w:rPr>
          <w:rFonts w:ascii="宋体" w:hAnsi="宋体"/>
          <w:color w:val="000000"/>
          <w:sz w:val="24"/>
          <w:highlight w:val="none"/>
        </w:rPr>
      </w:pPr>
      <w:bookmarkStart w:id="589" w:name="_bookmark123"/>
      <w:bookmarkEnd w:id="589"/>
      <w:r>
        <w:rPr>
          <w:rFonts w:hint="eastAsia" w:ascii="宋体" w:hAnsi="宋体"/>
          <w:color w:val="000000"/>
          <w:sz w:val="24"/>
          <w:highlight w:val="none"/>
        </w:rPr>
        <w:t xml:space="preserve">4.3   </w:t>
      </w:r>
      <w:r>
        <w:rPr>
          <w:rFonts w:ascii="宋体" w:hAnsi="宋体"/>
          <w:color w:val="000000"/>
          <w:sz w:val="24"/>
          <w:highlight w:val="none"/>
        </w:rPr>
        <w:t>分包</w:t>
      </w:r>
    </w:p>
    <w:p w14:paraId="125DE207">
      <w:pPr>
        <w:spacing w:line="360" w:lineRule="auto"/>
        <w:ind w:firstLine="420" w:firstLineChars="200"/>
        <w:rPr>
          <w:rFonts w:ascii="宋体" w:hAnsi="宋体"/>
          <w:color w:val="000000"/>
          <w:szCs w:val="21"/>
          <w:highlight w:val="none"/>
        </w:rPr>
      </w:pPr>
      <w:r>
        <w:rPr>
          <w:rFonts w:ascii="宋体" w:hAnsi="宋体"/>
          <w:color w:val="000000"/>
          <w:szCs w:val="21"/>
          <w:highlight w:val="none"/>
        </w:rPr>
        <w:t>4.3.1</w:t>
      </w:r>
      <w:r>
        <w:rPr>
          <w:rFonts w:ascii="宋体" w:hAnsi="宋体"/>
          <w:color w:val="000000"/>
          <w:szCs w:val="21"/>
          <w:highlight w:val="none"/>
        </w:rPr>
        <w:tab/>
      </w:r>
      <w:r>
        <w:rPr>
          <w:rFonts w:ascii="宋体" w:hAnsi="宋体"/>
          <w:color w:val="000000"/>
          <w:szCs w:val="21"/>
          <w:highlight w:val="none"/>
        </w:rPr>
        <w:t>承包人不得将其承包的全部工程转包给第三人，或将其承包的全部工程肢解后以分包的名义转包给第三人。</w:t>
      </w:r>
    </w:p>
    <w:p w14:paraId="36B4E87B">
      <w:pPr>
        <w:spacing w:line="360" w:lineRule="auto"/>
        <w:ind w:firstLine="420" w:firstLineChars="200"/>
        <w:rPr>
          <w:rFonts w:ascii="宋体" w:hAnsi="宋体"/>
          <w:color w:val="000000"/>
          <w:szCs w:val="21"/>
          <w:highlight w:val="none"/>
        </w:rPr>
      </w:pPr>
      <w:r>
        <w:rPr>
          <w:rFonts w:ascii="宋体" w:hAnsi="宋体"/>
          <w:color w:val="000000"/>
          <w:szCs w:val="21"/>
          <w:highlight w:val="none"/>
        </w:rPr>
        <w:t>4.3.2</w:t>
      </w:r>
      <w:r>
        <w:rPr>
          <w:rFonts w:ascii="宋体" w:hAnsi="宋体"/>
          <w:color w:val="000000"/>
          <w:szCs w:val="21"/>
          <w:highlight w:val="none"/>
        </w:rPr>
        <w:tab/>
      </w:r>
      <w:r>
        <w:rPr>
          <w:rFonts w:ascii="宋体" w:hAnsi="宋体"/>
          <w:color w:val="000000"/>
          <w:szCs w:val="21"/>
          <w:highlight w:val="none"/>
        </w:rPr>
        <w:t>承包人不得将工程主体、关键性工作分包给第三人。</w:t>
      </w:r>
    </w:p>
    <w:p w14:paraId="55478A87">
      <w:pPr>
        <w:spacing w:line="360" w:lineRule="auto"/>
        <w:ind w:firstLine="420" w:firstLineChars="200"/>
        <w:rPr>
          <w:rFonts w:ascii="宋体" w:hAnsi="宋体"/>
          <w:color w:val="000000"/>
          <w:szCs w:val="21"/>
          <w:highlight w:val="none"/>
        </w:rPr>
      </w:pPr>
      <w:r>
        <w:rPr>
          <w:rFonts w:ascii="宋体" w:hAnsi="宋体"/>
          <w:color w:val="000000"/>
          <w:szCs w:val="21"/>
          <w:highlight w:val="none"/>
        </w:rPr>
        <w:t>4.3.3</w:t>
      </w:r>
      <w:r>
        <w:rPr>
          <w:rFonts w:ascii="宋体" w:hAnsi="宋体"/>
          <w:color w:val="000000"/>
          <w:szCs w:val="21"/>
          <w:highlight w:val="none"/>
        </w:rPr>
        <w:tab/>
      </w:r>
      <w:r>
        <w:rPr>
          <w:rFonts w:ascii="宋体" w:hAnsi="宋体"/>
          <w:color w:val="000000"/>
          <w:szCs w:val="21"/>
          <w:highlight w:val="none"/>
        </w:rPr>
        <w:t>未经发包人同意，承包人不得将其自行施工范围工程的其他部分或工作分包给第三人。发包人同意承包人分包的非主体、非关键性工作包括：</w:t>
      </w:r>
    </w:p>
    <w:p w14:paraId="349A40B3">
      <w:pPr>
        <w:spacing w:line="360" w:lineRule="auto"/>
        <w:ind w:firstLine="420" w:firstLineChars="200"/>
        <w:rPr>
          <w:rFonts w:ascii="宋体" w:hAnsi="宋体"/>
          <w:color w:val="000000"/>
          <w:szCs w:val="21"/>
          <w:highlight w:val="none"/>
        </w:rPr>
      </w:pPr>
      <w:r>
        <w:rPr>
          <w:rFonts w:ascii="宋体" w:hAnsi="宋体"/>
          <w:color w:val="000000"/>
          <w:szCs w:val="21"/>
          <w:highlight w:val="none"/>
        </w:rPr>
        <w:t>（1）投标函附录约定的分包工程；</w:t>
      </w:r>
    </w:p>
    <w:p w14:paraId="1CB0DCD6">
      <w:pPr>
        <w:spacing w:line="360" w:lineRule="auto"/>
        <w:ind w:firstLine="420" w:firstLineChars="200"/>
        <w:rPr>
          <w:rFonts w:ascii="宋体" w:hAnsi="宋体"/>
          <w:color w:val="000000"/>
          <w:szCs w:val="21"/>
          <w:highlight w:val="none"/>
        </w:rPr>
      </w:pPr>
      <w:r>
        <w:rPr>
          <w:rFonts w:ascii="宋体" w:hAnsi="宋体"/>
          <w:color w:val="000000"/>
          <w:szCs w:val="21"/>
          <w:highlight w:val="none"/>
        </w:rPr>
        <w:t>（2）除投标函附录中约定的分包内容外，经过发包人和监理人同意的其他非主体、非关键性工作，但分包人应当经过发包人和监理人审批。发包人和监理人有权拒绝承包人的分包请求和承包人选择的分包人。</w:t>
      </w:r>
    </w:p>
    <w:p w14:paraId="4814ADFF">
      <w:pPr>
        <w:spacing w:line="360" w:lineRule="auto"/>
        <w:ind w:firstLine="420" w:firstLineChars="200"/>
        <w:rPr>
          <w:rFonts w:ascii="宋体" w:hAnsi="宋体"/>
          <w:color w:val="000000"/>
          <w:szCs w:val="21"/>
          <w:highlight w:val="none"/>
        </w:rPr>
      </w:pPr>
      <w:r>
        <w:rPr>
          <w:rFonts w:ascii="宋体" w:hAnsi="宋体"/>
          <w:color w:val="000000"/>
          <w:szCs w:val="21"/>
          <w:highlight w:val="none"/>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5C63E893">
      <w:pPr>
        <w:spacing w:line="360" w:lineRule="auto"/>
        <w:ind w:firstLine="420" w:firstLineChars="200"/>
        <w:rPr>
          <w:rFonts w:ascii="宋体" w:hAnsi="宋体"/>
          <w:color w:val="000000"/>
          <w:szCs w:val="21"/>
          <w:highlight w:val="none"/>
        </w:rPr>
      </w:pPr>
      <w:r>
        <w:rPr>
          <w:rFonts w:ascii="宋体" w:hAnsi="宋体"/>
          <w:color w:val="000000"/>
          <w:szCs w:val="21"/>
          <w:highlight w:val="none"/>
        </w:rPr>
        <w:t>4.3.5</w:t>
      </w:r>
      <w:r>
        <w:rPr>
          <w:rFonts w:ascii="宋体" w:hAnsi="宋体"/>
          <w:color w:val="000000"/>
          <w:szCs w:val="21"/>
          <w:highlight w:val="none"/>
        </w:rPr>
        <w:tab/>
      </w:r>
      <w:r>
        <w:rPr>
          <w:rFonts w:ascii="宋体" w:hAnsi="宋体"/>
          <w:color w:val="000000"/>
          <w:szCs w:val="21"/>
          <w:highlight w:val="none"/>
        </w:rPr>
        <w:t>在相关分包合同签订并报送有关建设行政主管部门备案后7天内，承包人应当将一份副本提交给监理人，承包人应保障分包工作不得再次分包。</w:t>
      </w:r>
    </w:p>
    <w:p w14:paraId="7FDE408A">
      <w:pPr>
        <w:spacing w:line="360" w:lineRule="auto"/>
        <w:ind w:firstLine="420" w:firstLineChars="200"/>
        <w:rPr>
          <w:rFonts w:ascii="宋体" w:hAnsi="宋体"/>
          <w:color w:val="000000"/>
          <w:szCs w:val="21"/>
          <w:highlight w:val="none"/>
        </w:rPr>
      </w:pPr>
      <w:r>
        <w:rPr>
          <w:rFonts w:ascii="宋体" w:hAnsi="宋体"/>
          <w:color w:val="000000"/>
          <w:szCs w:val="21"/>
          <w:highlight w:val="none"/>
        </w:rPr>
        <w:t>4.3.6</w:t>
      </w:r>
      <w:r>
        <w:rPr>
          <w:rFonts w:ascii="宋体" w:hAnsi="宋体"/>
          <w:color w:val="000000"/>
          <w:szCs w:val="21"/>
          <w:highlight w:val="none"/>
        </w:rPr>
        <w:tab/>
      </w:r>
      <w:r>
        <w:rPr>
          <w:rFonts w:ascii="宋体" w:hAnsi="宋体"/>
          <w:color w:val="000000"/>
          <w:szCs w:val="21"/>
          <w:highlight w:val="none"/>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0C5EF8FA">
      <w:pPr>
        <w:spacing w:line="360" w:lineRule="auto"/>
        <w:ind w:firstLine="420" w:firstLineChars="200"/>
        <w:rPr>
          <w:rFonts w:ascii="宋体" w:hAnsi="宋体"/>
          <w:color w:val="000000"/>
          <w:szCs w:val="21"/>
          <w:highlight w:val="none"/>
        </w:rPr>
      </w:pPr>
      <w:r>
        <w:rPr>
          <w:rFonts w:ascii="宋体" w:hAnsi="宋体"/>
          <w:color w:val="000000"/>
          <w:szCs w:val="21"/>
          <w:highlight w:val="none"/>
        </w:rPr>
        <w:t>4.3.7</w:t>
      </w:r>
      <w:r>
        <w:rPr>
          <w:rFonts w:ascii="宋体" w:hAnsi="宋体"/>
          <w:color w:val="000000"/>
          <w:szCs w:val="21"/>
          <w:highlight w:val="none"/>
        </w:rPr>
        <w:tab/>
      </w:r>
      <w:r>
        <w:rPr>
          <w:rFonts w:ascii="宋体" w:hAnsi="宋体"/>
          <w:color w:val="000000"/>
          <w:szCs w:val="21"/>
          <w:highlight w:val="none"/>
        </w:rPr>
        <w:t>未经发包人和监理人审批同意的分包工程和分包人，发包人有权拒绝验收分包工程和支付相应款项，由此引起的承包人费用增加和（或）延误的工期由承包人承担。</w:t>
      </w:r>
    </w:p>
    <w:p w14:paraId="328258A0">
      <w:pPr>
        <w:spacing w:line="360" w:lineRule="auto"/>
        <w:ind w:firstLine="420" w:firstLineChars="200"/>
        <w:rPr>
          <w:rFonts w:ascii="宋体" w:hAnsi="宋体"/>
          <w:color w:val="000000"/>
          <w:szCs w:val="21"/>
          <w:highlight w:val="none"/>
        </w:rPr>
      </w:pPr>
      <w:r>
        <w:rPr>
          <w:rFonts w:ascii="宋体" w:hAnsi="宋体"/>
          <w:color w:val="000000"/>
          <w:szCs w:val="21"/>
          <w:highlight w:val="none"/>
        </w:rPr>
        <w:t>4.3.8</w:t>
      </w:r>
      <w:r>
        <w:rPr>
          <w:rFonts w:ascii="宋体" w:hAnsi="宋体"/>
          <w:color w:val="000000"/>
          <w:szCs w:val="21"/>
          <w:highlight w:val="none"/>
        </w:rPr>
        <w:tab/>
      </w:r>
      <w:r>
        <w:rPr>
          <w:rFonts w:ascii="宋体" w:hAnsi="宋体"/>
          <w:color w:val="000000"/>
          <w:szCs w:val="21"/>
          <w:highlight w:val="none"/>
        </w:rPr>
        <w:t>分包人的资格能力应与其分包工程的标准和规模相适应。</w:t>
      </w:r>
    </w:p>
    <w:p w14:paraId="4D8EC8BE">
      <w:pPr>
        <w:spacing w:line="360" w:lineRule="auto"/>
        <w:ind w:firstLine="420" w:firstLineChars="200"/>
        <w:rPr>
          <w:rFonts w:ascii="宋体" w:hAnsi="宋体"/>
          <w:color w:val="000000"/>
          <w:szCs w:val="21"/>
          <w:highlight w:val="none"/>
        </w:rPr>
      </w:pPr>
      <w:r>
        <w:rPr>
          <w:rFonts w:ascii="宋体" w:hAnsi="宋体"/>
          <w:color w:val="000000"/>
          <w:szCs w:val="21"/>
          <w:highlight w:val="none"/>
        </w:rPr>
        <w:t>4.3.9</w:t>
      </w:r>
      <w:r>
        <w:rPr>
          <w:rFonts w:ascii="宋体" w:hAnsi="宋体"/>
          <w:color w:val="000000"/>
          <w:szCs w:val="21"/>
          <w:highlight w:val="none"/>
        </w:rPr>
        <w:tab/>
      </w:r>
      <w:r>
        <w:rPr>
          <w:rFonts w:ascii="宋体" w:hAnsi="宋体"/>
          <w:color w:val="000000"/>
          <w:szCs w:val="21"/>
          <w:highlight w:val="none"/>
        </w:rPr>
        <w:t>发包人同意的分包工程，承包人应向发包人和监理人提供合同副本。</w:t>
      </w:r>
    </w:p>
    <w:p w14:paraId="79B7F9F6">
      <w:pPr>
        <w:numPr>
          <w:ilvl w:val="2"/>
          <w:numId w:val="76"/>
        </w:numPr>
        <w:spacing w:line="360" w:lineRule="auto"/>
        <w:rPr>
          <w:rFonts w:ascii="宋体" w:hAnsi="宋体"/>
          <w:color w:val="000000"/>
          <w:szCs w:val="21"/>
          <w:highlight w:val="none"/>
        </w:rPr>
      </w:pPr>
      <w:r>
        <w:rPr>
          <w:rFonts w:ascii="宋体" w:hAnsi="宋体"/>
          <w:color w:val="000000"/>
          <w:szCs w:val="21"/>
          <w:highlight w:val="none"/>
        </w:rPr>
        <w:t>承包人应与分包人就分包工程向发包人承担连带责任。</w:t>
      </w:r>
    </w:p>
    <w:p w14:paraId="21FD4383">
      <w:pPr>
        <w:spacing w:line="360" w:lineRule="auto"/>
        <w:rPr>
          <w:rFonts w:ascii="宋体" w:hAnsi="宋体"/>
          <w:color w:val="000000"/>
          <w:sz w:val="24"/>
          <w:highlight w:val="none"/>
        </w:rPr>
      </w:pPr>
      <w:bookmarkStart w:id="590" w:name="_bookmark124"/>
      <w:bookmarkEnd w:id="590"/>
      <w:r>
        <w:rPr>
          <w:rFonts w:hint="eastAsia" w:ascii="宋体" w:hAnsi="宋体"/>
          <w:color w:val="000000"/>
          <w:sz w:val="24"/>
          <w:highlight w:val="none"/>
        </w:rPr>
        <w:t xml:space="preserve">4.4  </w:t>
      </w:r>
      <w:r>
        <w:rPr>
          <w:rFonts w:ascii="宋体" w:hAnsi="宋体"/>
          <w:color w:val="000000"/>
          <w:sz w:val="24"/>
          <w:highlight w:val="none"/>
        </w:rPr>
        <w:t>联合体</w:t>
      </w:r>
    </w:p>
    <w:p w14:paraId="0C13B6DC">
      <w:pPr>
        <w:spacing w:line="360" w:lineRule="auto"/>
        <w:ind w:firstLine="420" w:firstLineChars="200"/>
        <w:rPr>
          <w:rFonts w:ascii="宋体" w:hAnsi="宋体"/>
          <w:color w:val="000000"/>
          <w:szCs w:val="21"/>
          <w:highlight w:val="none"/>
        </w:rPr>
      </w:pPr>
      <w:r>
        <w:rPr>
          <w:rFonts w:ascii="宋体" w:hAnsi="宋体"/>
          <w:color w:val="000000"/>
          <w:szCs w:val="21"/>
          <w:highlight w:val="none"/>
        </w:rPr>
        <w:t>4.4.1</w:t>
      </w:r>
      <w:r>
        <w:rPr>
          <w:rFonts w:ascii="宋体" w:hAnsi="宋体"/>
          <w:color w:val="000000"/>
          <w:szCs w:val="21"/>
          <w:highlight w:val="none"/>
        </w:rPr>
        <w:tab/>
      </w:r>
      <w:r>
        <w:rPr>
          <w:rFonts w:ascii="宋体" w:hAnsi="宋体"/>
          <w:color w:val="000000"/>
          <w:szCs w:val="21"/>
          <w:highlight w:val="none"/>
        </w:rPr>
        <w:t>联合体各方应共同与发包人签订合同协议书。联合体各方应为履行合同承担连带责任。</w:t>
      </w:r>
    </w:p>
    <w:p w14:paraId="6B5AC739">
      <w:pPr>
        <w:spacing w:line="360" w:lineRule="auto"/>
        <w:ind w:firstLine="420" w:firstLineChars="200"/>
        <w:rPr>
          <w:rFonts w:ascii="宋体" w:hAnsi="宋体"/>
          <w:color w:val="000000"/>
          <w:szCs w:val="21"/>
          <w:highlight w:val="none"/>
        </w:rPr>
      </w:pPr>
      <w:r>
        <w:rPr>
          <w:rFonts w:ascii="宋体" w:hAnsi="宋体"/>
          <w:color w:val="000000"/>
          <w:szCs w:val="21"/>
          <w:highlight w:val="none"/>
        </w:rPr>
        <w:t>4.4.2 联合体协议经发包人确认后作为合同附件。在履行合同过程中，未经发包人同意，不得修改联合体协议。</w:t>
      </w:r>
    </w:p>
    <w:p w14:paraId="1499C37B">
      <w:pPr>
        <w:spacing w:line="360" w:lineRule="auto"/>
        <w:ind w:firstLine="420" w:firstLineChars="200"/>
        <w:rPr>
          <w:rFonts w:ascii="宋体" w:hAnsi="宋体"/>
          <w:color w:val="000000"/>
          <w:szCs w:val="21"/>
          <w:highlight w:val="none"/>
        </w:rPr>
      </w:pPr>
      <w:r>
        <w:rPr>
          <w:rFonts w:ascii="宋体" w:hAnsi="宋体"/>
          <w:color w:val="000000"/>
          <w:szCs w:val="21"/>
          <w:highlight w:val="none"/>
        </w:rPr>
        <w:t>4.4.3 联合体牵头人负责与发包人和监理人联系，并接受指示，负责组织联合体各成员全面履行合同。</w:t>
      </w:r>
    </w:p>
    <w:p w14:paraId="69ECFD34">
      <w:pPr>
        <w:spacing w:line="360" w:lineRule="auto"/>
        <w:rPr>
          <w:rFonts w:ascii="宋体" w:hAnsi="宋体"/>
          <w:color w:val="000000"/>
          <w:sz w:val="24"/>
          <w:highlight w:val="none"/>
        </w:rPr>
      </w:pPr>
      <w:bookmarkStart w:id="591" w:name="_bookmark125"/>
      <w:bookmarkEnd w:id="591"/>
      <w:r>
        <w:rPr>
          <w:rFonts w:ascii="宋体" w:hAnsi="宋体"/>
          <w:color w:val="000000"/>
          <w:sz w:val="24"/>
          <w:highlight w:val="none"/>
        </w:rPr>
        <w:t>4.5</w:t>
      </w:r>
      <w:r>
        <w:rPr>
          <w:rFonts w:ascii="宋体" w:hAnsi="宋体"/>
          <w:color w:val="000000"/>
          <w:sz w:val="24"/>
          <w:highlight w:val="none"/>
        </w:rPr>
        <w:tab/>
      </w:r>
      <w:r>
        <w:rPr>
          <w:rFonts w:ascii="宋体" w:hAnsi="宋体"/>
          <w:color w:val="000000"/>
          <w:sz w:val="24"/>
          <w:highlight w:val="none"/>
        </w:rPr>
        <w:t>承包人项目经理</w:t>
      </w:r>
    </w:p>
    <w:p w14:paraId="43BAA495">
      <w:pPr>
        <w:spacing w:line="360" w:lineRule="auto"/>
        <w:ind w:firstLine="420" w:firstLineChars="200"/>
        <w:rPr>
          <w:rFonts w:ascii="宋体" w:hAnsi="宋体"/>
          <w:color w:val="000000"/>
          <w:szCs w:val="21"/>
          <w:highlight w:val="none"/>
        </w:rPr>
      </w:pPr>
      <w:r>
        <w:rPr>
          <w:rFonts w:ascii="宋体" w:hAnsi="宋体"/>
          <w:color w:val="000000"/>
          <w:szCs w:val="21"/>
          <w:highlight w:val="none"/>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Pr>
          <w:rFonts w:hint="eastAsia" w:ascii="宋体" w:hAnsi="宋体"/>
          <w:color w:val="000000"/>
          <w:szCs w:val="21"/>
          <w:highlight w:val="none"/>
        </w:rPr>
        <w:t>1</w:t>
      </w:r>
      <w:r>
        <w:rPr>
          <w:rFonts w:ascii="宋体" w:hAnsi="宋体"/>
          <w:color w:val="000000"/>
          <w:szCs w:val="21"/>
          <w:highlight w:val="none"/>
        </w:rPr>
        <w:t>4天前通知发包人和监理人。承包人项目经理短期离开施工场地，应事先征得监理人同意，并委派代表代行其职责。</w:t>
      </w:r>
    </w:p>
    <w:p w14:paraId="6A48C929">
      <w:pPr>
        <w:spacing w:line="360" w:lineRule="auto"/>
        <w:ind w:firstLine="420" w:firstLineChars="200"/>
        <w:rPr>
          <w:rFonts w:ascii="宋体" w:hAnsi="宋体"/>
          <w:color w:val="000000"/>
          <w:szCs w:val="21"/>
          <w:highlight w:val="none"/>
        </w:rPr>
      </w:pPr>
      <w:r>
        <w:rPr>
          <w:rFonts w:ascii="宋体" w:hAnsi="宋体"/>
          <w:color w:val="000000"/>
          <w:szCs w:val="21"/>
          <w:highlight w:val="none"/>
        </w:rPr>
        <w:t>4.5.2 承包人项目经理应按合同约定以及监理人按第 3.4 款作出的指示，负责组织合同工程的实施。在情况紧急且无法与监理人取得联系时，可采取保证工程和人员生命财产安全的紧急措施，并在采取措施后24小时内向监理人提交书面报告。</w:t>
      </w:r>
    </w:p>
    <w:p w14:paraId="055A0C5B">
      <w:pPr>
        <w:spacing w:line="360" w:lineRule="auto"/>
        <w:ind w:firstLine="420" w:firstLineChars="200"/>
        <w:rPr>
          <w:rFonts w:ascii="宋体" w:hAnsi="宋体"/>
          <w:color w:val="000000"/>
          <w:szCs w:val="21"/>
          <w:highlight w:val="none"/>
        </w:rPr>
      </w:pPr>
      <w:r>
        <w:rPr>
          <w:rFonts w:ascii="宋体" w:hAnsi="宋体"/>
          <w:color w:val="000000"/>
          <w:szCs w:val="21"/>
          <w:highlight w:val="none"/>
        </w:rPr>
        <w:t>4.5.3 承包人为履行合同发出的一切函件均应盖有承包人授权的施工场地管理机构章，并由承包人项目经理或其授权代表签字。</w:t>
      </w:r>
    </w:p>
    <w:p w14:paraId="6A98A618">
      <w:pPr>
        <w:spacing w:line="360" w:lineRule="auto"/>
        <w:ind w:firstLine="420" w:firstLineChars="200"/>
        <w:rPr>
          <w:rFonts w:ascii="宋体" w:hAnsi="宋体"/>
          <w:color w:val="000000"/>
          <w:szCs w:val="21"/>
          <w:highlight w:val="none"/>
        </w:rPr>
      </w:pPr>
      <w:r>
        <w:rPr>
          <w:rFonts w:ascii="宋体" w:hAnsi="宋体"/>
          <w:color w:val="000000"/>
          <w:szCs w:val="21"/>
          <w:highlight w:val="none"/>
        </w:rPr>
        <w:t>4.5.4 承包人项目经理可以授权其下属人员履行其某项职责，但事先应将这些人员的姓名和授权范围通知监理人。</w:t>
      </w:r>
    </w:p>
    <w:p w14:paraId="7D28D8E8">
      <w:pPr>
        <w:spacing w:line="360" w:lineRule="auto"/>
        <w:rPr>
          <w:rFonts w:ascii="宋体" w:hAnsi="宋体"/>
          <w:color w:val="000000"/>
          <w:sz w:val="24"/>
          <w:highlight w:val="none"/>
        </w:rPr>
      </w:pPr>
      <w:bookmarkStart w:id="592" w:name="_bookmark126"/>
      <w:bookmarkEnd w:id="592"/>
      <w:r>
        <w:rPr>
          <w:rFonts w:ascii="宋体" w:hAnsi="宋体"/>
          <w:color w:val="000000"/>
          <w:sz w:val="24"/>
          <w:highlight w:val="none"/>
        </w:rPr>
        <w:t>4.6</w:t>
      </w:r>
      <w:r>
        <w:rPr>
          <w:rFonts w:ascii="宋体" w:hAnsi="宋体"/>
          <w:color w:val="000000"/>
          <w:sz w:val="24"/>
          <w:highlight w:val="none"/>
        </w:rPr>
        <w:tab/>
      </w:r>
      <w:r>
        <w:rPr>
          <w:rFonts w:ascii="宋体" w:hAnsi="宋体"/>
          <w:color w:val="000000"/>
          <w:sz w:val="24"/>
          <w:highlight w:val="none"/>
        </w:rPr>
        <w:t>承包人人员的管理</w:t>
      </w:r>
    </w:p>
    <w:p w14:paraId="23163598">
      <w:pPr>
        <w:spacing w:line="360" w:lineRule="auto"/>
        <w:ind w:firstLine="420" w:firstLineChars="200"/>
        <w:rPr>
          <w:rFonts w:ascii="宋体" w:hAnsi="宋体"/>
          <w:color w:val="000000"/>
          <w:szCs w:val="21"/>
          <w:highlight w:val="none"/>
        </w:rPr>
      </w:pPr>
      <w:r>
        <w:rPr>
          <w:rFonts w:ascii="宋体" w:hAnsi="宋体"/>
          <w:color w:val="000000"/>
          <w:szCs w:val="21"/>
          <w:highlight w:val="none"/>
        </w:rPr>
        <w:t>4.6.1 承包人应在接到开工通知后 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612BEB2">
      <w:pPr>
        <w:spacing w:line="360" w:lineRule="auto"/>
        <w:ind w:firstLine="420" w:firstLineChars="200"/>
        <w:rPr>
          <w:rFonts w:ascii="宋体" w:hAnsi="宋体"/>
          <w:color w:val="000000"/>
          <w:szCs w:val="21"/>
          <w:highlight w:val="none"/>
        </w:rPr>
      </w:pPr>
      <w:r>
        <w:rPr>
          <w:rFonts w:ascii="宋体" w:hAnsi="宋体"/>
          <w:color w:val="000000"/>
          <w:szCs w:val="21"/>
          <w:highlight w:val="none"/>
        </w:rPr>
        <w:t>4.6.2 为完成合同约定的各项工作，承包人应向施工场地派遣或雇佣足够数量的下列人员：</w:t>
      </w:r>
    </w:p>
    <w:p w14:paraId="382A682A">
      <w:pPr>
        <w:spacing w:line="360" w:lineRule="auto"/>
        <w:ind w:firstLine="420" w:firstLineChars="200"/>
        <w:rPr>
          <w:rFonts w:ascii="宋体" w:hAnsi="宋体"/>
          <w:color w:val="000000"/>
          <w:szCs w:val="21"/>
          <w:highlight w:val="none"/>
        </w:rPr>
      </w:pPr>
      <w:r>
        <w:rPr>
          <w:rFonts w:ascii="宋体" w:hAnsi="宋体"/>
          <w:color w:val="000000"/>
          <w:szCs w:val="21"/>
          <w:highlight w:val="none"/>
        </w:rPr>
        <w:t>（1）具有相应资格的专业技工和合格的普工；</w:t>
      </w:r>
    </w:p>
    <w:p w14:paraId="4DEAE142">
      <w:pPr>
        <w:spacing w:line="360" w:lineRule="auto"/>
        <w:ind w:firstLine="420" w:firstLineChars="200"/>
        <w:rPr>
          <w:rFonts w:ascii="宋体" w:hAnsi="宋体"/>
          <w:color w:val="000000"/>
          <w:szCs w:val="21"/>
          <w:highlight w:val="none"/>
        </w:rPr>
      </w:pPr>
      <w:r>
        <w:rPr>
          <w:rFonts w:ascii="宋体" w:hAnsi="宋体"/>
          <w:color w:val="000000"/>
          <w:szCs w:val="21"/>
          <w:highlight w:val="none"/>
        </w:rPr>
        <w:t>（2）具有相应施工经验的技术人员；</w:t>
      </w:r>
    </w:p>
    <w:p w14:paraId="46D07E30">
      <w:pPr>
        <w:spacing w:line="360" w:lineRule="auto"/>
        <w:ind w:firstLine="420" w:firstLineChars="200"/>
        <w:rPr>
          <w:rFonts w:ascii="宋体" w:hAnsi="宋体"/>
          <w:color w:val="000000"/>
          <w:szCs w:val="21"/>
          <w:highlight w:val="none"/>
        </w:rPr>
      </w:pPr>
      <w:r>
        <w:rPr>
          <w:rFonts w:ascii="宋体" w:hAnsi="宋体"/>
          <w:color w:val="000000"/>
          <w:szCs w:val="21"/>
          <w:highlight w:val="none"/>
        </w:rPr>
        <w:t>（3）具有相应岗位资格的各级管理人员。</w:t>
      </w:r>
    </w:p>
    <w:p w14:paraId="4785CFC7">
      <w:pPr>
        <w:spacing w:line="360" w:lineRule="auto"/>
        <w:ind w:firstLine="420" w:firstLineChars="200"/>
        <w:rPr>
          <w:rFonts w:ascii="宋体" w:hAnsi="宋体"/>
          <w:color w:val="000000"/>
          <w:szCs w:val="21"/>
          <w:highlight w:val="none"/>
        </w:rPr>
      </w:pPr>
      <w:r>
        <w:rPr>
          <w:rFonts w:ascii="宋体" w:hAnsi="宋体"/>
          <w:color w:val="000000"/>
          <w:szCs w:val="21"/>
          <w:highlight w:val="none"/>
        </w:rPr>
        <w:t>4.6.3</w:t>
      </w:r>
      <w:r>
        <w:rPr>
          <w:rFonts w:ascii="宋体" w:hAnsi="宋体"/>
          <w:color w:val="000000"/>
          <w:szCs w:val="21"/>
          <w:highlight w:val="none"/>
        </w:rPr>
        <w:tab/>
      </w:r>
      <w:r>
        <w:rPr>
          <w:rFonts w:ascii="宋体" w:hAnsi="宋体"/>
          <w:color w:val="000000"/>
          <w:szCs w:val="21"/>
          <w:highlight w:val="none"/>
        </w:rPr>
        <w:t>承包人安排在施工场地的主要管理人员和技术骨干应相对稳定。承包人更换主要管理人员和技术骨干时，应取得监理人的同意。</w:t>
      </w:r>
    </w:p>
    <w:p w14:paraId="7380E50C">
      <w:pPr>
        <w:spacing w:line="360" w:lineRule="auto"/>
        <w:ind w:firstLine="420" w:firstLineChars="200"/>
        <w:rPr>
          <w:rFonts w:ascii="宋体" w:hAnsi="宋体"/>
          <w:color w:val="000000"/>
          <w:szCs w:val="21"/>
          <w:highlight w:val="none"/>
        </w:rPr>
      </w:pPr>
      <w:r>
        <w:rPr>
          <w:rFonts w:ascii="宋体" w:hAnsi="宋体"/>
          <w:color w:val="000000"/>
          <w:szCs w:val="21"/>
          <w:highlight w:val="none"/>
        </w:rPr>
        <w:t>4.6.4</w:t>
      </w:r>
      <w:r>
        <w:rPr>
          <w:rFonts w:ascii="宋体" w:hAnsi="宋体"/>
          <w:color w:val="000000"/>
          <w:szCs w:val="21"/>
          <w:highlight w:val="none"/>
        </w:rPr>
        <w:tab/>
      </w:r>
      <w:r>
        <w:rPr>
          <w:rFonts w:ascii="宋体" w:hAnsi="宋体"/>
          <w:color w:val="000000"/>
          <w:szCs w:val="21"/>
          <w:highlight w:val="none"/>
        </w:rPr>
        <w:t>特殊岗位的工作人员均应持有相应的资格证明，监理人有权随时检查。监理人认为有必要时，可进行现场考核。</w:t>
      </w:r>
    </w:p>
    <w:p w14:paraId="32E002CF">
      <w:pPr>
        <w:spacing w:line="360" w:lineRule="auto"/>
        <w:rPr>
          <w:rFonts w:ascii="宋体" w:hAnsi="宋体"/>
          <w:color w:val="000000"/>
          <w:sz w:val="24"/>
          <w:highlight w:val="none"/>
        </w:rPr>
      </w:pPr>
      <w:bookmarkStart w:id="593" w:name="_bookmark127"/>
      <w:bookmarkEnd w:id="593"/>
      <w:r>
        <w:rPr>
          <w:rFonts w:ascii="宋体" w:hAnsi="宋体"/>
          <w:color w:val="000000"/>
          <w:sz w:val="24"/>
          <w:highlight w:val="none"/>
        </w:rPr>
        <w:t>4.7</w:t>
      </w:r>
      <w:r>
        <w:rPr>
          <w:rFonts w:ascii="宋体" w:hAnsi="宋体"/>
          <w:color w:val="000000"/>
          <w:sz w:val="24"/>
          <w:highlight w:val="none"/>
        </w:rPr>
        <w:tab/>
      </w:r>
      <w:r>
        <w:rPr>
          <w:rFonts w:ascii="宋体" w:hAnsi="宋体"/>
          <w:color w:val="000000"/>
          <w:sz w:val="24"/>
          <w:highlight w:val="none"/>
        </w:rPr>
        <w:t>撤换承包人项目经理和其他人员</w:t>
      </w:r>
    </w:p>
    <w:p w14:paraId="56D88601">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承包人应对其项目经理和其他人员进行有效管理。监理人要求撤换不能胜任本职工作、行为不端或玩忽职守的承包人项目经理和其他人员的，承包人应予以撤换。</w:t>
      </w:r>
    </w:p>
    <w:p w14:paraId="4B99C727">
      <w:pPr>
        <w:spacing w:line="360" w:lineRule="auto"/>
        <w:rPr>
          <w:rFonts w:ascii="宋体" w:hAnsi="宋体"/>
          <w:color w:val="000000"/>
          <w:sz w:val="24"/>
          <w:highlight w:val="none"/>
        </w:rPr>
      </w:pPr>
      <w:bookmarkStart w:id="594" w:name="_bookmark128"/>
      <w:bookmarkEnd w:id="594"/>
      <w:r>
        <w:rPr>
          <w:rFonts w:ascii="宋体" w:hAnsi="宋体"/>
          <w:color w:val="000000"/>
          <w:sz w:val="24"/>
          <w:highlight w:val="none"/>
        </w:rPr>
        <w:t>4.8</w:t>
      </w:r>
      <w:r>
        <w:rPr>
          <w:rFonts w:ascii="宋体" w:hAnsi="宋体"/>
          <w:color w:val="000000"/>
          <w:sz w:val="24"/>
          <w:highlight w:val="none"/>
        </w:rPr>
        <w:tab/>
      </w:r>
      <w:r>
        <w:rPr>
          <w:rFonts w:ascii="宋体" w:hAnsi="宋体"/>
          <w:color w:val="000000"/>
          <w:sz w:val="24"/>
          <w:highlight w:val="none"/>
        </w:rPr>
        <w:t>保障承包人人员的合法权益</w:t>
      </w:r>
    </w:p>
    <w:p w14:paraId="657A077F">
      <w:pPr>
        <w:spacing w:line="360" w:lineRule="auto"/>
        <w:ind w:firstLine="420" w:firstLineChars="200"/>
        <w:rPr>
          <w:rFonts w:ascii="宋体" w:hAnsi="宋体"/>
          <w:color w:val="000000"/>
          <w:szCs w:val="21"/>
          <w:highlight w:val="none"/>
        </w:rPr>
      </w:pPr>
      <w:r>
        <w:rPr>
          <w:rFonts w:ascii="宋体" w:hAnsi="宋体"/>
          <w:color w:val="000000"/>
          <w:szCs w:val="21"/>
          <w:highlight w:val="none"/>
        </w:rPr>
        <w:t>4.8.1</w:t>
      </w:r>
      <w:r>
        <w:rPr>
          <w:rFonts w:ascii="宋体" w:hAnsi="宋体"/>
          <w:color w:val="000000"/>
          <w:szCs w:val="21"/>
          <w:highlight w:val="none"/>
        </w:rPr>
        <w:tab/>
      </w:r>
      <w:r>
        <w:rPr>
          <w:rFonts w:ascii="宋体" w:hAnsi="宋体"/>
          <w:color w:val="000000"/>
          <w:szCs w:val="21"/>
          <w:highlight w:val="none"/>
        </w:rPr>
        <w:t>承包人应与其雇佣的人员签订劳动合同，并按时发放工资。</w:t>
      </w:r>
    </w:p>
    <w:p w14:paraId="157E754C">
      <w:pPr>
        <w:spacing w:line="360" w:lineRule="auto"/>
        <w:ind w:firstLine="420" w:firstLineChars="200"/>
        <w:rPr>
          <w:rFonts w:ascii="宋体" w:hAnsi="宋体"/>
          <w:color w:val="000000"/>
          <w:szCs w:val="21"/>
          <w:highlight w:val="none"/>
        </w:rPr>
      </w:pPr>
    </w:p>
    <w:p w14:paraId="2F669623">
      <w:pPr>
        <w:spacing w:line="360" w:lineRule="auto"/>
        <w:ind w:firstLine="420" w:firstLineChars="200"/>
        <w:rPr>
          <w:rFonts w:ascii="宋体" w:hAnsi="宋体"/>
          <w:color w:val="000000"/>
          <w:szCs w:val="21"/>
          <w:highlight w:val="none"/>
        </w:rPr>
      </w:pPr>
      <w:r>
        <w:rPr>
          <w:rFonts w:ascii="宋体" w:hAnsi="宋体"/>
          <w:color w:val="000000"/>
          <w:szCs w:val="21"/>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0D9A9908">
      <w:pPr>
        <w:spacing w:line="360" w:lineRule="auto"/>
        <w:ind w:firstLine="420" w:firstLineChars="200"/>
        <w:rPr>
          <w:rFonts w:ascii="宋体" w:hAnsi="宋体"/>
          <w:color w:val="000000"/>
          <w:szCs w:val="21"/>
          <w:highlight w:val="none"/>
        </w:rPr>
      </w:pPr>
      <w:r>
        <w:rPr>
          <w:rFonts w:ascii="宋体" w:hAnsi="宋体"/>
          <w:color w:val="000000"/>
          <w:szCs w:val="21"/>
          <w:highlight w:val="none"/>
        </w:rPr>
        <w:t>4.8.3</w:t>
      </w:r>
      <w:r>
        <w:rPr>
          <w:rFonts w:ascii="宋体" w:hAnsi="宋体"/>
          <w:color w:val="000000"/>
          <w:szCs w:val="21"/>
          <w:highlight w:val="none"/>
        </w:rPr>
        <w:tab/>
      </w:r>
      <w:r>
        <w:rPr>
          <w:rFonts w:ascii="宋体" w:hAnsi="宋体"/>
          <w:color w:val="000000"/>
          <w:szCs w:val="21"/>
          <w:highlight w:val="none"/>
        </w:rPr>
        <w:t>承包人应为其雇佣人员提供必要的食宿条件，以及符合环境保护和卫生要求的生活环境，在远离城镇的施工场地，还应配备必要的伤病防治和急救的医务人员与医疗设施。</w:t>
      </w:r>
    </w:p>
    <w:p w14:paraId="7EED72FD">
      <w:pPr>
        <w:spacing w:line="360" w:lineRule="auto"/>
        <w:ind w:firstLine="420" w:firstLineChars="200"/>
        <w:rPr>
          <w:rFonts w:ascii="宋体" w:hAnsi="宋体"/>
          <w:color w:val="000000"/>
          <w:szCs w:val="21"/>
          <w:highlight w:val="none"/>
        </w:rPr>
      </w:pPr>
      <w:r>
        <w:rPr>
          <w:rFonts w:ascii="宋体" w:hAnsi="宋体"/>
          <w:color w:val="000000"/>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6613EC1">
      <w:pPr>
        <w:spacing w:line="360" w:lineRule="auto"/>
        <w:ind w:firstLine="420" w:firstLineChars="200"/>
        <w:rPr>
          <w:rFonts w:ascii="宋体" w:hAnsi="宋体"/>
          <w:color w:val="000000"/>
          <w:szCs w:val="21"/>
          <w:highlight w:val="none"/>
        </w:rPr>
      </w:pPr>
      <w:r>
        <w:rPr>
          <w:rFonts w:ascii="宋体" w:hAnsi="宋体"/>
          <w:color w:val="000000"/>
          <w:szCs w:val="21"/>
          <w:highlight w:val="none"/>
        </w:rPr>
        <w:t>4.8.5</w:t>
      </w:r>
      <w:r>
        <w:rPr>
          <w:rFonts w:ascii="宋体" w:hAnsi="宋体"/>
          <w:color w:val="000000"/>
          <w:szCs w:val="21"/>
          <w:highlight w:val="none"/>
        </w:rPr>
        <w:tab/>
      </w:r>
      <w:r>
        <w:rPr>
          <w:rFonts w:ascii="宋体" w:hAnsi="宋体"/>
          <w:color w:val="000000"/>
          <w:szCs w:val="21"/>
          <w:highlight w:val="none"/>
        </w:rPr>
        <w:t>承包人应按有关法律规定和合同约定，为其雇佣人员办理保险。</w:t>
      </w:r>
    </w:p>
    <w:p w14:paraId="0BB17338">
      <w:pPr>
        <w:spacing w:line="360" w:lineRule="auto"/>
        <w:ind w:firstLine="420" w:firstLineChars="200"/>
        <w:rPr>
          <w:rFonts w:ascii="宋体" w:hAnsi="宋体"/>
          <w:color w:val="000000"/>
          <w:szCs w:val="21"/>
          <w:highlight w:val="none"/>
        </w:rPr>
      </w:pPr>
      <w:r>
        <w:rPr>
          <w:rFonts w:ascii="宋体" w:hAnsi="宋体"/>
          <w:color w:val="000000"/>
          <w:szCs w:val="21"/>
          <w:highlight w:val="none"/>
        </w:rPr>
        <w:t>4.8.6</w:t>
      </w:r>
      <w:r>
        <w:rPr>
          <w:rFonts w:ascii="宋体" w:hAnsi="宋体"/>
          <w:color w:val="000000"/>
          <w:szCs w:val="21"/>
          <w:highlight w:val="none"/>
        </w:rPr>
        <w:tab/>
      </w:r>
      <w:r>
        <w:rPr>
          <w:rFonts w:ascii="宋体" w:hAnsi="宋体"/>
          <w:color w:val="000000"/>
          <w:szCs w:val="21"/>
          <w:highlight w:val="none"/>
        </w:rPr>
        <w:t>承包人应负责处理其雇佣人员因工伤亡事故的善后事宜。</w:t>
      </w:r>
    </w:p>
    <w:p w14:paraId="319DDD9F">
      <w:pPr>
        <w:spacing w:line="360" w:lineRule="auto"/>
        <w:rPr>
          <w:rFonts w:ascii="宋体" w:hAnsi="宋体"/>
          <w:color w:val="000000"/>
          <w:sz w:val="24"/>
          <w:highlight w:val="none"/>
        </w:rPr>
      </w:pPr>
      <w:bookmarkStart w:id="595" w:name="_bookmark129"/>
      <w:bookmarkEnd w:id="595"/>
      <w:r>
        <w:rPr>
          <w:rFonts w:ascii="宋体" w:hAnsi="宋体"/>
          <w:color w:val="000000"/>
          <w:sz w:val="24"/>
          <w:highlight w:val="none"/>
        </w:rPr>
        <w:t>4.9</w:t>
      </w:r>
      <w:r>
        <w:rPr>
          <w:rFonts w:ascii="宋体" w:hAnsi="宋体"/>
          <w:color w:val="000000"/>
          <w:sz w:val="24"/>
          <w:highlight w:val="none"/>
        </w:rPr>
        <w:tab/>
      </w:r>
      <w:r>
        <w:rPr>
          <w:rFonts w:ascii="宋体" w:hAnsi="宋体"/>
          <w:color w:val="000000"/>
          <w:sz w:val="24"/>
          <w:highlight w:val="none"/>
        </w:rPr>
        <w:t>工程价款应专款专用</w:t>
      </w:r>
    </w:p>
    <w:p w14:paraId="104BF209">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发包人按合同约定支付给承包人的各项价款应专用于合同工程。</w:t>
      </w:r>
    </w:p>
    <w:p w14:paraId="4C90EB81">
      <w:pPr>
        <w:spacing w:line="360" w:lineRule="auto"/>
        <w:rPr>
          <w:rFonts w:ascii="宋体" w:hAnsi="宋体"/>
          <w:color w:val="000000"/>
          <w:sz w:val="24"/>
          <w:highlight w:val="none"/>
        </w:rPr>
      </w:pPr>
      <w:bookmarkStart w:id="596" w:name="_bookmark130"/>
      <w:bookmarkEnd w:id="596"/>
      <w:r>
        <w:rPr>
          <w:rFonts w:ascii="宋体" w:hAnsi="宋体"/>
          <w:color w:val="000000"/>
          <w:sz w:val="24"/>
          <w:highlight w:val="none"/>
        </w:rPr>
        <w:t>4.10</w:t>
      </w:r>
      <w:r>
        <w:rPr>
          <w:rFonts w:ascii="宋体" w:hAnsi="宋体"/>
          <w:color w:val="000000"/>
          <w:sz w:val="24"/>
          <w:highlight w:val="none"/>
        </w:rPr>
        <w:tab/>
      </w:r>
      <w:r>
        <w:rPr>
          <w:rFonts w:ascii="宋体" w:hAnsi="宋体"/>
          <w:color w:val="000000"/>
          <w:sz w:val="24"/>
          <w:highlight w:val="none"/>
        </w:rPr>
        <w:t>承包人现场查勘</w:t>
      </w:r>
    </w:p>
    <w:p w14:paraId="6EA7A274">
      <w:pPr>
        <w:spacing w:line="360" w:lineRule="auto"/>
        <w:ind w:firstLine="420" w:firstLineChars="200"/>
        <w:rPr>
          <w:rFonts w:ascii="宋体" w:hAnsi="宋体"/>
          <w:color w:val="000000"/>
          <w:szCs w:val="21"/>
          <w:highlight w:val="none"/>
        </w:rPr>
      </w:pPr>
      <w:r>
        <w:rPr>
          <w:rFonts w:ascii="宋体" w:hAnsi="宋体"/>
          <w:color w:val="000000"/>
          <w:szCs w:val="21"/>
          <w:highlight w:val="none"/>
        </w:rPr>
        <w:t>4.10.1</w:t>
      </w:r>
      <w:r>
        <w:rPr>
          <w:rFonts w:ascii="宋体" w:hAnsi="宋体"/>
          <w:color w:val="000000"/>
          <w:szCs w:val="21"/>
          <w:highlight w:val="none"/>
        </w:rPr>
        <w:tab/>
      </w:r>
      <w:r>
        <w:rPr>
          <w:rFonts w:ascii="宋体" w:hAnsi="宋体"/>
          <w:color w:val="000000"/>
          <w:szCs w:val="21"/>
          <w:highlight w:val="none"/>
        </w:rPr>
        <w:t>发包人应将其持有的现场地质勘探资料、水文气象资料提供给承包人，并对其准确性负责。但承包人应对其阅读上述有关资料后所作出的解释和推断负责。</w:t>
      </w:r>
    </w:p>
    <w:p w14:paraId="3010403E">
      <w:pPr>
        <w:spacing w:line="360" w:lineRule="auto"/>
        <w:ind w:firstLine="420" w:firstLineChars="200"/>
        <w:rPr>
          <w:rFonts w:ascii="宋体" w:hAnsi="宋体"/>
          <w:color w:val="000000"/>
          <w:szCs w:val="21"/>
          <w:highlight w:val="none"/>
        </w:rPr>
      </w:pPr>
      <w:r>
        <w:rPr>
          <w:rFonts w:ascii="宋体" w:hAnsi="宋体"/>
          <w:color w:val="000000"/>
          <w:szCs w:val="21"/>
          <w:highlight w:val="none"/>
        </w:rPr>
        <w:t>4.10.2</w:t>
      </w:r>
      <w:r>
        <w:rPr>
          <w:rFonts w:ascii="宋体" w:hAnsi="宋体"/>
          <w:color w:val="000000"/>
          <w:szCs w:val="21"/>
          <w:highlight w:val="none"/>
        </w:rPr>
        <w:tab/>
      </w:r>
      <w:r>
        <w:rPr>
          <w:rFonts w:ascii="宋体" w:hAnsi="宋体"/>
          <w:color w:val="000000"/>
          <w:szCs w:val="21"/>
          <w:highlight w:val="none"/>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A7D46FD">
      <w:pPr>
        <w:spacing w:line="360" w:lineRule="auto"/>
        <w:rPr>
          <w:rFonts w:ascii="宋体" w:hAnsi="宋体"/>
          <w:color w:val="000000"/>
          <w:sz w:val="24"/>
          <w:highlight w:val="none"/>
        </w:rPr>
      </w:pPr>
      <w:bookmarkStart w:id="597" w:name="_bookmark131"/>
      <w:bookmarkEnd w:id="597"/>
      <w:r>
        <w:rPr>
          <w:rFonts w:ascii="宋体" w:hAnsi="宋体"/>
          <w:color w:val="000000"/>
          <w:sz w:val="24"/>
          <w:highlight w:val="none"/>
        </w:rPr>
        <w:t>4.11</w:t>
      </w:r>
      <w:r>
        <w:rPr>
          <w:rFonts w:ascii="宋体" w:hAnsi="宋体"/>
          <w:color w:val="000000"/>
          <w:sz w:val="24"/>
          <w:highlight w:val="none"/>
        </w:rPr>
        <w:tab/>
      </w:r>
      <w:r>
        <w:rPr>
          <w:rFonts w:ascii="宋体" w:hAnsi="宋体"/>
          <w:color w:val="000000"/>
          <w:sz w:val="24"/>
          <w:highlight w:val="none"/>
        </w:rPr>
        <w:t>不利物质条件</w:t>
      </w:r>
    </w:p>
    <w:p w14:paraId="33194827">
      <w:pPr>
        <w:spacing w:line="360" w:lineRule="auto"/>
        <w:ind w:firstLine="420" w:firstLineChars="200"/>
        <w:rPr>
          <w:rFonts w:ascii="宋体" w:hAnsi="宋体"/>
          <w:color w:val="000000"/>
          <w:szCs w:val="21"/>
          <w:highlight w:val="none"/>
        </w:rPr>
      </w:pPr>
      <w:r>
        <w:rPr>
          <w:rFonts w:ascii="宋体" w:hAnsi="宋体"/>
          <w:color w:val="000000"/>
          <w:szCs w:val="21"/>
          <w:highlight w:val="none"/>
        </w:rPr>
        <w:t>4.11.1 不利物质条件一般是指承包人在施工场地遇到的不可预见的自然物质条件、非自然的物质障碍和污染物，包括地下和水文条件，但不包括气候条件。不利物质条件的具体范围见合同条款专用部分。</w:t>
      </w:r>
    </w:p>
    <w:p w14:paraId="6BF1DDE7">
      <w:pPr>
        <w:spacing w:line="360" w:lineRule="auto"/>
        <w:ind w:firstLine="420" w:firstLineChars="200"/>
        <w:rPr>
          <w:rFonts w:ascii="宋体" w:hAnsi="宋体"/>
          <w:color w:val="000000"/>
          <w:szCs w:val="21"/>
          <w:highlight w:val="none"/>
        </w:rPr>
      </w:pPr>
      <w:r>
        <w:rPr>
          <w:rFonts w:ascii="宋体" w:hAnsi="宋体"/>
          <w:color w:val="000000"/>
          <w:szCs w:val="21"/>
          <w:highlight w:val="none"/>
        </w:rPr>
        <w:t>4.11.2</w:t>
      </w:r>
      <w:r>
        <w:rPr>
          <w:rFonts w:ascii="宋体" w:hAnsi="宋体"/>
          <w:color w:val="000000"/>
          <w:szCs w:val="21"/>
          <w:highlight w:val="none"/>
        </w:rPr>
        <w:tab/>
      </w:r>
      <w:r>
        <w:rPr>
          <w:rFonts w:ascii="宋体" w:hAnsi="宋体"/>
          <w:color w:val="000000"/>
          <w:szCs w:val="21"/>
          <w:highlight w:val="none"/>
        </w:rPr>
        <w:t>承包人遇到不利物质条件时，应采取适应不利物质条件的合理措施继续施工，并及时通知监理人。监理人应当及时发出指示，指示构成变更的，按第 15 条约定办理。监理人没有发出指示的，承包人因采取合理措施增加的费用和（或）工期延误，由发包人承担。</w:t>
      </w:r>
    </w:p>
    <w:p w14:paraId="38DAC9AD">
      <w:pPr>
        <w:spacing w:line="360" w:lineRule="auto"/>
        <w:rPr>
          <w:rFonts w:ascii="宋体" w:hAnsi="宋体"/>
          <w:color w:val="000000"/>
          <w:sz w:val="28"/>
          <w:szCs w:val="28"/>
          <w:highlight w:val="none"/>
        </w:rPr>
      </w:pPr>
      <w:bookmarkStart w:id="598" w:name="_bookmark132"/>
      <w:bookmarkEnd w:id="598"/>
      <w:r>
        <w:rPr>
          <w:rFonts w:ascii="宋体" w:hAnsi="宋体"/>
          <w:color w:val="000000"/>
          <w:sz w:val="28"/>
          <w:szCs w:val="28"/>
          <w:highlight w:val="none"/>
        </w:rPr>
        <w:t>5.材料和工程设备</w:t>
      </w:r>
    </w:p>
    <w:p w14:paraId="3C77B4E9">
      <w:pPr>
        <w:spacing w:line="360" w:lineRule="auto"/>
        <w:rPr>
          <w:rFonts w:ascii="宋体" w:hAnsi="宋体"/>
          <w:color w:val="000000"/>
          <w:sz w:val="24"/>
          <w:highlight w:val="none"/>
        </w:rPr>
      </w:pPr>
      <w:bookmarkStart w:id="599" w:name="_bookmark133"/>
      <w:bookmarkEnd w:id="599"/>
      <w:r>
        <w:rPr>
          <w:rFonts w:ascii="宋体" w:hAnsi="宋体"/>
          <w:color w:val="000000"/>
          <w:sz w:val="24"/>
          <w:highlight w:val="none"/>
        </w:rPr>
        <w:t>5.1</w:t>
      </w:r>
      <w:r>
        <w:rPr>
          <w:rFonts w:ascii="宋体" w:hAnsi="宋体"/>
          <w:color w:val="000000"/>
          <w:sz w:val="24"/>
          <w:highlight w:val="none"/>
        </w:rPr>
        <w:tab/>
      </w:r>
      <w:r>
        <w:rPr>
          <w:rFonts w:ascii="宋体" w:hAnsi="宋体"/>
          <w:color w:val="000000"/>
          <w:sz w:val="24"/>
          <w:highlight w:val="none"/>
        </w:rPr>
        <w:t>承包人提供的材料和工程设备</w:t>
      </w:r>
    </w:p>
    <w:p w14:paraId="576417EC">
      <w:pPr>
        <w:spacing w:line="360" w:lineRule="auto"/>
        <w:ind w:firstLine="420" w:firstLineChars="200"/>
        <w:rPr>
          <w:rFonts w:ascii="宋体" w:hAnsi="宋体"/>
          <w:color w:val="000000"/>
          <w:szCs w:val="21"/>
          <w:highlight w:val="none"/>
        </w:rPr>
      </w:pPr>
      <w:r>
        <w:rPr>
          <w:rFonts w:ascii="宋体" w:hAnsi="宋体"/>
          <w:color w:val="000000"/>
          <w:szCs w:val="21"/>
          <w:highlight w:val="none"/>
        </w:rPr>
        <w:t>5.1.1</w:t>
      </w:r>
      <w:r>
        <w:rPr>
          <w:rFonts w:ascii="宋体" w:hAnsi="宋体"/>
          <w:color w:val="000000"/>
          <w:szCs w:val="21"/>
          <w:highlight w:val="none"/>
        </w:rPr>
        <w:tab/>
      </w:r>
      <w:r>
        <w:rPr>
          <w:rFonts w:ascii="宋体" w:hAnsi="宋体"/>
          <w:color w:val="000000"/>
          <w:szCs w:val="21"/>
          <w:highlight w:val="none"/>
        </w:rPr>
        <w:t>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 项的约定，由发包人和承包人以招标方式确定专项供应商。承包人负责提供的主要材料和工程设备清单见合同条款专用部分“附件三：承包人提供的材料和工程设备一览表”。</w:t>
      </w:r>
    </w:p>
    <w:p w14:paraId="35F6AB4D">
      <w:pPr>
        <w:spacing w:line="360" w:lineRule="auto"/>
        <w:ind w:firstLine="420" w:firstLineChars="200"/>
        <w:rPr>
          <w:rFonts w:ascii="宋体" w:hAnsi="宋体"/>
          <w:color w:val="000000"/>
          <w:szCs w:val="21"/>
          <w:highlight w:val="none"/>
        </w:rPr>
      </w:pPr>
      <w:r>
        <w:rPr>
          <w:rFonts w:ascii="宋体" w:hAnsi="宋体"/>
          <w:color w:val="000000"/>
          <w:szCs w:val="21"/>
          <w:highlight w:val="none"/>
        </w:rPr>
        <w:t>5.1.2</w:t>
      </w:r>
      <w:r>
        <w:rPr>
          <w:rFonts w:ascii="宋体" w:hAnsi="宋体"/>
          <w:color w:val="000000"/>
          <w:szCs w:val="21"/>
          <w:highlight w:val="none"/>
        </w:rPr>
        <w:tab/>
      </w:r>
      <w:r>
        <w:rPr>
          <w:rFonts w:ascii="宋体" w:hAnsi="宋体"/>
          <w:color w:val="000000"/>
          <w:szCs w:val="21"/>
          <w:highlight w:val="none"/>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53167865">
      <w:pPr>
        <w:spacing w:line="360" w:lineRule="auto"/>
        <w:ind w:firstLine="420" w:firstLineChars="200"/>
        <w:rPr>
          <w:rFonts w:ascii="宋体" w:hAnsi="宋体"/>
          <w:color w:val="000000"/>
          <w:szCs w:val="21"/>
          <w:highlight w:val="none"/>
        </w:rPr>
      </w:pPr>
      <w:r>
        <w:rPr>
          <w:rFonts w:ascii="宋体" w:hAnsi="宋体"/>
          <w:color w:val="000000"/>
          <w:szCs w:val="21"/>
          <w:highlight w:val="none"/>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2015A937">
      <w:pPr>
        <w:spacing w:line="360" w:lineRule="auto"/>
        <w:rPr>
          <w:rFonts w:ascii="宋体" w:hAnsi="宋体"/>
          <w:color w:val="000000"/>
          <w:sz w:val="24"/>
          <w:highlight w:val="none"/>
        </w:rPr>
      </w:pPr>
      <w:bookmarkStart w:id="600" w:name="_bookmark134"/>
      <w:bookmarkEnd w:id="600"/>
      <w:r>
        <w:rPr>
          <w:rFonts w:ascii="宋体" w:hAnsi="宋体"/>
          <w:color w:val="000000"/>
          <w:sz w:val="24"/>
          <w:highlight w:val="none"/>
        </w:rPr>
        <w:t>5.2</w:t>
      </w:r>
      <w:r>
        <w:rPr>
          <w:rFonts w:ascii="宋体" w:hAnsi="宋体"/>
          <w:color w:val="000000"/>
          <w:sz w:val="24"/>
          <w:highlight w:val="none"/>
        </w:rPr>
        <w:tab/>
      </w:r>
      <w:r>
        <w:rPr>
          <w:rFonts w:ascii="宋体" w:hAnsi="宋体"/>
          <w:color w:val="000000"/>
          <w:sz w:val="24"/>
          <w:highlight w:val="none"/>
        </w:rPr>
        <w:t>发包人提供的材料和工程设备</w:t>
      </w:r>
    </w:p>
    <w:p w14:paraId="7A095362">
      <w:pPr>
        <w:spacing w:line="360" w:lineRule="auto"/>
        <w:ind w:firstLine="420" w:firstLineChars="200"/>
        <w:rPr>
          <w:rFonts w:ascii="宋体" w:hAnsi="宋体"/>
          <w:color w:val="000000"/>
          <w:szCs w:val="21"/>
          <w:highlight w:val="none"/>
        </w:rPr>
      </w:pPr>
      <w:r>
        <w:rPr>
          <w:rFonts w:ascii="宋体" w:hAnsi="宋体"/>
          <w:color w:val="000000"/>
          <w:szCs w:val="21"/>
          <w:highlight w:val="none"/>
        </w:rPr>
        <w:t>5.2.1</w:t>
      </w:r>
      <w:r>
        <w:rPr>
          <w:rFonts w:ascii="宋体" w:hAnsi="宋体"/>
          <w:color w:val="000000"/>
          <w:szCs w:val="21"/>
          <w:highlight w:val="none"/>
        </w:rPr>
        <w:tab/>
      </w:r>
      <w:r>
        <w:rPr>
          <w:rFonts w:ascii="宋体" w:hAnsi="宋体"/>
          <w:color w:val="000000"/>
          <w:szCs w:val="21"/>
          <w:highlight w:val="none"/>
        </w:rPr>
        <w:t>发包人负责提供的材料和工程设备的名称、规格、数量、价格、交货方式、交货地点和计划交货日期等见合同条款专用部分“附件四：发包人提供的材料和工程设备一览表”。</w:t>
      </w:r>
    </w:p>
    <w:p w14:paraId="52D0BD7A">
      <w:pPr>
        <w:spacing w:line="360" w:lineRule="auto"/>
        <w:ind w:firstLine="420" w:firstLineChars="200"/>
        <w:rPr>
          <w:rFonts w:ascii="宋体" w:hAnsi="宋体"/>
          <w:color w:val="000000"/>
          <w:szCs w:val="21"/>
          <w:highlight w:val="none"/>
        </w:rPr>
      </w:pPr>
      <w:r>
        <w:rPr>
          <w:rFonts w:ascii="宋体" w:hAnsi="宋体"/>
          <w:color w:val="000000"/>
          <w:szCs w:val="21"/>
          <w:highlight w:val="none"/>
        </w:rPr>
        <w:t>5.2.2</w:t>
      </w:r>
      <w:r>
        <w:rPr>
          <w:rFonts w:ascii="宋体" w:hAnsi="宋体"/>
          <w:color w:val="000000"/>
          <w:szCs w:val="21"/>
          <w:highlight w:val="none"/>
        </w:rPr>
        <w:tab/>
      </w:r>
      <w:r>
        <w:rPr>
          <w:rFonts w:ascii="宋体" w:hAnsi="宋体"/>
          <w:color w:val="000000"/>
          <w:szCs w:val="21"/>
          <w:highlight w:val="none"/>
        </w:rPr>
        <w:t>承包人应根据合同进度计划的安排，向监理人报送要求发包人交货的日期计划。 发包人应按照监理人与合同双方当事人商定的交货日期，向承包人提交材料和工程设备。</w:t>
      </w:r>
    </w:p>
    <w:p w14:paraId="2D01DA4C">
      <w:pPr>
        <w:spacing w:line="360" w:lineRule="auto"/>
        <w:ind w:firstLine="420" w:firstLineChars="200"/>
        <w:rPr>
          <w:rFonts w:ascii="宋体" w:hAnsi="宋体"/>
          <w:color w:val="000000"/>
          <w:szCs w:val="21"/>
          <w:highlight w:val="none"/>
        </w:rPr>
      </w:pPr>
      <w:r>
        <w:rPr>
          <w:rFonts w:ascii="宋体" w:hAnsi="宋体"/>
          <w:color w:val="000000"/>
          <w:szCs w:val="21"/>
          <w:highlight w:val="none"/>
        </w:rPr>
        <w:t>5.2.3 发包人应在材料和工程设备到货 7 天前通知承包人，承包人应会同监理人在约定的时间内，赴交货地点共同进行验收。由发包人提供的材料和工程设备验收后，由承包人负责接收、运输和保管。</w:t>
      </w:r>
    </w:p>
    <w:p w14:paraId="3B205B71">
      <w:pPr>
        <w:spacing w:line="360" w:lineRule="auto"/>
        <w:ind w:firstLine="420" w:firstLineChars="200"/>
        <w:rPr>
          <w:rFonts w:ascii="宋体" w:hAnsi="宋体"/>
          <w:color w:val="000000"/>
          <w:szCs w:val="21"/>
          <w:highlight w:val="none"/>
        </w:rPr>
      </w:pPr>
      <w:r>
        <w:rPr>
          <w:rFonts w:ascii="宋体" w:hAnsi="宋体"/>
          <w:color w:val="000000"/>
          <w:szCs w:val="21"/>
          <w:highlight w:val="none"/>
        </w:rPr>
        <w:t>5.2.4 发包人要求向承包人提前交货的，承包人不得拒绝，但发包人应承担承包人由此增加的费用。</w:t>
      </w:r>
    </w:p>
    <w:p w14:paraId="6360E2FA">
      <w:pPr>
        <w:spacing w:line="360" w:lineRule="auto"/>
        <w:ind w:firstLine="420" w:firstLineChars="200"/>
        <w:rPr>
          <w:rFonts w:ascii="宋体" w:hAnsi="宋体"/>
          <w:color w:val="000000"/>
          <w:szCs w:val="21"/>
          <w:highlight w:val="none"/>
        </w:rPr>
      </w:pPr>
      <w:r>
        <w:rPr>
          <w:rFonts w:ascii="宋体" w:hAnsi="宋体"/>
          <w:color w:val="000000"/>
          <w:szCs w:val="21"/>
          <w:highlight w:val="none"/>
        </w:rPr>
        <w:t>5.2.5 承包人要求更改交货日期或地点的，应事先报请监理人批准。由于承包人要求更改交货时间或地点所增加的费用和（或）工期延误由承包人承担。</w:t>
      </w:r>
    </w:p>
    <w:p w14:paraId="16F0845D">
      <w:pPr>
        <w:spacing w:line="360" w:lineRule="auto"/>
        <w:ind w:firstLine="420" w:firstLineChars="200"/>
        <w:rPr>
          <w:rFonts w:ascii="宋体" w:hAnsi="宋体"/>
          <w:color w:val="000000"/>
          <w:szCs w:val="21"/>
          <w:highlight w:val="none"/>
        </w:rPr>
      </w:pPr>
      <w:r>
        <w:rPr>
          <w:rFonts w:ascii="宋体" w:hAnsi="宋体"/>
          <w:color w:val="000000"/>
          <w:szCs w:val="21"/>
          <w:highlight w:val="none"/>
        </w:rPr>
        <w:t>5.2.6</w:t>
      </w:r>
      <w:r>
        <w:rPr>
          <w:rFonts w:ascii="宋体" w:hAnsi="宋体"/>
          <w:color w:val="000000"/>
          <w:szCs w:val="21"/>
          <w:highlight w:val="none"/>
        </w:rPr>
        <w:tab/>
      </w:r>
      <w:r>
        <w:rPr>
          <w:rFonts w:ascii="宋体" w:hAnsi="宋体"/>
          <w:color w:val="000000"/>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24129AB6">
      <w:pPr>
        <w:spacing w:line="360" w:lineRule="auto"/>
        <w:rPr>
          <w:rFonts w:ascii="宋体" w:hAnsi="宋体"/>
          <w:color w:val="000000"/>
          <w:sz w:val="24"/>
          <w:highlight w:val="none"/>
        </w:rPr>
      </w:pPr>
      <w:bookmarkStart w:id="601" w:name="_bookmark135"/>
      <w:bookmarkEnd w:id="601"/>
      <w:r>
        <w:rPr>
          <w:rFonts w:ascii="宋体" w:hAnsi="宋体"/>
          <w:color w:val="000000"/>
          <w:sz w:val="24"/>
          <w:highlight w:val="none"/>
        </w:rPr>
        <w:t>5.3</w:t>
      </w:r>
      <w:r>
        <w:rPr>
          <w:rFonts w:ascii="宋体" w:hAnsi="宋体"/>
          <w:color w:val="000000"/>
          <w:sz w:val="24"/>
          <w:highlight w:val="none"/>
        </w:rPr>
        <w:tab/>
      </w:r>
      <w:r>
        <w:rPr>
          <w:rFonts w:ascii="宋体" w:hAnsi="宋体"/>
          <w:color w:val="000000"/>
          <w:sz w:val="24"/>
          <w:highlight w:val="none"/>
        </w:rPr>
        <w:t>材料和工程设备专用于合同工程</w:t>
      </w:r>
    </w:p>
    <w:p w14:paraId="78C5F10F">
      <w:pPr>
        <w:spacing w:line="360" w:lineRule="auto"/>
        <w:ind w:firstLine="420" w:firstLineChars="200"/>
        <w:rPr>
          <w:rFonts w:ascii="宋体" w:hAnsi="宋体"/>
          <w:color w:val="000000"/>
          <w:szCs w:val="21"/>
          <w:highlight w:val="none"/>
        </w:rPr>
      </w:pPr>
      <w:r>
        <w:rPr>
          <w:rFonts w:ascii="宋体" w:hAnsi="宋体"/>
          <w:color w:val="000000"/>
          <w:szCs w:val="21"/>
          <w:highlight w:val="none"/>
        </w:rPr>
        <w:t>5.3.1</w:t>
      </w:r>
      <w:r>
        <w:rPr>
          <w:rFonts w:ascii="宋体" w:hAnsi="宋体"/>
          <w:color w:val="000000"/>
          <w:szCs w:val="21"/>
          <w:highlight w:val="none"/>
        </w:rPr>
        <w:tab/>
      </w:r>
      <w:r>
        <w:rPr>
          <w:rFonts w:ascii="宋体" w:hAnsi="宋体"/>
          <w:color w:val="000000"/>
          <w:szCs w:val="21"/>
          <w:highlight w:val="none"/>
        </w:rPr>
        <w:t>运入施工场地的材料、工程设备，包括备品备件、安装专用工器具与随机资料，必须专用于合同工程，未经监理人同意，承包人不得运出施工场地或挪作他用。</w:t>
      </w:r>
    </w:p>
    <w:p w14:paraId="5CBDCE73">
      <w:pPr>
        <w:spacing w:line="360" w:lineRule="auto"/>
        <w:ind w:firstLine="420" w:firstLineChars="200"/>
        <w:rPr>
          <w:rFonts w:ascii="宋体" w:hAnsi="宋体"/>
          <w:color w:val="000000"/>
          <w:szCs w:val="21"/>
          <w:highlight w:val="none"/>
        </w:rPr>
      </w:pPr>
      <w:r>
        <w:rPr>
          <w:rFonts w:ascii="宋体" w:hAnsi="宋体"/>
          <w:color w:val="000000"/>
          <w:szCs w:val="21"/>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8A5F14F">
      <w:pPr>
        <w:spacing w:line="360" w:lineRule="auto"/>
        <w:rPr>
          <w:rFonts w:ascii="宋体" w:hAnsi="宋体"/>
          <w:color w:val="000000"/>
          <w:sz w:val="24"/>
          <w:highlight w:val="none"/>
        </w:rPr>
      </w:pPr>
      <w:bookmarkStart w:id="602" w:name="_bookmark136"/>
      <w:bookmarkEnd w:id="602"/>
      <w:r>
        <w:rPr>
          <w:rFonts w:ascii="宋体" w:hAnsi="宋体"/>
          <w:color w:val="000000"/>
          <w:sz w:val="24"/>
          <w:highlight w:val="none"/>
        </w:rPr>
        <w:t>5.4</w:t>
      </w:r>
      <w:r>
        <w:rPr>
          <w:rFonts w:ascii="宋体" w:hAnsi="宋体"/>
          <w:color w:val="000000"/>
          <w:sz w:val="24"/>
          <w:highlight w:val="none"/>
        </w:rPr>
        <w:tab/>
      </w:r>
      <w:r>
        <w:rPr>
          <w:rFonts w:ascii="宋体" w:hAnsi="宋体"/>
          <w:color w:val="000000"/>
          <w:sz w:val="24"/>
          <w:highlight w:val="none"/>
        </w:rPr>
        <w:t>禁止使用不合格的材料和工程设备</w:t>
      </w:r>
    </w:p>
    <w:p w14:paraId="1127543F">
      <w:pPr>
        <w:spacing w:line="360" w:lineRule="auto"/>
        <w:ind w:firstLine="420" w:firstLineChars="200"/>
        <w:rPr>
          <w:rFonts w:ascii="宋体" w:hAnsi="宋体"/>
          <w:color w:val="000000"/>
          <w:szCs w:val="21"/>
          <w:highlight w:val="none"/>
        </w:rPr>
      </w:pPr>
      <w:r>
        <w:rPr>
          <w:rFonts w:ascii="宋体" w:hAnsi="宋体"/>
          <w:color w:val="000000"/>
          <w:szCs w:val="21"/>
          <w:highlight w:val="none"/>
        </w:rPr>
        <w:t>5.4.1 监理人有权拒绝承包人提供的不合格材料或工程设备，并要求承包人立即进行更换。监理人应在更换后再次进行检查和检验，由此增加的费用和（或）工期延误由承包人承担。</w:t>
      </w:r>
    </w:p>
    <w:p w14:paraId="2CD7A1C5">
      <w:pPr>
        <w:spacing w:line="360" w:lineRule="auto"/>
        <w:ind w:firstLine="420" w:firstLineChars="200"/>
        <w:rPr>
          <w:rFonts w:ascii="宋体" w:hAnsi="宋体"/>
          <w:color w:val="000000"/>
          <w:szCs w:val="21"/>
          <w:highlight w:val="none"/>
        </w:rPr>
      </w:pPr>
      <w:r>
        <w:rPr>
          <w:rFonts w:ascii="宋体" w:hAnsi="宋体"/>
          <w:color w:val="000000"/>
          <w:szCs w:val="21"/>
          <w:highlight w:val="none"/>
        </w:rPr>
        <w:t>5.4.2 监理人发现承包人使用了不合格的材料和工程设备，应即时发出指示要求承包人立即改正，并禁止在工程中继续使用不合格的材料和工程设备。</w:t>
      </w:r>
    </w:p>
    <w:p w14:paraId="6765D4D6">
      <w:pPr>
        <w:spacing w:line="360" w:lineRule="auto"/>
        <w:ind w:firstLine="420" w:firstLineChars="200"/>
        <w:rPr>
          <w:rFonts w:ascii="宋体" w:hAnsi="宋体"/>
          <w:color w:val="000000"/>
          <w:szCs w:val="21"/>
          <w:highlight w:val="none"/>
        </w:rPr>
      </w:pPr>
      <w:r>
        <w:rPr>
          <w:rFonts w:ascii="宋体" w:hAnsi="宋体"/>
          <w:color w:val="000000"/>
          <w:szCs w:val="21"/>
          <w:highlight w:val="none"/>
        </w:rPr>
        <w:t>5.4.3 发包人提供的材料或工程设备不符合合同要求的，承包人有权拒绝，并可要求发包人更换，由此增加的费用和（或）工期延误由发包人承担。</w:t>
      </w:r>
    </w:p>
    <w:p w14:paraId="48A30084">
      <w:pPr>
        <w:spacing w:line="360" w:lineRule="auto"/>
        <w:ind w:firstLine="420" w:firstLineChars="200"/>
        <w:rPr>
          <w:rFonts w:ascii="宋体" w:hAnsi="宋体"/>
          <w:color w:val="000000"/>
          <w:szCs w:val="21"/>
          <w:highlight w:val="none"/>
        </w:rPr>
      </w:pPr>
    </w:p>
    <w:p w14:paraId="30579B93">
      <w:pPr>
        <w:spacing w:line="360" w:lineRule="auto"/>
        <w:rPr>
          <w:rFonts w:ascii="宋体" w:hAnsi="宋体"/>
          <w:color w:val="000000"/>
          <w:sz w:val="28"/>
          <w:szCs w:val="28"/>
          <w:highlight w:val="none"/>
        </w:rPr>
      </w:pPr>
      <w:bookmarkStart w:id="603" w:name="_bookmark137"/>
      <w:bookmarkEnd w:id="603"/>
      <w:r>
        <w:rPr>
          <w:rFonts w:ascii="宋体" w:hAnsi="宋体"/>
          <w:color w:val="000000"/>
          <w:sz w:val="28"/>
          <w:szCs w:val="28"/>
          <w:highlight w:val="none"/>
        </w:rPr>
        <w:t>6.施工设备和临时设施</w:t>
      </w:r>
    </w:p>
    <w:p w14:paraId="2BF82527">
      <w:pPr>
        <w:spacing w:line="360" w:lineRule="auto"/>
        <w:rPr>
          <w:rFonts w:ascii="宋体" w:hAnsi="宋体"/>
          <w:color w:val="000000"/>
          <w:sz w:val="24"/>
          <w:highlight w:val="none"/>
        </w:rPr>
      </w:pPr>
      <w:bookmarkStart w:id="604" w:name="_bookmark138"/>
      <w:bookmarkEnd w:id="604"/>
      <w:r>
        <w:rPr>
          <w:rFonts w:ascii="宋体" w:hAnsi="宋体"/>
          <w:color w:val="000000"/>
          <w:sz w:val="24"/>
          <w:highlight w:val="none"/>
        </w:rPr>
        <w:t>6.1</w:t>
      </w:r>
      <w:r>
        <w:rPr>
          <w:rFonts w:ascii="宋体" w:hAnsi="宋体"/>
          <w:color w:val="000000"/>
          <w:sz w:val="24"/>
          <w:highlight w:val="none"/>
        </w:rPr>
        <w:tab/>
      </w:r>
      <w:r>
        <w:rPr>
          <w:rFonts w:ascii="宋体" w:hAnsi="宋体"/>
          <w:color w:val="000000"/>
          <w:sz w:val="24"/>
          <w:highlight w:val="none"/>
        </w:rPr>
        <w:t>承包人提供的施工设备和临时设施</w:t>
      </w:r>
    </w:p>
    <w:p w14:paraId="69B61F55">
      <w:pPr>
        <w:spacing w:line="360" w:lineRule="auto"/>
        <w:ind w:firstLine="420" w:firstLineChars="200"/>
        <w:rPr>
          <w:rFonts w:ascii="宋体" w:hAnsi="宋体"/>
          <w:color w:val="000000"/>
          <w:szCs w:val="21"/>
          <w:highlight w:val="none"/>
        </w:rPr>
      </w:pPr>
      <w:r>
        <w:rPr>
          <w:rFonts w:ascii="宋体" w:hAnsi="宋体"/>
          <w:color w:val="000000"/>
          <w:szCs w:val="21"/>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ADCFBBD">
      <w:pPr>
        <w:spacing w:line="360" w:lineRule="auto"/>
        <w:ind w:firstLine="420" w:firstLineChars="200"/>
        <w:rPr>
          <w:rFonts w:ascii="宋体" w:hAnsi="宋体"/>
          <w:color w:val="000000"/>
          <w:szCs w:val="21"/>
          <w:highlight w:val="none"/>
        </w:rPr>
      </w:pPr>
      <w:r>
        <w:rPr>
          <w:rFonts w:ascii="宋体" w:hAnsi="宋体"/>
          <w:color w:val="000000"/>
          <w:szCs w:val="21"/>
          <w:highlight w:val="none"/>
        </w:rPr>
        <w:t>6.1.2</w:t>
      </w:r>
      <w:r>
        <w:rPr>
          <w:rFonts w:ascii="宋体" w:hAnsi="宋体"/>
          <w:color w:val="000000"/>
          <w:szCs w:val="21"/>
          <w:highlight w:val="none"/>
        </w:rPr>
        <w:tab/>
      </w:r>
      <w:r>
        <w:rPr>
          <w:rFonts w:ascii="宋体" w:hAnsi="宋体"/>
          <w:color w:val="000000"/>
          <w:szCs w:val="21"/>
          <w:highlight w:val="none"/>
        </w:rPr>
        <w:t>除合同另有约定外，承包人应承担自行修建临时设施的费用，需要临时占地的，应由发包人办理申请手续并承担相应费用。承包人自行修建临时设施的范围以及所需临时占地见合同条款专用部分。</w:t>
      </w:r>
    </w:p>
    <w:p w14:paraId="5AB23ECD">
      <w:pPr>
        <w:spacing w:line="360" w:lineRule="auto"/>
        <w:rPr>
          <w:rFonts w:ascii="宋体" w:hAnsi="宋体"/>
          <w:color w:val="000000"/>
          <w:sz w:val="24"/>
          <w:highlight w:val="none"/>
        </w:rPr>
      </w:pPr>
      <w:bookmarkStart w:id="605" w:name="_bookmark139"/>
      <w:bookmarkEnd w:id="605"/>
      <w:r>
        <w:rPr>
          <w:rFonts w:ascii="宋体" w:hAnsi="宋体"/>
          <w:color w:val="000000"/>
          <w:sz w:val="24"/>
          <w:highlight w:val="none"/>
        </w:rPr>
        <w:t>6.2</w:t>
      </w:r>
      <w:r>
        <w:rPr>
          <w:rFonts w:ascii="宋体" w:hAnsi="宋体"/>
          <w:color w:val="000000"/>
          <w:sz w:val="24"/>
          <w:highlight w:val="none"/>
        </w:rPr>
        <w:tab/>
      </w:r>
      <w:r>
        <w:rPr>
          <w:rFonts w:ascii="宋体" w:hAnsi="宋体"/>
          <w:color w:val="000000"/>
          <w:sz w:val="24"/>
          <w:highlight w:val="none"/>
        </w:rPr>
        <w:t>发包人提供的施工设备和临时设施</w:t>
      </w:r>
    </w:p>
    <w:p w14:paraId="032020B5">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发包人提供的施工设备或临时设施，以及相关运行、维护、拆除、清运费用的承担人见合同条款专用部分。</w:t>
      </w:r>
    </w:p>
    <w:p w14:paraId="02937841">
      <w:pPr>
        <w:spacing w:line="360" w:lineRule="auto"/>
        <w:rPr>
          <w:rFonts w:ascii="宋体" w:hAnsi="宋体"/>
          <w:color w:val="000000"/>
          <w:sz w:val="24"/>
          <w:highlight w:val="none"/>
        </w:rPr>
      </w:pPr>
      <w:bookmarkStart w:id="606" w:name="_bookmark140"/>
      <w:bookmarkEnd w:id="606"/>
      <w:r>
        <w:rPr>
          <w:rFonts w:ascii="宋体" w:hAnsi="宋体"/>
          <w:color w:val="000000"/>
          <w:sz w:val="24"/>
          <w:highlight w:val="none"/>
        </w:rPr>
        <w:t>6.3</w:t>
      </w:r>
      <w:r>
        <w:rPr>
          <w:rFonts w:ascii="宋体" w:hAnsi="宋体"/>
          <w:color w:val="000000"/>
          <w:sz w:val="24"/>
          <w:highlight w:val="none"/>
        </w:rPr>
        <w:tab/>
      </w:r>
      <w:r>
        <w:rPr>
          <w:rFonts w:ascii="宋体" w:hAnsi="宋体"/>
          <w:color w:val="000000"/>
          <w:sz w:val="24"/>
          <w:highlight w:val="none"/>
        </w:rPr>
        <w:t>要求承包人增加或更换施工设备</w:t>
      </w:r>
    </w:p>
    <w:p w14:paraId="6E790771">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341F62DF">
      <w:pPr>
        <w:spacing w:line="360" w:lineRule="auto"/>
        <w:rPr>
          <w:rFonts w:ascii="宋体" w:hAnsi="宋体"/>
          <w:color w:val="000000"/>
          <w:sz w:val="24"/>
          <w:highlight w:val="none"/>
        </w:rPr>
      </w:pPr>
      <w:bookmarkStart w:id="607" w:name="_bookmark141"/>
      <w:bookmarkEnd w:id="607"/>
      <w:r>
        <w:rPr>
          <w:rFonts w:ascii="宋体" w:hAnsi="宋体"/>
          <w:color w:val="000000"/>
          <w:sz w:val="24"/>
          <w:highlight w:val="none"/>
        </w:rPr>
        <w:t>6.4</w:t>
      </w:r>
      <w:r>
        <w:rPr>
          <w:rFonts w:ascii="宋体" w:hAnsi="宋体"/>
          <w:color w:val="000000"/>
          <w:sz w:val="24"/>
          <w:highlight w:val="none"/>
        </w:rPr>
        <w:tab/>
      </w:r>
      <w:r>
        <w:rPr>
          <w:rFonts w:ascii="宋体" w:hAnsi="宋体"/>
          <w:color w:val="000000"/>
          <w:sz w:val="24"/>
          <w:highlight w:val="none"/>
        </w:rPr>
        <w:t>施工设备和临时设施专用于合同工程</w:t>
      </w:r>
    </w:p>
    <w:p w14:paraId="3320DBB4">
      <w:pPr>
        <w:spacing w:line="360" w:lineRule="auto"/>
        <w:ind w:firstLine="420" w:firstLineChars="200"/>
        <w:rPr>
          <w:rFonts w:ascii="宋体" w:hAnsi="宋体"/>
          <w:color w:val="000000"/>
          <w:szCs w:val="21"/>
          <w:highlight w:val="none"/>
        </w:rPr>
      </w:pPr>
      <w:r>
        <w:rPr>
          <w:rFonts w:ascii="宋体" w:hAnsi="宋体"/>
          <w:color w:val="000000"/>
          <w:szCs w:val="21"/>
          <w:highlight w:val="none"/>
        </w:rPr>
        <w:t>6.4.1 除为第 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0E99684D">
      <w:pPr>
        <w:spacing w:line="360" w:lineRule="auto"/>
        <w:ind w:firstLine="420" w:firstLineChars="200"/>
        <w:rPr>
          <w:rFonts w:ascii="宋体" w:hAnsi="宋体"/>
          <w:color w:val="000000"/>
          <w:szCs w:val="21"/>
          <w:highlight w:val="none"/>
        </w:rPr>
      </w:pPr>
      <w:r>
        <w:rPr>
          <w:rFonts w:ascii="宋体" w:hAnsi="宋体"/>
          <w:color w:val="000000"/>
          <w:szCs w:val="21"/>
          <w:highlight w:val="none"/>
        </w:rPr>
        <w:t>6.4.2</w:t>
      </w:r>
      <w:r>
        <w:rPr>
          <w:rFonts w:ascii="宋体" w:hAnsi="宋体"/>
          <w:color w:val="000000"/>
          <w:szCs w:val="21"/>
          <w:highlight w:val="none"/>
        </w:rPr>
        <w:tab/>
      </w:r>
      <w:r>
        <w:rPr>
          <w:rFonts w:ascii="宋体" w:hAnsi="宋体"/>
          <w:color w:val="000000"/>
          <w:szCs w:val="21"/>
          <w:highlight w:val="none"/>
        </w:rPr>
        <w:t>经监理人同意，承包人可根据合同进度计划撤走闲置的施工设备。</w:t>
      </w:r>
    </w:p>
    <w:p w14:paraId="2E4318A2">
      <w:pPr>
        <w:spacing w:line="360" w:lineRule="auto"/>
        <w:rPr>
          <w:rFonts w:ascii="宋体" w:hAnsi="宋体"/>
          <w:color w:val="000000"/>
          <w:sz w:val="28"/>
          <w:szCs w:val="28"/>
          <w:highlight w:val="none"/>
        </w:rPr>
      </w:pPr>
      <w:bookmarkStart w:id="608" w:name="_bookmark142"/>
      <w:bookmarkEnd w:id="608"/>
      <w:r>
        <w:rPr>
          <w:rFonts w:ascii="宋体" w:hAnsi="宋体"/>
          <w:color w:val="000000"/>
          <w:sz w:val="28"/>
          <w:szCs w:val="28"/>
          <w:highlight w:val="none"/>
        </w:rPr>
        <w:t>7.交通运输</w:t>
      </w:r>
    </w:p>
    <w:p w14:paraId="5F14BD57">
      <w:pPr>
        <w:spacing w:line="360" w:lineRule="auto"/>
        <w:rPr>
          <w:rFonts w:ascii="宋体" w:hAnsi="宋体"/>
          <w:color w:val="000000"/>
          <w:sz w:val="24"/>
          <w:highlight w:val="none"/>
        </w:rPr>
      </w:pPr>
      <w:bookmarkStart w:id="609" w:name="_bookmark143"/>
      <w:bookmarkEnd w:id="609"/>
      <w:r>
        <w:rPr>
          <w:rFonts w:ascii="宋体" w:hAnsi="宋体"/>
          <w:color w:val="000000"/>
          <w:sz w:val="24"/>
          <w:highlight w:val="none"/>
        </w:rPr>
        <w:t>7.1</w:t>
      </w:r>
      <w:r>
        <w:rPr>
          <w:rFonts w:ascii="宋体" w:hAnsi="宋体"/>
          <w:color w:val="000000"/>
          <w:sz w:val="24"/>
          <w:highlight w:val="none"/>
        </w:rPr>
        <w:tab/>
      </w:r>
      <w:r>
        <w:rPr>
          <w:rFonts w:ascii="宋体" w:hAnsi="宋体"/>
          <w:color w:val="000000"/>
          <w:sz w:val="24"/>
          <w:highlight w:val="none"/>
        </w:rPr>
        <w:t>道路通行权和场外设施</w:t>
      </w:r>
    </w:p>
    <w:p w14:paraId="39B09F2D">
      <w:pPr>
        <w:spacing w:line="360" w:lineRule="auto"/>
        <w:ind w:firstLine="420" w:firstLineChars="200"/>
        <w:rPr>
          <w:rFonts w:ascii="宋体" w:hAnsi="宋体"/>
          <w:color w:val="000000"/>
          <w:szCs w:val="21"/>
          <w:highlight w:val="none"/>
        </w:rPr>
      </w:pPr>
      <w:r>
        <w:rPr>
          <w:rFonts w:ascii="宋体" w:hAnsi="宋体"/>
          <w:color w:val="000000"/>
          <w:szCs w:val="21"/>
          <w:highlight w:val="none"/>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47D762C1">
      <w:pPr>
        <w:spacing w:line="360" w:lineRule="auto"/>
        <w:rPr>
          <w:rFonts w:ascii="宋体" w:hAnsi="宋体"/>
          <w:color w:val="000000"/>
          <w:sz w:val="24"/>
          <w:highlight w:val="none"/>
        </w:rPr>
      </w:pPr>
      <w:bookmarkStart w:id="610" w:name="_bookmark144"/>
      <w:bookmarkEnd w:id="610"/>
      <w:r>
        <w:rPr>
          <w:rFonts w:ascii="宋体" w:hAnsi="宋体"/>
          <w:color w:val="000000"/>
          <w:sz w:val="24"/>
          <w:highlight w:val="none"/>
        </w:rPr>
        <w:t>7.2</w:t>
      </w:r>
      <w:r>
        <w:rPr>
          <w:rFonts w:ascii="宋体" w:hAnsi="宋体"/>
          <w:color w:val="000000"/>
          <w:sz w:val="24"/>
          <w:highlight w:val="none"/>
        </w:rPr>
        <w:tab/>
      </w:r>
      <w:r>
        <w:rPr>
          <w:rFonts w:ascii="宋体" w:hAnsi="宋体"/>
          <w:color w:val="000000"/>
          <w:sz w:val="24"/>
          <w:highlight w:val="none"/>
        </w:rPr>
        <w:t>场内施工道路</w:t>
      </w:r>
    </w:p>
    <w:p w14:paraId="2CF4650D">
      <w:pPr>
        <w:spacing w:line="360" w:lineRule="auto"/>
        <w:ind w:firstLine="420" w:firstLineChars="200"/>
        <w:rPr>
          <w:rFonts w:ascii="宋体" w:hAnsi="宋体"/>
          <w:color w:val="000000"/>
          <w:szCs w:val="21"/>
          <w:highlight w:val="none"/>
        </w:rPr>
      </w:pPr>
      <w:r>
        <w:rPr>
          <w:rFonts w:ascii="宋体" w:hAnsi="宋体"/>
          <w:color w:val="000000"/>
          <w:szCs w:val="21"/>
          <w:highlight w:val="none"/>
        </w:rPr>
        <w:t>7.2.1 除合同条款专用部分另有约定外，承包人应负责修建、维修、养护和管理施工所需的临时道路和交通设施，包括维修、养护和管理发包人提供的道路和交通设施，并承担相应费用。</w:t>
      </w:r>
    </w:p>
    <w:p w14:paraId="36D55C85">
      <w:pPr>
        <w:spacing w:line="360" w:lineRule="auto"/>
        <w:ind w:firstLine="420" w:firstLineChars="200"/>
        <w:rPr>
          <w:rFonts w:ascii="宋体" w:hAnsi="宋体"/>
          <w:color w:val="000000"/>
          <w:szCs w:val="21"/>
          <w:highlight w:val="none"/>
        </w:rPr>
      </w:pPr>
      <w:r>
        <w:rPr>
          <w:rFonts w:ascii="宋体" w:hAnsi="宋体"/>
          <w:color w:val="000000"/>
          <w:szCs w:val="21"/>
          <w:highlight w:val="none"/>
        </w:rPr>
        <w:t>7.2.2</w:t>
      </w:r>
      <w:r>
        <w:rPr>
          <w:rFonts w:ascii="宋体" w:hAnsi="宋体"/>
          <w:color w:val="000000"/>
          <w:szCs w:val="21"/>
          <w:highlight w:val="none"/>
        </w:rPr>
        <w:tab/>
      </w:r>
      <w:r>
        <w:rPr>
          <w:rFonts w:ascii="宋体" w:hAnsi="宋体"/>
          <w:color w:val="000000"/>
          <w:szCs w:val="21"/>
          <w:highlight w:val="none"/>
        </w:rPr>
        <w:t>发包人和监理人有权无偿使用承包人修建的临时道路和交通设施，不需要交纳任何费用。</w:t>
      </w:r>
    </w:p>
    <w:p w14:paraId="324B2805">
      <w:pPr>
        <w:spacing w:line="360" w:lineRule="auto"/>
        <w:rPr>
          <w:rFonts w:ascii="宋体" w:hAnsi="宋体"/>
          <w:color w:val="000000"/>
          <w:sz w:val="24"/>
          <w:highlight w:val="none"/>
        </w:rPr>
      </w:pPr>
      <w:bookmarkStart w:id="611" w:name="_bookmark145"/>
      <w:bookmarkEnd w:id="611"/>
      <w:r>
        <w:rPr>
          <w:rFonts w:ascii="宋体" w:hAnsi="宋体"/>
          <w:color w:val="000000"/>
          <w:sz w:val="24"/>
          <w:highlight w:val="none"/>
        </w:rPr>
        <w:t>7.3</w:t>
      </w:r>
      <w:r>
        <w:rPr>
          <w:rFonts w:ascii="宋体" w:hAnsi="宋体"/>
          <w:color w:val="000000"/>
          <w:sz w:val="24"/>
          <w:highlight w:val="none"/>
        </w:rPr>
        <w:tab/>
      </w:r>
      <w:r>
        <w:rPr>
          <w:rFonts w:ascii="宋体" w:hAnsi="宋体"/>
          <w:color w:val="000000"/>
          <w:sz w:val="24"/>
          <w:highlight w:val="none"/>
        </w:rPr>
        <w:t>场外交通</w:t>
      </w:r>
    </w:p>
    <w:p w14:paraId="084B0928">
      <w:pPr>
        <w:spacing w:line="360" w:lineRule="auto"/>
        <w:ind w:firstLine="420" w:firstLineChars="200"/>
        <w:rPr>
          <w:rFonts w:ascii="宋体" w:hAnsi="宋体"/>
          <w:color w:val="000000"/>
          <w:szCs w:val="21"/>
          <w:highlight w:val="none"/>
        </w:rPr>
      </w:pPr>
      <w:r>
        <w:rPr>
          <w:rFonts w:ascii="宋体" w:hAnsi="宋体"/>
          <w:color w:val="000000"/>
          <w:szCs w:val="21"/>
          <w:highlight w:val="none"/>
        </w:rPr>
        <w:t>7.3.1</w:t>
      </w:r>
      <w:r>
        <w:rPr>
          <w:rFonts w:ascii="宋体" w:hAnsi="宋体"/>
          <w:color w:val="000000"/>
          <w:szCs w:val="21"/>
          <w:highlight w:val="none"/>
        </w:rPr>
        <w:tab/>
      </w:r>
      <w:r>
        <w:rPr>
          <w:rFonts w:ascii="宋体" w:hAnsi="宋体"/>
          <w:color w:val="000000"/>
          <w:szCs w:val="21"/>
          <w:highlight w:val="none"/>
        </w:rPr>
        <w:t>承包人车辆外出行驶所需的场外公共道路的通行费、养路费和税款等由承包人承担。</w:t>
      </w:r>
    </w:p>
    <w:p w14:paraId="41AB05FE">
      <w:pPr>
        <w:spacing w:line="360" w:lineRule="auto"/>
        <w:ind w:firstLine="420" w:firstLineChars="200"/>
        <w:rPr>
          <w:rFonts w:ascii="宋体" w:hAnsi="宋体"/>
          <w:color w:val="000000"/>
          <w:szCs w:val="21"/>
          <w:highlight w:val="none"/>
        </w:rPr>
      </w:pPr>
      <w:r>
        <w:rPr>
          <w:rFonts w:ascii="宋体" w:hAnsi="宋体"/>
          <w:color w:val="000000"/>
          <w:szCs w:val="21"/>
          <w:highlight w:val="none"/>
        </w:rPr>
        <w:t>7.3.2</w:t>
      </w:r>
      <w:r>
        <w:rPr>
          <w:rFonts w:ascii="宋体" w:hAnsi="宋体"/>
          <w:color w:val="000000"/>
          <w:szCs w:val="21"/>
          <w:highlight w:val="none"/>
        </w:rPr>
        <w:tab/>
      </w:r>
      <w:r>
        <w:rPr>
          <w:rFonts w:ascii="宋体" w:hAnsi="宋体"/>
          <w:color w:val="000000"/>
          <w:szCs w:val="21"/>
          <w:highlight w:val="none"/>
        </w:rPr>
        <w:t>承包人应遵守有关交通法规，严格按照道路和桥梁的限制荷重安全行驶，并服从交通管理部门的检查和监督。</w:t>
      </w:r>
    </w:p>
    <w:p w14:paraId="5911BF88">
      <w:pPr>
        <w:spacing w:line="360" w:lineRule="auto"/>
        <w:rPr>
          <w:rFonts w:ascii="宋体" w:hAnsi="宋体"/>
          <w:color w:val="000000"/>
          <w:sz w:val="24"/>
          <w:highlight w:val="none"/>
        </w:rPr>
      </w:pPr>
      <w:bookmarkStart w:id="612" w:name="_bookmark146"/>
      <w:bookmarkEnd w:id="612"/>
      <w:r>
        <w:rPr>
          <w:rFonts w:ascii="宋体" w:hAnsi="宋体"/>
          <w:color w:val="000000"/>
          <w:sz w:val="24"/>
          <w:highlight w:val="none"/>
        </w:rPr>
        <w:t>7.4</w:t>
      </w:r>
      <w:r>
        <w:rPr>
          <w:rFonts w:ascii="宋体" w:hAnsi="宋体"/>
          <w:color w:val="000000"/>
          <w:sz w:val="24"/>
          <w:highlight w:val="none"/>
        </w:rPr>
        <w:tab/>
      </w:r>
      <w:r>
        <w:rPr>
          <w:rFonts w:ascii="宋体" w:hAnsi="宋体"/>
          <w:color w:val="000000"/>
          <w:sz w:val="24"/>
          <w:highlight w:val="none"/>
        </w:rPr>
        <w:t>超大件和超重件的运输</w:t>
      </w:r>
    </w:p>
    <w:p w14:paraId="18EDB194">
      <w:pPr>
        <w:spacing w:line="360" w:lineRule="auto"/>
        <w:ind w:firstLine="420" w:firstLineChars="200"/>
        <w:rPr>
          <w:rFonts w:ascii="宋体" w:hAnsi="宋体"/>
          <w:color w:val="000000"/>
          <w:szCs w:val="21"/>
          <w:highlight w:val="none"/>
        </w:rPr>
      </w:pPr>
      <w:r>
        <w:rPr>
          <w:rFonts w:ascii="宋体" w:hAnsi="宋体"/>
          <w:color w:val="00000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71C24731">
      <w:pPr>
        <w:spacing w:line="360" w:lineRule="auto"/>
        <w:rPr>
          <w:rFonts w:ascii="宋体" w:hAnsi="宋体"/>
          <w:color w:val="000000"/>
          <w:sz w:val="24"/>
          <w:highlight w:val="none"/>
        </w:rPr>
      </w:pPr>
      <w:bookmarkStart w:id="613" w:name="_bookmark147"/>
      <w:bookmarkEnd w:id="613"/>
      <w:r>
        <w:rPr>
          <w:rFonts w:ascii="宋体" w:hAnsi="宋体"/>
          <w:color w:val="000000"/>
          <w:sz w:val="24"/>
          <w:highlight w:val="none"/>
        </w:rPr>
        <w:t>7.5</w:t>
      </w:r>
      <w:r>
        <w:rPr>
          <w:rFonts w:ascii="宋体" w:hAnsi="宋体"/>
          <w:color w:val="000000"/>
          <w:sz w:val="24"/>
          <w:highlight w:val="none"/>
        </w:rPr>
        <w:tab/>
      </w:r>
      <w:r>
        <w:rPr>
          <w:rFonts w:ascii="宋体" w:hAnsi="宋体"/>
          <w:color w:val="000000"/>
          <w:sz w:val="24"/>
          <w:highlight w:val="none"/>
        </w:rPr>
        <w:t>道路和桥梁的损坏责任</w:t>
      </w:r>
    </w:p>
    <w:p w14:paraId="45320721">
      <w:pPr>
        <w:spacing w:line="360" w:lineRule="auto"/>
        <w:ind w:firstLine="420" w:firstLineChars="200"/>
        <w:rPr>
          <w:rFonts w:ascii="宋体" w:hAnsi="宋体"/>
          <w:color w:val="000000"/>
          <w:szCs w:val="21"/>
          <w:highlight w:val="none"/>
        </w:rPr>
      </w:pPr>
      <w:r>
        <w:rPr>
          <w:rFonts w:ascii="宋体" w:hAnsi="宋体"/>
          <w:color w:val="000000"/>
          <w:szCs w:val="21"/>
          <w:highlight w:val="none"/>
        </w:rPr>
        <w:t>因承包人运输造成施工场地内外公共道路和桥梁损坏的，由承包人承担修复损坏的全部费用和可能引起的赔偿。</w:t>
      </w:r>
    </w:p>
    <w:p w14:paraId="2B485F39">
      <w:pPr>
        <w:spacing w:line="360" w:lineRule="auto"/>
        <w:rPr>
          <w:rFonts w:ascii="宋体" w:hAnsi="宋体"/>
          <w:color w:val="000000"/>
          <w:sz w:val="24"/>
          <w:highlight w:val="none"/>
        </w:rPr>
      </w:pPr>
      <w:bookmarkStart w:id="614" w:name="_bookmark148"/>
      <w:bookmarkEnd w:id="614"/>
      <w:r>
        <w:rPr>
          <w:rFonts w:ascii="宋体" w:hAnsi="宋体"/>
          <w:color w:val="000000"/>
          <w:sz w:val="24"/>
          <w:highlight w:val="none"/>
        </w:rPr>
        <w:t>7.6</w:t>
      </w:r>
      <w:r>
        <w:rPr>
          <w:rFonts w:ascii="宋体" w:hAnsi="宋体"/>
          <w:color w:val="000000"/>
          <w:sz w:val="24"/>
          <w:highlight w:val="none"/>
        </w:rPr>
        <w:tab/>
      </w:r>
      <w:r>
        <w:rPr>
          <w:rFonts w:ascii="宋体" w:hAnsi="宋体"/>
          <w:color w:val="000000"/>
          <w:sz w:val="24"/>
          <w:highlight w:val="none"/>
        </w:rPr>
        <w:t>水路和航空运输</w:t>
      </w:r>
    </w:p>
    <w:p w14:paraId="1279C635">
      <w:pPr>
        <w:spacing w:line="360" w:lineRule="auto"/>
        <w:ind w:firstLine="420" w:firstLineChars="200"/>
        <w:rPr>
          <w:rFonts w:ascii="宋体" w:hAnsi="宋体"/>
          <w:color w:val="000000"/>
          <w:szCs w:val="21"/>
          <w:highlight w:val="none"/>
        </w:rPr>
      </w:pPr>
      <w:r>
        <w:rPr>
          <w:rFonts w:ascii="宋体" w:hAnsi="宋体"/>
          <w:color w:val="000000"/>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64B59114">
      <w:pPr>
        <w:spacing w:line="360" w:lineRule="auto"/>
        <w:rPr>
          <w:rFonts w:ascii="宋体" w:hAnsi="宋体"/>
          <w:color w:val="000000"/>
          <w:sz w:val="28"/>
          <w:szCs w:val="28"/>
          <w:highlight w:val="none"/>
        </w:rPr>
      </w:pPr>
      <w:bookmarkStart w:id="615" w:name="_bookmark149"/>
      <w:bookmarkEnd w:id="615"/>
      <w:r>
        <w:rPr>
          <w:rFonts w:ascii="宋体" w:hAnsi="宋体"/>
          <w:color w:val="000000"/>
          <w:sz w:val="28"/>
          <w:szCs w:val="28"/>
          <w:highlight w:val="none"/>
        </w:rPr>
        <w:t>8.测量放线</w:t>
      </w:r>
    </w:p>
    <w:p w14:paraId="248BA474">
      <w:pPr>
        <w:spacing w:line="360" w:lineRule="auto"/>
        <w:rPr>
          <w:rFonts w:ascii="宋体" w:hAnsi="宋体"/>
          <w:color w:val="000000"/>
          <w:sz w:val="24"/>
          <w:highlight w:val="none"/>
        </w:rPr>
      </w:pPr>
      <w:bookmarkStart w:id="616" w:name="_bookmark150"/>
      <w:bookmarkEnd w:id="616"/>
      <w:r>
        <w:rPr>
          <w:rFonts w:ascii="宋体" w:hAnsi="宋体"/>
          <w:color w:val="000000"/>
          <w:sz w:val="24"/>
          <w:highlight w:val="none"/>
        </w:rPr>
        <w:t>8.1</w:t>
      </w:r>
      <w:r>
        <w:rPr>
          <w:rFonts w:ascii="宋体" w:hAnsi="宋体"/>
          <w:color w:val="000000"/>
          <w:sz w:val="24"/>
          <w:highlight w:val="none"/>
        </w:rPr>
        <w:tab/>
      </w:r>
      <w:r>
        <w:rPr>
          <w:rFonts w:ascii="宋体" w:hAnsi="宋体"/>
          <w:color w:val="000000"/>
          <w:sz w:val="24"/>
          <w:highlight w:val="none"/>
        </w:rPr>
        <w:t>施工控制网</w:t>
      </w:r>
    </w:p>
    <w:p w14:paraId="1C30B71B">
      <w:pPr>
        <w:spacing w:line="360" w:lineRule="auto"/>
        <w:ind w:firstLine="420" w:firstLineChars="200"/>
        <w:rPr>
          <w:rFonts w:ascii="宋体" w:hAnsi="宋体"/>
          <w:color w:val="000000"/>
          <w:szCs w:val="21"/>
          <w:highlight w:val="none"/>
        </w:rPr>
      </w:pPr>
      <w:r>
        <w:rPr>
          <w:rFonts w:ascii="宋体" w:hAnsi="宋体"/>
          <w:color w:val="000000"/>
          <w:szCs w:val="21"/>
          <w:highlight w:val="none"/>
        </w:rPr>
        <w:t>8.1.1</w:t>
      </w:r>
      <w:r>
        <w:rPr>
          <w:rFonts w:ascii="宋体" w:hAnsi="宋体"/>
          <w:color w:val="000000"/>
          <w:szCs w:val="21"/>
          <w:highlight w:val="none"/>
        </w:rPr>
        <w:tab/>
      </w:r>
      <w:r>
        <w:rPr>
          <w:rFonts w:ascii="宋体" w:hAnsi="宋体"/>
          <w:color w:val="000000"/>
          <w:szCs w:val="21"/>
          <w:highlight w:val="none"/>
        </w:rPr>
        <w:t>发包人应在合同约定的期限内，通过监理人向承包人提供测量基准点、基准线</w:t>
      </w:r>
    </w:p>
    <w:p w14:paraId="13ED4CCB">
      <w:pPr>
        <w:spacing w:line="360" w:lineRule="auto"/>
        <w:ind w:firstLine="420" w:firstLineChars="200"/>
        <w:rPr>
          <w:rFonts w:ascii="宋体" w:hAnsi="宋体"/>
          <w:color w:val="000000"/>
          <w:szCs w:val="21"/>
          <w:highlight w:val="none"/>
        </w:rPr>
      </w:pPr>
      <w:r>
        <w:rPr>
          <w:rFonts w:ascii="宋体" w:hAnsi="宋体"/>
          <w:color w:val="000000"/>
          <w:szCs w:val="21"/>
          <w:highlight w:val="none"/>
        </w:rPr>
        <w:t>和水准点及其书面资料。向承包人提供测量基准点、基准线和水准点及其书面资料的期限见合同条款专用部分。</w:t>
      </w:r>
    </w:p>
    <w:p w14:paraId="11A7D440">
      <w:pPr>
        <w:spacing w:line="360" w:lineRule="auto"/>
        <w:ind w:firstLine="420" w:firstLineChars="200"/>
        <w:rPr>
          <w:rFonts w:ascii="宋体" w:hAnsi="宋体"/>
          <w:color w:val="000000"/>
          <w:szCs w:val="21"/>
          <w:highlight w:val="none"/>
        </w:rPr>
      </w:pPr>
      <w:r>
        <w:rPr>
          <w:rFonts w:ascii="宋体" w:hAnsi="宋体"/>
          <w:color w:val="000000"/>
          <w:szCs w:val="21"/>
          <w:highlight w:val="none"/>
        </w:rPr>
        <w:t>8.1.2</w:t>
      </w:r>
      <w:r>
        <w:rPr>
          <w:rFonts w:ascii="宋体" w:hAnsi="宋体"/>
          <w:color w:val="000000"/>
          <w:szCs w:val="21"/>
          <w:highlight w:val="none"/>
        </w:rPr>
        <w:tab/>
      </w:r>
      <w:r>
        <w:rPr>
          <w:rFonts w:ascii="宋体" w:hAnsi="宋体"/>
          <w:color w:val="000000"/>
          <w:szCs w:val="21"/>
          <w:highlight w:val="none"/>
        </w:rPr>
        <w:t>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5C47E7EF">
      <w:pPr>
        <w:spacing w:line="360" w:lineRule="auto"/>
        <w:ind w:firstLine="420" w:firstLineChars="200"/>
        <w:rPr>
          <w:rFonts w:ascii="宋体" w:hAnsi="宋体"/>
          <w:color w:val="000000"/>
          <w:szCs w:val="21"/>
          <w:highlight w:val="none"/>
        </w:rPr>
      </w:pPr>
      <w:r>
        <w:rPr>
          <w:rFonts w:ascii="宋体" w:hAnsi="宋体"/>
          <w:color w:val="000000"/>
          <w:szCs w:val="21"/>
          <w:highlight w:val="none"/>
        </w:rPr>
        <w:t>8.1.3</w:t>
      </w:r>
      <w:r>
        <w:rPr>
          <w:rFonts w:ascii="宋体" w:hAnsi="宋体"/>
          <w:color w:val="000000"/>
          <w:szCs w:val="21"/>
          <w:highlight w:val="none"/>
        </w:rPr>
        <w:tab/>
      </w:r>
      <w:r>
        <w:rPr>
          <w:rFonts w:ascii="宋体" w:hAnsi="宋体"/>
          <w:color w:val="000000"/>
          <w:szCs w:val="21"/>
          <w:highlight w:val="none"/>
        </w:rPr>
        <w:t>承包人应负责管理施工控制网点。施工控制网点丢失或损坏的，承包人应及时修复，并承担施工控制网点的管理与修复费用。工程竣工后将施工控制网点移交发包人。</w:t>
      </w:r>
    </w:p>
    <w:p w14:paraId="3424C91C">
      <w:pPr>
        <w:spacing w:line="360" w:lineRule="auto"/>
        <w:rPr>
          <w:rFonts w:ascii="宋体" w:hAnsi="宋体"/>
          <w:color w:val="000000"/>
          <w:sz w:val="24"/>
          <w:highlight w:val="none"/>
        </w:rPr>
      </w:pPr>
      <w:bookmarkStart w:id="617" w:name="_bookmark151"/>
      <w:bookmarkEnd w:id="617"/>
      <w:r>
        <w:rPr>
          <w:rFonts w:ascii="宋体" w:hAnsi="宋体"/>
          <w:color w:val="000000"/>
          <w:sz w:val="24"/>
          <w:highlight w:val="none"/>
        </w:rPr>
        <w:t>8.2</w:t>
      </w:r>
      <w:r>
        <w:rPr>
          <w:rFonts w:ascii="宋体" w:hAnsi="宋体"/>
          <w:color w:val="000000"/>
          <w:sz w:val="24"/>
          <w:highlight w:val="none"/>
        </w:rPr>
        <w:tab/>
      </w:r>
      <w:r>
        <w:rPr>
          <w:rFonts w:ascii="宋体" w:hAnsi="宋体"/>
          <w:color w:val="000000"/>
          <w:sz w:val="24"/>
          <w:highlight w:val="none"/>
        </w:rPr>
        <w:t>施工测量</w:t>
      </w:r>
    </w:p>
    <w:p w14:paraId="02440F84">
      <w:pPr>
        <w:spacing w:line="360" w:lineRule="auto"/>
        <w:ind w:firstLine="420" w:firstLineChars="200"/>
        <w:rPr>
          <w:rFonts w:ascii="宋体" w:hAnsi="宋体"/>
          <w:color w:val="000000"/>
          <w:szCs w:val="21"/>
          <w:highlight w:val="none"/>
        </w:rPr>
      </w:pPr>
      <w:r>
        <w:rPr>
          <w:rFonts w:ascii="宋体" w:hAnsi="宋体"/>
          <w:color w:val="000000"/>
          <w:szCs w:val="21"/>
          <w:highlight w:val="none"/>
        </w:rPr>
        <w:t>8.2.1</w:t>
      </w:r>
      <w:r>
        <w:rPr>
          <w:rFonts w:ascii="宋体" w:hAnsi="宋体"/>
          <w:color w:val="000000"/>
          <w:szCs w:val="21"/>
          <w:highlight w:val="none"/>
        </w:rPr>
        <w:tab/>
      </w:r>
      <w:r>
        <w:rPr>
          <w:rFonts w:ascii="宋体" w:hAnsi="宋体"/>
          <w:color w:val="000000"/>
          <w:szCs w:val="21"/>
          <w:highlight w:val="none"/>
        </w:rPr>
        <w:t>承包人应负责施工过程中的全部施工测量放线工作，并配置合格的人员、仪器、设备和其他物品。</w:t>
      </w:r>
    </w:p>
    <w:p w14:paraId="0813F45A">
      <w:pPr>
        <w:spacing w:line="360" w:lineRule="auto"/>
        <w:ind w:firstLine="420" w:firstLineChars="200"/>
        <w:rPr>
          <w:rFonts w:ascii="宋体" w:hAnsi="宋体"/>
          <w:color w:val="000000"/>
          <w:szCs w:val="21"/>
          <w:highlight w:val="none"/>
        </w:rPr>
      </w:pPr>
      <w:r>
        <w:rPr>
          <w:rFonts w:ascii="宋体" w:hAnsi="宋体"/>
          <w:color w:val="000000"/>
          <w:szCs w:val="21"/>
          <w:highlight w:val="none"/>
        </w:rPr>
        <w:t>8.2.2</w:t>
      </w:r>
      <w:r>
        <w:rPr>
          <w:rFonts w:ascii="宋体" w:hAnsi="宋体"/>
          <w:color w:val="000000"/>
          <w:szCs w:val="21"/>
          <w:highlight w:val="none"/>
        </w:rPr>
        <w:tab/>
      </w:r>
      <w:r>
        <w:rPr>
          <w:rFonts w:ascii="宋体" w:hAnsi="宋体"/>
          <w:color w:val="000000"/>
          <w:szCs w:val="21"/>
          <w:highlight w:val="none"/>
        </w:rPr>
        <w:t>监理人可以指示承包人进行抽样复测，当复测中发现错误或出现超过合同约定的误差时，承包人应按监理人指示进行修正或补测，并承担相应的复测费用。</w:t>
      </w:r>
    </w:p>
    <w:p w14:paraId="0091D96C">
      <w:pPr>
        <w:spacing w:line="360" w:lineRule="auto"/>
        <w:rPr>
          <w:rFonts w:ascii="宋体" w:hAnsi="宋体"/>
          <w:color w:val="000000"/>
          <w:sz w:val="24"/>
          <w:highlight w:val="none"/>
        </w:rPr>
      </w:pPr>
      <w:bookmarkStart w:id="618" w:name="_bookmark152"/>
      <w:bookmarkEnd w:id="618"/>
      <w:r>
        <w:rPr>
          <w:rFonts w:ascii="宋体" w:hAnsi="宋体"/>
          <w:color w:val="000000"/>
          <w:sz w:val="24"/>
          <w:highlight w:val="none"/>
        </w:rPr>
        <w:t>8.3</w:t>
      </w:r>
      <w:r>
        <w:rPr>
          <w:rFonts w:ascii="宋体" w:hAnsi="宋体"/>
          <w:color w:val="000000"/>
          <w:sz w:val="24"/>
          <w:highlight w:val="none"/>
        </w:rPr>
        <w:tab/>
      </w:r>
      <w:r>
        <w:rPr>
          <w:rFonts w:ascii="宋体" w:hAnsi="宋体"/>
          <w:color w:val="000000"/>
          <w:sz w:val="24"/>
          <w:highlight w:val="none"/>
        </w:rPr>
        <w:t>基准资料错误的责任</w:t>
      </w:r>
    </w:p>
    <w:p w14:paraId="764EBB98">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57FB015">
      <w:pPr>
        <w:spacing w:line="360" w:lineRule="auto"/>
        <w:rPr>
          <w:rFonts w:ascii="宋体" w:hAnsi="宋体"/>
          <w:color w:val="000000"/>
          <w:sz w:val="24"/>
          <w:highlight w:val="none"/>
        </w:rPr>
      </w:pPr>
      <w:bookmarkStart w:id="619" w:name="_bookmark153"/>
      <w:bookmarkEnd w:id="619"/>
      <w:r>
        <w:rPr>
          <w:rFonts w:ascii="宋体" w:hAnsi="宋体"/>
          <w:color w:val="000000"/>
          <w:sz w:val="24"/>
          <w:highlight w:val="none"/>
        </w:rPr>
        <w:t>8.4</w:t>
      </w:r>
      <w:r>
        <w:rPr>
          <w:rFonts w:ascii="宋体" w:hAnsi="宋体"/>
          <w:color w:val="000000"/>
          <w:sz w:val="24"/>
          <w:highlight w:val="none"/>
        </w:rPr>
        <w:tab/>
      </w:r>
      <w:r>
        <w:rPr>
          <w:rFonts w:ascii="宋体" w:hAnsi="宋体"/>
          <w:color w:val="000000"/>
          <w:sz w:val="24"/>
          <w:highlight w:val="none"/>
        </w:rPr>
        <w:t>监理人使用施工控制网</w:t>
      </w:r>
    </w:p>
    <w:p w14:paraId="4E92E979">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监理人需要使用施工控制网的，承包人应提供必要的协助，发包人不再为此支付费用。</w:t>
      </w:r>
    </w:p>
    <w:p w14:paraId="7513AA9C">
      <w:pPr>
        <w:spacing w:line="360" w:lineRule="auto"/>
        <w:rPr>
          <w:rFonts w:ascii="宋体" w:hAnsi="宋体"/>
          <w:color w:val="000000"/>
          <w:sz w:val="28"/>
          <w:szCs w:val="28"/>
          <w:highlight w:val="none"/>
        </w:rPr>
      </w:pPr>
      <w:bookmarkStart w:id="620" w:name="_bookmark154"/>
      <w:bookmarkEnd w:id="620"/>
      <w:r>
        <w:rPr>
          <w:rFonts w:ascii="宋体" w:hAnsi="宋体"/>
          <w:color w:val="000000"/>
          <w:sz w:val="28"/>
          <w:szCs w:val="28"/>
          <w:highlight w:val="none"/>
        </w:rPr>
        <w:t>9.施工安全、治安保卫和环境保护</w:t>
      </w:r>
    </w:p>
    <w:p w14:paraId="0E8512D8">
      <w:pPr>
        <w:spacing w:line="360" w:lineRule="auto"/>
        <w:rPr>
          <w:rFonts w:ascii="宋体" w:hAnsi="宋体"/>
          <w:color w:val="000000"/>
          <w:sz w:val="24"/>
          <w:highlight w:val="none"/>
        </w:rPr>
      </w:pPr>
      <w:bookmarkStart w:id="621" w:name="_bookmark155"/>
      <w:bookmarkEnd w:id="621"/>
      <w:r>
        <w:rPr>
          <w:rFonts w:ascii="宋体" w:hAnsi="宋体"/>
          <w:color w:val="000000"/>
          <w:sz w:val="24"/>
          <w:highlight w:val="none"/>
        </w:rPr>
        <w:t>9.1</w:t>
      </w:r>
      <w:r>
        <w:rPr>
          <w:rFonts w:ascii="宋体" w:hAnsi="宋体"/>
          <w:color w:val="000000"/>
          <w:sz w:val="24"/>
          <w:highlight w:val="none"/>
        </w:rPr>
        <w:tab/>
      </w:r>
      <w:r>
        <w:rPr>
          <w:rFonts w:ascii="宋体" w:hAnsi="宋体"/>
          <w:color w:val="000000"/>
          <w:sz w:val="24"/>
          <w:highlight w:val="none"/>
        </w:rPr>
        <w:t>发包人的施工安全责任</w:t>
      </w:r>
    </w:p>
    <w:p w14:paraId="223098CD">
      <w:pPr>
        <w:spacing w:line="360" w:lineRule="auto"/>
        <w:ind w:firstLine="420" w:firstLineChars="200"/>
        <w:rPr>
          <w:rFonts w:ascii="宋体" w:hAnsi="宋体"/>
          <w:color w:val="000000"/>
          <w:szCs w:val="21"/>
          <w:highlight w:val="none"/>
        </w:rPr>
      </w:pPr>
      <w:r>
        <w:rPr>
          <w:rFonts w:ascii="宋体" w:hAnsi="宋体"/>
          <w:color w:val="000000"/>
          <w:szCs w:val="21"/>
          <w:highlight w:val="none"/>
        </w:rPr>
        <w:t>9.1.1</w:t>
      </w:r>
      <w:r>
        <w:rPr>
          <w:rFonts w:ascii="宋体" w:hAnsi="宋体"/>
          <w:color w:val="000000"/>
          <w:szCs w:val="21"/>
          <w:highlight w:val="none"/>
        </w:rPr>
        <w:tab/>
      </w:r>
      <w:r>
        <w:rPr>
          <w:rFonts w:ascii="宋体" w:hAnsi="宋体"/>
          <w:color w:val="000000"/>
          <w:szCs w:val="21"/>
          <w:highlight w:val="none"/>
        </w:rPr>
        <w:t>发包人应按合同约定履行安全职责，授权监理人按合同约定的安全工作内容监督、检查承包人安全工作的实施，组织承包人和有关单位进行安全检查。</w:t>
      </w:r>
    </w:p>
    <w:p w14:paraId="3D62AA05">
      <w:pPr>
        <w:spacing w:line="360" w:lineRule="auto"/>
        <w:ind w:firstLine="420" w:firstLineChars="200"/>
        <w:rPr>
          <w:rFonts w:ascii="宋体" w:hAnsi="宋体"/>
          <w:color w:val="000000"/>
          <w:szCs w:val="21"/>
          <w:highlight w:val="none"/>
        </w:rPr>
      </w:pPr>
      <w:r>
        <w:rPr>
          <w:rFonts w:ascii="宋体" w:hAnsi="宋体"/>
          <w:color w:val="000000"/>
          <w:szCs w:val="21"/>
          <w:highlight w:val="none"/>
        </w:rPr>
        <w:t>9.1.2</w:t>
      </w:r>
      <w:r>
        <w:rPr>
          <w:rFonts w:ascii="宋体" w:hAnsi="宋体"/>
          <w:color w:val="000000"/>
          <w:szCs w:val="21"/>
          <w:highlight w:val="none"/>
        </w:rPr>
        <w:tab/>
      </w:r>
      <w:r>
        <w:rPr>
          <w:rFonts w:ascii="宋体" w:hAnsi="宋体"/>
          <w:color w:val="000000"/>
          <w:szCs w:val="21"/>
          <w:highlight w:val="none"/>
        </w:rPr>
        <w:t>发包人应对其现场机构雇佣的全部人员的工伤事故承担责任，但由于承包人原因造成发包人人员工伤的，应由承包人承担责任。</w:t>
      </w:r>
    </w:p>
    <w:p w14:paraId="0D21487A">
      <w:pPr>
        <w:spacing w:line="360" w:lineRule="auto"/>
        <w:ind w:firstLine="420" w:firstLineChars="200"/>
        <w:rPr>
          <w:rFonts w:ascii="宋体" w:hAnsi="宋体"/>
          <w:color w:val="000000"/>
          <w:szCs w:val="21"/>
          <w:highlight w:val="none"/>
        </w:rPr>
      </w:pPr>
      <w:r>
        <w:rPr>
          <w:rFonts w:ascii="宋体" w:hAnsi="宋体"/>
          <w:color w:val="000000"/>
          <w:szCs w:val="21"/>
          <w:highlight w:val="none"/>
        </w:rPr>
        <w:t>9.1.3</w:t>
      </w:r>
      <w:r>
        <w:rPr>
          <w:rFonts w:ascii="宋体" w:hAnsi="宋体"/>
          <w:color w:val="000000"/>
          <w:szCs w:val="21"/>
          <w:highlight w:val="none"/>
        </w:rPr>
        <w:tab/>
      </w:r>
      <w:r>
        <w:rPr>
          <w:rFonts w:ascii="宋体" w:hAnsi="宋体"/>
          <w:color w:val="000000"/>
          <w:szCs w:val="21"/>
          <w:highlight w:val="none"/>
        </w:rPr>
        <w:t>发包人应负责赔偿以下各种情况造成的第三者人身伤亡和财产损失：</w:t>
      </w:r>
    </w:p>
    <w:p w14:paraId="50E62ECF">
      <w:pPr>
        <w:spacing w:line="360" w:lineRule="auto"/>
        <w:ind w:firstLine="420" w:firstLineChars="200"/>
        <w:rPr>
          <w:rFonts w:ascii="宋体" w:hAnsi="宋体"/>
          <w:color w:val="000000"/>
          <w:szCs w:val="21"/>
          <w:highlight w:val="none"/>
        </w:rPr>
      </w:pPr>
      <w:r>
        <w:rPr>
          <w:rFonts w:ascii="宋体" w:hAnsi="宋体"/>
          <w:color w:val="000000"/>
          <w:szCs w:val="21"/>
          <w:highlight w:val="none"/>
        </w:rPr>
        <w:t>（1）工程或工程的任何部分对土地的占用所造成的第三者财产损失；</w:t>
      </w:r>
    </w:p>
    <w:p w14:paraId="299EA7C6">
      <w:pPr>
        <w:spacing w:line="360" w:lineRule="auto"/>
        <w:ind w:firstLine="420" w:firstLineChars="200"/>
        <w:rPr>
          <w:rFonts w:ascii="宋体" w:hAnsi="宋体"/>
          <w:color w:val="000000"/>
          <w:szCs w:val="21"/>
          <w:highlight w:val="none"/>
        </w:rPr>
      </w:pPr>
      <w:r>
        <w:rPr>
          <w:rFonts w:ascii="宋体" w:hAnsi="宋体"/>
          <w:color w:val="000000"/>
          <w:szCs w:val="21"/>
          <w:highlight w:val="none"/>
        </w:rPr>
        <w:t>（2）由于发包人原因在施工场地及其毗邻地带造成的第三者人身伤亡和财产损失。</w:t>
      </w:r>
    </w:p>
    <w:p w14:paraId="469711F9">
      <w:pPr>
        <w:spacing w:line="360" w:lineRule="auto"/>
        <w:rPr>
          <w:rFonts w:ascii="宋体" w:hAnsi="宋体"/>
          <w:color w:val="000000"/>
          <w:sz w:val="24"/>
          <w:highlight w:val="none"/>
        </w:rPr>
      </w:pPr>
      <w:bookmarkStart w:id="622" w:name="_bookmark156"/>
      <w:bookmarkEnd w:id="622"/>
      <w:r>
        <w:rPr>
          <w:rFonts w:ascii="宋体" w:hAnsi="宋体"/>
          <w:color w:val="000000"/>
          <w:sz w:val="24"/>
          <w:highlight w:val="none"/>
        </w:rPr>
        <w:t>9.2</w:t>
      </w:r>
      <w:r>
        <w:rPr>
          <w:rFonts w:ascii="宋体" w:hAnsi="宋体"/>
          <w:color w:val="000000"/>
          <w:sz w:val="24"/>
          <w:highlight w:val="none"/>
        </w:rPr>
        <w:tab/>
      </w:r>
      <w:r>
        <w:rPr>
          <w:rFonts w:ascii="宋体" w:hAnsi="宋体"/>
          <w:color w:val="000000"/>
          <w:sz w:val="24"/>
          <w:highlight w:val="none"/>
        </w:rPr>
        <w:t>承包人的施工安全责任</w:t>
      </w:r>
    </w:p>
    <w:p w14:paraId="2C995C65">
      <w:pPr>
        <w:spacing w:line="360" w:lineRule="auto"/>
        <w:ind w:firstLine="420" w:firstLineChars="200"/>
        <w:rPr>
          <w:rFonts w:ascii="宋体" w:hAnsi="宋体"/>
          <w:color w:val="000000"/>
          <w:szCs w:val="21"/>
          <w:highlight w:val="none"/>
        </w:rPr>
      </w:pPr>
      <w:r>
        <w:rPr>
          <w:rFonts w:ascii="宋体" w:hAnsi="宋体"/>
          <w:color w:val="000000"/>
          <w:szCs w:val="21"/>
          <w:highlight w:val="none"/>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127A477D">
      <w:pPr>
        <w:spacing w:line="360" w:lineRule="auto"/>
        <w:ind w:firstLine="420" w:firstLineChars="200"/>
        <w:rPr>
          <w:rFonts w:ascii="宋体" w:hAnsi="宋体"/>
          <w:color w:val="000000"/>
          <w:szCs w:val="21"/>
          <w:highlight w:val="none"/>
        </w:rPr>
      </w:pPr>
      <w:r>
        <w:rPr>
          <w:rFonts w:ascii="宋体" w:hAnsi="宋体"/>
          <w:color w:val="000000"/>
          <w:szCs w:val="21"/>
          <w:highlight w:val="none"/>
        </w:rPr>
        <w:t>9.2.2 承包人应加强施工作业安全管理，特别应加强易燃、易爆材料、火工器材、有毒与腐蚀性材料、行业挥发性有机物和其他危险品的管理，以及对爆破作业和地下工程施工等危险作业的管理。</w:t>
      </w:r>
    </w:p>
    <w:p w14:paraId="7815541C">
      <w:pPr>
        <w:spacing w:line="360" w:lineRule="auto"/>
        <w:ind w:firstLine="420" w:firstLineChars="200"/>
        <w:rPr>
          <w:rFonts w:ascii="宋体" w:hAnsi="宋体"/>
          <w:color w:val="000000"/>
          <w:szCs w:val="21"/>
          <w:highlight w:val="none"/>
        </w:rPr>
      </w:pPr>
      <w:r>
        <w:rPr>
          <w:rFonts w:ascii="宋体" w:hAnsi="宋体"/>
          <w:color w:val="000000"/>
          <w:szCs w:val="21"/>
          <w:highlight w:val="none"/>
        </w:rPr>
        <w:t>9.2.3 承包人应严格按照国家安全标准制定施工安全操作规程，配备必要的安全生产和劳动保护设施，加强对承包人人员的安全教育，并发放安全工作手册和劳动保护用具。</w:t>
      </w:r>
    </w:p>
    <w:p w14:paraId="65489DDF">
      <w:pPr>
        <w:spacing w:line="360" w:lineRule="auto"/>
        <w:ind w:firstLine="420" w:firstLineChars="200"/>
        <w:rPr>
          <w:rFonts w:ascii="宋体" w:hAnsi="宋体"/>
          <w:color w:val="000000"/>
          <w:szCs w:val="21"/>
          <w:highlight w:val="none"/>
        </w:rPr>
      </w:pPr>
      <w:r>
        <w:rPr>
          <w:rFonts w:ascii="宋体" w:hAnsi="宋体"/>
          <w:color w:val="000000"/>
          <w:szCs w:val="21"/>
          <w:highlight w:val="none"/>
        </w:rPr>
        <w:t>9.2.4 承包人应按监理人的指示制定应对灾害的紧急预案，报送监理人审批。承包人还应按预案做好安全检查，配置必要的救助物资和器材，切实保护好有关人员的人身和财产安全。</w:t>
      </w:r>
    </w:p>
    <w:p w14:paraId="2DDD5CD6">
      <w:pPr>
        <w:spacing w:line="360" w:lineRule="auto"/>
        <w:ind w:firstLine="420" w:firstLineChars="200"/>
        <w:rPr>
          <w:rFonts w:ascii="宋体" w:hAnsi="宋体"/>
          <w:color w:val="000000"/>
          <w:szCs w:val="21"/>
          <w:highlight w:val="none"/>
        </w:rPr>
      </w:pPr>
      <w:r>
        <w:rPr>
          <w:rFonts w:ascii="宋体" w:hAnsi="宋体"/>
          <w:color w:val="000000"/>
          <w:szCs w:val="21"/>
          <w:highlight w:val="none"/>
        </w:rPr>
        <w:t>9.2.5 合同约定的安全作业环境及安全施工措施所需费用应遵守有关规定，并包括在相关工作的合同价格中。因采取合同未约定的安全作业环境及安全施工措施增加的费用，由监理人按第 3.5 款商定或确定。</w:t>
      </w:r>
    </w:p>
    <w:p w14:paraId="203F5C01">
      <w:pPr>
        <w:spacing w:line="360" w:lineRule="auto"/>
        <w:ind w:firstLine="420" w:firstLineChars="200"/>
        <w:rPr>
          <w:rFonts w:ascii="宋体" w:hAnsi="宋体"/>
          <w:color w:val="000000"/>
          <w:szCs w:val="21"/>
          <w:highlight w:val="none"/>
        </w:rPr>
      </w:pPr>
      <w:r>
        <w:rPr>
          <w:rFonts w:ascii="宋体" w:hAnsi="宋体"/>
          <w:color w:val="000000"/>
          <w:szCs w:val="21"/>
          <w:highlight w:val="none"/>
        </w:rPr>
        <w:t>9.2.6 承包人应对其履行合同所雇佣的全部人员，包括分包人人员的工伤事故承担责任，但由于发包人原因造成承包人人员工伤事故的，应由发包人承担责任。</w:t>
      </w:r>
    </w:p>
    <w:p w14:paraId="39B9592C">
      <w:pPr>
        <w:spacing w:line="360" w:lineRule="auto"/>
        <w:ind w:firstLine="420" w:firstLineChars="200"/>
        <w:rPr>
          <w:rFonts w:ascii="宋体" w:hAnsi="宋体"/>
          <w:color w:val="000000"/>
          <w:szCs w:val="21"/>
          <w:highlight w:val="none"/>
        </w:rPr>
      </w:pPr>
      <w:r>
        <w:rPr>
          <w:rFonts w:ascii="宋体" w:hAnsi="宋体"/>
          <w:color w:val="000000"/>
          <w:szCs w:val="21"/>
          <w:highlight w:val="none"/>
        </w:rPr>
        <w:t>9.2.7 由于承包人原因在施工场地内及其毗邻地带造成的第三者人员伤亡和财产损失，由承包人负责赔偿。</w:t>
      </w:r>
    </w:p>
    <w:p w14:paraId="169EB96A">
      <w:pPr>
        <w:spacing w:line="360" w:lineRule="auto"/>
        <w:rPr>
          <w:rFonts w:ascii="宋体" w:hAnsi="宋体"/>
          <w:color w:val="000000"/>
          <w:sz w:val="24"/>
          <w:highlight w:val="none"/>
        </w:rPr>
      </w:pPr>
      <w:bookmarkStart w:id="623" w:name="_bookmark157"/>
      <w:bookmarkEnd w:id="623"/>
      <w:r>
        <w:rPr>
          <w:rFonts w:ascii="宋体" w:hAnsi="宋体"/>
          <w:color w:val="000000"/>
          <w:sz w:val="24"/>
          <w:highlight w:val="none"/>
        </w:rPr>
        <w:t>9.3</w:t>
      </w:r>
      <w:r>
        <w:rPr>
          <w:rFonts w:ascii="宋体" w:hAnsi="宋体"/>
          <w:color w:val="000000"/>
          <w:sz w:val="24"/>
          <w:highlight w:val="none"/>
        </w:rPr>
        <w:tab/>
      </w:r>
      <w:r>
        <w:rPr>
          <w:rFonts w:ascii="宋体" w:hAnsi="宋体"/>
          <w:color w:val="000000"/>
          <w:sz w:val="24"/>
          <w:highlight w:val="none"/>
        </w:rPr>
        <w:t>治安保卫</w:t>
      </w:r>
    </w:p>
    <w:p w14:paraId="623BD579">
      <w:pPr>
        <w:spacing w:line="360" w:lineRule="auto"/>
        <w:ind w:firstLine="420" w:firstLineChars="200"/>
        <w:rPr>
          <w:rFonts w:ascii="宋体" w:hAnsi="宋体"/>
          <w:color w:val="000000"/>
          <w:szCs w:val="21"/>
          <w:highlight w:val="none"/>
        </w:rPr>
      </w:pPr>
      <w:r>
        <w:rPr>
          <w:rFonts w:ascii="宋体" w:hAnsi="宋体"/>
          <w:color w:val="000000"/>
          <w:szCs w:val="21"/>
          <w:highlight w:val="none"/>
        </w:rPr>
        <w:t>9.3.1 发包人应与当地公安部门协商，在现场建立治安管理机构或联防组织，负责统一管理施工场地的治安保卫事项，履行合同工程的治安保卫职责。</w:t>
      </w:r>
    </w:p>
    <w:p w14:paraId="2C79651D">
      <w:pPr>
        <w:spacing w:line="360" w:lineRule="auto"/>
        <w:ind w:firstLine="420" w:firstLineChars="200"/>
        <w:rPr>
          <w:rFonts w:ascii="宋体" w:hAnsi="宋体"/>
          <w:color w:val="000000"/>
          <w:szCs w:val="21"/>
          <w:highlight w:val="none"/>
        </w:rPr>
      </w:pPr>
      <w:r>
        <w:rPr>
          <w:rFonts w:ascii="宋体" w:hAnsi="宋体"/>
          <w:color w:val="000000"/>
          <w:szCs w:val="21"/>
          <w:highlight w:val="none"/>
        </w:rPr>
        <w:t>9.3.2 发包人和承包人除应协助现场治安管理机构或联防组织维护施工场地的社会治安外，还应做好包括生活区在内的各自管辖区的治安保卫工作。</w:t>
      </w:r>
    </w:p>
    <w:p w14:paraId="4828E16D">
      <w:pPr>
        <w:spacing w:line="360" w:lineRule="auto"/>
        <w:ind w:firstLine="420" w:firstLineChars="200"/>
        <w:rPr>
          <w:rFonts w:ascii="宋体" w:hAnsi="宋体"/>
          <w:color w:val="000000"/>
          <w:szCs w:val="21"/>
          <w:highlight w:val="none"/>
        </w:rPr>
      </w:pPr>
      <w:r>
        <w:rPr>
          <w:rFonts w:ascii="宋体" w:hAnsi="宋体"/>
          <w:color w:val="000000"/>
          <w:szCs w:val="21"/>
          <w:highlight w:val="none"/>
        </w:rPr>
        <w:t>9.3.3</w:t>
      </w:r>
      <w:r>
        <w:rPr>
          <w:rFonts w:ascii="宋体" w:hAnsi="宋体"/>
          <w:color w:val="000000"/>
          <w:szCs w:val="21"/>
          <w:highlight w:val="none"/>
        </w:rPr>
        <w:tab/>
      </w:r>
      <w:r>
        <w:rPr>
          <w:rFonts w:ascii="宋体" w:hAnsi="宋体"/>
          <w:color w:val="000000"/>
          <w:szCs w:val="21"/>
          <w:highlight w:val="none"/>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635CEEE8">
      <w:pPr>
        <w:spacing w:line="360" w:lineRule="auto"/>
        <w:rPr>
          <w:rFonts w:ascii="宋体" w:hAnsi="宋体"/>
          <w:color w:val="000000"/>
          <w:sz w:val="24"/>
          <w:highlight w:val="none"/>
        </w:rPr>
      </w:pPr>
      <w:bookmarkStart w:id="624" w:name="_bookmark158"/>
      <w:bookmarkEnd w:id="624"/>
      <w:r>
        <w:rPr>
          <w:rFonts w:ascii="宋体" w:hAnsi="宋体"/>
          <w:color w:val="000000"/>
          <w:sz w:val="24"/>
          <w:highlight w:val="none"/>
        </w:rPr>
        <w:t>9.4 环境保护</w:t>
      </w:r>
    </w:p>
    <w:p w14:paraId="7F463217">
      <w:pPr>
        <w:spacing w:line="360" w:lineRule="auto"/>
        <w:ind w:firstLine="420" w:firstLineChars="200"/>
        <w:rPr>
          <w:rFonts w:ascii="宋体" w:hAnsi="宋体"/>
          <w:color w:val="000000"/>
          <w:szCs w:val="21"/>
          <w:highlight w:val="none"/>
        </w:rPr>
      </w:pPr>
      <w:r>
        <w:rPr>
          <w:rFonts w:ascii="宋体" w:hAnsi="宋体"/>
          <w:color w:val="000000"/>
          <w:szCs w:val="21"/>
          <w:highlight w:val="none"/>
        </w:rPr>
        <w:t>9.4.1</w:t>
      </w:r>
      <w:r>
        <w:rPr>
          <w:rFonts w:ascii="宋体" w:hAnsi="宋体"/>
          <w:color w:val="000000"/>
          <w:szCs w:val="21"/>
          <w:highlight w:val="none"/>
        </w:rPr>
        <w:tab/>
      </w:r>
      <w:r>
        <w:rPr>
          <w:rFonts w:ascii="宋体" w:hAnsi="宋体"/>
          <w:color w:val="000000"/>
          <w:szCs w:val="21"/>
          <w:highlight w:val="none"/>
        </w:rPr>
        <w:t>承包人在施工过程中，应遵守有关环境保护的法律，履行合同约定的环境保护义务，并对违反法律和合同约定义务所造成的环境破坏、人身伤害和财产损失负责。</w:t>
      </w:r>
    </w:p>
    <w:p w14:paraId="42FC8734">
      <w:pPr>
        <w:spacing w:line="360" w:lineRule="auto"/>
        <w:ind w:firstLine="420" w:firstLineChars="200"/>
        <w:rPr>
          <w:rFonts w:ascii="宋体" w:hAnsi="宋体"/>
          <w:color w:val="000000"/>
          <w:szCs w:val="21"/>
          <w:highlight w:val="none"/>
        </w:rPr>
      </w:pPr>
      <w:r>
        <w:rPr>
          <w:rFonts w:ascii="宋体" w:hAnsi="宋体"/>
          <w:color w:val="000000"/>
          <w:szCs w:val="21"/>
          <w:highlight w:val="none"/>
        </w:rPr>
        <w:t>9.4.2</w:t>
      </w:r>
      <w:r>
        <w:rPr>
          <w:rFonts w:ascii="宋体" w:hAnsi="宋体"/>
          <w:color w:val="000000"/>
          <w:szCs w:val="21"/>
          <w:highlight w:val="none"/>
        </w:rPr>
        <w:tab/>
      </w:r>
      <w:r>
        <w:rPr>
          <w:rFonts w:ascii="宋体" w:hAnsi="宋体"/>
          <w:color w:val="000000"/>
          <w:szCs w:val="21"/>
          <w:highlight w:val="none"/>
        </w:rPr>
        <w:t>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6CDBB0A0">
      <w:pPr>
        <w:spacing w:line="360" w:lineRule="auto"/>
        <w:ind w:firstLine="420" w:firstLineChars="200"/>
        <w:rPr>
          <w:rFonts w:ascii="宋体" w:hAnsi="宋体"/>
          <w:color w:val="000000"/>
          <w:szCs w:val="21"/>
          <w:highlight w:val="none"/>
        </w:rPr>
      </w:pPr>
      <w:r>
        <w:rPr>
          <w:rFonts w:ascii="宋体" w:hAnsi="宋体"/>
          <w:color w:val="000000"/>
          <w:szCs w:val="21"/>
          <w:highlight w:val="none"/>
        </w:rPr>
        <w:t>9.4.3</w:t>
      </w:r>
      <w:r>
        <w:rPr>
          <w:rFonts w:ascii="宋体" w:hAnsi="宋体"/>
          <w:color w:val="000000"/>
          <w:szCs w:val="21"/>
          <w:highlight w:val="none"/>
        </w:rPr>
        <w:tab/>
      </w:r>
      <w:r>
        <w:rPr>
          <w:rFonts w:ascii="宋体" w:hAnsi="宋体"/>
          <w:color w:val="000000"/>
          <w:szCs w:val="21"/>
          <w:highlight w:val="none"/>
        </w:rPr>
        <w:t>承包人应在合同条款专用部分约定的时限内，按合同约定的环保工作内容，编制施工环保措施计划（包含第 9.4.2 项约定的实施方案内容），报送监理人审批。监理人在合同条款专用部分约定的期限内给予批复。</w:t>
      </w:r>
    </w:p>
    <w:p w14:paraId="4313E90E">
      <w:pPr>
        <w:spacing w:line="360" w:lineRule="auto"/>
        <w:ind w:firstLine="420" w:firstLineChars="200"/>
        <w:rPr>
          <w:rFonts w:ascii="宋体" w:hAnsi="宋体"/>
          <w:color w:val="000000"/>
          <w:szCs w:val="21"/>
          <w:highlight w:val="none"/>
        </w:rPr>
      </w:pPr>
      <w:r>
        <w:rPr>
          <w:rFonts w:ascii="宋体" w:hAnsi="宋体"/>
          <w:color w:val="000000"/>
          <w:szCs w:val="21"/>
          <w:highlight w:val="none"/>
        </w:rPr>
        <w:t>9.4.4</w:t>
      </w:r>
      <w:r>
        <w:rPr>
          <w:rFonts w:ascii="宋体" w:hAnsi="宋体"/>
          <w:color w:val="000000"/>
          <w:szCs w:val="21"/>
          <w:highlight w:val="none"/>
        </w:rPr>
        <w:tab/>
      </w:r>
      <w:r>
        <w:rPr>
          <w:rFonts w:ascii="宋体" w:hAnsi="宋体"/>
          <w:color w:val="000000"/>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6DE08C89">
      <w:pPr>
        <w:spacing w:line="360" w:lineRule="auto"/>
        <w:ind w:firstLine="420" w:firstLineChars="200"/>
        <w:rPr>
          <w:rFonts w:ascii="宋体" w:hAnsi="宋体"/>
          <w:color w:val="000000"/>
          <w:szCs w:val="21"/>
          <w:highlight w:val="none"/>
        </w:rPr>
      </w:pPr>
      <w:r>
        <w:rPr>
          <w:rFonts w:ascii="宋体" w:hAnsi="宋体"/>
          <w:color w:val="000000"/>
          <w:szCs w:val="21"/>
          <w:highlight w:val="none"/>
        </w:rPr>
        <w:t>9.4.5</w:t>
      </w:r>
      <w:r>
        <w:rPr>
          <w:rFonts w:ascii="宋体" w:hAnsi="宋体"/>
          <w:color w:val="000000"/>
          <w:szCs w:val="21"/>
          <w:highlight w:val="none"/>
        </w:rPr>
        <w:tab/>
      </w:r>
      <w:r>
        <w:rPr>
          <w:rFonts w:ascii="宋体" w:hAnsi="宋体"/>
          <w:color w:val="000000"/>
          <w:szCs w:val="21"/>
          <w:highlight w:val="none"/>
        </w:rPr>
        <w:t>承包人应按合同约定采取有效措施，对施工开挖的边坡及时进行支护,维护排水设施，并进行水土保护，避免因施工造成的地质灾害。</w:t>
      </w:r>
    </w:p>
    <w:p w14:paraId="5A7C446D">
      <w:pPr>
        <w:spacing w:line="360" w:lineRule="auto"/>
        <w:ind w:firstLine="420" w:firstLineChars="200"/>
        <w:rPr>
          <w:rFonts w:ascii="宋体" w:hAnsi="宋体"/>
          <w:color w:val="000000"/>
          <w:szCs w:val="21"/>
          <w:highlight w:val="none"/>
        </w:rPr>
      </w:pPr>
      <w:r>
        <w:rPr>
          <w:rFonts w:ascii="宋体" w:hAnsi="宋体"/>
          <w:color w:val="000000"/>
          <w:szCs w:val="21"/>
          <w:highlight w:val="none"/>
        </w:rPr>
        <w:t>9.4.6</w:t>
      </w:r>
      <w:r>
        <w:rPr>
          <w:rFonts w:ascii="宋体" w:hAnsi="宋体"/>
          <w:color w:val="000000"/>
          <w:szCs w:val="21"/>
          <w:highlight w:val="none"/>
        </w:rPr>
        <w:tab/>
      </w:r>
      <w:r>
        <w:rPr>
          <w:rFonts w:ascii="宋体" w:hAnsi="宋体"/>
          <w:color w:val="000000"/>
          <w:szCs w:val="21"/>
          <w:highlight w:val="none"/>
        </w:rPr>
        <w:t>承包人应按国家饮用水管理标准定期对饮用水源进行监测，防止施工活动污染饮用水源。</w:t>
      </w:r>
    </w:p>
    <w:p w14:paraId="6C59EFB9">
      <w:pPr>
        <w:spacing w:line="360" w:lineRule="auto"/>
        <w:ind w:firstLine="420" w:firstLineChars="200"/>
        <w:rPr>
          <w:rFonts w:ascii="宋体" w:hAnsi="宋体"/>
          <w:color w:val="000000"/>
          <w:szCs w:val="21"/>
          <w:highlight w:val="none"/>
        </w:rPr>
      </w:pPr>
      <w:r>
        <w:rPr>
          <w:rFonts w:ascii="宋体" w:hAnsi="宋体"/>
          <w:color w:val="000000"/>
          <w:szCs w:val="21"/>
          <w:highlight w:val="none"/>
        </w:rPr>
        <w:t>9.4.7</w:t>
      </w:r>
      <w:r>
        <w:rPr>
          <w:rFonts w:ascii="宋体" w:hAnsi="宋体"/>
          <w:color w:val="000000"/>
          <w:szCs w:val="21"/>
          <w:highlight w:val="none"/>
        </w:rPr>
        <w:tab/>
      </w:r>
      <w:r>
        <w:rPr>
          <w:rFonts w:ascii="宋体" w:hAnsi="宋体"/>
          <w:color w:val="000000"/>
          <w:szCs w:val="21"/>
          <w:highlight w:val="none"/>
        </w:rPr>
        <w:t>承包人应按合同约定，加强对噪声、粉尘、废气、废水和废油的控制，努力降低噪声，控制粉尘和废气浓度，做好废水和废油的治理和排放。</w:t>
      </w:r>
    </w:p>
    <w:p w14:paraId="514E7C26">
      <w:pPr>
        <w:spacing w:line="360" w:lineRule="auto"/>
        <w:rPr>
          <w:rFonts w:ascii="宋体" w:hAnsi="宋体"/>
          <w:color w:val="000000"/>
          <w:sz w:val="24"/>
          <w:highlight w:val="none"/>
        </w:rPr>
      </w:pPr>
      <w:bookmarkStart w:id="625" w:name="_bookmark159"/>
      <w:bookmarkEnd w:id="625"/>
      <w:r>
        <w:rPr>
          <w:rFonts w:ascii="宋体" w:hAnsi="宋体"/>
          <w:color w:val="000000"/>
          <w:sz w:val="24"/>
          <w:highlight w:val="none"/>
        </w:rPr>
        <w:t>9.5 事故处理</w:t>
      </w:r>
    </w:p>
    <w:p w14:paraId="4AFDA608">
      <w:pPr>
        <w:spacing w:line="360" w:lineRule="auto"/>
        <w:ind w:firstLine="420" w:firstLineChars="200"/>
        <w:rPr>
          <w:rFonts w:ascii="宋体" w:hAnsi="宋体"/>
          <w:color w:val="000000"/>
          <w:szCs w:val="21"/>
          <w:highlight w:val="none"/>
        </w:rPr>
      </w:pPr>
      <w:r>
        <w:rPr>
          <w:rFonts w:ascii="宋体" w:hAnsi="宋体"/>
          <w:color w:val="00000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FD74DC7">
      <w:pPr>
        <w:spacing w:line="360" w:lineRule="auto"/>
        <w:rPr>
          <w:rFonts w:ascii="宋体" w:hAnsi="宋体"/>
          <w:color w:val="000000"/>
          <w:sz w:val="28"/>
          <w:szCs w:val="28"/>
          <w:highlight w:val="none"/>
        </w:rPr>
      </w:pPr>
      <w:bookmarkStart w:id="626" w:name="_bookmark160"/>
      <w:bookmarkEnd w:id="626"/>
      <w:r>
        <w:rPr>
          <w:rFonts w:ascii="宋体" w:hAnsi="宋体"/>
          <w:color w:val="000000"/>
          <w:sz w:val="28"/>
          <w:szCs w:val="28"/>
          <w:highlight w:val="none"/>
        </w:rPr>
        <w:t>10.进度计划</w:t>
      </w:r>
    </w:p>
    <w:p w14:paraId="01CFD970">
      <w:pPr>
        <w:spacing w:line="360" w:lineRule="auto"/>
        <w:rPr>
          <w:rFonts w:ascii="宋体" w:hAnsi="宋体"/>
          <w:color w:val="000000"/>
          <w:sz w:val="24"/>
          <w:highlight w:val="none"/>
        </w:rPr>
      </w:pPr>
      <w:bookmarkStart w:id="627" w:name="_bookmark161"/>
      <w:bookmarkEnd w:id="627"/>
      <w:r>
        <w:rPr>
          <w:rFonts w:ascii="宋体" w:hAnsi="宋体"/>
          <w:color w:val="000000"/>
          <w:sz w:val="24"/>
          <w:highlight w:val="none"/>
        </w:rPr>
        <w:t>10.1 合同进度计划</w:t>
      </w:r>
    </w:p>
    <w:p w14:paraId="1DD540D5">
      <w:pPr>
        <w:spacing w:line="360" w:lineRule="auto"/>
        <w:ind w:firstLine="420" w:firstLineChars="200"/>
        <w:rPr>
          <w:rFonts w:ascii="宋体" w:hAnsi="宋体"/>
          <w:color w:val="000000"/>
          <w:szCs w:val="21"/>
          <w:highlight w:val="none"/>
        </w:rPr>
      </w:pPr>
      <w:r>
        <w:rPr>
          <w:rFonts w:ascii="宋体" w:hAnsi="宋体"/>
          <w:color w:val="000000"/>
          <w:szCs w:val="21"/>
          <w:highlight w:val="none"/>
        </w:rPr>
        <w:t>10.1.1 承包人应当在收到监理人按照第 11.1.1 项发出的开工通知后7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1924E621">
      <w:pPr>
        <w:spacing w:line="360" w:lineRule="auto"/>
        <w:ind w:firstLine="420" w:firstLineChars="200"/>
        <w:rPr>
          <w:rFonts w:ascii="宋体" w:hAnsi="宋体"/>
          <w:color w:val="000000"/>
          <w:szCs w:val="21"/>
          <w:highlight w:val="none"/>
        </w:rPr>
      </w:pPr>
      <w:r>
        <w:rPr>
          <w:rFonts w:ascii="宋体" w:hAnsi="宋体"/>
          <w:color w:val="000000"/>
          <w:szCs w:val="21"/>
          <w:highlight w:val="none"/>
        </w:rPr>
        <w:t>10.1.2 承包人还应根据合同进度计划，按照第 10.1.1 项相关约定编制更为详细的分阶段或分项进度计划，报监理人审批。承包人编制分阶段或分项施工进度计划和施工方案说明的内容及时限要求见合同条款专用部分。</w:t>
      </w:r>
    </w:p>
    <w:p w14:paraId="379D33B1">
      <w:pPr>
        <w:spacing w:line="360" w:lineRule="auto"/>
        <w:ind w:firstLine="420" w:firstLineChars="200"/>
        <w:rPr>
          <w:rFonts w:ascii="宋体" w:hAnsi="宋体"/>
          <w:color w:val="000000"/>
          <w:szCs w:val="21"/>
          <w:highlight w:val="none"/>
        </w:rPr>
      </w:pPr>
      <w:r>
        <w:rPr>
          <w:rFonts w:ascii="宋体" w:hAnsi="宋体"/>
          <w:color w:val="000000"/>
          <w:szCs w:val="21"/>
          <w:highlight w:val="none"/>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24D4CD84">
      <w:pPr>
        <w:spacing w:line="360" w:lineRule="auto"/>
        <w:rPr>
          <w:rFonts w:ascii="宋体" w:hAnsi="宋体"/>
          <w:color w:val="000000"/>
          <w:sz w:val="24"/>
          <w:highlight w:val="none"/>
        </w:rPr>
      </w:pPr>
      <w:bookmarkStart w:id="628" w:name="_bookmark162"/>
      <w:bookmarkEnd w:id="628"/>
      <w:r>
        <w:rPr>
          <w:rFonts w:ascii="宋体" w:hAnsi="宋体"/>
          <w:color w:val="000000"/>
          <w:sz w:val="24"/>
          <w:highlight w:val="none"/>
        </w:rPr>
        <w:t>10.2 合同进度计划的修订</w:t>
      </w:r>
    </w:p>
    <w:p w14:paraId="12DD0DFC">
      <w:pPr>
        <w:spacing w:line="360" w:lineRule="auto"/>
        <w:ind w:firstLine="420" w:firstLineChars="200"/>
        <w:rPr>
          <w:rFonts w:ascii="宋体" w:hAnsi="宋体"/>
          <w:color w:val="000000"/>
          <w:szCs w:val="21"/>
          <w:highlight w:val="none"/>
        </w:rPr>
      </w:pPr>
      <w:r>
        <w:rPr>
          <w:rFonts w:ascii="宋体" w:hAnsi="宋体"/>
          <w:color w:val="000000"/>
          <w:szCs w:val="21"/>
          <w:highlight w:val="none"/>
        </w:rPr>
        <w:t>10.2.1 不论何种原因造成工程的实际进度与第 10.1 款的合同进度计划不符时，承包人可以在合同条款专用部分约定的期限内向监理人提交修订合同进度计划的申请报告，并附有关措施和相关资料，报监理人审批；</w:t>
      </w:r>
    </w:p>
    <w:p w14:paraId="456E2588">
      <w:pPr>
        <w:spacing w:line="360" w:lineRule="auto"/>
        <w:ind w:firstLine="420" w:firstLineChars="200"/>
        <w:rPr>
          <w:rFonts w:ascii="宋体" w:hAnsi="宋体"/>
          <w:color w:val="000000"/>
          <w:szCs w:val="21"/>
          <w:highlight w:val="none"/>
        </w:rPr>
      </w:pPr>
      <w:r>
        <w:rPr>
          <w:rFonts w:ascii="宋体" w:hAnsi="宋体"/>
          <w:color w:val="000000"/>
          <w:szCs w:val="21"/>
          <w:highlight w:val="none"/>
        </w:rPr>
        <w:t>10.2.2</w:t>
      </w:r>
      <w:r>
        <w:rPr>
          <w:rFonts w:ascii="宋体" w:hAnsi="宋体"/>
          <w:color w:val="000000"/>
          <w:szCs w:val="21"/>
          <w:highlight w:val="none"/>
        </w:rPr>
        <w:tab/>
      </w:r>
      <w:r>
        <w:rPr>
          <w:rFonts w:ascii="宋体" w:hAnsi="宋体"/>
          <w:color w:val="000000"/>
          <w:szCs w:val="21"/>
          <w:highlight w:val="none"/>
        </w:rPr>
        <w:t>监理人也可以直接向承包人作出修订合同进度计划的指示，承包人应按该指示修订合同进度计划，报监理人审批。监理人应在合同条款专用部分约定的期限内完成批复。监理人在批复前应获得发包人同意。</w:t>
      </w:r>
    </w:p>
    <w:p w14:paraId="2DA2B9F5">
      <w:pPr>
        <w:spacing w:line="360" w:lineRule="auto"/>
        <w:rPr>
          <w:rFonts w:ascii="宋体" w:hAnsi="宋体"/>
          <w:color w:val="000000"/>
          <w:sz w:val="28"/>
          <w:szCs w:val="28"/>
          <w:highlight w:val="none"/>
        </w:rPr>
      </w:pPr>
      <w:bookmarkStart w:id="629" w:name="_bookmark163"/>
      <w:bookmarkEnd w:id="629"/>
      <w:r>
        <w:rPr>
          <w:rFonts w:ascii="宋体" w:hAnsi="宋体"/>
          <w:color w:val="000000"/>
          <w:sz w:val="28"/>
          <w:szCs w:val="28"/>
          <w:highlight w:val="none"/>
        </w:rPr>
        <w:t>11.开工和竣工</w:t>
      </w:r>
    </w:p>
    <w:p w14:paraId="56C4C6E4">
      <w:pPr>
        <w:spacing w:line="360" w:lineRule="auto"/>
        <w:rPr>
          <w:rFonts w:ascii="宋体" w:hAnsi="宋体"/>
          <w:color w:val="000000"/>
          <w:sz w:val="24"/>
          <w:highlight w:val="none"/>
        </w:rPr>
      </w:pPr>
      <w:bookmarkStart w:id="630" w:name="_bookmark164"/>
      <w:bookmarkEnd w:id="630"/>
      <w:r>
        <w:rPr>
          <w:rFonts w:hint="eastAsia" w:ascii="宋体" w:hAnsi="宋体"/>
          <w:color w:val="000000"/>
          <w:sz w:val="24"/>
          <w:highlight w:val="none"/>
        </w:rPr>
        <w:t xml:space="preserve">11.1  </w:t>
      </w:r>
      <w:r>
        <w:rPr>
          <w:rFonts w:ascii="宋体" w:hAnsi="宋体"/>
          <w:color w:val="000000"/>
          <w:sz w:val="24"/>
          <w:highlight w:val="none"/>
        </w:rPr>
        <w:t>开工</w:t>
      </w:r>
    </w:p>
    <w:p w14:paraId="560EFF54">
      <w:pPr>
        <w:spacing w:line="360" w:lineRule="auto"/>
        <w:ind w:firstLine="420" w:firstLineChars="200"/>
        <w:rPr>
          <w:rFonts w:ascii="宋体" w:hAnsi="宋体"/>
          <w:color w:val="000000"/>
          <w:szCs w:val="21"/>
          <w:highlight w:val="none"/>
        </w:rPr>
      </w:pPr>
      <w:r>
        <w:rPr>
          <w:rFonts w:ascii="宋体" w:hAnsi="宋体"/>
          <w:color w:val="000000"/>
          <w:szCs w:val="21"/>
          <w:highlight w:val="none"/>
        </w:rPr>
        <w:t>11.1.1 监理人应在开工日期 7 天前向承包人发出开工通知。监理人在发出开工通知前应获得发包人同意。工期自监理人发出的开工通知中载明的开工日期起计算。承包人应在开工日期后尽快施工。</w:t>
      </w:r>
    </w:p>
    <w:p w14:paraId="186625F1">
      <w:pPr>
        <w:spacing w:line="360" w:lineRule="auto"/>
        <w:ind w:firstLine="420" w:firstLineChars="200"/>
        <w:rPr>
          <w:rFonts w:ascii="宋体" w:hAnsi="宋体"/>
          <w:color w:val="000000"/>
          <w:szCs w:val="21"/>
          <w:highlight w:val="none"/>
        </w:rPr>
      </w:pPr>
      <w:r>
        <w:rPr>
          <w:rFonts w:ascii="宋体" w:hAnsi="宋体"/>
          <w:color w:val="000000"/>
          <w:szCs w:val="21"/>
          <w:highlight w:val="none"/>
        </w:rPr>
        <w:t>11.1.2 承包人应按第 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1CA3BA9">
      <w:pPr>
        <w:numPr>
          <w:ilvl w:val="1"/>
          <w:numId w:val="77"/>
        </w:numPr>
        <w:spacing w:line="360" w:lineRule="auto"/>
        <w:ind w:left="0" w:firstLine="0"/>
        <w:rPr>
          <w:rFonts w:ascii="宋体" w:hAnsi="宋体"/>
          <w:color w:val="000000"/>
          <w:sz w:val="24"/>
          <w:highlight w:val="none"/>
        </w:rPr>
      </w:pPr>
      <w:bookmarkStart w:id="631" w:name="_bookmark165"/>
      <w:bookmarkEnd w:id="631"/>
      <w:r>
        <w:rPr>
          <w:rFonts w:hint="eastAsia" w:ascii="宋体" w:hAnsi="宋体"/>
          <w:color w:val="000000"/>
          <w:sz w:val="24"/>
          <w:highlight w:val="none"/>
        </w:rPr>
        <w:t xml:space="preserve"> </w:t>
      </w:r>
      <w:r>
        <w:rPr>
          <w:rFonts w:ascii="宋体" w:hAnsi="宋体"/>
          <w:color w:val="000000"/>
          <w:sz w:val="24"/>
          <w:highlight w:val="none"/>
        </w:rPr>
        <w:t>竣工</w:t>
      </w:r>
    </w:p>
    <w:p w14:paraId="665F8335">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承包人应在第 1.1.4.3 目约定的期限内完成合同工程。实际竣工日期在接收证书中写明。</w:t>
      </w:r>
    </w:p>
    <w:p w14:paraId="793966A9">
      <w:pPr>
        <w:spacing w:line="360" w:lineRule="auto"/>
        <w:rPr>
          <w:rFonts w:ascii="宋体" w:hAnsi="宋体"/>
          <w:color w:val="000000"/>
          <w:sz w:val="24"/>
          <w:highlight w:val="none"/>
        </w:rPr>
      </w:pPr>
      <w:bookmarkStart w:id="632" w:name="_bookmark166"/>
      <w:bookmarkEnd w:id="632"/>
      <w:r>
        <w:rPr>
          <w:rFonts w:ascii="宋体" w:hAnsi="宋体"/>
          <w:color w:val="000000"/>
          <w:sz w:val="24"/>
          <w:highlight w:val="none"/>
        </w:rPr>
        <w:t>11.3</w:t>
      </w:r>
      <w:r>
        <w:rPr>
          <w:rFonts w:ascii="宋体" w:hAnsi="宋体"/>
          <w:color w:val="000000"/>
          <w:sz w:val="24"/>
          <w:highlight w:val="none"/>
        </w:rPr>
        <w:tab/>
      </w:r>
      <w:r>
        <w:rPr>
          <w:rFonts w:ascii="宋体" w:hAnsi="宋体"/>
          <w:color w:val="000000"/>
          <w:sz w:val="24"/>
          <w:highlight w:val="none"/>
        </w:rPr>
        <w:t>发包人的工期延误</w:t>
      </w:r>
    </w:p>
    <w:p w14:paraId="2A245C81">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在履行合同过程中，由于发包人的下列原因造成承包人关键线路工期延误的，承包人有权要求发包人延长工期和（或）增加费用，并支付合理利润。需要修订合同进度计划的，按照第10.2款的约定办理。</w:t>
      </w:r>
    </w:p>
    <w:p w14:paraId="4FFD851F">
      <w:pPr>
        <w:spacing w:line="360" w:lineRule="auto"/>
        <w:ind w:firstLine="420" w:firstLineChars="200"/>
        <w:rPr>
          <w:rFonts w:ascii="宋体" w:hAnsi="宋体"/>
          <w:color w:val="000000"/>
          <w:szCs w:val="21"/>
          <w:highlight w:val="none"/>
        </w:rPr>
      </w:pPr>
      <w:r>
        <w:rPr>
          <w:rFonts w:ascii="宋体" w:hAnsi="宋体"/>
          <w:color w:val="000000"/>
          <w:szCs w:val="21"/>
          <w:highlight w:val="none"/>
        </w:rPr>
        <w:t>（1）增加合同工作内容；</w:t>
      </w:r>
    </w:p>
    <w:p w14:paraId="4BE8E24F">
      <w:pPr>
        <w:spacing w:line="360" w:lineRule="auto"/>
        <w:ind w:firstLine="420" w:firstLineChars="200"/>
        <w:rPr>
          <w:rFonts w:ascii="宋体" w:hAnsi="宋体"/>
          <w:color w:val="000000"/>
          <w:szCs w:val="21"/>
          <w:highlight w:val="none"/>
        </w:rPr>
      </w:pPr>
      <w:r>
        <w:rPr>
          <w:rFonts w:ascii="宋体" w:hAnsi="宋体"/>
          <w:color w:val="000000"/>
          <w:szCs w:val="21"/>
          <w:highlight w:val="none"/>
        </w:rPr>
        <w:t>（2）改变合同中任何一项工作的质量要求或其他特性；</w:t>
      </w:r>
    </w:p>
    <w:p w14:paraId="403EC7B1">
      <w:pPr>
        <w:spacing w:line="360" w:lineRule="auto"/>
        <w:ind w:firstLine="420" w:firstLineChars="200"/>
        <w:rPr>
          <w:rFonts w:ascii="宋体" w:hAnsi="宋体"/>
          <w:color w:val="000000"/>
          <w:szCs w:val="21"/>
          <w:highlight w:val="none"/>
        </w:rPr>
      </w:pPr>
      <w:r>
        <w:rPr>
          <w:rFonts w:ascii="宋体" w:hAnsi="宋体"/>
          <w:color w:val="000000"/>
          <w:szCs w:val="21"/>
          <w:highlight w:val="none"/>
        </w:rPr>
        <w:t>（3）发包人迟延提供材料、工程设备或变更交货地点的；</w:t>
      </w:r>
    </w:p>
    <w:p w14:paraId="437FA6B8">
      <w:pPr>
        <w:spacing w:line="360" w:lineRule="auto"/>
        <w:ind w:firstLine="420" w:firstLineChars="200"/>
        <w:rPr>
          <w:rFonts w:ascii="宋体" w:hAnsi="宋体"/>
          <w:color w:val="000000"/>
          <w:szCs w:val="21"/>
          <w:highlight w:val="none"/>
        </w:rPr>
      </w:pPr>
      <w:r>
        <w:rPr>
          <w:rFonts w:ascii="宋体" w:hAnsi="宋体"/>
          <w:color w:val="000000"/>
          <w:szCs w:val="21"/>
          <w:highlight w:val="none"/>
        </w:rPr>
        <w:t>（4）因发包人原因导致的暂停施工；</w:t>
      </w:r>
    </w:p>
    <w:p w14:paraId="132BBD62">
      <w:pPr>
        <w:spacing w:line="360" w:lineRule="auto"/>
        <w:ind w:firstLine="420" w:firstLineChars="200"/>
        <w:rPr>
          <w:rFonts w:ascii="宋体" w:hAnsi="宋体"/>
          <w:color w:val="000000"/>
          <w:szCs w:val="21"/>
          <w:highlight w:val="none"/>
        </w:rPr>
      </w:pPr>
      <w:r>
        <w:rPr>
          <w:rFonts w:ascii="宋体" w:hAnsi="宋体"/>
          <w:color w:val="000000"/>
          <w:szCs w:val="21"/>
          <w:highlight w:val="none"/>
        </w:rPr>
        <w:t>（5）提供图纸延误；</w:t>
      </w:r>
    </w:p>
    <w:p w14:paraId="100D1898">
      <w:pPr>
        <w:spacing w:line="360" w:lineRule="auto"/>
        <w:ind w:firstLine="420" w:firstLineChars="200"/>
        <w:rPr>
          <w:rFonts w:ascii="宋体" w:hAnsi="宋体"/>
          <w:color w:val="000000"/>
          <w:szCs w:val="21"/>
          <w:highlight w:val="none"/>
        </w:rPr>
      </w:pPr>
      <w:r>
        <w:rPr>
          <w:rFonts w:ascii="宋体" w:hAnsi="宋体"/>
          <w:color w:val="000000"/>
          <w:szCs w:val="21"/>
          <w:highlight w:val="none"/>
        </w:rPr>
        <w:t>（6）未按合同约定及时支付预付款、进度款；</w:t>
      </w:r>
    </w:p>
    <w:p w14:paraId="61753757">
      <w:pPr>
        <w:spacing w:line="360" w:lineRule="auto"/>
        <w:ind w:firstLine="420" w:firstLineChars="200"/>
        <w:rPr>
          <w:rFonts w:ascii="宋体" w:hAnsi="宋体"/>
          <w:color w:val="000000"/>
          <w:szCs w:val="21"/>
          <w:highlight w:val="none"/>
        </w:rPr>
      </w:pPr>
      <w:r>
        <w:rPr>
          <w:rFonts w:ascii="宋体" w:hAnsi="宋体"/>
          <w:color w:val="000000"/>
          <w:szCs w:val="21"/>
          <w:highlight w:val="none"/>
        </w:rPr>
        <w:t>（7）因发包人原因不能按照监理人发出的开工通知中载明的开工日期开工；</w:t>
      </w:r>
    </w:p>
    <w:p w14:paraId="68D8E051">
      <w:pPr>
        <w:spacing w:line="360" w:lineRule="auto"/>
        <w:ind w:firstLine="420" w:firstLineChars="200"/>
        <w:rPr>
          <w:rFonts w:ascii="宋体" w:hAnsi="宋体"/>
          <w:color w:val="000000"/>
          <w:szCs w:val="21"/>
          <w:highlight w:val="none"/>
        </w:rPr>
      </w:pPr>
      <w:r>
        <w:rPr>
          <w:rFonts w:ascii="宋体" w:hAnsi="宋体"/>
          <w:color w:val="000000"/>
          <w:szCs w:val="21"/>
          <w:highlight w:val="none"/>
        </w:rPr>
        <w:t>（8）发包人造成工期延误的其他原因见合同条款专用部分。</w:t>
      </w:r>
    </w:p>
    <w:p w14:paraId="632269DA">
      <w:pPr>
        <w:spacing w:line="360" w:lineRule="auto"/>
        <w:rPr>
          <w:rFonts w:ascii="宋体" w:hAnsi="宋体"/>
          <w:color w:val="000000"/>
          <w:sz w:val="24"/>
          <w:highlight w:val="none"/>
        </w:rPr>
      </w:pPr>
      <w:bookmarkStart w:id="633" w:name="_bookmark167"/>
      <w:bookmarkEnd w:id="633"/>
      <w:r>
        <w:rPr>
          <w:rFonts w:ascii="宋体" w:hAnsi="宋体"/>
          <w:color w:val="000000"/>
          <w:sz w:val="24"/>
          <w:highlight w:val="none"/>
        </w:rPr>
        <w:t>11.4</w:t>
      </w:r>
      <w:r>
        <w:rPr>
          <w:rFonts w:ascii="宋体" w:hAnsi="宋体"/>
          <w:color w:val="000000"/>
          <w:sz w:val="24"/>
          <w:highlight w:val="none"/>
        </w:rPr>
        <w:tab/>
      </w:r>
      <w:r>
        <w:rPr>
          <w:rFonts w:ascii="宋体" w:hAnsi="宋体"/>
          <w:color w:val="000000"/>
          <w:sz w:val="24"/>
          <w:highlight w:val="none"/>
        </w:rPr>
        <w:t>异常恶劣的气候条件</w:t>
      </w:r>
    </w:p>
    <w:p w14:paraId="3A43B5A6">
      <w:pPr>
        <w:spacing w:line="360" w:lineRule="auto"/>
        <w:ind w:firstLine="420" w:firstLineChars="200"/>
        <w:rPr>
          <w:rFonts w:ascii="宋体" w:hAnsi="宋体"/>
          <w:color w:val="000000"/>
          <w:szCs w:val="21"/>
          <w:highlight w:val="none"/>
        </w:rPr>
      </w:pPr>
      <w:r>
        <w:rPr>
          <w:rFonts w:ascii="宋体" w:hAnsi="宋体"/>
          <w:color w:val="000000"/>
          <w:szCs w:val="21"/>
          <w:highlight w:val="none"/>
        </w:rPr>
        <w:t>由于出现异常恶劣气候的条件导致工期延误的，承包人有权要求发包人延长工期。异常恶劣的气候条件的范围和标准见合同条款专用部分。</w:t>
      </w:r>
    </w:p>
    <w:p w14:paraId="529C78E5">
      <w:pPr>
        <w:spacing w:line="360" w:lineRule="auto"/>
        <w:rPr>
          <w:rFonts w:ascii="宋体" w:hAnsi="宋体"/>
          <w:color w:val="000000"/>
          <w:sz w:val="24"/>
          <w:highlight w:val="none"/>
        </w:rPr>
      </w:pPr>
      <w:bookmarkStart w:id="634" w:name="_bookmark168"/>
      <w:bookmarkEnd w:id="634"/>
      <w:r>
        <w:rPr>
          <w:rFonts w:ascii="宋体" w:hAnsi="宋体"/>
          <w:color w:val="000000"/>
          <w:sz w:val="24"/>
          <w:highlight w:val="none"/>
        </w:rPr>
        <w:t>11.5 承包人的工期延误</w:t>
      </w:r>
    </w:p>
    <w:p w14:paraId="57D6CFFE">
      <w:pPr>
        <w:spacing w:line="360" w:lineRule="auto"/>
        <w:ind w:firstLine="420" w:firstLineChars="200"/>
        <w:rPr>
          <w:rFonts w:ascii="宋体" w:hAnsi="宋体"/>
          <w:color w:val="000000"/>
          <w:szCs w:val="21"/>
          <w:highlight w:val="none"/>
        </w:rPr>
      </w:pPr>
      <w:r>
        <w:rPr>
          <w:rFonts w:ascii="宋体" w:hAnsi="宋体"/>
          <w:color w:val="000000"/>
          <w:szCs w:val="21"/>
          <w:highlight w:val="none"/>
        </w:rPr>
        <w:t>11.5.1</w:t>
      </w:r>
      <w:r>
        <w:rPr>
          <w:rFonts w:ascii="宋体" w:hAnsi="宋体"/>
          <w:color w:val="000000"/>
          <w:szCs w:val="21"/>
          <w:highlight w:val="none"/>
        </w:rPr>
        <w:tab/>
      </w:r>
      <w:r>
        <w:rPr>
          <w:rFonts w:ascii="宋体" w:hAnsi="宋体"/>
          <w:color w:val="000000"/>
          <w:szCs w:val="21"/>
          <w:highlight w:val="none"/>
        </w:rPr>
        <w:t>由于承包人原因，未能按合同进度计划完成工作，或监理人认为承包人施工进度不能满足合同工期要求的，承包人应采取措施加快进度，并承担加快进度所增加的费用。</w:t>
      </w:r>
    </w:p>
    <w:p w14:paraId="66F62534">
      <w:pPr>
        <w:spacing w:line="360" w:lineRule="auto"/>
        <w:ind w:firstLine="420" w:firstLineChars="200"/>
        <w:rPr>
          <w:rFonts w:ascii="宋体" w:hAnsi="宋体"/>
          <w:color w:val="000000"/>
          <w:szCs w:val="21"/>
          <w:highlight w:val="none"/>
        </w:rPr>
      </w:pPr>
      <w:r>
        <w:rPr>
          <w:rFonts w:ascii="宋体" w:hAnsi="宋体"/>
          <w:color w:val="000000"/>
          <w:szCs w:val="21"/>
          <w:highlight w:val="none"/>
        </w:rPr>
        <w:t>11.5.2</w:t>
      </w:r>
      <w:r>
        <w:rPr>
          <w:rFonts w:ascii="宋体" w:hAnsi="宋体"/>
          <w:color w:val="000000"/>
          <w:szCs w:val="21"/>
          <w:highlight w:val="none"/>
        </w:rPr>
        <w:tab/>
      </w:r>
      <w:r>
        <w:rPr>
          <w:rFonts w:ascii="宋体" w:hAnsi="宋体"/>
          <w:color w:val="000000"/>
          <w:szCs w:val="21"/>
          <w:highlight w:val="none"/>
        </w:rPr>
        <w:t>由于承包人原因造成不能按期竣工的，按照合同约定的竣工日期（包括按合同工期延长）后 7 天内，监理人应当按第 23.4.1 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0BFE253E">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监理人未在规定的期限内发出本款约定的书面通知的，发包人丧失主张逾期竣工违约金的权利。</w:t>
      </w:r>
    </w:p>
    <w:p w14:paraId="2FE77DD6">
      <w:pPr>
        <w:spacing w:line="360" w:lineRule="auto"/>
        <w:ind w:firstLine="420" w:firstLineChars="200"/>
        <w:rPr>
          <w:rFonts w:ascii="宋体" w:hAnsi="宋体"/>
          <w:color w:val="000000"/>
          <w:szCs w:val="21"/>
          <w:highlight w:val="none"/>
        </w:rPr>
      </w:pPr>
      <w:r>
        <w:rPr>
          <w:rFonts w:ascii="宋体" w:hAnsi="宋体"/>
          <w:color w:val="000000"/>
          <w:szCs w:val="21"/>
          <w:highlight w:val="none"/>
        </w:rPr>
        <w:t>11.5.3</w:t>
      </w:r>
      <w:r>
        <w:rPr>
          <w:rFonts w:ascii="宋体" w:hAnsi="宋体"/>
          <w:color w:val="000000"/>
          <w:szCs w:val="21"/>
          <w:highlight w:val="none"/>
        </w:rPr>
        <w:tab/>
      </w:r>
      <w:r>
        <w:rPr>
          <w:rFonts w:ascii="宋体" w:hAnsi="宋体"/>
          <w:color w:val="000000"/>
          <w:szCs w:val="21"/>
          <w:highlight w:val="none"/>
        </w:rPr>
        <w:t>承包人支付逾期竣工违约金，不免除承包人完成工程及修补缺陷的义务。</w:t>
      </w:r>
    </w:p>
    <w:p w14:paraId="5ED34B10">
      <w:pPr>
        <w:spacing w:line="360" w:lineRule="auto"/>
        <w:rPr>
          <w:rFonts w:ascii="宋体" w:hAnsi="宋体"/>
          <w:color w:val="000000"/>
          <w:sz w:val="24"/>
          <w:highlight w:val="none"/>
        </w:rPr>
      </w:pPr>
      <w:bookmarkStart w:id="635" w:name="_bookmark169"/>
      <w:bookmarkEnd w:id="635"/>
      <w:r>
        <w:rPr>
          <w:rFonts w:ascii="宋体" w:hAnsi="宋体"/>
          <w:color w:val="000000"/>
          <w:sz w:val="24"/>
          <w:highlight w:val="none"/>
        </w:rPr>
        <w:t>11.6 工期提前</w:t>
      </w:r>
    </w:p>
    <w:p w14:paraId="6AF39A39">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14:paraId="1E706EC0">
      <w:pPr>
        <w:spacing w:line="360" w:lineRule="auto"/>
        <w:rPr>
          <w:rFonts w:ascii="宋体" w:hAnsi="宋体"/>
          <w:color w:val="000000"/>
          <w:sz w:val="28"/>
          <w:szCs w:val="28"/>
          <w:highlight w:val="none"/>
        </w:rPr>
      </w:pPr>
      <w:bookmarkStart w:id="636" w:name="_bookmark170"/>
      <w:bookmarkEnd w:id="636"/>
      <w:r>
        <w:rPr>
          <w:rFonts w:ascii="宋体" w:hAnsi="宋体"/>
          <w:color w:val="000000"/>
          <w:sz w:val="28"/>
          <w:szCs w:val="28"/>
          <w:highlight w:val="none"/>
        </w:rPr>
        <w:t>12.暂停施工</w:t>
      </w:r>
    </w:p>
    <w:p w14:paraId="5A5580E8">
      <w:pPr>
        <w:spacing w:line="360" w:lineRule="auto"/>
        <w:rPr>
          <w:rFonts w:ascii="宋体" w:hAnsi="宋体"/>
          <w:color w:val="000000"/>
          <w:sz w:val="24"/>
          <w:highlight w:val="none"/>
        </w:rPr>
      </w:pPr>
      <w:bookmarkStart w:id="637" w:name="_bookmark171"/>
      <w:bookmarkEnd w:id="637"/>
      <w:r>
        <w:rPr>
          <w:rFonts w:ascii="宋体" w:hAnsi="宋体"/>
          <w:color w:val="000000"/>
          <w:sz w:val="24"/>
          <w:highlight w:val="none"/>
        </w:rPr>
        <w:t>12.1 承包人暂停施工的责任</w:t>
      </w:r>
    </w:p>
    <w:p w14:paraId="1D3F3739">
      <w:pPr>
        <w:spacing w:line="360" w:lineRule="auto"/>
        <w:ind w:firstLine="420" w:firstLineChars="200"/>
        <w:rPr>
          <w:rFonts w:ascii="宋体" w:hAnsi="宋体"/>
          <w:color w:val="000000"/>
          <w:szCs w:val="21"/>
          <w:highlight w:val="none"/>
        </w:rPr>
      </w:pPr>
      <w:r>
        <w:rPr>
          <w:rFonts w:ascii="宋体" w:hAnsi="宋体"/>
          <w:color w:val="000000"/>
          <w:szCs w:val="21"/>
          <w:highlight w:val="none"/>
        </w:rPr>
        <w:t>因下列情形暂停施工增加的费用和（或）工期延误由承包人承担：</w:t>
      </w:r>
    </w:p>
    <w:p w14:paraId="1D36519D">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（1）承包人违约引起的暂停施工；</w:t>
      </w:r>
    </w:p>
    <w:p w14:paraId="47E5A796">
      <w:pPr>
        <w:spacing w:line="360" w:lineRule="auto"/>
        <w:ind w:firstLine="420" w:firstLineChars="200"/>
        <w:rPr>
          <w:rFonts w:ascii="宋体" w:hAnsi="宋体"/>
          <w:color w:val="000000"/>
          <w:szCs w:val="21"/>
          <w:highlight w:val="none"/>
        </w:rPr>
      </w:pPr>
      <w:r>
        <w:rPr>
          <w:rFonts w:ascii="宋体" w:hAnsi="宋体"/>
          <w:color w:val="000000"/>
          <w:szCs w:val="21"/>
          <w:highlight w:val="none"/>
        </w:rPr>
        <w:t>（2）由于承包人原因为工程合理施工和安全保障所必需的暂停施工；</w:t>
      </w:r>
    </w:p>
    <w:p w14:paraId="505AFE22">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（3）承包人擅自暂停施工；</w:t>
      </w:r>
    </w:p>
    <w:p w14:paraId="4DD4339F">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（4）承包人承担暂停施工责任的其他情形见合同条款专用部分。</w:t>
      </w:r>
    </w:p>
    <w:p w14:paraId="60CD295C">
      <w:pPr>
        <w:spacing w:line="360" w:lineRule="auto"/>
        <w:rPr>
          <w:rFonts w:ascii="宋体" w:hAnsi="宋体"/>
          <w:color w:val="000000"/>
          <w:sz w:val="24"/>
          <w:highlight w:val="none"/>
        </w:rPr>
      </w:pPr>
      <w:bookmarkStart w:id="638" w:name="_bookmark172"/>
      <w:bookmarkEnd w:id="638"/>
      <w:r>
        <w:rPr>
          <w:rFonts w:ascii="宋体" w:hAnsi="宋体"/>
          <w:color w:val="000000"/>
          <w:sz w:val="24"/>
          <w:highlight w:val="none"/>
        </w:rPr>
        <w:t>12.2 发包人暂停施工的责任</w:t>
      </w:r>
    </w:p>
    <w:p w14:paraId="39B89D04">
      <w:pPr>
        <w:spacing w:line="360" w:lineRule="auto"/>
        <w:ind w:firstLine="420" w:firstLineChars="200"/>
        <w:rPr>
          <w:rFonts w:ascii="宋体" w:hAnsi="宋体"/>
          <w:color w:val="000000"/>
          <w:szCs w:val="21"/>
          <w:highlight w:val="none"/>
        </w:rPr>
      </w:pPr>
      <w:r>
        <w:rPr>
          <w:rFonts w:ascii="宋体" w:hAnsi="宋体"/>
          <w:color w:val="000000"/>
          <w:szCs w:val="21"/>
          <w:highlight w:val="none"/>
        </w:rPr>
        <w:t>由于发包人原因引起的暂停施工造成工期延误的，承包人有权要求发包人延长工期和（或）增加费用，并支付合理利润。</w:t>
      </w:r>
    </w:p>
    <w:p w14:paraId="7A6C802F">
      <w:pPr>
        <w:spacing w:line="360" w:lineRule="auto"/>
        <w:rPr>
          <w:rFonts w:ascii="宋体" w:hAnsi="宋体"/>
          <w:color w:val="000000"/>
          <w:sz w:val="24"/>
          <w:highlight w:val="none"/>
        </w:rPr>
      </w:pPr>
      <w:bookmarkStart w:id="639" w:name="_bookmark173"/>
      <w:bookmarkEnd w:id="639"/>
      <w:r>
        <w:rPr>
          <w:rFonts w:ascii="宋体" w:hAnsi="宋体"/>
          <w:color w:val="000000"/>
          <w:sz w:val="24"/>
          <w:highlight w:val="none"/>
        </w:rPr>
        <w:t>12.3 监理人暂停施工指示</w:t>
      </w:r>
    </w:p>
    <w:p w14:paraId="2F7E9432">
      <w:pPr>
        <w:spacing w:line="360" w:lineRule="auto"/>
        <w:ind w:firstLine="420" w:firstLineChars="200"/>
        <w:rPr>
          <w:rFonts w:ascii="宋体" w:hAnsi="宋体"/>
          <w:color w:val="000000"/>
          <w:szCs w:val="21"/>
          <w:highlight w:val="none"/>
        </w:rPr>
      </w:pPr>
      <w:r>
        <w:rPr>
          <w:rFonts w:ascii="宋体" w:hAnsi="宋体"/>
          <w:color w:val="000000"/>
          <w:szCs w:val="21"/>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608053A">
      <w:pPr>
        <w:spacing w:line="360" w:lineRule="auto"/>
        <w:ind w:firstLine="420" w:firstLineChars="200"/>
        <w:rPr>
          <w:rFonts w:ascii="宋体" w:hAnsi="宋体"/>
          <w:color w:val="000000"/>
          <w:szCs w:val="21"/>
          <w:highlight w:val="none"/>
        </w:rPr>
      </w:pPr>
      <w:r>
        <w:rPr>
          <w:rFonts w:ascii="宋体" w:hAnsi="宋体"/>
          <w:color w:val="000000"/>
          <w:szCs w:val="21"/>
          <w:highlight w:val="none"/>
        </w:rPr>
        <w:t>12.3.2 由于发包人的原因发生暂停施工的紧急情况，且监理人未及时下达暂停施工指示的，承包人可先暂停施工，并及时向监理人提出暂停施工的书面请求。监理人应在接到书面请求后的 24 小时内予以答复，逾期未答复的，视为同意承包人的暂停施工请求。</w:t>
      </w:r>
    </w:p>
    <w:p w14:paraId="1CBD4B5A">
      <w:pPr>
        <w:spacing w:line="360" w:lineRule="auto"/>
        <w:rPr>
          <w:rFonts w:ascii="宋体" w:hAnsi="宋体"/>
          <w:color w:val="000000"/>
          <w:sz w:val="24"/>
          <w:highlight w:val="none"/>
        </w:rPr>
      </w:pPr>
      <w:bookmarkStart w:id="640" w:name="_bookmark174"/>
      <w:bookmarkEnd w:id="640"/>
      <w:r>
        <w:rPr>
          <w:rFonts w:ascii="宋体" w:hAnsi="宋体"/>
          <w:color w:val="000000"/>
          <w:sz w:val="24"/>
          <w:highlight w:val="none"/>
        </w:rPr>
        <w:t>12.4 暂停施工后的复工</w:t>
      </w:r>
    </w:p>
    <w:p w14:paraId="250087E6">
      <w:pPr>
        <w:spacing w:line="360" w:lineRule="auto"/>
        <w:ind w:firstLine="420" w:firstLineChars="200"/>
        <w:rPr>
          <w:rFonts w:ascii="宋体" w:hAnsi="宋体"/>
          <w:color w:val="000000"/>
          <w:szCs w:val="21"/>
          <w:highlight w:val="none"/>
        </w:rPr>
      </w:pPr>
      <w:r>
        <w:rPr>
          <w:rFonts w:ascii="宋体" w:hAnsi="宋体"/>
          <w:color w:val="000000"/>
          <w:szCs w:val="21"/>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206A51FB">
      <w:pPr>
        <w:spacing w:line="360" w:lineRule="auto"/>
        <w:ind w:firstLine="420" w:firstLineChars="200"/>
        <w:rPr>
          <w:rFonts w:ascii="宋体" w:hAnsi="宋体"/>
          <w:color w:val="000000"/>
          <w:szCs w:val="21"/>
          <w:highlight w:val="none"/>
        </w:rPr>
      </w:pPr>
      <w:r>
        <w:rPr>
          <w:rFonts w:ascii="宋体" w:hAnsi="宋体"/>
          <w:color w:val="000000"/>
          <w:szCs w:val="21"/>
          <w:highlight w:val="none"/>
        </w:rPr>
        <w:t>12.4.2 承包人无故拖延和拒绝复工的，由此增加的费用和工期延误由承包人承担；因发包人原因无法按时复工的，承包人有权要求发包人延长工期和（或）增加费用，并支付合理利润。</w:t>
      </w:r>
    </w:p>
    <w:p w14:paraId="29D7D257">
      <w:pPr>
        <w:spacing w:line="360" w:lineRule="auto"/>
        <w:ind w:firstLine="420" w:firstLineChars="200"/>
        <w:rPr>
          <w:rFonts w:ascii="宋体" w:hAnsi="宋体"/>
          <w:color w:val="000000"/>
          <w:szCs w:val="21"/>
          <w:highlight w:val="none"/>
        </w:rPr>
      </w:pPr>
      <w:r>
        <w:rPr>
          <w:rFonts w:ascii="宋体" w:hAnsi="宋体"/>
          <w:color w:val="000000"/>
          <w:szCs w:val="21"/>
          <w:highlight w:val="none"/>
        </w:rPr>
        <w:t>12.4.3 根据第 12.4.1 款的约定，监理人发出复工通知后，监理人应和承包人一起对 受到暂停施工影响的工程、材料和工程设备进行检查。承包人负责修复在暂停施工期间发生在工程、材料和工程设备上的任何损蚀、缺陷或损失，修复费用由承担暂停施工责任的责任人承担。</w:t>
      </w:r>
    </w:p>
    <w:p w14:paraId="57AD2A5F">
      <w:pPr>
        <w:spacing w:line="360" w:lineRule="auto"/>
        <w:ind w:firstLine="420" w:firstLineChars="200"/>
        <w:rPr>
          <w:rFonts w:ascii="宋体" w:hAnsi="宋体"/>
          <w:color w:val="000000"/>
          <w:szCs w:val="21"/>
          <w:highlight w:val="none"/>
        </w:rPr>
      </w:pPr>
      <w:r>
        <w:rPr>
          <w:rFonts w:ascii="宋体" w:hAnsi="宋体"/>
          <w:color w:val="000000"/>
          <w:szCs w:val="21"/>
          <w:highlight w:val="none"/>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14:paraId="293F6564">
      <w:pPr>
        <w:spacing w:line="360" w:lineRule="auto"/>
        <w:rPr>
          <w:rFonts w:ascii="宋体" w:hAnsi="宋体"/>
          <w:color w:val="000000"/>
          <w:sz w:val="24"/>
          <w:highlight w:val="none"/>
        </w:rPr>
      </w:pPr>
      <w:bookmarkStart w:id="641" w:name="_bookmark175"/>
      <w:bookmarkEnd w:id="641"/>
      <w:r>
        <w:rPr>
          <w:rFonts w:ascii="宋体" w:hAnsi="宋体"/>
          <w:color w:val="000000"/>
          <w:sz w:val="24"/>
          <w:highlight w:val="none"/>
        </w:rPr>
        <w:t>12.5 暂停施工持续56天以上</w:t>
      </w:r>
    </w:p>
    <w:p w14:paraId="00216FDE">
      <w:pPr>
        <w:spacing w:line="360" w:lineRule="auto"/>
        <w:ind w:firstLine="420" w:firstLineChars="200"/>
        <w:rPr>
          <w:rFonts w:ascii="宋体" w:hAnsi="宋体"/>
          <w:color w:val="000000"/>
          <w:szCs w:val="21"/>
          <w:highlight w:val="none"/>
        </w:rPr>
      </w:pPr>
      <w:r>
        <w:rPr>
          <w:rFonts w:ascii="宋体" w:hAnsi="宋体"/>
          <w:color w:val="000000"/>
          <w:szCs w:val="21"/>
          <w:highlight w:val="none"/>
        </w:rPr>
        <w:t>12.5.1</w:t>
      </w:r>
      <w:r>
        <w:rPr>
          <w:rFonts w:ascii="宋体" w:hAnsi="宋体"/>
          <w:color w:val="000000"/>
          <w:szCs w:val="21"/>
          <w:highlight w:val="none"/>
        </w:rPr>
        <w:tab/>
      </w:r>
      <w:r>
        <w:rPr>
          <w:rFonts w:ascii="宋体" w:hAnsi="宋体"/>
          <w:color w:val="000000"/>
          <w:szCs w:val="21"/>
          <w:highlight w:val="none"/>
        </w:rPr>
        <w:t>监理人发出暂停施工指示后 56 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DCD5684">
      <w:pPr>
        <w:spacing w:line="360" w:lineRule="auto"/>
        <w:ind w:firstLine="420" w:firstLineChars="200"/>
        <w:rPr>
          <w:rFonts w:ascii="宋体" w:hAnsi="宋体"/>
          <w:color w:val="000000"/>
          <w:szCs w:val="21"/>
          <w:highlight w:val="none"/>
        </w:rPr>
      </w:pPr>
      <w:r>
        <w:rPr>
          <w:rFonts w:ascii="宋体" w:hAnsi="宋体"/>
          <w:color w:val="000000"/>
          <w:szCs w:val="21"/>
          <w:highlight w:val="none"/>
        </w:rPr>
        <w:t>12.5.2</w:t>
      </w:r>
      <w:r>
        <w:rPr>
          <w:rFonts w:ascii="宋体" w:hAnsi="宋体"/>
          <w:color w:val="000000"/>
          <w:szCs w:val="21"/>
          <w:highlight w:val="none"/>
        </w:rPr>
        <w:tab/>
      </w:r>
      <w:r>
        <w:rPr>
          <w:rFonts w:ascii="宋体" w:hAnsi="宋体"/>
          <w:color w:val="000000"/>
          <w:szCs w:val="21"/>
          <w:highlight w:val="none"/>
        </w:rPr>
        <w:t>由于承包人责任引起的暂停施工，如承包人在收到监理人暂停施工指示后56天内不认真采取有效的复工措施，造成工期延误，可视为承包人违约，应按第 22.1 款的规定办理。</w:t>
      </w:r>
    </w:p>
    <w:p w14:paraId="697CC8A3">
      <w:pPr>
        <w:spacing w:line="360" w:lineRule="auto"/>
        <w:rPr>
          <w:rFonts w:ascii="宋体" w:hAnsi="宋体"/>
          <w:color w:val="000000"/>
          <w:sz w:val="28"/>
          <w:szCs w:val="28"/>
          <w:highlight w:val="none"/>
        </w:rPr>
      </w:pPr>
      <w:bookmarkStart w:id="642" w:name="_bookmark176"/>
      <w:bookmarkEnd w:id="642"/>
      <w:r>
        <w:rPr>
          <w:rFonts w:ascii="宋体" w:hAnsi="宋体"/>
          <w:color w:val="000000"/>
          <w:sz w:val="28"/>
          <w:szCs w:val="28"/>
          <w:highlight w:val="none"/>
        </w:rPr>
        <w:t>13.工程质量</w:t>
      </w:r>
    </w:p>
    <w:p w14:paraId="732A16C3">
      <w:pPr>
        <w:spacing w:line="360" w:lineRule="auto"/>
        <w:rPr>
          <w:rFonts w:ascii="宋体" w:hAnsi="宋体"/>
          <w:color w:val="000000"/>
          <w:sz w:val="24"/>
          <w:highlight w:val="none"/>
        </w:rPr>
      </w:pPr>
      <w:bookmarkStart w:id="643" w:name="_bookmark177"/>
      <w:bookmarkEnd w:id="643"/>
      <w:r>
        <w:rPr>
          <w:rFonts w:ascii="宋体" w:hAnsi="宋体"/>
          <w:color w:val="000000"/>
          <w:sz w:val="24"/>
          <w:highlight w:val="none"/>
        </w:rPr>
        <w:t>13.1</w:t>
      </w:r>
      <w:r>
        <w:rPr>
          <w:rFonts w:ascii="宋体" w:hAnsi="宋体"/>
          <w:color w:val="000000"/>
          <w:sz w:val="24"/>
          <w:highlight w:val="none"/>
        </w:rPr>
        <w:tab/>
      </w:r>
      <w:r>
        <w:rPr>
          <w:rFonts w:ascii="宋体" w:hAnsi="宋体"/>
          <w:color w:val="000000"/>
          <w:sz w:val="24"/>
          <w:highlight w:val="none"/>
        </w:rPr>
        <w:t>工程质量要求</w:t>
      </w:r>
    </w:p>
    <w:p w14:paraId="30B83937">
      <w:pPr>
        <w:spacing w:line="360" w:lineRule="auto"/>
        <w:ind w:firstLine="420" w:firstLineChars="200"/>
        <w:rPr>
          <w:rFonts w:ascii="宋体" w:hAnsi="宋体"/>
          <w:color w:val="000000"/>
          <w:szCs w:val="21"/>
          <w:highlight w:val="none"/>
        </w:rPr>
      </w:pPr>
      <w:r>
        <w:rPr>
          <w:rFonts w:ascii="宋体" w:hAnsi="宋体"/>
          <w:color w:val="000000"/>
          <w:szCs w:val="21"/>
          <w:highlight w:val="none"/>
        </w:rPr>
        <w:t>13.1.1</w:t>
      </w:r>
      <w:r>
        <w:rPr>
          <w:rFonts w:ascii="宋体" w:hAnsi="宋体"/>
          <w:color w:val="000000"/>
          <w:szCs w:val="21"/>
          <w:highlight w:val="none"/>
        </w:rPr>
        <w:tab/>
      </w:r>
      <w:r>
        <w:rPr>
          <w:rFonts w:ascii="宋体" w:hAnsi="宋体"/>
          <w:color w:val="000000"/>
          <w:szCs w:val="21"/>
          <w:highlight w:val="none"/>
        </w:rPr>
        <w:t>工程质量验收按合同约定验收标准执行。</w:t>
      </w:r>
    </w:p>
    <w:p w14:paraId="2677CEEB">
      <w:pPr>
        <w:spacing w:line="360" w:lineRule="auto"/>
        <w:ind w:firstLine="420" w:firstLineChars="200"/>
        <w:rPr>
          <w:rFonts w:ascii="宋体" w:hAnsi="宋体"/>
          <w:color w:val="000000"/>
          <w:szCs w:val="21"/>
          <w:highlight w:val="none"/>
        </w:rPr>
      </w:pPr>
      <w:r>
        <w:rPr>
          <w:rFonts w:ascii="宋体" w:hAnsi="宋体"/>
          <w:color w:val="000000"/>
          <w:szCs w:val="21"/>
          <w:highlight w:val="none"/>
        </w:rPr>
        <w:t>13.1.2 因承包人原因造成工程质量达不到合同约定验收标准的，监理人有权要求承包人返工直至符合合同要求为止，由此造成的费用增加和（或）工期延误由承包人承担。</w:t>
      </w:r>
    </w:p>
    <w:p w14:paraId="5D49E257">
      <w:pPr>
        <w:spacing w:line="360" w:lineRule="auto"/>
        <w:ind w:firstLine="420" w:firstLineChars="200"/>
        <w:rPr>
          <w:rFonts w:ascii="宋体" w:hAnsi="宋体"/>
          <w:color w:val="000000"/>
          <w:szCs w:val="21"/>
          <w:highlight w:val="none"/>
        </w:rPr>
      </w:pPr>
      <w:r>
        <w:rPr>
          <w:rFonts w:ascii="宋体" w:hAnsi="宋体"/>
          <w:color w:val="000000"/>
          <w:szCs w:val="21"/>
          <w:highlight w:val="none"/>
        </w:rPr>
        <w:t>13.1.3 因发包人原因造成工程质量达不到合同约定验收标准的，发包人应承担由于承包人返工造成的费用增加和（或）工期延误，并支付承包人合理利润。</w:t>
      </w:r>
    </w:p>
    <w:p w14:paraId="767CFCB1">
      <w:pPr>
        <w:spacing w:line="360" w:lineRule="auto"/>
        <w:rPr>
          <w:rFonts w:ascii="宋体" w:hAnsi="宋体"/>
          <w:color w:val="000000"/>
          <w:sz w:val="24"/>
          <w:highlight w:val="none"/>
        </w:rPr>
      </w:pPr>
      <w:bookmarkStart w:id="644" w:name="_bookmark178"/>
      <w:bookmarkEnd w:id="644"/>
      <w:r>
        <w:rPr>
          <w:rFonts w:ascii="宋体" w:hAnsi="宋体"/>
          <w:color w:val="000000"/>
          <w:sz w:val="24"/>
          <w:highlight w:val="none"/>
        </w:rPr>
        <w:t>13.2</w:t>
      </w:r>
      <w:r>
        <w:rPr>
          <w:rFonts w:ascii="宋体" w:hAnsi="宋体"/>
          <w:color w:val="000000"/>
          <w:sz w:val="24"/>
          <w:highlight w:val="none"/>
        </w:rPr>
        <w:tab/>
      </w:r>
      <w:r>
        <w:rPr>
          <w:rFonts w:ascii="宋体" w:hAnsi="宋体"/>
          <w:color w:val="000000"/>
          <w:sz w:val="24"/>
          <w:highlight w:val="none"/>
        </w:rPr>
        <w:t>承包人的质量管理</w:t>
      </w:r>
    </w:p>
    <w:p w14:paraId="33F71161">
      <w:pPr>
        <w:spacing w:line="360" w:lineRule="auto"/>
        <w:ind w:firstLine="420" w:firstLineChars="200"/>
        <w:rPr>
          <w:rFonts w:ascii="宋体" w:hAnsi="宋体"/>
          <w:color w:val="000000"/>
          <w:szCs w:val="21"/>
          <w:highlight w:val="none"/>
        </w:rPr>
      </w:pPr>
      <w:r>
        <w:rPr>
          <w:rFonts w:ascii="宋体" w:hAnsi="宋体"/>
          <w:color w:val="000000"/>
          <w:szCs w:val="21"/>
          <w:highlight w:val="none"/>
        </w:rPr>
        <w:t>13.2.1</w:t>
      </w:r>
      <w:r>
        <w:rPr>
          <w:rFonts w:ascii="宋体" w:hAnsi="宋体"/>
          <w:color w:val="000000"/>
          <w:szCs w:val="21"/>
          <w:highlight w:val="none"/>
        </w:rPr>
        <w:tab/>
      </w:r>
      <w:r>
        <w:rPr>
          <w:rFonts w:ascii="宋体" w:hAnsi="宋体"/>
          <w:color w:val="000000"/>
          <w:szCs w:val="21"/>
          <w:highlight w:val="none"/>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2862927A">
      <w:pPr>
        <w:spacing w:line="360" w:lineRule="auto"/>
        <w:ind w:firstLine="420" w:firstLineChars="200"/>
        <w:rPr>
          <w:rFonts w:ascii="宋体" w:hAnsi="宋体"/>
          <w:color w:val="000000"/>
          <w:szCs w:val="21"/>
          <w:highlight w:val="none"/>
        </w:rPr>
      </w:pPr>
      <w:r>
        <w:rPr>
          <w:rFonts w:ascii="宋体" w:hAnsi="宋体"/>
          <w:color w:val="000000"/>
          <w:szCs w:val="21"/>
          <w:highlight w:val="none"/>
        </w:rPr>
        <w:t>13.2.2 承包人应加强对施工人员的质量教育和技术培训，定期考核施工人员的劳动技能，严格执行规范和操作规程。</w:t>
      </w:r>
    </w:p>
    <w:p w14:paraId="689A1CCC">
      <w:pPr>
        <w:spacing w:line="360" w:lineRule="auto"/>
        <w:rPr>
          <w:rFonts w:ascii="宋体" w:hAnsi="宋体"/>
          <w:color w:val="000000"/>
          <w:sz w:val="24"/>
          <w:highlight w:val="none"/>
        </w:rPr>
      </w:pPr>
      <w:bookmarkStart w:id="645" w:name="_bookmark179"/>
      <w:bookmarkEnd w:id="645"/>
      <w:r>
        <w:rPr>
          <w:rFonts w:ascii="宋体" w:hAnsi="宋体"/>
          <w:color w:val="000000"/>
          <w:sz w:val="24"/>
          <w:highlight w:val="none"/>
        </w:rPr>
        <w:t>13.3</w:t>
      </w:r>
      <w:r>
        <w:rPr>
          <w:rFonts w:ascii="宋体" w:hAnsi="宋体"/>
          <w:color w:val="000000"/>
          <w:sz w:val="24"/>
          <w:highlight w:val="none"/>
        </w:rPr>
        <w:tab/>
      </w:r>
      <w:r>
        <w:rPr>
          <w:rFonts w:ascii="宋体" w:hAnsi="宋体"/>
          <w:color w:val="000000"/>
          <w:sz w:val="24"/>
          <w:highlight w:val="none"/>
        </w:rPr>
        <w:t>承包人的质量检查</w:t>
      </w:r>
    </w:p>
    <w:p w14:paraId="7B4FAD13">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AAFB27B">
      <w:pPr>
        <w:spacing w:line="360" w:lineRule="auto"/>
        <w:rPr>
          <w:rFonts w:ascii="宋体" w:hAnsi="宋体"/>
          <w:color w:val="000000"/>
          <w:sz w:val="24"/>
          <w:highlight w:val="none"/>
        </w:rPr>
      </w:pPr>
      <w:bookmarkStart w:id="646" w:name="_bookmark180"/>
      <w:bookmarkEnd w:id="646"/>
      <w:r>
        <w:rPr>
          <w:rFonts w:ascii="宋体" w:hAnsi="宋体"/>
          <w:color w:val="000000"/>
          <w:sz w:val="24"/>
          <w:highlight w:val="none"/>
        </w:rPr>
        <w:t>13.4</w:t>
      </w:r>
      <w:r>
        <w:rPr>
          <w:rFonts w:ascii="宋体" w:hAnsi="宋体"/>
          <w:color w:val="000000"/>
          <w:sz w:val="24"/>
          <w:highlight w:val="none"/>
        </w:rPr>
        <w:tab/>
      </w:r>
      <w:r>
        <w:rPr>
          <w:rFonts w:ascii="宋体" w:hAnsi="宋体"/>
          <w:color w:val="000000"/>
          <w:sz w:val="24"/>
          <w:highlight w:val="none"/>
        </w:rPr>
        <w:t>监理人的质量检查</w:t>
      </w:r>
    </w:p>
    <w:p w14:paraId="015EE6D7">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30CA6487">
      <w:pPr>
        <w:spacing w:line="360" w:lineRule="auto"/>
        <w:rPr>
          <w:rFonts w:ascii="宋体" w:hAnsi="宋体"/>
          <w:color w:val="000000"/>
          <w:sz w:val="24"/>
          <w:highlight w:val="none"/>
        </w:rPr>
      </w:pPr>
      <w:bookmarkStart w:id="647" w:name="_bookmark181"/>
      <w:bookmarkEnd w:id="647"/>
      <w:r>
        <w:rPr>
          <w:rFonts w:ascii="宋体" w:hAnsi="宋体"/>
          <w:color w:val="000000"/>
          <w:sz w:val="24"/>
          <w:highlight w:val="none"/>
        </w:rPr>
        <w:t>13.5</w:t>
      </w:r>
      <w:r>
        <w:rPr>
          <w:rFonts w:ascii="宋体" w:hAnsi="宋体"/>
          <w:color w:val="000000"/>
          <w:sz w:val="24"/>
          <w:highlight w:val="none"/>
        </w:rPr>
        <w:tab/>
      </w:r>
      <w:r>
        <w:rPr>
          <w:rFonts w:ascii="宋体" w:hAnsi="宋体"/>
          <w:color w:val="000000"/>
          <w:sz w:val="24"/>
          <w:highlight w:val="none"/>
        </w:rPr>
        <w:t>工程隐蔽部位覆盖前的检查</w:t>
      </w:r>
    </w:p>
    <w:p w14:paraId="5F7F5F24">
      <w:pPr>
        <w:spacing w:line="360" w:lineRule="auto"/>
        <w:ind w:firstLine="420" w:firstLineChars="200"/>
        <w:rPr>
          <w:rFonts w:ascii="宋体" w:hAnsi="宋体"/>
          <w:color w:val="000000"/>
          <w:szCs w:val="21"/>
          <w:highlight w:val="none"/>
        </w:rPr>
      </w:pPr>
      <w:r>
        <w:rPr>
          <w:rFonts w:ascii="宋体" w:hAnsi="宋体"/>
          <w:color w:val="000000"/>
          <w:szCs w:val="21"/>
          <w:highlight w:val="none"/>
        </w:rPr>
        <w:t>13.5.1</w:t>
      </w:r>
      <w:r>
        <w:rPr>
          <w:rFonts w:ascii="宋体" w:hAnsi="宋体"/>
          <w:color w:val="000000"/>
          <w:szCs w:val="21"/>
          <w:highlight w:val="none"/>
        </w:rPr>
        <w:tab/>
      </w:r>
      <w:r>
        <w:rPr>
          <w:rFonts w:ascii="宋体" w:hAnsi="宋体"/>
          <w:color w:val="000000"/>
          <w:szCs w:val="21"/>
          <w:highlight w:val="none"/>
        </w:rPr>
        <w:t xml:space="preserve">通知监理人检查 </w:t>
      </w:r>
    </w:p>
    <w:p w14:paraId="3471D417">
      <w:pPr>
        <w:spacing w:line="360" w:lineRule="auto"/>
        <w:ind w:firstLine="420" w:firstLineChars="200"/>
        <w:rPr>
          <w:rFonts w:ascii="宋体" w:hAnsi="宋体"/>
          <w:color w:val="000000"/>
          <w:szCs w:val="21"/>
          <w:highlight w:val="none"/>
        </w:rPr>
      </w:pPr>
      <w:r>
        <w:rPr>
          <w:rFonts w:ascii="宋体" w:hAnsi="宋体"/>
          <w:color w:val="000000"/>
          <w:szCs w:val="21"/>
          <w:highlight w:val="none"/>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14:paraId="0DE236A6">
      <w:pPr>
        <w:spacing w:line="360" w:lineRule="auto"/>
        <w:ind w:firstLine="420" w:firstLineChars="200"/>
        <w:rPr>
          <w:rFonts w:ascii="宋体" w:hAnsi="宋体"/>
          <w:color w:val="000000"/>
          <w:szCs w:val="21"/>
          <w:highlight w:val="none"/>
        </w:rPr>
      </w:pPr>
      <w:r>
        <w:rPr>
          <w:rFonts w:ascii="宋体" w:hAnsi="宋体"/>
          <w:color w:val="000000"/>
          <w:szCs w:val="21"/>
          <w:highlight w:val="none"/>
        </w:rPr>
        <w:t>13.5.2</w:t>
      </w:r>
      <w:r>
        <w:rPr>
          <w:rFonts w:ascii="宋体" w:hAnsi="宋体"/>
          <w:color w:val="000000"/>
          <w:szCs w:val="21"/>
          <w:highlight w:val="none"/>
        </w:rPr>
        <w:tab/>
      </w:r>
      <w:r>
        <w:rPr>
          <w:rFonts w:ascii="宋体" w:hAnsi="宋体"/>
          <w:color w:val="000000"/>
          <w:szCs w:val="21"/>
          <w:highlight w:val="none"/>
        </w:rPr>
        <w:t>监理人未到场检查</w:t>
      </w:r>
    </w:p>
    <w:p w14:paraId="3A572BF0">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监理人未按第 13.5.1 项约定的时间进行检查的，除监理人另有指示外，承包人可自行完成覆盖工作，并作相应记录报送监理人，监理人应签字确认。监理人事后对检查记录有疑问的，可按第 13.5.3 项的约定重新检查。</w:t>
      </w:r>
    </w:p>
    <w:p w14:paraId="3D3D616A">
      <w:pPr>
        <w:spacing w:line="360" w:lineRule="auto"/>
        <w:ind w:firstLine="420" w:firstLineChars="200"/>
        <w:rPr>
          <w:rFonts w:ascii="宋体" w:hAnsi="宋体"/>
          <w:color w:val="000000"/>
          <w:szCs w:val="21"/>
          <w:highlight w:val="none"/>
        </w:rPr>
      </w:pPr>
      <w:r>
        <w:rPr>
          <w:rFonts w:ascii="宋体" w:hAnsi="宋体"/>
          <w:color w:val="000000"/>
          <w:szCs w:val="21"/>
          <w:highlight w:val="none"/>
        </w:rPr>
        <w:t>13.5.3</w:t>
      </w:r>
      <w:r>
        <w:rPr>
          <w:rFonts w:ascii="宋体" w:hAnsi="宋体"/>
          <w:color w:val="000000"/>
          <w:szCs w:val="21"/>
          <w:highlight w:val="none"/>
        </w:rPr>
        <w:tab/>
      </w:r>
      <w:r>
        <w:rPr>
          <w:rFonts w:ascii="宋体" w:hAnsi="宋体"/>
          <w:color w:val="000000"/>
          <w:szCs w:val="21"/>
          <w:highlight w:val="none"/>
        </w:rPr>
        <w:t>监理人重新检查</w:t>
      </w:r>
    </w:p>
    <w:p w14:paraId="76CF076E">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7F5D04B0">
      <w:pPr>
        <w:spacing w:line="360" w:lineRule="auto"/>
        <w:ind w:firstLine="420" w:firstLineChars="200"/>
        <w:rPr>
          <w:rFonts w:ascii="宋体" w:hAnsi="宋体"/>
          <w:color w:val="000000"/>
          <w:szCs w:val="21"/>
          <w:highlight w:val="none"/>
        </w:rPr>
      </w:pPr>
      <w:r>
        <w:rPr>
          <w:rFonts w:ascii="宋体" w:hAnsi="宋体"/>
          <w:color w:val="000000"/>
          <w:szCs w:val="21"/>
          <w:highlight w:val="none"/>
        </w:rPr>
        <w:t>13.5.4</w:t>
      </w:r>
      <w:r>
        <w:rPr>
          <w:rFonts w:ascii="宋体" w:hAnsi="宋体"/>
          <w:color w:val="000000"/>
          <w:szCs w:val="21"/>
          <w:highlight w:val="none"/>
        </w:rPr>
        <w:tab/>
      </w:r>
      <w:r>
        <w:rPr>
          <w:rFonts w:ascii="宋体" w:hAnsi="宋体"/>
          <w:color w:val="000000"/>
          <w:szCs w:val="21"/>
          <w:highlight w:val="none"/>
        </w:rPr>
        <w:t>承包人私自覆盖</w:t>
      </w:r>
    </w:p>
    <w:p w14:paraId="2E89CC59">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承包人未通知监理人到场检查，私自将工程隐蔽部位覆盖的，监理人有权指示承包人钻孔探测或揭开检查，由此增加的费用和（或）工期延误由承包人承担。</w:t>
      </w:r>
    </w:p>
    <w:p w14:paraId="77714846">
      <w:pPr>
        <w:spacing w:line="360" w:lineRule="auto"/>
        <w:rPr>
          <w:rFonts w:ascii="宋体" w:hAnsi="宋体"/>
          <w:color w:val="000000"/>
          <w:sz w:val="24"/>
          <w:highlight w:val="none"/>
        </w:rPr>
      </w:pPr>
      <w:bookmarkStart w:id="648" w:name="_bookmark182"/>
      <w:bookmarkEnd w:id="648"/>
      <w:r>
        <w:rPr>
          <w:rFonts w:ascii="宋体" w:hAnsi="宋体"/>
          <w:color w:val="000000"/>
          <w:sz w:val="24"/>
          <w:highlight w:val="none"/>
        </w:rPr>
        <w:t>13.6</w:t>
      </w:r>
      <w:r>
        <w:rPr>
          <w:rFonts w:ascii="宋体" w:hAnsi="宋体"/>
          <w:color w:val="000000"/>
          <w:sz w:val="24"/>
          <w:highlight w:val="none"/>
        </w:rPr>
        <w:tab/>
      </w:r>
      <w:r>
        <w:rPr>
          <w:rFonts w:ascii="宋体" w:hAnsi="宋体"/>
          <w:color w:val="000000"/>
          <w:sz w:val="24"/>
          <w:highlight w:val="none"/>
        </w:rPr>
        <w:t>清除不合格工程</w:t>
      </w:r>
    </w:p>
    <w:p w14:paraId="4FEE8C61">
      <w:pPr>
        <w:spacing w:line="360" w:lineRule="auto"/>
        <w:ind w:firstLine="420" w:firstLineChars="200"/>
        <w:rPr>
          <w:rFonts w:ascii="宋体" w:hAnsi="宋体"/>
          <w:color w:val="000000"/>
          <w:szCs w:val="21"/>
          <w:highlight w:val="none"/>
        </w:rPr>
      </w:pPr>
      <w:r>
        <w:rPr>
          <w:rFonts w:ascii="宋体" w:hAnsi="宋体"/>
          <w:color w:val="000000"/>
          <w:szCs w:val="21"/>
          <w:highlight w:val="none"/>
        </w:rPr>
        <w:t>13.6.1</w:t>
      </w:r>
      <w:r>
        <w:rPr>
          <w:rFonts w:ascii="宋体" w:hAnsi="宋体"/>
          <w:color w:val="000000"/>
          <w:szCs w:val="21"/>
          <w:highlight w:val="none"/>
        </w:rPr>
        <w:tab/>
      </w:r>
      <w:r>
        <w:rPr>
          <w:rFonts w:ascii="宋体" w:hAnsi="宋体"/>
          <w:color w:val="000000"/>
          <w:szCs w:val="21"/>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D8C5542">
      <w:pPr>
        <w:spacing w:line="360" w:lineRule="auto"/>
        <w:ind w:firstLine="420" w:firstLineChars="200"/>
        <w:rPr>
          <w:rFonts w:ascii="宋体" w:hAnsi="宋体"/>
          <w:color w:val="000000"/>
          <w:szCs w:val="21"/>
          <w:highlight w:val="none"/>
        </w:rPr>
      </w:pPr>
      <w:r>
        <w:rPr>
          <w:rFonts w:ascii="宋体" w:hAnsi="宋体"/>
          <w:color w:val="000000"/>
          <w:szCs w:val="21"/>
          <w:highlight w:val="none"/>
        </w:rPr>
        <w:t>13.6.2 由于发包人提供的材料或工程设备不合格造成的工程不合格，需要承包人采取措施补救的，发包人应承担由此增加的费用和（或）工期延误，并支付承包人合理利润。</w:t>
      </w:r>
    </w:p>
    <w:p w14:paraId="5BAF8DA8">
      <w:pPr>
        <w:spacing w:line="360" w:lineRule="auto"/>
        <w:rPr>
          <w:rFonts w:ascii="宋体" w:hAnsi="宋体"/>
          <w:color w:val="000000"/>
          <w:sz w:val="24"/>
          <w:highlight w:val="none"/>
        </w:rPr>
      </w:pPr>
      <w:bookmarkStart w:id="649" w:name="_bookmark183"/>
      <w:bookmarkEnd w:id="649"/>
      <w:r>
        <w:rPr>
          <w:rFonts w:ascii="宋体" w:hAnsi="宋体"/>
          <w:color w:val="000000"/>
          <w:sz w:val="24"/>
          <w:highlight w:val="none"/>
        </w:rPr>
        <w:t>13.7</w:t>
      </w:r>
      <w:r>
        <w:rPr>
          <w:rFonts w:ascii="宋体" w:hAnsi="宋体"/>
          <w:color w:val="000000"/>
          <w:sz w:val="24"/>
          <w:highlight w:val="none"/>
        </w:rPr>
        <w:tab/>
      </w:r>
      <w:r>
        <w:rPr>
          <w:rFonts w:ascii="宋体" w:hAnsi="宋体"/>
          <w:color w:val="000000"/>
          <w:sz w:val="24"/>
          <w:highlight w:val="none"/>
        </w:rPr>
        <w:t>质量争议</w:t>
      </w:r>
    </w:p>
    <w:p w14:paraId="78DA4736">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发包人和承包人对工程质量有争议的，除可按第 24 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8EAD302">
      <w:pPr>
        <w:spacing w:line="360" w:lineRule="auto"/>
        <w:rPr>
          <w:rFonts w:ascii="宋体" w:hAnsi="宋体"/>
          <w:color w:val="000000"/>
          <w:sz w:val="28"/>
          <w:szCs w:val="28"/>
          <w:highlight w:val="none"/>
        </w:rPr>
      </w:pPr>
      <w:bookmarkStart w:id="650" w:name="_bookmark184"/>
      <w:bookmarkEnd w:id="650"/>
      <w:r>
        <w:rPr>
          <w:rFonts w:ascii="宋体" w:hAnsi="宋体"/>
          <w:color w:val="000000"/>
          <w:sz w:val="28"/>
          <w:szCs w:val="28"/>
          <w:highlight w:val="none"/>
        </w:rPr>
        <w:t>14.试验和检验</w:t>
      </w:r>
    </w:p>
    <w:p w14:paraId="13ADDF40">
      <w:pPr>
        <w:spacing w:line="360" w:lineRule="auto"/>
        <w:rPr>
          <w:rFonts w:ascii="宋体" w:hAnsi="宋体"/>
          <w:color w:val="000000"/>
          <w:sz w:val="24"/>
          <w:highlight w:val="none"/>
        </w:rPr>
      </w:pPr>
      <w:bookmarkStart w:id="651" w:name="_bookmark185"/>
      <w:bookmarkEnd w:id="651"/>
      <w:r>
        <w:rPr>
          <w:rFonts w:ascii="宋体" w:hAnsi="宋体"/>
          <w:color w:val="000000"/>
          <w:sz w:val="24"/>
          <w:highlight w:val="none"/>
        </w:rPr>
        <w:t>14.1</w:t>
      </w:r>
      <w:r>
        <w:rPr>
          <w:rFonts w:ascii="宋体" w:hAnsi="宋体"/>
          <w:color w:val="000000"/>
          <w:sz w:val="24"/>
          <w:highlight w:val="none"/>
        </w:rPr>
        <w:tab/>
      </w:r>
      <w:r>
        <w:rPr>
          <w:rFonts w:ascii="宋体" w:hAnsi="宋体"/>
          <w:color w:val="000000"/>
          <w:sz w:val="24"/>
          <w:highlight w:val="none"/>
        </w:rPr>
        <w:t>材料、工程设备和工程的试验和检验</w:t>
      </w:r>
    </w:p>
    <w:p w14:paraId="105A66D4">
      <w:pPr>
        <w:spacing w:line="360" w:lineRule="auto"/>
        <w:ind w:firstLine="420" w:firstLineChars="200"/>
        <w:rPr>
          <w:rFonts w:ascii="宋体" w:hAnsi="宋体"/>
          <w:color w:val="000000"/>
          <w:szCs w:val="21"/>
          <w:highlight w:val="none"/>
        </w:rPr>
      </w:pPr>
      <w:r>
        <w:rPr>
          <w:rFonts w:ascii="宋体" w:hAnsi="宋体"/>
          <w:color w:val="000000"/>
          <w:szCs w:val="21"/>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7279EEA">
      <w:pPr>
        <w:spacing w:line="360" w:lineRule="auto"/>
        <w:ind w:firstLine="420" w:firstLineChars="200"/>
        <w:rPr>
          <w:rFonts w:ascii="宋体" w:hAnsi="宋体"/>
          <w:color w:val="000000"/>
          <w:szCs w:val="21"/>
          <w:highlight w:val="none"/>
        </w:rPr>
      </w:pPr>
      <w:r>
        <w:rPr>
          <w:rFonts w:ascii="宋体" w:hAnsi="宋体"/>
          <w:color w:val="000000"/>
          <w:szCs w:val="21"/>
          <w:highlight w:val="none"/>
        </w:rPr>
        <w:t>14.1.2 监理人未按合同约定派员参加试验和检验的，除监理人另有指示外，承包人可自行试验和检验，并应立即将试验和检验结果报送监理人，监理人应签字确认。</w:t>
      </w:r>
    </w:p>
    <w:p w14:paraId="46087749">
      <w:pPr>
        <w:spacing w:line="360" w:lineRule="auto"/>
        <w:ind w:firstLine="420" w:firstLineChars="200"/>
        <w:rPr>
          <w:rFonts w:ascii="宋体" w:hAnsi="宋体"/>
          <w:color w:val="000000"/>
          <w:szCs w:val="21"/>
          <w:highlight w:val="none"/>
        </w:rPr>
      </w:pPr>
      <w:r>
        <w:rPr>
          <w:rFonts w:ascii="宋体" w:hAnsi="宋体"/>
          <w:color w:val="000000"/>
          <w:szCs w:val="21"/>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DD50429">
      <w:pPr>
        <w:spacing w:line="360" w:lineRule="auto"/>
        <w:rPr>
          <w:rFonts w:ascii="宋体" w:hAnsi="宋体"/>
          <w:color w:val="000000"/>
          <w:sz w:val="24"/>
          <w:highlight w:val="none"/>
        </w:rPr>
      </w:pPr>
      <w:bookmarkStart w:id="652" w:name="_bookmark186"/>
      <w:bookmarkEnd w:id="652"/>
      <w:r>
        <w:rPr>
          <w:rFonts w:ascii="宋体" w:hAnsi="宋体"/>
          <w:color w:val="000000"/>
          <w:sz w:val="24"/>
          <w:highlight w:val="none"/>
        </w:rPr>
        <w:t>14.2</w:t>
      </w:r>
      <w:r>
        <w:rPr>
          <w:rFonts w:ascii="宋体" w:hAnsi="宋体"/>
          <w:color w:val="000000"/>
          <w:sz w:val="24"/>
          <w:highlight w:val="none"/>
        </w:rPr>
        <w:tab/>
      </w:r>
      <w:r>
        <w:rPr>
          <w:rFonts w:ascii="宋体" w:hAnsi="宋体"/>
          <w:color w:val="000000"/>
          <w:sz w:val="24"/>
          <w:highlight w:val="none"/>
        </w:rPr>
        <w:t>现场材料试验</w:t>
      </w:r>
    </w:p>
    <w:p w14:paraId="000D6E2B">
      <w:pPr>
        <w:spacing w:line="360" w:lineRule="auto"/>
        <w:ind w:firstLine="420" w:firstLineChars="200"/>
        <w:rPr>
          <w:rFonts w:ascii="宋体" w:hAnsi="宋体"/>
          <w:color w:val="000000"/>
          <w:szCs w:val="21"/>
          <w:highlight w:val="none"/>
        </w:rPr>
      </w:pPr>
      <w:r>
        <w:rPr>
          <w:rFonts w:ascii="宋体" w:hAnsi="宋体"/>
          <w:color w:val="000000"/>
          <w:szCs w:val="21"/>
          <w:highlight w:val="none"/>
        </w:rPr>
        <w:t>14.2.1 承包人根据合同约定或监理人指示进行的现场材料试验，应由承包人提供试验场所、试验人员、试验设备器材以及其他必要的试验条件。</w:t>
      </w:r>
    </w:p>
    <w:p w14:paraId="1E480FDC">
      <w:pPr>
        <w:spacing w:line="360" w:lineRule="auto"/>
        <w:ind w:firstLine="420" w:firstLineChars="200"/>
        <w:rPr>
          <w:rFonts w:ascii="宋体" w:hAnsi="宋体"/>
          <w:color w:val="000000"/>
          <w:szCs w:val="21"/>
          <w:highlight w:val="none"/>
        </w:rPr>
      </w:pPr>
      <w:r>
        <w:rPr>
          <w:rFonts w:ascii="宋体" w:hAnsi="宋体"/>
          <w:color w:val="000000"/>
          <w:szCs w:val="21"/>
          <w:highlight w:val="none"/>
        </w:rPr>
        <w:t>14.2.2 监理人在必要时可以使用承包人的试验场所、试验设备器材以及其他试验条件，进行以工程质量检查为目的的复核性材料试验，承包人应予以协助。</w:t>
      </w:r>
    </w:p>
    <w:p w14:paraId="4D953327">
      <w:pPr>
        <w:spacing w:line="360" w:lineRule="auto"/>
        <w:rPr>
          <w:rFonts w:ascii="宋体" w:hAnsi="宋体"/>
          <w:color w:val="000000"/>
          <w:sz w:val="24"/>
          <w:highlight w:val="none"/>
        </w:rPr>
      </w:pPr>
      <w:bookmarkStart w:id="653" w:name="_bookmark187"/>
      <w:bookmarkEnd w:id="653"/>
      <w:r>
        <w:rPr>
          <w:rFonts w:ascii="宋体" w:hAnsi="宋体"/>
          <w:color w:val="000000"/>
          <w:sz w:val="24"/>
          <w:highlight w:val="none"/>
        </w:rPr>
        <w:t>14.3</w:t>
      </w:r>
      <w:r>
        <w:rPr>
          <w:rFonts w:ascii="宋体" w:hAnsi="宋体"/>
          <w:color w:val="000000"/>
          <w:sz w:val="24"/>
          <w:highlight w:val="none"/>
        </w:rPr>
        <w:tab/>
      </w:r>
      <w:r>
        <w:rPr>
          <w:rFonts w:ascii="宋体" w:hAnsi="宋体"/>
          <w:color w:val="000000"/>
          <w:sz w:val="24"/>
          <w:highlight w:val="none"/>
        </w:rPr>
        <w:t>现场工艺试验</w:t>
      </w:r>
    </w:p>
    <w:p w14:paraId="6FD84A8A">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7B07523">
      <w:pPr>
        <w:spacing w:line="360" w:lineRule="auto"/>
        <w:rPr>
          <w:rFonts w:ascii="宋体" w:hAnsi="宋体"/>
          <w:color w:val="000000"/>
          <w:sz w:val="28"/>
          <w:szCs w:val="28"/>
          <w:highlight w:val="none"/>
        </w:rPr>
      </w:pPr>
      <w:bookmarkStart w:id="654" w:name="_bookmark188"/>
      <w:bookmarkEnd w:id="654"/>
      <w:r>
        <w:rPr>
          <w:rFonts w:ascii="宋体" w:hAnsi="宋体"/>
          <w:color w:val="000000"/>
          <w:sz w:val="28"/>
          <w:szCs w:val="28"/>
          <w:highlight w:val="none"/>
        </w:rPr>
        <w:t>15.变更</w:t>
      </w:r>
    </w:p>
    <w:p w14:paraId="278A93DC">
      <w:pPr>
        <w:spacing w:line="360" w:lineRule="auto"/>
        <w:rPr>
          <w:rFonts w:ascii="宋体" w:hAnsi="宋体"/>
          <w:color w:val="000000"/>
          <w:sz w:val="24"/>
          <w:highlight w:val="none"/>
        </w:rPr>
      </w:pPr>
      <w:bookmarkStart w:id="655" w:name="_bookmark189"/>
      <w:bookmarkEnd w:id="655"/>
      <w:r>
        <w:rPr>
          <w:rFonts w:ascii="宋体" w:hAnsi="宋体"/>
          <w:color w:val="000000"/>
          <w:sz w:val="24"/>
          <w:highlight w:val="none"/>
        </w:rPr>
        <w:t>15.1</w:t>
      </w:r>
      <w:r>
        <w:rPr>
          <w:rFonts w:ascii="宋体" w:hAnsi="宋体"/>
          <w:color w:val="000000"/>
          <w:sz w:val="24"/>
          <w:highlight w:val="none"/>
        </w:rPr>
        <w:tab/>
      </w:r>
      <w:r>
        <w:rPr>
          <w:rFonts w:ascii="宋体" w:hAnsi="宋体"/>
          <w:color w:val="000000"/>
          <w:sz w:val="24"/>
          <w:highlight w:val="none"/>
        </w:rPr>
        <w:t>变更的范围和内容</w:t>
      </w:r>
    </w:p>
    <w:p w14:paraId="0A573817">
      <w:pPr>
        <w:spacing w:line="360" w:lineRule="auto"/>
        <w:ind w:firstLine="420" w:firstLineChars="200"/>
        <w:rPr>
          <w:rFonts w:ascii="宋体" w:hAnsi="宋体"/>
          <w:color w:val="000000"/>
          <w:szCs w:val="21"/>
          <w:highlight w:val="none"/>
        </w:rPr>
      </w:pPr>
      <w:r>
        <w:rPr>
          <w:rFonts w:ascii="宋体" w:hAnsi="宋体"/>
          <w:color w:val="000000"/>
          <w:szCs w:val="21"/>
          <w:highlight w:val="none"/>
        </w:rPr>
        <w:t>15.1.1</w:t>
      </w:r>
      <w:r>
        <w:rPr>
          <w:rFonts w:ascii="宋体" w:hAnsi="宋体"/>
          <w:color w:val="000000"/>
          <w:szCs w:val="21"/>
          <w:highlight w:val="none"/>
        </w:rPr>
        <w:tab/>
      </w:r>
      <w:r>
        <w:rPr>
          <w:rFonts w:ascii="宋体" w:hAnsi="宋体"/>
          <w:color w:val="000000"/>
          <w:szCs w:val="21"/>
          <w:highlight w:val="none"/>
        </w:rPr>
        <w:t>在履行合同中发生以下情形之一，应按照本条规定进行变更。</w:t>
      </w:r>
    </w:p>
    <w:p w14:paraId="4F0F83AD">
      <w:pPr>
        <w:spacing w:line="360" w:lineRule="auto"/>
        <w:ind w:firstLine="420" w:firstLineChars="200"/>
        <w:rPr>
          <w:rFonts w:ascii="宋体" w:hAnsi="宋体"/>
          <w:color w:val="000000"/>
          <w:szCs w:val="21"/>
          <w:highlight w:val="none"/>
        </w:rPr>
      </w:pPr>
      <w:r>
        <w:rPr>
          <w:rFonts w:ascii="宋体" w:hAnsi="宋体"/>
          <w:color w:val="000000"/>
          <w:szCs w:val="21"/>
          <w:highlight w:val="none"/>
        </w:rPr>
        <w:t>（1）取消合同中任何一项工作，但被取消的工作不能转由发包人或其他人实施；</w:t>
      </w:r>
    </w:p>
    <w:p w14:paraId="213B5BF7">
      <w:pPr>
        <w:spacing w:line="360" w:lineRule="auto"/>
        <w:ind w:firstLine="420" w:firstLineChars="200"/>
        <w:rPr>
          <w:rFonts w:ascii="宋体" w:hAnsi="宋体"/>
          <w:color w:val="000000"/>
          <w:szCs w:val="21"/>
          <w:highlight w:val="none"/>
        </w:rPr>
      </w:pPr>
      <w:r>
        <w:rPr>
          <w:rFonts w:ascii="宋体" w:hAnsi="宋体"/>
          <w:color w:val="000000"/>
          <w:szCs w:val="21"/>
          <w:highlight w:val="none"/>
        </w:rPr>
        <w:t>（2）改变合同中任何一项工作的质量或其他特性；</w:t>
      </w:r>
    </w:p>
    <w:p w14:paraId="7D43DD95">
      <w:pPr>
        <w:spacing w:line="360" w:lineRule="auto"/>
        <w:ind w:firstLine="420" w:firstLineChars="200"/>
        <w:rPr>
          <w:rFonts w:ascii="宋体" w:hAnsi="宋体"/>
          <w:color w:val="000000"/>
          <w:szCs w:val="21"/>
          <w:highlight w:val="none"/>
        </w:rPr>
      </w:pPr>
      <w:r>
        <w:rPr>
          <w:rFonts w:ascii="宋体" w:hAnsi="宋体"/>
          <w:color w:val="000000"/>
          <w:szCs w:val="21"/>
          <w:highlight w:val="none"/>
        </w:rPr>
        <w:t>（3）改变合同工程的基线、标高、位置或尺寸；</w:t>
      </w:r>
    </w:p>
    <w:p w14:paraId="2F988894">
      <w:pPr>
        <w:spacing w:line="360" w:lineRule="auto"/>
        <w:ind w:firstLine="420" w:firstLineChars="200"/>
        <w:rPr>
          <w:rFonts w:ascii="宋体" w:hAnsi="宋体"/>
          <w:color w:val="000000"/>
          <w:szCs w:val="21"/>
          <w:highlight w:val="none"/>
        </w:rPr>
      </w:pPr>
      <w:r>
        <w:rPr>
          <w:rFonts w:ascii="宋体" w:hAnsi="宋体"/>
          <w:color w:val="000000"/>
          <w:szCs w:val="21"/>
          <w:highlight w:val="none"/>
        </w:rPr>
        <w:t>（4）改变合同中任何一项工作的施工时间或改变已批准的施工工艺或顺序；</w:t>
      </w:r>
    </w:p>
    <w:p w14:paraId="09BC5B87">
      <w:pPr>
        <w:spacing w:line="360" w:lineRule="auto"/>
        <w:ind w:firstLine="420" w:firstLineChars="200"/>
        <w:rPr>
          <w:rFonts w:ascii="宋体" w:hAnsi="宋体"/>
          <w:color w:val="000000"/>
          <w:szCs w:val="21"/>
          <w:highlight w:val="none"/>
        </w:rPr>
      </w:pPr>
      <w:r>
        <w:rPr>
          <w:rFonts w:ascii="宋体" w:hAnsi="宋体"/>
          <w:color w:val="000000"/>
          <w:szCs w:val="21"/>
          <w:highlight w:val="none"/>
        </w:rPr>
        <w:t>（5）为完成工程需要追加的额外工作；</w:t>
      </w:r>
    </w:p>
    <w:p w14:paraId="1A1001A4">
      <w:pPr>
        <w:spacing w:line="360" w:lineRule="auto"/>
        <w:ind w:firstLine="420" w:firstLineChars="200"/>
        <w:rPr>
          <w:rFonts w:ascii="宋体" w:hAnsi="宋体"/>
          <w:color w:val="000000"/>
          <w:szCs w:val="21"/>
          <w:highlight w:val="none"/>
        </w:rPr>
      </w:pPr>
      <w:r>
        <w:rPr>
          <w:rFonts w:ascii="宋体" w:hAnsi="宋体"/>
          <w:color w:val="000000"/>
          <w:szCs w:val="21"/>
          <w:highlight w:val="none"/>
        </w:rPr>
        <w:t>（6）变更的其他情形见合同条款专用部分。</w:t>
      </w:r>
    </w:p>
    <w:p w14:paraId="731BC1DF">
      <w:pPr>
        <w:spacing w:line="360" w:lineRule="auto"/>
        <w:ind w:firstLine="420" w:firstLineChars="200"/>
        <w:rPr>
          <w:rFonts w:ascii="宋体" w:hAnsi="宋体"/>
          <w:color w:val="000000"/>
          <w:szCs w:val="21"/>
          <w:highlight w:val="none"/>
        </w:rPr>
      </w:pPr>
      <w:r>
        <w:rPr>
          <w:rFonts w:ascii="宋体" w:hAnsi="宋体"/>
          <w:color w:val="000000"/>
          <w:szCs w:val="21"/>
          <w:highlight w:val="none"/>
        </w:rPr>
        <w:t>15.1.2 发包人违背第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天内仍不纠正违约行为的，应当赔偿承包人损失（包括合理的利润）并承担由此引起的其他责任。承包人应当按第 23.1（1）项的约定，在上述28天期限到期后的28天内，向监理人递交索赔意向通知书,并按第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AE98B4A">
      <w:pPr>
        <w:spacing w:line="360" w:lineRule="auto"/>
        <w:rPr>
          <w:rFonts w:ascii="宋体" w:hAnsi="宋体"/>
          <w:color w:val="000000"/>
          <w:sz w:val="24"/>
          <w:highlight w:val="none"/>
        </w:rPr>
      </w:pPr>
      <w:bookmarkStart w:id="656" w:name="_bookmark190"/>
      <w:bookmarkEnd w:id="656"/>
      <w:r>
        <w:rPr>
          <w:rFonts w:hint="eastAsia" w:ascii="宋体" w:hAnsi="宋体"/>
          <w:color w:val="000000"/>
          <w:sz w:val="24"/>
          <w:highlight w:val="none"/>
        </w:rPr>
        <w:t xml:space="preserve">15.2  </w:t>
      </w:r>
      <w:r>
        <w:rPr>
          <w:rFonts w:ascii="宋体" w:hAnsi="宋体"/>
          <w:color w:val="000000"/>
          <w:sz w:val="24"/>
          <w:highlight w:val="none"/>
        </w:rPr>
        <w:t>变更权</w:t>
      </w:r>
    </w:p>
    <w:p w14:paraId="3C91525A">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在履行合同过程中，经发包人同意，监理人可按第 15.3 款约定的变更程序向承包人作出变更指示，承包人应遵照执行。没有监理人的变更指示，承包人不得擅自变更。</w:t>
      </w:r>
    </w:p>
    <w:p w14:paraId="2E111093">
      <w:pPr>
        <w:numPr>
          <w:ilvl w:val="1"/>
          <w:numId w:val="78"/>
        </w:numPr>
        <w:spacing w:line="360" w:lineRule="auto"/>
        <w:rPr>
          <w:rFonts w:ascii="宋体" w:hAnsi="宋体"/>
          <w:color w:val="000000"/>
          <w:sz w:val="24"/>
          <w:highlight w:val="none"/>
        </w:rPr>
      </w:pPr>
      <w:bookmarkStart w:id="657" w:name="_bookmark191"/>
      <w:bookmarkEnd w:id="657"/>
      <w:r>
        <w:rPr>
          <w:rFonts w:hint="eastAsia" w:ascii="宋体" w:hAnsi="宋体"/>
          <w:color w:val="000000"/>
          <w:sz w:val="24"/>
          <w:highlight w:val="none"/>
        </w:rPr>
        <w:t xml:space="preserve"> </w:t>
      </w:r>
      <w:r>
        <w:rPr>
          <w:rFonts w:ascii="宋体" w:hAnsi="宋体"/>
          <w:color w:val="000000"/>
          <w:sz w:val="24"/>
          <w:highlight w:val="none"/>
        </w:rPr>
        <w:t>变更程序</w:t>
      </w:r>
    </w:p>
    <w:p w14:paraId="5FB5B4F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15.3.1</w:t>
      </w:r>
      <w:r>
        <w:rPr>
          <w:rFonts w:ascii="宋体" w:hAnsi="宋体"/>
          <w:color w:val="000000"/>
          <w:szCs w:val="21"/>
          <w:highlight w:val="none"/>
        </w:rPr>
        <w:t>变更的提出</w:t>
      </w:r>
    </w:p>
    <w:p w14:paraId="58ED22BA">
      <w:pPr>
        <w:spacing w:line="360" w:lineRule="auto"/>
        <w:ind w:firstLine="420" w:firstLineChars="200"/>
        <w:rPr>
          <w:rFonts w:ascii="宋体" w:hAnsi="宋体"/>
          <w:color w:val="000000"/>
          <w:szCs w:val="21"/>
          <w:highlight w:val="none"/>
        </w:rPr>
      </w:pPr>
      <w:r>
        <w:rPr>
          <w:rFonts w:ascii="宋体" w:hAnsi="宋体"/>
          <w:color w:val="000000"/>
          <w:szCs w:val="21"/>
          <w:highlight w:val="none"/>
        </w:rPr>
        <w:t>（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1C5A2B17">
      <w:pPr>
        <w:spacing w:line="360" w:lineRule="auto"/>
        <w:ind w:firstLine="420" w:firstLineChars="200"/>
        <w:rPr>
          <w:rFonts w:ascii="宋体" w:hAnsi="宋体"/>
          <w:color w:val="000000"/>
          <w:szCs w:val="21"/>
          <w:highlight w:val="none"/>
        </w:rPr>
      </w:pPr>
      <w:r>
        <w:rPr>
          <w:rFonts w:ascii="宋体" w:hAnsi="宋体"/>
          <w:color w:val="000000"/>
          <w:szCs w:val="21"/>
          <w:highlight w:val="none"/>
        </w:rPr>
        <w:t>（2）在合同履行过程中，发生第 15.1.1 项约定情形的，监理人应按照第 15.3.3 项约定 向承包人发出变更指示。</w:t>
      </w:r>
    </w:p>
    <w:p w14:paraId="4A33CBF3">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p>
    <w:p w14:paraId="402404C4">
      <w:pPr>
        <w:spacing w:line="360" w:lineRule="auto"/>
        <w:ind w:firstLine="420" w:firstLineChars="200"/>
        <w:rPr>
          <w:rFonts w:ascii="宋体" w:hAnsi="宋体"/>
          <w:color w:val="000000"/>
          <w:szCs w:val="21"/>
          <w:highlight w:val="none"/>
        </w:rPr>
      </w:pPr>
      <w:r>
        <w:rPr>
          <w:rFonts w:ascii="宋体" w:hAnsi="宋体"/>
          <w:color w:val="000000"/>
          <w:szCs w:val="21"/>
          <w:highlight w:val="none"/>
        </w:rPr>
        <w:t>（4）若承包人收到监理人的变更意向书后认为难以实施此项变更，应立即通知监理人，说明原因并附详细依据。监理人与承包人和发包人协商后确定撤销、改变或不改变原变更意向书。</w:t>
      </w:r>
    </w:p>
    <w:p w14:paraId="40D7A4B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15.3.2  </w:t>
      </w:r>
      <w:r>
        <w:rPr>
          <w:rFonts w:ascii="宋体" w:hAnsi="宋体"/>
          <w:color w:val="000000"/>
          <w:szCs w:val="21"/>
          <w:highlight w:val="none"/>
        </w:rPr>
        <w:t>变更估价</w:t>
      </w:r>
    </w:p>
    <w:p w14:paraId="2BD73F06">
      <w:pPr>
        <w:spacing w:line="360" w:lineRule="auto"/>
        <w:ind w:firstLine="420" w:firstLineChars="200"/>
        <w:rPr>
          <w:rFonts w:ascii="宋体" w:hAnsi="宋体"/>
          <w:color w:val="000000"/>
          <w:szCs w:val="21"/>
          <w:highlight w:val="none"/>
        </w:rPr>
      </w:pPr>
      <w:r>
        <w:rPr>
          <w:rFonts w:ascii="宋体" w:hAnsi="宋体"/>
          <w:color w:val="000000"/>
          <w:szCs w:val="21"/>
          <w:highlight w:val="none"/>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款约定的估价原则，详细开列变更工作的价格组成及其依据，并附必要的施工方法说明和有关图纸。承包人提交变更报价书的期限见合同条款专用部分。</w:t>
      </w:r>
    </w:p>
    <w:p w14:paraId="7B999FA5">
      <w:pPr>
        <w:spacing w:line="360" w:lineRule="auto"/>
        <w:ind w:firstLine="420" w:firstLineChars="200"/>
        <w:rPr>
          <w:rFonts w:ascii="宋体" w:hAnsi="宋体"/>
          <w:color w:val="000000"/>
          <w:szCs w:val="21"/>
          <w:highlight w:val="none"/>
        </w:rPr>
      </w:pPr>
      <w:r>
        <w:rPr>
          <w:rFonts w:ascii="宋体" w:hAnsi="宋体"/>
          <w:color w:val="000000"/>
          <w:szCs w:val="21"/>
          <w:highlight w:val="none"/>
        </w:rPr>
        <w:t>（2）变更工作影响工期的，承包人应提出调整工期的具体细节。监理人认为有必要时，可要求承包人提交要求提前或延长工期的施工进度计划，及相应施工措施等详细资料。</w:t>
      </w:r>
    </w:p>
    <w:p w14:paraId="4F8E6E4F">
      <w:pPr>
        <w:spacing w:line="360" w:lineRule="auto"/>
        <w:ind w:firstLine="420" w:firstLineChars="200"/>
        <w:rPr>
          <w:rFonts w:ascii="宋体" w:hAnsi="宋体"/>
          <w:color w:val="000000"/>
          <w:szCs w:val="21"/>
          <w:highlight w:val="none"/>
        </w:rPr>
      </w:pPr>
      <w:r>
        <w:rPr>
          <w:rFonts w:ascii="宋体" w:hAnsi="宋体"/>
          <w:color w:val="000000"/>
          <w:szCs w:val="21"/>
          <w:highlight w:val="none"/>
        </w:rPr>
        <w:t>（3）除合同条款专用部分对期限另有约定外，监理人收到承包人变更报价书后的14天内，根据第 15.4 款约定的估价原则，按照第 3.5 款商定或确定变更价格。监理人商定或确定变更价格的期限见合同条款专用部分。</w:t>
      </w:r>
    </w:p>
    <w:p w14:paraId="262A9FCC">
      <w:pPr>
        <w:spacing w:line="360" w:lineRule="auto"/>
        <w:ind w:firstLine="420" w:firstLineChars="200"/>
        <w:rPr>
          <w:rFonts w:ascii="宋体" w:hAnsi="宋体"/>
          <w:color w:val="000000"/>
          <w:szCs w:val="21"/>
          <w:highlight w:val="none"/>
        </w:rPr>
      </w:pPr>
      <w:r>
        <w:rPr>
          <w:rFonts w:ascii="宋体" w:hAnsi="宋体"/>
          <w:color w:val="000000"/>
          <w:szCs w:val="21"/>
          <w:highlight w:val="none"/>
        </w:rPr>
        <w:t>（4）收到变更指示后，如承包人未在规定的期限内提交变更报价书的，监理人可自行决定是否调整合同价款以及如果监理人决定调整合同价款时，相应调整的具体金额。</w:t>
      </w:r>
    </w:p>
    <w:p w14:paraId="4C41197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15.3.3  </w:t>
      </w:r>
      <w:r>
        <w:rPr>
          <w:rFonts w:ascii="宋体" w:hAnsi="宋体"/>
          <w:color w:val="000000"/>
          <w:szCs w:val="21"/>
          <w:highlight w:val="none"/>
        </w:rPr>
        <w:t>变更指示</w:t>
      </w:r>
    </w:p>
    <w:p w14:paraId="7879F710">
      <w:pPr>
        <w:spacing w:line="360" w:lineRule="auto"/>
        <w:ind w:firstLine="420" w:firstLineChars="200"/>
        <w:rPr>
          <w:rFonts w:ascii="宋体" w:hAnsi="宋体"/>
          <w:color w:val="000000"/>
          <w:szCs w:val="21"/>
          <w:highlight w:val="none"/>
        </w:rPr>
      </w:pPr>
      <w:r>
        <w:rPr>
          <w:rFonts w:ascii="宋体" w:hAnsi="宋体"/>
          <w:color w:val="000000"/>
          <w:szCs w:val="21"/>
          <w:highlight w:val="none"/>
        </w:rPr>
        <w:t>（1）变更指示只能由监理人发出。</w:t>
      </w:r>
    </w:p>
    <w:p w14:paraId="7A081A0B">
      <w:pPr>
        <w:spacing w:line="360" w:lineRule="auto"/>
        <w:ind w:firstLine="420" w:firstLineChars="200"/>
        <w:rPr>
          <w:rFonts w:ascii="宋体" w:hAnsi="宋体"/>
          <w:color w:val="000000"/>
          <w:szCs w:val="21"/>
          <w:highlight w:val="none"/>
        </w:rPr>
      </w:pPr>
      <w:r>
        <w:rPr>
          <w:rFonts w:ascii="宋体" w:hAnsi="宋体"/>
          <w:color w:val="000000"/>
          <w:szCs w:val="21"/>
          <w:highlight w:val="none"/>
        </w:rPr>
        <w:t>（2）变更指示应说明变更的目的、范围、变更内容以及变更的工程量及其进度和技术要求，并附有关图纸和文件。承包人收到变更指示后，应按变更指示进行变更工作。</w:t>
      </w:r>
    </w:p>
    <w:p w14:paraId="23DC144E">
      <w:pPr>
        <w:spacing w:line="360" w:lineRule="auto"/>
        <w:rPr>
          <w:rFonts w:ascii="宋体" w:hAnsi="宋体"/>
          <w:color w:val="000000"/>
          <w:sz w:val="24"/>
          <w:highlight w:val="none"/>
        </w:rPr>
      </w:pPr>
      <w:bookmarkStart w:id="658" w:name="_bookmark192"/>
      <w:bookmarkEnd w:id="658"/>
      <w:r>
        <w:rPr>
          <w:rFonts w:ascii="宋体" w:hAnsi="宋体"/>
          <w:color w:val="000000"/>
          <w:sz w:val="24"/>
          <w:highlight w:val="none"/>
        </w:rPr>
        <w:t>15.4</w:t>
      </w:r>
      <w:r>
        <w:rPr>
          <w:rFonts w:ascii="宋体" w:hAnsi="宋体"/>
          <w:color w:val="000000"/>
          <w:sz w:val="24"/>
          <w:highlight w:val="none"/>
        </w:rPr>
        <w:tab/>
      </w:r>
      <w:r>
        <w:rPr>
          <w:rFonts w:ascii="宋体" w:hAnsi="宋体"/>
          <w:color w:val="000000"/>
          <w:sz w:val="24"/>
          <w:highlight w:val="none"/>
        </w:rPr>
        <w:t>变更的估价原则</w:t>
      </w:r>
    </w:p>
    <w:p w14:paraId="4D03B500">
      <w:pPr>
        <w:spacing w:line="360" w:lineRule="auto"/>
        <w:ind w:firstLine="420" w:firstLineChars="200"/>
        <w:rPr>
          <w:rFonts w:ascii="宋体" w:hAnsi="宋体"/>
          <w:color w:val="000000"/>
          <w:szCs w:val="21"/>
          <w:highlight w:val="none"/>
        </w:rPr>
      </w:pPr>
      <w:r>
        <w:rPr>
          <w:rFonts w:ascii="宋体" w:hAnsi="宋体"/>
          <w:color w:val="000000"/>
          <w:szCs w:val="21"/>
          <w:highlight w:val="none"/>
        </w:rPr>
        <w:t>因工程量清单漏项（仅适用于合同协议书约定采用单价合同形式时）或变更引起的价格调整按照本款约定处理。</w:t>
      </w:r>
    </w:p>
    <w:p w14:paraId="2243917A">
      <w:pPr>
        <w:spacing w:line="360" w:lineRule="auto"/>
        <w:ind w:firstLine="420" w:firstLineChars="200"/>
        <w:rPr>
          <w:rFonts w:ascii="宋体" w:hAnsi="宋体"/>
          <w:color w:val="000000"/>
          <w:szCs w:val="21"/>
          <w:highlight w:val="none"/>
        </w:rPr>
      </w:pPr>
      <w:r>
        <w:rPr>
          <w:rFonts w:ascii="宋体" w:hAnsi="宋体"/>
          <w:color w:val="000000"/>
          <w:szCs w:val="21"/>
          <w:highlight w:val="none"/>
        </w:rPr>
        <w:t>15.4.1</w:t>
      </w:r>
      <w:r>
        <w:rPr>
          <w:rFonts w:ascii="宋体" w:hAnsi="宋体"/>
          <w:color w:val="000000"/>
          <w:szCs w:val="21"/>
          <w:highlight w:val="none"/>
        </w:rPr>
        <w:tab/>
      </w:r>
      <w:r>
        <w:rPr>
          <w:rFonts w:ascii="宋体" w:hAnsi="宋体"/>
          <w:color w:val="000000"/>
          <w:szCs w:val="21"/>
          <w:highlight w:val="none"/>
        </w:rPr>
        <w:t>已标价工程量清单中有适用于变更工作的子目的，采用该子目的单价。</w:t>
      </w:r>
    </w:p>
    <w:p w14:paraId="1530ABF2">
      <w:pPr>
        <w:spacing w:line="360" w:lineRule="auto"/>
        <w:ind w:firstLine="420" w:firstLineChars="200"/>
        <w:rPr>
          <w:rFonts w:ascii="宋体" w:hAnsi="宋体"/>
          <w:color w:val="000000"/>
          <w:szCs w:val="21"/>
          <w:highlight w:val="none"/>
        </w:rPr>
      </w:pPr>
      <w:r>
        <w:rPr>
          <w:rFonts w:ascii="宋体" w:hAnsi="宋体"/>
          <w:color w:val="000000"/>
          <w:szCs w:val="21"/>
          <w:highlight w:val="none"/>
        </w:rPr>
        <w:t>15.4.2</w:t>
      </w:r>
      <w:r>
        <w:rPr>
          <w:rFonts w:ascii="宋体" w:hAnsi="宋体"/>
          <w:color w:val="000000"/>
          <w:szCs w:val="21"/>
          <w:highlight w:val="none"/>
        </w:rPr>
        <w:tab/>
      </w:r>
      <w:r>
        <w:rPr>
          <w:rFonts w:ascii="宋体" w:hAnsi="宋体"/>
          <w:color w:val="000000"/>
          <w:szCs w:val="21"/>
          <w:highlight w:val="none"/>
        </w:rPr>
        <w:t>已标价工程量清单中无适用于变更工作的子目，但有类似子目的，可在合理范围内参照类似子目的单价，由监理人按第 3.5 款商定或确定变更工作的单价。</w:t>
      </w:r>
    </w:p>
    <w:p w14:paraId="0741265A">
      <w:pPr>
        <w:spacing w:line="360" w:lineRule="auto"/>
        <w:ind w:firstLine="420" w:firstLineChars="200"/>
        <w:rPr>
          <w:rFonts w:ascii="宋体" w:hAnsi="宋体"/>
          <w:color w:val="000000"/>
          <w:szCs w:val="21"/>
          <w:highlight w:val="none"/>
        </w:rPr>
      </w:pPr>
      <w:r>
        <w:rPr>
          <w:rFonts w:ascii="宋体" w:hAnsi="宋体"/>
          <w:color w:val="000000"/>
          <w:szCs w:val="21"/>
          <w:highlight w:val="none"/>
        </w:rPr>
        <w:t>15.4.3</w:t>
      </w:r>
      <w:r>
        <w:rPr>
          <w:rFonts w:ascii="宋体" w:hAnsi="宋体"/>
          <w:color w:val="000000"/>
          <w:szCs w:val="21"/>
          <w:highlight w:val="none"/>
        </w:rPr>
        <w:tab/>
      </w:r>
      <w:r>
        <w:rPr>
          <w:rFonts w:ascii="宋体" w:hAnsi="宋体"/>
          <w:color w:val="000000"/>
          <w:szCs w:val="21"/>
          <w:highlight w:val="none"/>
        </w:rPr>
        <w:t>已标价工程量清单中无适用或类似子目的单价，可按照成本加利润的原则，由监理人按第 3.5 款商定或确定变更工作的单价。</w:t>
      </w:r>
    </w:p>
    <w:p w14:paraId="69691074">
      <w:pPr>
        <w:spacing w:line="360" w:lineRule="auto"/>
        <w:ind w:firstLine="420" w:firstLineChars="200"/>
        <w:rPr>
          <w:rFonts w:ascii="宋体" w:hAnsi="宋体"/>
          <w:color w:val="000000"/>
          <w:szCs w:val="21"/>
          <w:highlight w:val="none"/>
        </w:rPr>
      </w:pPr>
      <w:r>
        <w:rPr>
          <w:rFonts w:ascii="宋体" w:hAnsi="宋体"/>
          <w:color w:val="000000"/>
          <w:szCs w:val="21"/>
          <w:highlight w:val="none"/>
        </w:rPr>
        <w:t>15.4.4</w:t>
      </w:r>
      <w:r>
        <w:rPr>
          <w:rFonts w:ascii="宋体" w:hAnsi="宋体"/>
          <w:color w:val="000000"/>
          <w:szCs w:val="21"/>
          <w:highlight w:val="none"/>
        </w:rPr>
        <w:tab/>
      </w:r>
      <w:r>
        <w:rPr>
          <w:rFonts w:ascii="宋体" w:hAnsi="宋体"/>
          <w:color w:val="000000"/>
          <w:szCs w:val="21"/>
          <w:highlight w:val="none"/>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w:t>
      </w:r>
    </w:p>
    <w:p w14:paraId="7EA91019">
      <w:pPr>
        <w:spacing w:line="360" w:lineRule="auto"/>
        <w:ind w:firstLine="420" w:firstLineChars="200"/>
        <w:rPr>
          <w:rFonts w:ascii="宋体" w:hAnsi="宋体"/>
          <w:color w:val="000000"/>
          <w:szCs w:val="21"/>
          <w:highlight w:val="none"/>
        </w:rPr>
      </w:pPr>
      <w:r>
        <w:rPr>
          <w:rFonts w:ascii="宋体" w:hAnsi="宋体"/>
          <w:color w:val="000000"/>
          <w:szCs w:val="21"/>
          <w:highlight w:val="none"/>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36DB86BE">
      <w:pPr>
        <w:spacing w:line="360" w:lineRule="auto"/>
        <w:ind w:firstLine="420" w:firstLineChars="200"/>
        <w:rPr>
          <w:rFonts w:ascii="宋体" w:hAnsi="宋体"/>
          <w:color w:val="000000"/>
          <w:szCs w:val="21"/>
          <w:highlight w:val="none"/>
        </w:rPr>
      </w:pPr>
      <w:r>
        <w:rPr>
          <w:rFonts w:ascii="宋体" w:hAnsi="宋体"/>
          <w:color w:val="000000"/>
          <w:szCs w:val="21"/>
          <w:highlight w:val="none"/>
        </w:rPr>
        <w:t>15.4.6</w:t>
      </w:r>
      <w:r>
        <w:rPr>
          <w:rFonts w:ascii="宋体" w:hAnsi="宋体"/>
          <w:color w:val="000000"/>
          <w:szCs w:val="21"/>
          <w:highlight w:val="none"/>
        </w:rPr>
        <w:tab/>
      </w:r>
      <w:r>
        <w:rPr>
          <w:rFonts w:ascii="宋体" w:hAnsi="宋体"/>
          <w:color w:val="000000"/>
          <w:szCs w:val="21"/>
          <w:highlight w:val="none"/>
        </w:rPr>
        <w:t>因变更引起价格调整的其他处理方式见合同条款专用部分。</w:t>
      </w:r>
    </w:p>
    <w:p w14:paraId="1ECD0403">
      <w:pPr>
        <w:spacing w:line="360" w:lineRule="auto"/>
        <w:rPr>
          <w:rFonts w:ascii="宋体" w:hAnsi="宋体"/>
          <w:color w:val="000000"/>
          <w:sz w:val="24"/>
          <w:highlight w:val="none"/>
        </w:rPr>
      </w:pPr>
      <w:bookmarkStart w:id="659" w:name="_bookmark193"/>
      <w:bookmarkEnd w:id="659"/>
      <w:r>
        <w:rPr>
          <w:rFonts w:ascii="宋体" w:hAnsi="宋体"/>
          <w:color w:val="000000"/>
          <w:sz w:val="24"/>
          <w:highlight w:val="none"/>
        </w:rPr>
        <w:t>15.5</w:t>
      </w:r>
      <w:r>
        <w:rPr>
          <w:rFonts w:ascii="宋体" w:hAnsi="宋体"/>
          <w:color w:val="000000"/>
          <w:sz w:val="24"/>
          <w:highlight w:val="none"/>
        </w:rPr>
        <w:tab/>
      </w:r>
      <w:r>
        <w:rPr>
          <w:rFonts w:ascii="宋体" w:hAnsi="宋体"/>
          <w:color w:val="000000"/>
          <w:sz w:val="24"/>
          <w:highlight w:val="none"/>
        </w:rPr>
        <w:t>承包人的合理化建议</w:t>
      </w:r>
    </w:p>
    <w:p w14:paraId="3A1FAA87">
      <w:pPr>
        <w:spacing w:line="360" w:lineRule="auto"/>
        <w:ind w:firstLine="420" w:firstLineChars="200"/>
        <w:rPr>
          <w:rFonts w:ascii="宋体" w:hAnsi="宋体"/>
          <w:color w:val="000000"/>
          <w:szCs w:val="21"/>
          <w:highlight w:val="none"/>
        </w:rPr>
      </w:pPr>
      <w:r>
        <w:rPr>
          <w:rFonts w:ascii="宋体" w:hAnsi="宋体"/>
          <w:color w:val="000000"/>
          <w:szCs w:val="21"/>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 项约定向承包人发出变更指示。</w:t>
      </w:r>
    </w:p>
    <w:p w14:paraId="6BDDC2CD">
      <w:pPr>
        <w:spacing w:line="360" w:lineRule="auto"/>
        <w:ind w:firstLine="420" w:firstLineChars="200"/>
        <w:rPr>
          <w:rFonts w:ascii="宋体" w:hAnsi="宋体"/>
          <w:color w:val="000000"/>
          <w:szCs w:val="21"/>
          <w:highlight w:val="none"/>
        </w:rPr>
      </w:pPr>
      <w:r>
        <w:rPr>
          <w:rFonts w:ascii="宋体" w:hAnsi="宋体"/>
          <w:color w:val="000000"/>
          <w:szCs w:val="21"/>
          <w:highlight w:val="none"/>
        </w:rPr>
        <w:t>15.5.2 承包人提出的合理化建议降低了合同价格、缩短了工期或者提高了工程经济效益的，发包人可按国家有关规定给予奖励。对承包人提出合理化建议的奖励方法见合同条款专用部分。</w:t>
      </w:r>
    </w:p>
    <w:p w14:paraId="3587106F">
      <w:pPr>
        <w:numPr>
          <w:ilvl w:val="1"/>
          <w:numId w:val="79"/>
        </w:numPr>
        <w:spacing w:line="360" w:lineRule="auto"/>
        <w:rPr>
          <w:rFonts w:ascii="宋体" w:hAnsi="宋体"/>
          <w:color w:val="000000"/>
          <w:sz w:val="24"/>
          <w:highlight w:val="none"/>
        </w:rPr>
      </w:pPr>
      <w:bookmarkStart w:id="660" w:name="_bookmark194"/>
      <w:bookmarkEnd w:id="660"/>
      <w:r>
        <w:rPr>
          <w:rFonts w:hint="eastAsia" w:ascii="宋体" w:hAnsi="宋体"/>
          <w:color w:val="000000"/>
          <w:sz w:val="24"/>
          <w:highlight w:val="none"/>
        </w:rPr>
        <w:t xml:space="preserve"> </w:t>
      </w:r>
      <w:r>
        <w:rPr>
          <w:rFonts w:ascii="宋体" w:hAnsi="宋体"/>
          <w:color w:val="000000"/>
          <w:sz w:val="24"/>
          <w:highlight w:val="none"/>
        </w:rPr>
        <w:t>暂列金额</w:t>
      </w:r>
    </w:p>
    <w:p w14:paraId="198E43C6">
      <w:pPr>
        <w:spacing w:line="360" w:lineRule="auto"/>
        <w:ind w:firstLine="420" w:firstLineChars="200"/>
        <w:rPr>
          <w:rFonts w:ascii="宋体" w:hAnsi="宋体"/>
          <w:color w:val="000000"/>
          <w:szCs w:val="21"/>
          <w:highlight w:val="none"/>
        </w:rPr>
      </w:pPr>
      <w:r>
        <w:rPr>
          <w:rFonts w:ascii="宋体" w:hAnsi="宋体"/>
          <w:color w:val="000000"/>
          <w:szCs w:val="21"/>
          <w:highlight w:val="none"/>
        </w:rPr>
        <w:t>暂列金额只能按照监理人的指示使用，并对合同价格进行相应调整。</w:t>
      </w:r>
    </w:p>
    <w:p w14:paraId="01CAC76B">
      <w:pPr>
        <w:numPr>
          <w:ilvl w:val="1"/>
          <w:numId w:val="79"/>
        </w:numPr>
        <w:spacing w:line="360" w:lineRule="auto"/>
        <w:rPr>
          <w:rFonts w:ascii="宋体" w:hAnsi="宋体"/>
          <w:color w:val="000000"/>
          <w:sz w:val="24"/>
          <w:highlight w:val="none"/>
        </w:rPr>
      </w:pPr>
      <w:bookmarkStart w:id="661" w:name="_bookmark195"/>
      <w:bookmarkEnd w:id="661"/>
      <w:r>
        <w:rPr>
          <w:rFonts w:ascii="宋体" w:hAnsi="宋体"/>
          <w:color w:val="000000"/>
          <w:sz w:val="24"/>
          <w:highlight w:val="none"/>
        </w:rPr>
        <w:t>计日工</w:t>
      </w:r>
    </w:p>
    <w:p w14:paraId="5B510818">
      <w:pPr>
        <w:spacing w:line="360" w:lineRule="auto"/>
        <w:ind w:firstLine="420" w:firstLineChars="200"/>
        <w:rPr>
          <w:rFonts w:ascii="宋体" w:hAnsi="宋体"/>
          <w:color w:val="000000"/>
          <w:szCs w:val="21"/>
          <w:highlight w:val="none"/>
        </w:rPr>
      </w:pPr>
      <w:r>
        <w:rPr>
          <w:rFonts w:ascii="宋体" w:hAnsi="宋体"/>
          <w:color w:val="000000"/>
          <w:szCs w:val="21"/>
          <w:highlight w:val="none"/>
        </w:rPr>
        <w:t>15.7.1</w:t>
      </w:r>
      <w:r>
        <w:rPr>
          <w:rFonts w:ascii="宋体" w:hAnsi="宋体"/>
          <w:color w:val="000000"/>
          <w:szCs w:val="21"/>
          <w:highlight w:val="none"/>
        </w:rPr>
        <w:tab/>
      </w:r>
      <w:r>
        <w:rPr>
          <w:rFonts w:ascii="宋体" w:hAnsi="宋体"/>
          <w:color w:val="000000"/>
          <w:szCs w:val="21"/>
          <w:highlight w:val="none"/>
        </w:rPr>
        <w:t>发包人认为有必要时，由监理人通知承包人以计日工方式实施变更的零星工作。其价款按列入已标价工程量清单中的计日工计价子目及其单价进行计算。</w:t>
      </w:r>
    </w:p>
    <w:p w14:paraId="4EB071B6">
      <w:pPr>
        <w:spacing w:line="360" w:lineRule="auto"/>
        <w:ind w:firstLine="420" w:firstLineChars="200"/>
        <w:rPr>
          <w:rFonts w:ascii="宋体" w:hAnsi="宋体"/>
          <w:color w:val="000000"/>
          <w:szCs w:val="21"/>
          <w:highlight w:val="none"/>
        </w:rPr>
      </w:pPr>
      <w:r>
        <w:rPr>
          <w:rFonts w:ascii="宋体" w:hAnsi="宋体"/>
          <w:color w:val="000000"/>
          <w:szCs w:val="21"/>
          <w:highlight w:val="none"/>
        </w:rPr>
        <w:t>15.7.2 采用计日工计价的任何一项变更工作，应从暂列金额中支付，承包人应在该项变更的实施过程中，每天提交以下报表和有关凭证报送监理人审批：</w:t>
      </w:r>
    </w:p>
    <w:p w14:paraId="620740A9">
      <w:pPr>
        <w:spacing w:line="360" w:lineRule="auto"/>
        <w:ind w:firstLine="420" w:firstLineChars="200"/>
        <w:rPr>
          <w:rFonts w:ascii="宋体" w:hAnsi="宋体"/>
          <w:color w:val="000000"/>
          <w:szCs w:val="21"/>
          <w:highlight w:val="none"/>
        </w:rPr>
      </w:pPr>
      <w:r>
        <w:rPr>
          <w:rFonts w:ascii="宋体" w:hAnsi="宋体"/>
          <w:color w:val="000000"/>
          <w:szCs w:val="21"/>
          <w:highlight w:val="none"/>
        </w:rPr>
        <w:t>（1）工作名称、内容和数量；</w:t>
      </w:r>
    </w:p>
    <w:p w14:paraId="4B4882AA">
      <w:pPr>
        <w:spacing w:line="360" w:lineRule="auto"/>
        <w:ind w:firstLine="420" w:firstLineChars="200"/>
        <w:rPr>
          <w:rFonts w:ascii="宋体" w:hAnsi="宋体"/>
          <w:color w:val="000000"/>
          <w:szCs w:val="21"/>
          <w:highlight w:val="none"/>
        </w:rPr>
      </w:pPr>
      <w:r>
        <w:rPr>
          <w:rFonts w:ascii="宋体" w:hAnsi="宋体"/>
          <w:color w:val="000000"/>
          <w:szCs w:val="21"/>
          <w:highlight w:val="none"/>
        </w:rPr>
        <w:t>（2）投入该工作所有人员的姓名、工种、级别和耗用工时；</w:t>
      </w:r>
    </w:p>
    <w:p w14:paraId="37C9837B">
      <w:pPr>
        <w:spacing w:line="360" w:lineRule="auto"/>
        <w:ind w:firstLine="420" w:firstLineChars="200"/>
        <w:rPr>
          <w:rFonts w:ascii="宋体" w:hAnsi="宋体"/>
          <w:color w:val="000000"/>
          <w:szCs w:val="21"/>
          <w:highlight w:val="none"/>
        </w:rPr>
      </w:pPr>
      <w:r>
        <w:rPr>
          <w:rFonts w:ascii="宋体" w:hAnsi="宋体"/>
          <w:color w:val="000000"/>
          <w:szCs w:val="21"/>
          <w:highlight w:val="none"/>
        </w:rPr>
        <w:t>（3）投入该工作的材料类别和数量；</w:t>
      </w:r>
    </w:p>
    <w:p w14:paraId="48C5E9B6">
      <w:pPr>
        <w:spacing w:line="360" w:lineRule="auto"/>
        <w:ind w:firstLine="420" w:firstLineChars="200"/>
        <w:rPr>
          <w:rFonts w:ascii="宋体" w:hAnsi="宋体"/>
          <w:color w:val="000000"/>
          <w:szCs w:val="21"/>
          <w:highlight w:val="none"/>
        </w:rPr>
      </w:pPr>
      <w:r>
        <w:rPr>
          <w:rFonts w:ascii="宋体" w:hAnsi="宋体"/>
          <w:color w:val="000000"/>
          <w:szCs w:val="21"/>
          <w:highlight w:val="none"/>
        </w:rPr>
        <w:t>（4）投入该工作的施工设备型号、台数和耗用台时；</w:t>
      </w:r>
    </w:p>
    <w:p w14:paraId="6BA3D7C3">
      <w:pPr>
        <w:spacing w:line="360" w:lineRule="auto"/>
        <w:ind w:firstLine="420" w:firstLineChars="200"/>
        <w:rPr>
          <w:rFonts w:ascii="宋体" w:hAnsi="宋体"/>
          <w:color w:val="000000"/>
          <w:szCs w:val="21"/>
          <w:highlight w:val="none"/>
        </w:rPr>
      </w:pPr>
      <w:r>
        <w:rPr>
          <w:rFonts w:ascii="宋体" w:hAnsi="宋体"/>
          <w:color w:val="000000"/>
          <w:szCs w:val="21"/>
          <w:highlight w:val="none"/>
        </w:rPr>
        <w:t>（5）监理人要求提交的其他资料和凭证。</w:t>
      </w:r>
    </w:p>
    <w:p w14:paraId="07993C38">
      <w:pPr>
        <w:spacing w:line="360" w:lineRule="auto"/>
        <w:ind w:firstLine="420" w:firstLineChars="200"/>
        <w:rPr>
          <w:rFonts w:ascii="宋体" w:hAnsi="宋体"/>
          <w:color w:val="000000"/>
          <w:szCs w:val="21"/>
          <w:highlight w:val="none"/>
        </w:rPr>
      </w:pPr>
      <w:r>
        <w:rPr>
          <w:rFonts w:ascii="宋体" w:hAnsi="宋体"/>
          <w:color w:val="000000"/>
          <w:szCs w:val="21"/>
          <w:highlight w:val="none"/>
        </w:rPr>
        <w:t>15.7.3 计日工由承包人汇总后，按第 17.3.2 项的约定列入进度付款申请单，由监理人复核并经发包人同意后列入进度付款。</w:t>
      </w:r>
    </w:p>
    <w:p w14:paraId="1CA7E4DF">
      <w:pPr>
        <w:spacing w:line="360" w:lineRule="auto"/>
        <w:rPr>
          <w:rFonts w:ascii="宋体" w:hAnsi="宋体"/>
          <w:color w:val="000000"/>
          <w:sz w:val="24"/>
          <w:highlight w:val="none"/>
        </w:rPr>
      </w:pPr>
      <w:bookmarkStart w:id="662" w:name="_bookmark196"/>
      <w:bookmarkEnd w:id="662"/>
      <w:r>
        <w:rPr>
          <w:rFonts w:hint="eastAsia" w:ascii="宋体" w:hAnsi="宋体"/>
          <w:color w:val="000000"/>
          <w:sz w:val="24"/>
          <w:highlight w:val="none"/>
        </w:rPr>
        <w:t xml:space="preserve">15.8  </w:t>
      </w:r>
      <w:r>
        <w:rPr>
          <w:rFonts w:ascii="宋体" w:hAnsi="宋体"/>
          <w:color w:val="000000"/>
          <w:sz w:val="24"/>
          <w:highlight w:val="none"/>
        </w:rPr>
        <w:t>暂估价</w:t>
      </w:r>
    </w:p>
    <w:p w14:paraId="7003FF26">
      <w:pPr>
        <w:spacing w:line="360" w:lineRule="auto"/>
        <w:ind w:firstLine="420" w:firstLineChars="200"/>
        <w:rPr>
          <w:rFonts w:ascii="宋体" w:hAnsi="宋体"/>
          <w:color w:val="000000"/>
          <w:szCs w:val="21"/>
          <w:highlight w:val="none"/>
        </w:rPr>
      </w:pPr>
      <w:r>
        <w:rPr>
          <w:rFonts w:ascii="宋体" w:hAnsi="宋体"/>
          <w:color w:val="000000"/>
          <w:szCs w:val="21"/>
          <w:highlight w:val="none"/>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14:paraId="64604139">
      <w:pPr>
        <w:spacing w:line="360" w:lineRule="auto"/>
        <w:ind w:firstLine="420" w:firstLineChars="200"/>
        <w:rPr>
          <w:rFonts w:ascii="宋体" w:hAnsi="宋体"/>
          <w:color w:val="000000"/>
          <w:szCs w:val="21"/>
          <w:highlight w:val="none"/>
        </w:rPr>
      </w:pPr>
      <w:r>
        <w:rPr>
          <w:rFonts w:ascii="宋体" w:hAnsi="宋体"/>
          <w:color w:val="000000"/>
          <w:szCs w:val="21"/>
          <w:highlight w:val="none"/>
        </w:rPr>
        <w:t>（1）由承包人作为招标人，依法组织招标工作并接受有管辖权的建设工程招标投标行政监督部门的监督。</w:t>
      </w:r>
    </w:p>
    <w:p w14:paraId="5BB3219D">
      <w:pPr>
        <w:spacing w:line="360" w:lineRule="auto"/>
        <w:ind w:firstLine="420" w:firstLineChars="200"/>
        <w:rPr>
          <w:rFonts w:ascii="宋体" w:hAnsi="宋体"/>
          <w:color w:val="000000"/>
          <w:szCs w:val="21"/>
          <w:highlight w:val="none"/>
        </w:rPr>
      </w:pPr>
      <w:r>
        <w:rPr>
          <w:rFonts w:ascii="宋体" w:hAnsi="宋体"/>
          <w:color w:val="000000"/>
          <w:szCs w:val="21"/>
          <w:highlight w:val="none"/>
        </w:rPr>
        <w:t>（2）与组织招标工作有关的费用应当被认为已经包括在承包人的签约合同价（投标总报价）中。</w:t>
      </w:r>
    </w:p>
    <w:p w14:paraId="021D722F">
      <w:pPr>
        <w:spacing w:line="360" w:lineRule="auto"/>
        <w:ind w:firstLine="420" w:firstLineChars="200"/>
        <w:rPr>
          <w:rFonts w:ascii="宋体" w:hAnsi="宋体"/>
          <w:color w:val="000000"/>
          <w:szCs w:val="21"/>
          <w:highlight w:val="none"/>
        </w:rPr>
      </w:pPr>
      <w:r>
        <w:rPr>
          <w:rFonts w:ascii="宋体" w:hAnsi="宋体"/>
          <w:color w:val="000000"/>
          <w:szCs w:val="21"/>
          <w:highlight w:val="none"/>
        </w:rPr>
        <w:t>（3）中标金额与工程量清单中所列的暂估价的金额差以及相应的税金等其他费用列入合同价格。</w:t>
      </w:r>
    </w:p>
    <w:p w14:paraId="3EB22900">
      <w:pPr>
        <w:spacing w:line="360" w:lineRule="auto"/>
        <w:ind w:firstLine="420" w:firstLineChars="200"/>
        <w:rPr>
          <w:rFonts w:ascii="宋体" w:hAnsi="宋体"/>
          <w:color w:val="000000"/>
          <w:szCs w:val="21"/>
          <w:highlight w:val="none"/>
        </w:rPr>
      </w:pPr>
      <w:r>
        <w:rPr>
          <w:rFonts w:ascii="宋体" w:hAnsi="宋体"/>
          <w:color w:val="000000"/>
          <w:szCs w:val="21"/>
          <w:highlight w:val="none"/>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3DBBA1F">
      <w:pPr>
        <w:spacing w:line="360" w:lineRule="auto"/>
        <w:ind w:firstLine="420" w:firstLineChars="200"/>
        <w:rPr>
          <w:rFonts w:ascii="宋体" w:hAnsi="宋体"/>
          <w:color w:val="000000"/>
          <w:szCs w:val="21"/>
          <w:highlight w:val="none"/>
        </w:rPr>
      </w:pPr>
      <w:r>
        <w:rPr>
          <w:rFonts w:ascii="宋体" w:hAnsi="宋体"/>
          <w:color w:val="000000"/>
          <w:szCs w:val="21"/>
          <w:highlight w:val="none"/>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14:paraId="2F800EEE">
      <w:pPr>
        <w:spacing w:line="360" w:lineRule="auto"/>
        <w:ind w:firstLine="420" w:firstLineChars="200"/>
        <w:rPr>
          <w:rFonts w:ascii="宋体" w:hAnsi="宋体"/>
          <w:color w:val="000000"/>
          <w:szCs w:val="21"/>
          <w:highlight w:val="none"/>
        </w:rPr>
      </w:pPr>
      <w:r>
        <w:rPr>
          <w:rFonts w:ascii="宋体" w:hAnsi="宋体"/>
          <w:color w:val="000000"/>
          <w:szCs w:val="21"/>
          <w:highlight w:val="none"/>
        </w:rPr>
        <w:t>给予批准或者提出修改意见，经发包人批准的相关文件，由承包人负责誊清整理并准备出开 展实际招标工作所需要的份数，通过监理人报发包人核查并加盖发包人印章，发包人在相关 文件上加盖印章只表明相关文件经过发包人审核批准。最终发出的文件应当分别报送一份给 发包人和监理人备查。</w:t>
      </w:r>
    </w:p>
    <w:p w14:paraId="5EC987DE">
      <w:pPr>
        <w:spacing w:line="360" w:lineRule="auto"/>
        <w:ind w:firstLine="420" w:firstLineChars="200"/>
        <w:rPr>
          <w:rFonts w:ascii="宋体" w:hAnsi="宋体"/>
          <w:color w:val="000000"/>
          <w:szCs w:val="21"/>
          <w:highlight w:val="none"/>
        </w:rPr>
      </w:pPr>
      <w:r>
        <w:rPr>
          <w:rFonts w:ascii="宋体" w:hAnsi="宋体"/>
          <w:color w:val="000000"/>
          <w:szCs w:val="21"/>
          <w:highlight w:val="none"/>
        </w:rPr>
        <w:t>（6）如果发、承包任何一方委派评标代表，评标委员会应当由七人以上单数构成。除发包人或者承包人自愿放弃委派评标代表的权利外，招标人评标代表应当分别由发包人和承包人等额委派。</w:t>
      </w:r>
    </w:p>
    <w:p w14:paraId="746E2D75">
      <w:pPr>
        <w:spacing w:line="360" w:lineRule="auto"/>
        <w:ind w:firstLine="420" w:firstLineChars="200"/>
        <w:rPr>
          <w:rFonts w:ascii="宋体" w:hAnsi="宋体"/>
          <w:color w:val="000000"/>
          <w:szCs w:val="21"/>
          <w:highlight w:val="none"/>
        </w:rPr>
      </w:pPr>
      <w:r>
        <w:rPr>
          <w:rFonts w:ascii="宋体" w:hAnsi="宋体"/>
          <w:color w:val="000000"/>
          <w:szCs w:val="21"/>
          <w:highlight w:val="none"/>
        </w:rPr>
        <w:t>（7）设有标底的，承包人应当在开标前提前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41D2CB3A">
      <w:pPr>
        <w:spacing w:line="360" w:lineRule="auto"/>
        <w:ind w:firstLine="420" w:firstLineChars="200"/>
        <w:rPr>
          <w:rFonts w:ascii="宋体" w:hAnsi="宋体"/>
          <w:color w:val="000000"/>
          <w:szCs w:val="21"/>
          <w:highlight w:val="none"/>
        </w:rPr>
      </w:pPr>
      <w:r>
        <w:rPr>
          <w:rFonts w:ascii="宋体" w:hAnsi="宋体"/>
          <w:color w:val="000000"/>
          <w:szCs w:val="21"/>
          <w:highlight w:val="none"/>
        </w:rPr>
        <w:t>（8）设有招标控制价的，承包人应当在招标文件发出前提前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w:t>
      </w:r>
    </w:p>
    <w:p w14:paraId="4ECB554C">
      <w:pPr>
        <w:spacing w:line="360" w:lineRule="auto"/>
        <w:ind w:firstLine="420" w:firstLineChars="200"/>
        <w:rPr>
          <w:rFonts w:ascii="宋体" w:hAnsi="宋体"/>
          <w:color w:val="000000"/>
          <w:szCs w:val="21"/>
          <w:highlight w:val="none"/>
        </w:rPr>
      </w:pPr>
      <w:r>
        <w:rPr>
          <w:rFonts w:ascii="宋体" w:hAnsi="宋体"/>
          <w:color w:val="000000"/>
          <w:szCs w:val="21"/>
          <w:highlight w:val="none"/>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69942DA8">
      <w:pPr>
        <w:spacing w:line="360" w:lineRule="auto"/>
        <w:ind w:firstLine="420" w:firstLineChars="200"/>
        <w:rPr>
          <w:rFonts w:ascii="宋体" w:hAnsi="宋体"/>
          <w:color w:val="000000"/>
          <w:szCs w:val="21"/>
          <w:highlight w:val="none"/>
        </w:rPr>
      </w:pPr>
      <w:r>
        <w:rPr>
          <w:rFonts w:ascii="宋体" w:hAnsi="宋体"/>
          <w:color w:val="000000"/>
          <w:szCs w:val="21"/>
          <w:highlight w:val="none"/>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74A87931">
      <w:pPr>
        <w:spacing w:line="360" w:lineRule="auto"/>
        <w:ind w:firstLine="420" w:firstLineChars="200"/>
        <w:rPr>
          <w:rFonts w:ascii="宋体" w:hAnsi="宋体"/>
          <w:color w:val="000000"/>
          <w:szCs w:val="21"/>
          <w:highlight w:val="none"/>
        </w:rPr>
      </w:pPr>
      <w:r>
        <w:rPr>
          <w:rFonts w:ascii="宋体" w:hAnsi="宋体"/>
          <w:color w:val="000000"/>
          <w:szCs w:val="21"/>
          <w:highlight w:val="none"/>
        </w:rPr>
        <w:t>（11）发包人对承包人报送文件进行审批或提出的修改意见应当合理，并符合现行有关法律法规的规定。</w:t>
      </w:r>
    </w:p>
    <w:p w14:paraId="7E3E53F8">
      <w:pPr>
        <w:spacing w:line="360" w:lineRule="auto"/>
        <w:ind w:firstLine="420" w:firstLineChars="200"/>
        <w:rPr>
          <w:rFonts w:ascii="宋体" w:hAnsi="宋体"/>
          <w:color w:val="000000"/>
          <w:szCs w:val="21"/>
          <w:highlight w:val="none"/>
        </w:rPr>
      </w:pPr>
      <w:r>
        <w:rPr>
          <w:rFonts w:ascii="宋体" w:hAnsi="宋体"/>
          <w:color w:val="000000"/>
          <w:szCs w:val="21"/>
          <w:highlight w:val="none"/>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8284502">
      <w:pPr>
        <w:spacing w:line="360" w:lineRule="auto"/>
        <w:ind w:firstLine="420" w:firstLineChars="200"/>
        <w:rPr>
          <w:rFonts w:ascii="宋体" w:hAnsi="宋体"/>
          <w:color w:val="000000"/>
          <w:szCs w:val="21"/>
          <w:highlight w:val="none"/>
        </w:rPr>
      </w:pPr>
      <w:r>
        <w:rPr>
          <w:rFonts w:ascii="宋体" w:hAnsi="宋体"/>
          <w:color w:val="000000"/>
          <w:szCs w:val="21"/>
          <w:highlight w:val="none"/>
        </w:rPr>
        <w:t>15.8.2</w:t>
      </w:r>
      <w:r>
        <w:rPr>
          <w:rFonts w:ascii="宋体" w:hAnsi="宋体"/>
          <w:color w:val="000000"/>
          <w:szCs w:val="21"/>
          <w:highlight w:val="none"/>
        </w:rPr>
        <w:tab/>
      </w:r>
      <w:r>
        <w:rPr>
          <w:rFonts w:ascii="宋体" w:hAnsi="宋体"/>
          <w:color w:val="000000"/>
          <w:szCs w:val="21"/>
          <w:highlight w:val="none"/>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款的约定提供。经监理人确认的材料、工程设备的价格与工程量清单中所列的暂估价的金额差以及相应的税金等其他费用列入合同价格。</w:t>
      </w:r>
    </w:p>
    <w:p w14:paraId="7BEC3790">
      <w:pPr>
        <w:spacing w:line="360" w:lineRule="auto"/>
        <w:ind w:firstLine="420" w:firstLineChars="200"/>
        <w:rPr>
          <w:rFonts w:ascii="宋体" w:hAnsi="宋体"/>
          <w:color w:val="000000"/>
          <w:szCs w:val="21"/>
          <w:highlight w:val="none"/>
        </w:rPr>
      </w:pPr>
      <w:r>
        <w:rPr>
          <w:rFonts w:ascii="宋体" w:hAnsi="宋体"/>
          <w:color w:val="000000"/>
          <w:szCs w:val="21"/>
          <w:highlight w:val="none"/>
        </w:rPr>
        <w:t>15.8.3</w:t>
      </w:r>
      <w:r>
        <w:rPr>
          <w:rFonts w:ascii="宋体" w:hAnsi="宋体"/>
          <w:color w:val="000000"/>
          <w:szCs w:val="21"/>
          <w:highlight w:val="none"/>
        </w:rPr>
        <w:tab/>
      </w:r>
      <w:r>
        <w:rPr>
          <w:rFonts w:ascii="宋体" w:hAnsi="宋体"/>
          <w:color w:val="000000"/>
          <w:szCs w:val="21"/>
          <w:highlight w:val="none"/>
        </w:rPr>
        <w:t>发包人在工程量清单中给定暂估价的专业工程不属于依法必须招标的范围或未达到规定的规模标准的，由监理人按照第 15.4 款进行估价，但合同条款专用部分另有约定的除外。经估价的专业工程与工程量清单中所列的暂估价的金额差以及相应的税金等其他费用列入合同价格。</w:t>
      </w:r>
    </w:p>
    <w:p w14:paraId="301C8759">
      <w:pPr>
        <w:spacing w:line="360" w:lineRule="auto"/>
        <w:rPr>
          <w:rFonts w:ascii="宋体" w:hAnsi="宋体"/>
          <w:color w:val="000000"/>
          <w:sz w:val="28"/>
          <w:szCs w:val="28"/>
          <w:highlight w:val="none"/>
        </w:rPr>
      </w:pPr>
      <w:bookmarkStart w:id="663" w:name="_bookmark197"/>
      <w:bookmarkEnd w:id="663"/>
      <w:r>
        <w:rPr>
          <w:rFonts w:ascii="宋体" w:hAnsi="宋体"/>
          <w:color w:val="000000"/>
          <w:sz w:val="28"/>
          <w:szCs w:val="28"/>
          <w:highlight w:val="none"/>
        </w:rPr>
        <w:t>16.价格调整</w:t>
      </w:r>
    </w:p>
    <w:p w14:paraId="51813ADF">
      <w:pPr>
        <w:spacing w:line="360" w:lineRule="auto"/>
        <w:rPr>
          <w:rFonts w:ascii="宋体" w:hAnsi="宋体"/>
          <w:color w:val="000000"/>
          <w:sz w:val="24"/>
          <w:highlight w:val="none"/>
        </w:rPr>
      </w:pPr>
      <w:bookmarkStart w:id="664" w:name="_bookmark198"/>
      <w:bookmarkEnd w:id="664"/>
      <w:r>
        <w:rPr>
          <w:rFonts w:ascii="宋体" w:hAnsi="宋体"/>
          <w:color w:val="000000"/>
          <w:sz w:val="24"/>
          <w:highlight w:val="none"/>
        </w:rPr>
        <w:t>16.1</w:t>
      </w:r>
      <w:r>
        <w:rPr>
          <w:rFonts w:ascii="宋体" w:hAnsi="宋体"/>
          <w:color w:val="000000"/>
          <w:sz w:val="24"/>
          <w:highlight w:val="none"/>
        </w:rPr>
        <w:tab/>
      </w:r>
      <w:r>
        <w:rPr>
          <w:rFonts w:ascii="宋体" w:hAnsi="宋体"/>
          <w:color w:val="000000"/>
          <w:sz w:val="24"/>
          <w:highlight w:val="none"/>
        </w:rPr>
        <w:t>物价波动引起的价格调整</w:t>
      </w:r>
    </w:p>
    <w:p w14:paraId="65BC592C">
      <w:pPr>
        <w:spacing w:line="360" w:lineRule="auto"/>
        <w:ind w:left="420" w:leftChars="200"/>
        <w:rPr>
          <w:rFonts w:ascii="宋体" w:hAnsi="宋体"/>
          <w:color w:val="000000"/>
          <w:szCs w:val="21"/>
          <w:highlight w:val="none"/>
        </w:rPr>
      </w:pPr>
      <w:r>
        <w:rPr>
          <w:rFonts w:ascii="宋体" w:hAnsi="宋体"/>
          <w:color w:val="000000"/>
          <w:szCs w:val="21"/>
          <w:highlight w:val="none"/>
        </w:rPr>
        <w:t>除合同条款专用部分另有约定外，因物价波动引起的价格调整按照本款约定处理。 16.1.1 采用价格指数调整价格差额</w:t>
      </w:r>
    </w:p>
    <w:p w14:paraId="05B5D6DD">
      <w:pPr>
        <w:numPr>
          <w:ilvl w:val="3"/>
          <w:numId w:val="80"/>
        </w:numPr>
        <w:spacing w:line="360" w:lineRule="auto"/>
        <w:ind w:left="1080" w:firstLine="420" w:firstLineChars="200"/>
        <w:rPr>
          <w:rFonts w:ascii="宋体" w:hAnsi="宋体"/>
          <w:color w:val="000000"/>
          <w:szCs w:val="21"/>
          <w:highlight w:val="none"/>
        </w:rPr>
      </w:pPr>
      <w:r>
        <w:rPr>
          <w:rFonts w:ascii="宋体" w:hAnsi="宋体"/>
          <w:color w:val="000000"/>
          <w:szCs w:val="21"/>
          <w:highlight w:val="none"/>
        </w:rPr>
        <w:t>价格调整公式 因人工、材料和设备等价格波动影响合同价格时，根据投标函附录中的价格指数和权</w:t>
      </w:r>
    </w:p>
    <w:p w14:paraId="2C0082A6">
      <w:pPr>
        <w:spacing w:line="360" w:lineRule="auto"/>
        <w:ind w:firstLine="420" w:firstLineChars="200"/>
        <w:rPr>
          <w:rFonts w:ascii="宋体" w:hAnsi="宋体"/>
          <w:color w:val="000000"/>
          <w:szCs w:val="21"/>
          <w:highlight w:val="none"/>
        </w:rPr>
      </w:pPr>
      <w:r>
        <w:rPr>
          <w:rFonts w:ascii="宋体" w:hAnsi="宋体"/>
          <w:color w:val="000000"/>
          <w:szCs w:val="21"/>
          <w:highlight w:val="none"/>
        </w:rPr>
        <w:t>重表约定的数据，按以下公式计算差额并调整合同价格。</w:t>
      </w:r>
    </w:p>
    <w:p w14:paraId="2AA0F425">
      <w:pPr>
        <w:spacing w:line="360" w:lineRule="auto"/>
        <w:ind w:firstLine="560" w:firstLineChars="200"/>
        <w:rPr>
          <w:rFonts w:ascii="宋体" w:hAnsi="宋体"/>
          <w:color w:val="000000"/>
          <w:szCs w:val="21"/>
          <w:highlight w:val="none"/>
        </w:rPr>
      </w:pPr>
      <w:r>
        <w:rPr>
          <w:rFonts w:ascii="宋体" w:hAnsi="宋体"/>
          <w:color w:val="000000"/>
          <w:sz w:val="28"/>
          <w:szCs w:val="28"/>
          <w:highlight w:val="none"/>
        </w:rPr>
        <w:t>△P</w:t>
      </w:r>
      <w:r>
        <w:rPr>
          <w:rFonts w:hint="eastAsia" w:ascii="宋体" w:hAnsi="宋体"/>
          <w:color w:val="000000"/>
          <w:sz w:val="24"/>
          <w:highlight w:val="none"/>
        </w:rPr>
        <w:t>=</w:t>
      </w:r>
      <w:r>
        <w:rPr>
          <w:rFonts w:ascii="宋体" w:hAnsi="宋体"/>
          <w:color w:val="000000"/>
          <w:sz w:val="24"/>
          <w:highlight w:val="none"/>
        </w:rPr>
        <w:t xml:space="preserve"> </w:t>
      </w:r>
      <w:r>
        <w:rPr>
          <w:rFonts w:hint="eastAsia" w:ascii="宋体" w:hAnsi="宋体"/>
          <w:color w:val="000000"/>
          <w:sz w:val="32"/>
          <w:szCs w:val="32"/>
          <w:highlight w:val="none"/>
        </w:rPr>
        <w:t>P</w:t>
      </w:r>
      <w:r>
        <w:rPr>
          <w:rFonts w:ascii="宋体" w:hAnsi="宋体"/>
          <w:color w:val="000000"/>
          <w:sz w:val="15"/>
          <w:szCs w:val="15"/>
          <w:highlight w:val="none"/>
        </w:rPr>
        <w:t>0</w:t>
      </w:r>
      <w:r>
        <w:rPr>
          <w:rFonts w:hint="eastAsia" w:ascii="宋体" w:hAnsi="宋体"/>
          <w:color w:val="000000"/>
          <w:sz w:val="72"/>
          <w:szCs w:val="72"/>
          <w:highlight w:val="none"/>
        </w:rPr>
        <w:t>{</w:t>
      </w:r>
      <w:r>
        <w:rPr>
          <w:rFonts w:hint="eastAsia" w:ascii="宋体" w:hAnsi="宋体"/>
          <w:color w:val="000000"/>
          <w:sz w:val="30"/>
          <w:szCs w:val="30"/>
          <w:highlight w:val="none"/>
        </w:rPr>
        <w:t>A+</w:t>
      </w:r>
      <w:r>
        <w:rPr>
          <w:rFonts w:hint="eastAsia" w:ascii="宋体" w:hAnsi="宋体"/>
          <w:color w:val="000000"/>
          <w:sz w:val="36"/>
          <w:szCs w:val="36"/>
          <w:highlight w:val="none"/>
        </w:rPr>
        <w:t>[</w:t>
      </w:r>
      <w:r>
        <w:rPr>
          <w:rFonts w:ascii="宋体" w:hAnsi="宋体"/>
          <w:color w:val="000000"/>
          <w:szCs w:val="21"/>
          <w:highlight w:val="none"/>
        </w:rPr>
        <w:fldChar w:fldCharType="begin"/>
      </w:r>
      <w:r>
        <w:rPr>
          <w:rFonts w:ascii="宋体" w:hAnsi="宋体"/>
          <w:color w:val="000000"/>
          <w:szCs w:val="21"/>
          <w:highlight w:val="none"/>
        </w:rPr>
        <w:instrText xml:space="preserve"> QUOTE </w:instrText>
      </w:r>
      <w:r>
        <w:rPr>
          <w:rFonts w:ascii="宋体" w:hAnsi="宋体"/>
          <w:color w:val="000000"/>
          <w:position w:val="-36"/>
          <w:szCs w:val="21"/>
          <w:highlight w:val="none"/>
        </w:rPr>
        <w:pict>
          <v:shape id="_x0000_i1025" o:spt="75" type="#_x0000_t75" style="height:34.5pt;width:257.25pt;" filled="f" o:preferrelative="t" stroked="f" coordsize="21600,21600" equationxml="&lt;">
            <v:path/>
            <v:fill on="f" focussize="0,0"/>
            <v:stroke on="f" joinstyle="miter"/>
            <v:imagedata r:id="rId49" chromakey="#FFFFFF" o:title=""/>
            <o:lock v:ext="edit" aspectratio="t"/>
            <w10:wrap type="none"/>
            <w10:anchorlock/>
          </v:shape>
        </w:pict>
      </w:r>
      <w:r>
        <w:rPr>
          <w:rFonts w:ascii="宋体" w:hAnsi="宋体"/>
          <w:color w:val="000000"/>
          <w:szCs w:val="21"/>
          <w:highlight w:val="none"/>
        </w:rPr>
        <w:instrText xml:space="preserve"> </w:instrText>
      </w:r>
      <w:r>
        <w:rPr>
          <w:rFonts w:ascii="宋体" w:hAnsi="宋体"/>
          <w:color w:val="000000"/>
          <w:szCs w:val="21"/>
          <w:highlight w:val="none"/>
        </w:rPr>
        <w:fldChar w:fldCharType="separate"/>
      </w:r>
      <w:r>
        <w:rPr>
          <w:rFonts w:ascii="宋体" w:hAnsi="宋体"/>
          <w:color w:val="000000"/>
          <w:position w:val="-36"/>
          <w:szCs w:val="21"/>
          <w:highlight w:val="none"/>
        </w:rPr>
        <w:pict>
          <v:shape id="_x0000_i1026" o:spt="75" type="#_x0000_t75" style="height:34.5pt;width:257.25pt;" filled="f" o:preferrelative="t" stroked="f" coordsize="21600,21600" equationxml="&lt;">
            <v:path/>
            <v:fill on="f" focussize="0,0"/>
            <v:stroke on="f" joinstyle="miter"/>
            <v:imagedata r:id="rId49" chromakey="#FFFFFF" o:title=""/>
            <o:lock v:ext="edit" aspectratio="t"/>
            <w10:wrap type="none"/>
            <w10:anchorlock/>
          </v:shape>
        </w:pict>
      </w:r>
      <w:r>
        <w:rPr>
          <w:rFonts w:ascii="宋体" w:hAnsi="宋体"/>
          <w:color w:val="000000"/>
          <w:szCs w:val="21"/>
          <w:highlight w:val="none"/>
        </w:rPr>
        <w:fldChar w:fldCharType="end"/>
      </w:r>
      <w:r>
        <w:rPr>
          <w:rFonts w:ascii="宋体" w:hAnsi="宋体"/>
          <w:color w:val="000000"/>
          <w:sz w:val="36"/>
          <w:szCs w:val="36"/>
          <w:highlight w:val="none"/>
        </w:rPr>
        <w:fldChar w:fldCharType="begin"/>
      </w:r>
      <w:r>
        <w:rPr>
          <w:rFonts w:ascii="宋体" w:hAnsi="宋体"/>
          <w:color w:val="000000"/>
          <w:sz w:val="36"/>
          <w:szCs w:val="36"/>
          <w:highlight w:val="none"/>
        </w:rPr>
        <w:instrText xml:space="preserve"> QUOTE </w:instrText>
      </w:r>
      <w:r>
        <w:rPr>
          <w:rFonts w:ascii="宋体" w:hAnsi="宋体"/>
          <w:color w:val="000000"/>
          <w:position w:val="-21"/>
          <w:sz w:val="36"/>
          <w:szCs w:val="36"/>
          <w:highlight w:val="none"/>
        </w:rPr>
        <w:pict>
          <v:shape id="_x0000_i1027" o:spt="75" type="#_x0000_t75" style="height:20.25pt;width:86.25pt;" filled="f" o:preferrelative="t" stroked="f" coordsize="21600,21600" equationxml="&lt;">
            <v:path/>
            <v:fill on="f" focussize="0,0"/>
            <v:stroke on="f" joinstyle="miter"/>
            <v:imagedata r:id="rId50" chromakey="#FFFFFF" o:title=""/>
            <o:lock v:ext="edit" aspectratio="t"/>
            <w10:wrap type="none"/>
            <w10:anchorlock/>
          </v:shape>
        </w:pict>
      </w:r>
      <w:r>
        <w:rPr>
          <w:rFonts w:ascii="宋体" w:hAnsi="宋体"/>
          <w:color w:val="000000"/>
          <w:sz w:val="36"/>
          <w:szCs w:val="36"/>
          <w:highlight w:val="none"/>
        </w:rPr>
        <w:instrText xml:space="preserve"> </w:instrText>
      </w:r>
      <w:r>
        <w:rPr>
          <w:rFonts w:ascii="宋体" w:hAnsi="宋体"/>
          <w:color w:val="000000"/>
          <w:sz w:val="36"/>
          <w:szCs w:val="36"/>
          <w:highlight w:val="none"/>
        </w:rPr>
        <w:fldChar w:fldCharType="end"/>
      </w:r>
      <w:r>
        <w:rPr>
          <w:rFonts w:hint="eastAsia" w:ascii="宋体" w:hAnsi="宋体"/>
          <w:color w:val="000000"/>
          <w:sz w:val="36"/>
          <w:szCs w:val="36"/>
          <w:highlight w:val="none"/>
        </w:rPr>
        <w:t>]</w:t>
      </w:r>
      <w:r>
        <w:rPr>
          <w:rFonts w:hint="eastAsia" w:ascii="宋体" w:hAnsi="宋体"/>
          <w:color w:val="000000"/>
          <w:sz w:val="24"/>
          <w:highlight w:val="none"/>
        </w:rPr>
        <w:t>-1</w:t>
      </w:r>
      <w:r>
        <w:rPr>
          <w:rFonts w:hint="eastAsia" w:ascii="宋体" w:hAnsi="宋体"/>
          <w:color w:val="000000"/>
          <w:sz w:val="72"/>
          <w:szCs w:val="72"/>
          <w:highlight w:val="none"/>
        </w:rPr>
        <w:t>}</w:t>
      </w:r>
    </w:p>
    <w:p w14:paraId="7BC3011C">
      <w:pPr>
        <w:spacing w:line="360" w:lineRule="auto"/>
        <w:ind w:firstLine="420" w:firstLineChars="200"/>
        <w:rPr>
          <w:rFonts w:ascii="宋体" w:hAnsi="宋体"/>
          <w:color w:val="000000"/>
          <w:szCs w:val="21"/>
          <w:highlight w:val="none"/>
        </w:rPr>
      </w:pPr>
      <w:r>
        <w:rPr>
          <w:rFonts w:ascii="宋体" w:hAnsi="宋体"/>
          <w:color w:val="000000"/>
          <w:szCs w:val="21"/>
          <w:highlight w:val="none"/>
        </w:rPr>
        <w:t>式中： △P -- 需调整的价格差额；</w:t>
      </w:r>
    </w:p>
    <w:p w14:paraId="030E8EEE">
      <w:pPr>
        <w:spacing w:line="360" w:lineRule="auto"/>
        <w:ind w:firstLine="420" w:firstLineChars="200"/>
        <w:rPr>
          <w:rFonts w:ascii="宋体" w:hAnsi="宋体"/>
          <w:color w:val="000000"/>
          <w:szCs w:val="21"/>
          <w:highlight w:val="none"/>
        </w:rPr>
      </w:pPr>
      <w:r>
        <w:rPr>
          <w:rFonts w:ascii="宋体" w:hAnsi="宋体"/>
          <w:color w:val="000000"/>
          <w:szCs w:val="21"/>
          <w:highlight w:val="none"/>
        </w:rPr>
        <w:t>P0 -- 第 17.3.3 项、第 17.5.2 项和第 17.6.2 项约定的付款证书中承包人应得到的已完成工程量的金额。此项金额应不包括价格调整、不计质量保证金的扣留和支付、预付款的支付和扣回。第 15 条约定的变更及其他金额已按现行价格计价的，也不计在内；</w:t>
      </w:r>
    </w:p>
    <w:p w14:paraId="608DE865">
      <w:pPr>
        <w:spacing w:line="360" w:lineRule="auto"/>
        <w:ind w:firstLine="420" w:firstLineChars="200"/>
        <w:rPr>
          <w:rFonts w:ascii="宋体" w:hAnsi="宋体"/>
          <w:color w:val="000000"/>
          <w:szCs w:val="21"/>
          <w:highlight w:val="none"/>
        </w:rPr>
      </w:pPr>
      <w:r>
        <w:rPr>
          <w:rFonts w:ascii="宋体" w:hAnsi="宋体"/>
          <w:color w:val="000000"/>
          <w:szCs w:val="21"/>
          <w:highlight w:val="none"/>
        </w:rPr>
        <w:t>A -- 定值权重(即不调部分的权重)；</w:t>
      </w:r>
    </w:p>
    <w:p w14:paraId="3F1963C7">
      <w:pPr>
        <w:spacing w:line="360" w:lineRule="auto"/>
        <w:ind w:firstLine="420" w:firstLineChars="200"/>
        <w:rPr>
          <w:rFonts w:ascii="宋体" w:hAnsi="宋体"/>
          <w:color w:val="000000"/>
          <w:szCs w:val="21"/>
          <w:highlight w:val="none"/>
        </w:rPr>
      </w:pPr>
      <w:r>
        <w:rPr>
          <w:rFonts w:ascii="宋体" w:hAnsi="宋体"/>
          <w:color w:val="000000"/>
          <w:szCs w:val="21"/>
          <w:highlight w:val="none"/>
        </w:rPr>
        <w:t>B1; B2 ;B3·····Bn -- 各可调因子的变值权重(即可调部分的权重)为各可调因子在投标函投标总报价中所占的比例；</w:t>
      </w:r>
    </w:p>
    <w:p w14:paraId="4C15A827">
      <w:pPr>
        <w:spacing w:line="360" w:lineRule="auto"/>
        <w:ind w:firstLine="420" w:firstLineChars="200"/>
        <w:rPr>
          <w:rFonts w:ascii="宋体" w:hAnsi="宋体"/>
          <w:color w:val="000000"/>
          <w:szCs w:val="21"/>
          <w:highlight w:val="none"/>
        </w:rPr>
      </w:pPr>
      <w:r>
        <w:rPr>
          <w:rFonts w:ascii="宋体" w:hAnsi="宋体"/>
          <w:color w:val="000000"/>
          <w:szCs w:val="21"/>
          <w:highlight w:val="none"/>
        </w:rPr>
        <w:t>Ft1 ;Ft2 ;Ft3·····Ftn -- 各可调因子的现行价格指数，指第17.3.3项、第17.5.2项 和第17.6.2项约定的付款证书相关周期最后一天的前42天的各可调因子的价格指数；</w:t>
      </w:r>
    </w:p>
    <w:p w14:paraId="75E0B85B">
      <w:pPr>
        <w:spacing w:line="360" w:lineRule="auto"/>
        <w:ind w:firstLine="420" w:firstLineChars="200"/>
        <w:rPr>
          <w:rFonts w:ascii="宋体" w:hAnsi="宋体"/>
          <w:color w:val="000000"/>
          <w:szCs w:val="21"/>
          <w:highlight w:val="none"/>
        </w:rPr>
      </w:pPr>
      <w:r>
        <w:rPr>
          <w:rFonts w:ascii="宋体" w:hAnsi="宋体"/>
          <w:color w:val="000000"/>
          <w:szCs w:val="21"/>
          <w:highlight w:val="none"/>
        </w:rPr>
        <w:t>Fo1; Fo2; Fo3·····Fon -- 各可调因子的基本价格指数，指基准日期的各可调因子的价格指数。</w:t>
      </w:r>
    </w:p>
    <w:p w14:paraId="490D733E">
      <w:pPr>
        <w:spacing w:line="360" w:lineRule="auto"/>
        <w:ind w:firstLine="420" w:firstLineChars="200"/>
        <w:rPr>
          <w:rFonts w:ascii="宋体" w:hAnsi="宋体"/>
          <w:color w:val="000000"/>
          <w:szCs w:val="21"/>
          <w:highlight w:val="none"/>
        </w:rPr>
      </w:pPr>
      <w:r>
        <w:rPr>
          <w:rFonts w:ascii="宋体" w:hAnsi="宋体"/>
          <w:color w:val="000000"/>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0AF8DA">
      <w:pPr>
        <w:numPr>
          <w:ilvl w:val="3"/>
          <w:numId w:val="80"/>
        </w:numPr>
        <w:spacing w:line="360" w:lineRule="auto"/>
        <w:ind w:left="1080" w:firstLine="420" w:firstLineChars="200"/>
        <w:rPr>
          <w:rFonts w:ascii="宋体" w:hAnsi="宋体"/>
          <w:color w:val="000000"/>
          <w:szCs w:val="21"/>
          <w:highlight w:val="none"/>
        </w:rPr>
      </w:pPr>
      <w:r>
        <w:rPr>
          <w:rFonts w:ascii="宋体" w:hAnsi="宋体"/>
          <w:color w:val="000000"/>
          <w:szCs w:val="21"/>
          <w:highlight w:val="none"/>
        </w:rPr>
        <w:t>暂时确定调整差额</w:t>
      </w:r>
    </w:p>
    <w:p w14:paraId="53F9892D">
      <w:pPr>
        <w:spacing w:line="360" w:lineRule="auto"/>
        <w:ind w:firstLine="420" w:firstLineChars="200"/>
        <w:rPr>
          <w:rFonts w:ascii="宋体" w:hAnsi="宋体"/>
          <w:color w:val="000000"/>
          <w:szCs w:val="21"/>
          <w:highlight w:val="none"/>
        </w:rPr>
      </w:pPr>
      <w:r>
        <w:rPr>
          <w:rFonts w:ascii="宋体" w:hAnsi="宋体"/>
          <w:color w:val="000000"/>
          <w:szCs w:val="21"/>
          <w:highlight w:val="none"/>
        </w:rPr>
        <w:t>在计算调整差额时得不到现行价格指数的，可暂用上一次价格指数计算，并在以后的付款中再按实际价格指数进行调整。</w:t>
      </w:r>
    </w:p>
    <w:p w14:paraId="27107637">
      <w:pPr>
        <w:numPr>
          <w:ilvl w:val="3"/>
          <w:numId w:val="80"/>
        </w:numPr>
        <w:spacing w:line="360" w:lineRule="auto"/>
        <w:ind w:left="1080" w:firstLine="420" w:firstLineChars="200"/>
        <w:rPr>
          <w:rFonts w:ascii="宋体" w:hAnsi="宋体"/>
          <w:color w:val="000000"/>
          <w:szCs w:val="21"/>
          <w:highlight w:val="none"/>
        </w:rPr>
      </w:pPr>
      <w:r>
        <w:rPr>
          <w:rFonts w:ascii="宋体" w:hAnsi="宋体"/>
          <w:color w:val="000000"/>
          <w:szCs w:val="21"/>
          <w:highlight w:val="none"/>
        </w:rPr>
        <w:t>权重的调整</w:t>
      </w:r>
    </w:p>
    <w:p w14:paraId="3D93E0EA">
      <w:pPr>
        <w:spacing w:line="360" w:lineRule="auto"/>
        <w:ind w:firstLine="420" w:firstLineChars="200"/>
        <w:rPr>
          <w:rFonts w:ascii="宋体" w:hAnsi="宋体"/>
          <w:color w:val="000000"/>
          <w:szCs w:val="21"/>
          <w:highlight w:val="none"/>
        </w:rPr>
      </w:pPr>
      <w:r>
        <w:rPr>
          <w:rFonts w:ascii="宋体" w:hAnsi="宋体"/>
          <w:color w:val="000000"/>
          <w:szCs w:val="21"/>
          <w:highlight w:val="none"/>
        </w:rPr>
        <w:t>按第 15.1 款约定的变更导致原定合同中的权重不合理时，由监理人与承包人和发包人协商后进行调整。</w:t>
      </w:r>
    </w:p>
    <w:p w14:paraId="6D284F0A">
      <w:pPr>
        <w:numPr>
          <w:ilvl w:val="3"/>
          <w:numId w:val="80"/>
        </w:numPr>
        <w:spacing w:line="360" w:lineRule="auto"/>
        <w:ind w:left="1080" w:firstLine="420" w:firstLineChars="200"/>
        <w:rPr>
          <w:rFonts w:ascii="宋体" w:hAnsi="宋体"/>
          <w:color w:val="000000"/>
          <w:szCs w:val="21"/>
          <w:highlight w:val="none"/>
        </w:rPr>
      </w:pPr>
      <w:r>
        <w:rPr>
          <w:rFonts w:ascii="宋体" w:hAnsi="宋体"/>
          <w:color w:val="000000"/>
          <w:szCs w:val="21"/>
          <w:highlight w:val="none"/>
        </w:rPr>
        <w:t>承包人工期延误后的价格调整</w:t>
      </w:r>
    </w:p>
    <w:p w14:paraId="3E6D3143">
      <w:pPr>
        <w:spacing w:line="360" w:lineRule="auto"/>
        <w:ind w:firstLine="420" w:firstLineChars="200"/>
        <w:rPr>
          <w:rFonts w:ascii="宋体" w:hAnsi="宋体"/>
          <w:color w:val="000000"/>
          <w:szCs w:val="21"/>
          <w:highlight w:val="none"/>
        </w:rPr>
      </w:pPr>
      <w:r>
        <w:rPr>
          <w:rFonts w:ascii="宋体" w:hAnsi="宋体"/>
          <w:color w:val="000000"/>
          <w:szCs w:val="21"/>
          <w:highlight w:val="none"/>
        </w:rPr>
        <w:t>由于承包人原因未在约定的工期内竣工的，则对原约定竣工日期后继续施工的工程，在使用第 16.1.1.1 目价格调整公式时，应采用原约定竣工日期与实际竣工日期的两个价格指数中较低的一个作为现行价格指数。</w:t>
      </w:r>
    </w:p>
    <w:p w14:paraId="7E07B047">
      <w:pPr>
        <w:spacing w:line="360" w:lineRule="auto"/>
        <w:ind w:firstLine="420" w:firstLineChars="200"/>
        <w:rPr>
          <w:rFonts w:ascii="宋体" w:hAnsi="宋体"/>
          <w:color w:val="000000"/>
          <w:szCs w:val="21"/>
          <w:highlight w:val="none"/>
        </w:rPr>
      </w:pPr>
      <w:r>
        <w:rPr>
          <w:rFonts w:ascii="宋体" w:hAnsi="宋体"/>
          <w:color w:val="000000"/>
          <w:szCs w:val="21"/>
          <w:highlight w:val="none"/>
        </w:rPr>
        <w:t>16.1.2</w:t>
      </w:r>
      <w:r>
        <w:rPr>
          <w:rFonts w:ascii="宋体" w:hAnsi="宋体"/>
          <w:color w:val="000000"/>
          <w:szCs w:val="21"/>
          <w:highlight w:val="none"/>
        </w:rPr>
        <w:tab/>
      </w:r>
      <w:r>
        <w:rPr>
          <w:rFonts w:ascii="宋体" w:hAnsi="宋体"/>
          <w:color w:val="000000"/>
          <w:szCs w:val="21"/>
          <w:highlight w:val="none"/>
        </w:rPr>
        <w:t>采用造价信息调整价格差额 施工期内，因人工、材料、设备和机械台班价格波动影响合同价格时，需要进行价格调整的，其价格和数量应由监理人审核，监理人确认需调整的内容、范围、价格和数量作为调 整工程合同价格差额的依据。</w:t>
      </w:r>
    </w:p>
    <w:p w14:paraId="080284F0">
      <w:pPr>
        <w:spacing w:line="360" w:lineRule="auto"/>
        <w:ind w:firstLine="420" w:firstLineChars="200"/>
        <w:rPr>
          <w:rFonts w:ascii="宋体" w:hAnsi="宋体"/>
          <w:color w:val="000000"/>
          <w:szCs w:val="21"/>
          <w:highlight w:val="none"/>
        </w:rPr>
      </w:pPr>
      <w:r>
        <w:rPr>
          <w:rFonts w:ascii="宋体" w:hAnsi="宋体"/>
          <w:color w:val="000000"/>
          <w:szCs w:val="21"/>
          <w:highlight w:val="none"/>
        </w:rPr>
        <w:t>16.1.2.1</w:t>
      </w:r>
      <w:r>
        <w:rPr>
          <w:rFonts w:ascii="宋体" w:hAnsi="宋体"/>
          <w:color w:val="000000"/>
          <w:szCs w:val="21"/>
          <w:highlight w:val="none"/>
        </w:rPr>
        <w:tab/>
      </w:r>
      <w:r>
        <w:rPr>
          <w:rFonts w:ascii="宋体" w:hAnsi="宋体"/>
          <w:color w:val="000000"/>
          <w:szCs w:val="21"/>
          <w:highlight w:val="none"/>
        </w:rPr>
        <w:t xml:space="preserve">引起价格调整的物价波动风险范围及幅度 </w:t>
      </w:r>
    </w:p>
    <w:p w14:paraId="63B2A973">
      <w:pPr>
        <w:spacing w:line="360" w:lineRule="auto"/>
        <w:ind w:firstLine="420" w:firstLineChars="200"/>
        <w:rPr>
          <w:rFonts w:ascii="宋体" w:hAnsi="宋体"/>
          <w:color w:val="000000"/>
          <w:szCs w:val="21"/>
          <w:highlight w:val="none"/>
        </w:rPr>
      </w:pPr>
      <w:r>
        <w:rPr>
          <w:rFonts w:ascii="宋体" w:hAnsi="宋体"/>
          <w:color w:val="000000"/>
          <w:szCs w:val="21"/>
          <w:highlight w:val="none"/>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581B9ECE">
      <w:pPr>
        <w:spacing w:line="360" w:lineRule="auto"/>
        <w:ind w:firstLine="420" w:firstLineChars="200"/>
        <w:rPr>
          <w:rFonts w:ascii="宋体" w:hAnsi="宋体"/>
          <w:color w:val="000000"/>
          <w:szCs w:val="21"/>
          <w:highlight w:val="none"/>
        </w:rPr>
      </w:pPr>
      <w:r>
        <w:rPr>
          <w:rFonts w:ascii="宋体" w:hAnsi="宋体"/>
          <w:color w:val="000000"/>
          <w:szCs w:val="21"/>
          <w:highlight w:val="none"/>
        </w:rPr>
        <w:t>16.1.2.2</w:t>
      </w:r>
      <w:r>
        <w:rPr>
          <w:rFonts w:ascii="宋体" w:hAnsi="宋体"/>
          <w:color w:val="000000"/>
          <w:szCs w:val="21"/>
          <w:highlight w:val="none"/>
        </w:rPr>
        <w:tab/>
      </w:r>
      <w:r>
        <w:rPr>
          <w:rFonts w:ascii="宋体" w:hAnsi="宋体"/>
          <w:color w:val="000000"/>
          <w:szCs w:val="21"/>
          <w:highlight w:val="none"/>
        </w:rPr>
        <w:t>物价波动变化幅度的计算方法</w:t>
      </w:r>
    </w:p>
    <w:p w14:paraId="36A8329B">
      <w:pPr>
        <w:spacing w:line="360" w:lineRule="auto"/>
        <w:ind w:firstLine="420" w:firstLineChars="200"/>
        <w:rPr>
          <w:rFonts w:ascii="宋体" w:hAnsi="宋体"/>
          <w:color w:val="000000"/>
          <w:szCs w:val="21"/>
          <w:highlight w:val="none"/>
        </w:rPr>
      </w:pPr>
      <w:r>
        <w:rPr>
          <w:rFonts w:ascii="宋体" w:hAnsi="宋体"/>
          <w:color w:val="000000"/>
          <w:szCs w:val="21"/>
          <w:highlight w:val="none"/>
        </w:rPr>
        <w:t>（1）投标报价基准期确定的人工、材料、设备和机械台班的市场价格即为基准价。投标报价基准期见合同条款专用部分。</w:t>
      </w:r>
    </w:p>
    <w:p w14:paraId="6DAA421E">
      <w:pPr>
        <w:spacing w:line="360" w:lineRule="auto"/>
        <w:ind w:firstLine="420" w:firstLineChars="200"/>
        <w:rPr>
          <w:rFonts w:ascii="宋体" w:hAnsi="宋体"/>
          <w:color w:val="000000"/>
          <w:szCs w:val="21"/>
          <w:highlight w:val="none"/>
        </w:rPr>
      </w:pPr>
      <w:r>
        <w:rPr>
          <w:rFonts w:ascii="宋体" w:hAnsi="宋体"/>
          <w:color w:val="000000"/>
          <w:szCs w:val="21"/>
          <w:highlight w:val="none"/>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见合同条款专用部分。</w:t>
      </w:r>
    </w:p>
    <w:p w14:paraId="37B762A0">
      <w:pPr>
        <w:spacing w:line="360" w:lineRule="auto"/>
        <w:ind w:firstLine="420" w:firstLineChars="200"/>
        <w:rPr>
          <w:rFonts w:ascii="宋体" w:hAnsi="宋体"/>
          <w:color w:val="000000"/>
          <w:szCs w:val="21"/>
          <w:highlight w:val="none"/>
        </w:rPr>
      </w:pPr>
      <w:r>
        <w:rPr>
          <w:rFonts w:ascii="宋体" w:hAnsi="宋体"/>
          <w:color w:val="000000"/>
          <w:szCs w:val="21"/>
          <w:highlight w:val="none"/>
        </w:rPr>
        <w:t>（3）合同施工期市场价格的确定方法见合同条款专用部分。</w:t>
      </w:r>
    </w:p>
    <w:p w14:paraId="114F52FE">
      <w:pPr>
        <w:spacing w:line="360" w:lineRule="auto"/>
        <w:ind w:firstLine="420" w:firstLineChars="200"/>
        <w:rPr>
          <w:rFonts w:ascii="宋体" w:hAnsi="宋体"/>
          <w:color w:val="000000"/>
          <w:szCs w:val="21"/>
          <w:highlight w:val="none"/>
        </w:rPr>
      </w:pPr>
      <w:r>
        <w:rPr>
          <w:rFonts w:ascii="宋体" w:hAnsi="宋体"/>
          <w:color w:val="000000"/>
          <w:szCs w:val="21"/>
          <w:highlight w:val="none"/>
        </w:rPr>
        <w:t>（4）物价波动变化幅度的计算方法： 1）当承包人投标报价中的单价低于基准价时：</w:t>
      </w:r>
    </w:p>
    <w:p w14:paraId="2B2F9CF6">
      <w:pPr>
        <w:spacing w:line="360" w:lineRule="auto"/>
        <w:ind w:firstLine="420" w:firstLineChars="200"/>
        <w:rPr>
          <w:rFonts w:ascii="宋体" w:hAnsi="宋体"/>
          <w:color w:val="000000"/>
          <w:szCs w:val="21"/>
          <w:highlight w:val="none"/>
        </w:rPr>
      </w:pPr>
      <w:r>
        <w:rPr>
          <w:rFonts w:ascii="宋体" w:hAnsi="宋体"/>
          <w:color w:val="000000"/>
          <w:szCs w:val="21"/>
          <w:highlight w:val="none"/>
        </w:rPr>
        <w:t>物价波动变化幅度（涨幅）=（施工期市场价-基准价）/基准价×100%</w:t>
      </w:r>
    </w:p>
    <w:p w14:paraId="5CA5562B">
      <w:pPr>
        <w:spacing w:line="360" w:lineRule="auto"/>
        <w:ind w:firstLine="420" w:firstLineChars="200"/>
        <w:rPr>
          <w:rFonts w:ascii="宋体" w:hAnsi="宋体"/>
          <w:color w:val="000000"/>
          <w:szCs w:val="21"/>
          <w:highlight w:val="none"/>
        </w:rPr>
      </w:pPr>
      <w:r>
        <w:rPr>
          <w:rFonts w:ascii="宋体" w:hAnsi="宋体"/>
          <w:color w:val="000000"/>
          <w:szCs w:val="21"/>
          <w:highlight w:val="none"/>
        </w:rPr>
        <w:t>物价波动变化幅度（跌幅）=（施工期市场价-投标单价）/投标单价×100%</w:t>
      </w:r>
    </w:p>
    <w:p w14:paraId="4DE7906E">
      <w:pPr>
        <w:spacing w:line="360" w:lineRule="auto"/>
        <w:ind w:firstLine="420" w:firstLineChars="200"/>
        <w:rPr>
          <w:rFonts w:ascii="宋体" w:hAnsi="宋体"/>
          <w:color w:val="000000"/>
          <w:szCs w:val="21"/>
          <w:highlight w:val="none"/>
        </w:rPr>
      </w:pPr>
      <w:r>
        <w:rPr>
          <w:rFonts w:ascii="宋体" w:hAnsi="宋体"/>
          <w:color w:val="000000"/>
          <w:szCs w:val="21"/>
          <w:highlight w:val="none"/>
        </w:rPr>
        <w:t xml:space="preserve">2）当承包人投标报价中的单价高于基准价时： </w:t>
      </w:r>
    </w:p>
    <w:p w14:paraId="479C9983">
      <w:pPr>
        <w:spacing w:line="360" w:lineRule="auto"/>
        <w:ind w:firstLine="420" w:firstLineChars="200"/>
        <w:rPr>
          <w:rFonts w:ascii="宋体" w:hAnsi="宋体"/>
          <w:color w:val="000000"/>
          <w:szCs w:val="21"/>
          <w:highlight w:val="none"/>
        </w:rPr>
      </w:pPr>
      <w:r>
        <w:rPr>
          <w:rFonts w:ascii="宋体" w:hAnsi="宋体"/>
          <w:color w:val="000000"/>
          <w:szCs w:val="21"/>
          <w:highlight w:val="none"/>
        </w:rPr>
        <w:t>物价波动变化幅度（涨幅）=（施工期市场价-投标单价）/投标单价×100%</w:t>
      </w:r>
    </w:p>
    <w:p w14:paraId="5DBA105A">
      <w:pPr>
        <w:spacing w:line="360" w:lineRule="auto"/>
        <w:ind w:firstLine="420" w:firstLineChars="200"/>
        <w:rPr>
          <w:rFonts w:ascii="宋体" w:hAnsi="宋体"/>
          <w:color w:val="000000"/>
          <w:szCs w:val="21"/>
          <w:highlight w:val="none"/>
        </w:rPr>
      </w:pPr>
      <w:r>
        <w:rPr>
          <w:rFonts w:ascii="宋体" w:hAnsi="宋体"/>
          <w:color w:val="000000"/>
          <w:szCs w:val="21"/>
          <w:highlight w:val="none"/>
        </w:rPr>
        <w:t>物价波动变化幅度（跌幅）=（施工期市场价-基准价）/基准价×100%</w:t>
      </w:r>
    </w:p>
    <w:p w14:paraId="46123DC3">
      <w:pPr>
        <w:spacing w:line="360" w:lineRule="auto"/>
        <w:ind w:firstLine="420" w:firstLineChars="200"/>
        <w:rPr>
          <w:rFonts w:ascii="宋体" w:hAnsi="宋体"/>
          <w:color w:val="000000"/>
          <w:szCs w:val="21"/>
          <w:highlight w:val="none"/>
        </w:rPr>
      </w:pPr>
      <w:r>
        <w:rPr>
          <w:rFonts w:ascii="宋体" w:hAnsi="宋体"/>
          <w:color w:val="000000"/>
          <w:szCs w:val="21"/>
          <w:highlight w:val="none"/>
        </w:rPr>
        <w:t xml:space="preserve">3）当承包人投标报价中的单价等于基准价时： </w:t>
      </w:r>
    </w:p>
    <w:p w14:paraId="44D83F5A">
      <w:pPr>
        <w:spacing w:line="360" w:lineRule="auto"/>
        <w:ind w:firstLine="420" w:firstLineChars="200"/>
        <w:rPr>
          <w:rFonts w:ascii="宋体" w:hAnsi="宋体"/>
          <w:color w:val="000000"/>
          <w:szCs w:val="21"/>
          <w:highlight w:val="none"/>
        </w:rPr>
      </w:pPr>
      <w:r>
        <w:rPr>
          <w:rFonts w:ascii="宋体" w:hAnsi="宋体"/>
          <w:color w:val="000000"/>
          <w:szCs w:val="21"/>
          <w:highlight w:val="none"/>
        </w:rPr>
        <w:t>物价波动变化幅度=（施工期市场价-基准价）/基准价×100%</w:t>
      </w:r>
    </w:p>
    <w:p w14:paraId="37032D8C">
      <w:pPr>
        <w:spacing w:line="360" w:lineRule="auto"/>
        <w:ind w:firstLine="420" w:firstLineChars="200"/>
        <w:rPr>
          <w:rFonts w:ascii="宋体" w:hAnsi="宋体"/>
          <w:color w:val="000000"/>
          <w:szCs w:val="21"/>
          <w:highlight w:val="none"/>
        </w:rPr>
      </w:pPr>
      <w:r>
        <w:rPr>
          <w:rFonts w:ascii="宋体" w:hAnsi="宋体"/>
          <w:color w:val="000000"/>
          <w:szCs w:val="21"/>
          <w:highlight w:val="none"/>
        </w:rPr>
        <w:t>16.1.2.3</w:t>
      </w:r>
      <w:r>
        <w:rPr>
          <w:rFonts w:ascii="宋体" w:hAnsi="宋体"/>
          <w:color w:val="000000"/>
          <w:szCs w:val="21"/>
          <w:highlight w:val="none"/>
        </w:rPr>
        <w:tab/>
      </w:r>
      <w:r>
        <w:rPr>
          <w:rFonts w:ascii="宋体" w:hAnsi="宋体"/>
          <w:color w:val="000000"/>
          <w:szCs w:val="21"/>
          <w:highlight w:val="none"/>
        </w:rPr>
        <w:t>物价波动引起价格调整的方法</w:t>
      </w:r>
    </w:p>
    <w:p w14:paraId="0FF72323">
      <w:pPr>
        <w:spacing w:line="360" w:lineRule="auto"/>
        <w:ind w:firstLine="420" w:firstLineChars="200"/>
        <w:rPr>
          <w:rFonts w:ascii="宋体" w:hAnsi="宋体"/>
          <w:color w:val="000000"/>
          <w:szCs w:val="21"/>
          <w:highlight w:val="none"/>
        </w:rPr>
      </w:pPr>
      <w:r>
        <w:rPr>
          <w:rFonts w:ascii="宋体" w:hAnsi="宋体"/>
          <w:color w:val="000000"/>
          <w:szCs w:val="21"/>
          <w:highlight w:val="none"/>
        </w:rPr>
        <w:t>（1）第 16.1.2.1 目中约定的人工、材料、设备和机械台班的物价波动变化幅度超过风险幅度时，其计算价格调整差额的方法见合同条款专用部分。</w:t>
      </w:r>
    </w:p>
    <w:p w14:paraId="170BAFF0">
      <w:pPr>
        <w:spacing w:line="360" w:lineRule="auto"/>
        <w:ind w:firstLine="420" w:firstLineChars="200"/>
        <w:rPr>
          <w:rFonts w:ascii="宋体" w:hAnsi="宋体"/>
          <w:color w:val="000000"/>
          <w:szCs w:val="21"/>
          <w:highlight w:val="none"/>
        </w:rPr>
      </w:pPr>
      <w:r>
        <w:rPr>
          <w:rFonts w:ascii="宋体" w:hAnsi="宋体"/>
          <w:color w:val="000000"/>
          <w:szCs w:val="21"/>
          <w:highlight w:val="none"/>
        </w:rPr>
        <w:t>（2）第 16.1.2.1 目中约定的人工的物价波动变化幅度超过风险幅度时，应当计算全部价格差额，其价格差额由发包人承担或受益，其价格差额不计取规费，只计取税金。</w:t>
      </w:r>
    </w:p>
    <w:p w14:paraId="366942D6">
      <w:pPr>
        <w:spacing w:line="360" w:lineRule="auto"/>
        <w:ind w:firstLine="420" w:firstLineChars="200"/>
        <w:rPr>
          <w:rFonts w:ascii="宋体" w:hAnsi="宋体"/>
          <w:color w:val="000000"/>
          <w:szCs w:val="21"/>
          <w:highlight w:val="none"/>
        </w:rPr>
      </w:pPr>
      <w:r>
        <w:rPr>
          <w:rFonts w:ascii="宋体" w:hAnsi="宋体"/>
          <w:color w:val="000000"/>
          <w:szCs w:val="21"/>
          <w:highlight w:val="none"/>
        </w:rPr>
        <w:t>（3）第 16.1.2.1 目中约定的材料、设备和机械台班的物价波动变化幅度超过风险幅度时，应当计算超过部分的价格差额，其价格差额由发包人承担或受益，其价格差额不计取规费，只计取税金。</w:t>
      </w:r>
    </w:p>
    <w:p w14:paraId="7F35CB81">
      <w:pPr>
        <w:spacing w:line="360" w:lineRule="auto"/>
        <w:ind w:firstLine="420" w:firstLineChars="200"/>
        <w:rPr>
          <w:rFonts w:ascii="宋体" w:hAnsi="宋体"/>
          <w:color w:val="000000"/>
          <w:szCs w:val="21"/>
          <w:highlight w:val="none"/>
        </w:rPr>
      </w:pPr>
      <w:r>
        <w:rPr>
          <w:rFonts w:ascii="宋体" w:hAnsi="宋体"/>
          <w:color w:val="000000"/>
          <w:szCs w:val="21"/>
          <w:highlight w:val="none"/>
        </w:rPr>
        <w:t>16.1.2.4</w:t>
      </w:r>
      <w:r>
        <w:rPr>
          <w:rFonts w:ascii="宋体" w:hAnsi="宋体"/>
          <w:color w:val="000000"/>
          <w:szCs w:val="21"/>
          <w:highlight w:val="none"/>
        </w:rPr>
        <w:tab/>
      </w:r>
      <w:r>
        <w:rPr>
          <w:rFonts w:ascii="宋体" w:hAnsi="宋体"/>
          <w:color w:val="000000"/>
          <w:szCs w:val="21"/>
          <w:highlight w:val="none"/>
        </w:rPr>
        <w:t>物价波动引起价格调整的其他约定见合同条款专用部分。</w:t>
      </w:r>
    </w:p>
    <w:p w14:paraId="4DCD03CE">
      <w:pPr>
        <w:spacing w:line="360" w:lineRule="auto"/>
        <w:ind w:firstLine="420" w:firstLineChars="200"/>
        <w:rPr>
          <w:rFonts w:ascii="宋体" w:hAnsi="宋体"/>
          <w:color w:val="000000"/>
          <w:szCs w:val="21"/>
          <w:highlight w:val="none"/>
        </w:rPr>
      </w:pPr>
      <w:r>
        <w:rPr>
          <w:rFonts w:ascii="宋体" w:hAnsi="宋体"/>
          <w:color w:val="000000"/>
          <w:szCs w:val="21"/>
          <w:highlight w:val="none"/>
        </w:rPr>
        <w:t>16.1.3</w:t>
      </w:r>
      <w:r>
        <w:rPr>
          <w:rFonts w:ascii="宋体" w:hAnsi="宋体"/>
          <w:color w:val="000000"/>
          <w:szCs w:val="21"/>
          <w:highlight w:val="none"/>
        </w:rPr>
        <w:tab/>
      </w:r>
      <w:r>
        <w:rPr>
          <w:rFonts w:ascii="宋体" w:hAnsi="宋体"/>
          <w:color w:val="000000"/>
          <w:szCs w:val="21"/>
          <w:highlight w:val="none"/>
        </w:rPr>
        <w:t>物价波动引起价格调整的其他方法见合同条款专用部分。</w:t>
      </w:r>
    </w:p>
    <w:p w14:paraId="4D17DE10">
      <w:pPr>
        <w:spacing w:line="360" w:lineRule="auto"/>
        <w:rPr>
          <w:rFonts w:ascii="宋体" w:hAnsi="宋体"/>
          <w:color w:val="000000"/>
          <w:sz w:val="24"/>
          <w:highlight w:val="none"/>
        </w:rPr>
      </w:pPr>
      <w:bookmarkStart w:id="665" w:name="_bookmark199"/>
      <w:bookmarkEnd w:id="665"/>
      <w:r>
        <w:rPr>
          <w:rFonts w:ascii="宋体" w:hAnsi="宋体"/>
          <w:color w:val="000000"/>
          <w:sz w:val="24"/>
          <w:highlight w:val="none"/>
        </w:rPr>
        <w:t>16.2</w:t>
      </w:r>
      <w:r>
        <w:rPr>
          <w:rFonts w:ascii="宋体" w:hAnsi="宋体"/>
          <w:color w:val="000000"/>
          <w:sz w:val="24"/>
          <w:highlight w:val="none"/>
        </w:rPr>
        <w:tab/>
      </w:r>
      <w:r>
        <w:rPr>
          <w:rFonts w:ascii="宋体" w:hAnsi="宋体"/>
          <w:color w:val="000000"/>
          <w:sz w:val="24"/>
          <w:highlight w:val="none"/>
        </w:rPr>
        <w:t>法律变化引起的价格调整</w:t>
      </w:r>
    </w:p>
    <w:p w14:paraId="27AED8B1">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在基准日后，因法律变化导致承包人在合同履行中所需要的工程费用发生除第16.1款 约定以外的增减时，监理人应根据法律、国家或省、自治区、直辖市有关部门的规定，按第3.5 款商定或确定需调整的合同价款。</w:t>
      </w:r>
    </w:p>
    <w:p w14:paraId="79BBBFB6">
      <w:pPr>
        <w:spacing w:line="360" w:lineRule="auto"/>
        <w:rPr>
          <w:rFonts w:ascii="宋体" w:hAnsi="宋体"/>
          <w:color w:val="000000"/>
          <w:sz w:val="28"/>
          <w:szCs w:val="28"/>
          <w:highlight w:val="none"/>
        </w:rPr>
      </w:pPr>
      <w:bookmarkStart w:id="666" w:name="_bookmark200"/>
      <w:bookmarkEnd w:id="666"/>
      <w:r>
        <w:rPr>
          <w:rFonts w:ascii="宋体" w:hAnsi="宋体"/>
          <w:color w:val="000000"/>
          <w:sz w:val="28"/>
          <w:szCs w:val="28"/>
          <w:highlight w:val="none"/>
        </w:rPr>
        <w:t>17.计量与支付</w:t>
      </w:r>
    </w:p>
    <w:p w14:paraId="32B698E9">
      <w:pPr>
        <w:spacing w:line="360" w:lineRule="auto"/>
        <w:rPr>
          <w:rFonts w:ascii="宋体" w:hAnsi="宋体"/>
          <w:color w:val="000000"/>
          <w:sz w:val="24"/>
          <w:highlight w:val="none"/>
        </w:rPr>
      </w:pPr>
      <w:bookmarkStart w:id="667" w:name="_bookmark201"/>
      <w:bookmarkEnd w:id="667"/>
      <w:r>
        <w:rPr>
          <w:rFonts w:hint="eastAsia" w:ascii="宋体" w:hAnsi="宋体"/>
          <w:color w:val="000000"/>
          <w:sz w:val="24"/>
          <w:highlight w:val="none"/>
        </w:rPr>
        <w:t>17.1</w:t>
      </w:r>
      <w:r>
        <w:rPr>
          <w:rFonts w:ascii="宋体" w:hAnsi="宋体"/>
          <w:color w:val="000000"/>
          <w:sz w:val="24"/>
          <w:highlight w:val="none"/>
        </w:rPr>
        <w:t>计量</w:t>
      </w:r>
    </w:p>
    <w:p w14:paraId="2214FCC9">
      <w:pPr>
        <w:numPr>
          <w:ilvl w:val="2"/>
          <w:numId w:val="81"/>
        </w:numPr>
        <w:spacing w:line="360" w:lineRule="auto"/>
        <w:ind w:firstLine="420" w:firstLineChars="200"/>
        <w:rPr>
          <w:rFonts w:ascii="宋体" w:hAnsi="宋体"/>
          <w:color w:val="000000"/>
          <w:szCs w:val="21"/>
          <w:highlight w:val="none"/>
        </w:rPr>
      </w:pPr>
      <w:r>
        <w:rPr>
          <w:rFonts w:ascii="宋体" w:hAnsi="宋体"/>
          <w:color w:val="000000"/>
          <w:szCs w:val="21"/>
          <w:highlight w:val="none"/>
        </w:rPr>
        <w:t>计量单位 计量采用国家法定的计量单位。</w:t>
      </w:r>
    </w:p>
    <w:p w14:paraId="1A327234">
      <w:pPr>
        <w:numPr>
          <w:ilvl w:val="2"/>
          <w:numId w:val="81"/>
        </w:numPr>
        <w:spacing w:line="360" w:lineRule="auto"/>
        <w:ind w:firstLine="420" w:firstLineChars="200"/>
        <w:rPr>
          <w:rFonts w:ascii="宋体" w:hAnsi="宋体"/>
          <w:color w:val="000000"/>
          <w:szCs w:val="21"/>
          <w:highlight w:val="none"/>
        </w:rPr>
      </w:pPr>
      <w:r>
        <w:rPr>
          <w:rFonts w:ascii="宋体" w:hAnsi="宋体"/>
          <w:color w:val="000000"/>
          <w:szCs w:val="21"/>
          <w:highlight w:val="none"/>
        </w:rPr>
        <w:t>计量方法</w:t>
      </w:r>
    </w:p>
    <w:p w14:paraId="1C53FDCC">
      <w:pPr>
        <w:spacing w:line="360" w:lineRule="auto"/>
        <w:ind w:firstLine="420" w:firstLineChars="200"/>
        <w:rPr>
          <w:rFonts w:ascii="宋体" w:hAnsi="宋体"/>
          <w:color w:val="000000"/>
          <w:szCs w:val="21"/>
          <w:highlight w:val="none"/>
        </w:rPr>
      </w:pPr>
      <w:r>
        <w:rPr>
          <w:rFonts w:ascii="宋体" w:hAnsi="宋体"/>
          <w:color w:val="000000"/>
          <w:szCs w:val="21"/>
          <w:highlight w:val="none"/>
        </w:rPr>
        <w:t>工程量计算规则执行工程量清单中约定的计量计价规范版本。除合同另有约定外，承包人实际完成的工程量按约定的工程量计算规则和有合同约束力的图纸进行计量。</w:t>
      </w:r>
    </w:p>
    <w:p w14:paraId="5D3C4AD5">
      <w:pPr>
        <w:numPr>
          <w:ilvl w:val="2"/>
          <w:numId w:val="81"/>
        </w:numPr>
        <w:spacing w:line="360" w:lineRule="auto"/>
        <w:ind w:firstLine="420" w:firstLineChars="200"/>
        <w:rPr>
          <w:rFonts w:ascii="宋体" w:hAnsi="宋体"/>
          <w:color w:val="000000"/>
          <w:szCs w:val="21"/>
          <w:highlight w:val="none"/>
        </w:rPr>
      </w:pPr>
      <w:r>
        <w:rPr>
          <w:rFonts w:ascii="宋体" w:hAnsi="宋体"/>
          <w:color w:val="000000"/>
          <w:szCs w:val="21"/>
          <w:highlight w:val="none"/>
        </w:rPr>
        <w:t>计量周期</w:t>
      </w:r>
    </w:p>
    <w:p w14:paraId="6D0FB168">
      <w:pPr>
        <w:spacing w:line="360" w:lineRule="auto"/>
        <w:ind w:firstLine="420" w:firstLineChars="200"/>
        <w:rPr>
          <w:rFonts w:ascii="宋体" w:hAnsi="宋体"/>
          <w:color w:val="000000"/>
          <w:szCs w:val="21"/>
          <w:highlight w:val="none"/>
        </w:rPr>
      </w:pPr>
      <w:r>
        <w:rPr>
          <w:rFonts w:ascii="宋体" w:hAnsi="宋体"/>
          <w:color w:val="000000"/>
          <w:szCs w:val="21"/>
          <w:highlight w:val="none"/>
        </w:rPr>
        <w:t>（1）本合同的计量周期为月，当月计量截止日期（不含当日）和下月计量起始日期（含当日）见合同条款专用部分。</w:t>
      </w:r>
    </w:p>
    <w:p w14:paraId="0E15CF6E">
      <w:pPr>
        <w:spacing w:line="360" w:lineRule="auto"/>
        <w:ind w:firstLine="420" w:firstLineChars="200"/>
        <w:rPr>
          <w:rFonts w:ascii="宋体" w:hAnsi="宋体"/>
          <w:color w:val="000000"/>
          <w:szCs w:val="21"/>
          <w:highlight w:val="none"/>
        </w:rPr>
      </w:pPr>
      <w:r>
        <w:rPr>
          <w:rFonts w:ascii="宋体" w:hAnsi="宋体"/>
          <w:color w:val="000000"/>
          <w:szCs w:val="21"/>
          <w:highlight w:val="none"/>
        </w:rPr>
        <w:t>（2）单价子目已完成工程量是否按月计量见合同条款专用部分。</w:t>
      </w:r>
    </w:p>
    <w:p w14:paraId="75C3711F">
      <w:pPr>
        <w:spacing w:line="360" w:lineRule="auto"/>
        <w:ind w:firstLine="420" w:firstLineChars="200"/>
        <w:rPr>
          <w:rFonts w:ascii="宋体" w:hAnsi="宋体"/>
          <w:color w:val="000000"/>
          <w:szCs w:val="21"/>
          <w:highlight w:val="none"/>
        </w:rPr>
      </w:pPr>
      <w:r>
        <w:rPr>
          <w:rFonts w:ascii="宋体" w:hAnsi="宋体"/>
          <w:color w:val="000000"/>
          <w:szCs w:val="21"/>
          <w:highlight w:val="none"/>
        </w:rPr>
        <w:t>（3）总价子目计量方法见合同条款专用部分。</w:t>
      </w:r>
    </w:p>
    <w:p w14:paraId="65D79B02">
      <w:pPr>
        <w:spacing w:line="360" w:lineRule="auto"/>
        <w:ind w:firstLine="420" w:firstLineChars="200"/>
        <w:rPr>
          <w:rFonts w:ascii="宋体" w:hAnsi="宋体"/>
          <w:color w:val="000000"/>
          <w:szCs w:val="21"/>
          <w:highlight w:val="none"/>
        </w:rPr>
      </w:pPr>
      <w:r>
        <w:rPr>
          <w:rFonts w:ascii="宋体" w:hAnsi="宋体"/>
          <w:color w:val="000000"/>
          <w:szCs w:val="21"/>
          <w:highlight w:val="none"/>
        </w:rPr>
        <w:t>17.1.4</w:t>
      </w:r>
      <w:r>
        <w:rPr>
          <w:rFonts w:ascii="宋体" w:hAnsi="宋体"/>
          <w:color w:val="000000"/>
          <w:szCs w:val="21"/>
          <w:highlight w:val="none"/>
        </w:rPr>
        <w:tab/>
      </w:r>
      <w:r>
        <w:rPr>
          <w:rFonts w:ascii="宋体" w:hAnsi="宋体"/>
          <w:color w:val="000000"/>
          <w:szCs w:val="21"/>
          <w:highlight w:val="none"/>
        </w:rPr>
        <w:t>单价子目的计量</w:t>
      </w:r>
    </w:p>
    <w:p w14:paraId="1B629989">
      <w:pPr>
        <w:spacing w:line="360" w:lineRule="auto"/>
        <w:ind w:firstLine="420" w:firstLineChars="200"/>
        <w:rPr>
          <w:rFonts w:ascii="宋体" w:hAnsi="宋体"/>
          <w:color w:val="000000"/>
          <w:szCs w:val="21"/>
          <w:highlight w:val="none"/>
        </w:rPr>
      </w:pPr>
      <w:r>
        <w:rPr>
          <w:rFonts w:ascii="宋体" w:hAnsi="宋体"/>
          <w:color w:val="000000"/>
          <w:szCs w:val="21"/>
          <w:highlight w:val="none"/>
        </w:rPr>
        <w:t>（1）已标价工程量清单中的单价子目工程量为估算工程量。结算工程量是承包人实际完成的，并按合同约定的计量方法进行计量的工程量。</w:t>
      </w:r>
    </w:p>
    <w:p w14:paraId="30A8CF46">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（2）承包人对已完成的工程进行计量，向监理人提交进度付款申请单、已完成工程量报表和有关计量资料。</w:t>
      </w:r>
    </w:p>
    <w:p w14:paraId="5724743D">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C8C30C3">
      <w:pPr>
        <w:spacing w:line="360" w:lineRule="auto"/>
        <w:ind w:firstLine="420" w:firstLineChars="200"/>
        <w:rPr>
          <w:rFonts w:ascii="宋体" w:hAnsi="宋体"/>
          <w:color w:val="000000"/>
          <w:szCs w:val="21"/>
          <w:highlight w:val="none"/>
        </w:rPr>
      </w:pPr>
      <w:r>
        <w:rPr>
          <w:rFonts w:ascii="宋体" w:hAnsi="宋体"/>
          <w:color w:val="000000"/>
          <w:szCs w:val="21"/>
          <w:highlight w:val="none"/>
        </w:rPr>
        <w:t>（4）监理人认为有必要时，可通知承包人共同进行联合测量、计量，承包人应遵照执行。</w:t>
      </w:r>
    </w:p>
    <w:p w14:paraId="19377233">
      <w:pPr>
        <w:spacing w:line="360" w:lineRule="auto"/>
        <w:ind w:firstLine="420" w:firstLineChars="200"/>
        <w:rPr>
          <w:rFonts w:ascii="宋体" w:hAnsi="宋体"/>
          <w:color w:val="000000"/>
          <w:szCs w:val="21"/>
          <w:highlight w:val="none"/>
        </w:rPr>
      </w:pPr>
      <w:r>
        <w:rPr>
          <w:rFonts w:ascii="宋体" w:hAnsi="宋体"/>
          <w:color w:val="000000"/>
          <w:szCs w:val="21"/>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F24BB55">
      <w:pPr>
        <w:spacing w:line="360" w:lineRule="auto"/>
        <w:ind w:firstLine="420" w:firstLineChars="200"/>
        <w:rPr>
          <w:rFonts w:ascii="宋体" w:hAnsi="宋体"/>
          <w:color w:val="000000"/>
          <w:szCs w:val="21"/>
          <w:highlight w:val="none"/>
        </w:rPr>
      </w:pPr>
      <w:r>
        <w:rPr>
          <w:rFonts w:ascii="宋体" w:hAnsi="宋体"/>
          <w:color w:val="000000"/>
          <w:szCs w:val="21"/>
          <w:highlight w:val="none"/>
        </w:rPr>
        <w:t>（6）监理人应在收到承包人提交的工程量报表后的7天内进行复核，监理人未在约定时间内复核的，承包人提交的工程量报表中的工程量视为承包人实际完成的工程量，据此计算工程价款。</w:t>
      </w:r>
    </w:p>
    <w:p w14:paraId="3F339D8C">
      <w:pPr>
        <w:spacing w:line="360" w:lineRule="auto"/>
        <w:ind w:firstLine="420" w:firstLineChars="200"/>
        <w:rPr>
          <w:rFonts w:ascii="宋体" w:hAnsi="宋体"/>
          <w:color w:val="000000"/>
          <w:szCs w:val="21"/>
          <w:highlight w:val="none"/>
        </w:rPr>
      </w:pPr>
      <w:r>
        <w:rPr>
          <w:rFonts w:ascii="宋体" w:hAnsi="宋体"/>
          <w:color w:val="000000"/>
          <w:szCs w:val="21"/>
          <w:highlight w:val="none"/>
        </w:rPr>
        <w:t>17.1.5</w:t>
      </w:r>
      <w:r>
        <w:rPr>
          <w:rFonts w:ascii="宋体" w:hAnsi="宋体"/>
          <w:color w:val="000000"/>
          <w:szCs w:val="21"/>
          <w:highlight w:val="none"/>
        </w:rPr>
        <w:tab/>
      </w:r>
      <w:r>
        <w:rPr>
          <w:rFonts w:ascii="宋体" w:hAnsi="宋体"/>
          <w:color w:val="000000"/>
          <w:szCs w:val="21"/>
          <w:highlight w:val="none"/>
        </w:rPr>
        <w:t>总价子目的计量（适用于采用支付分解报告）</w:t>
      </w:r>
    </w:p>
    <w:p w14:paraId="3A2FCC77">
      <w:pPr>
        <w:spacing w:line="360" w:lineRule="auto"/>
        <w:ind w:firstLine="420" w:firstLineChars="200"/>
        <w:rPr>
          <w:rFonts w:ascii="宋体" w:hAnsi="宋体"/>
          <w:color w:val="000000"/>
          <w:szCs w:val="21"/>
          <w:highlight w:val="none"/>
        </w:rPr>
      </w:pPr>
      <w:r>
        <w:rPr>
          <w:rFonts w:ascii="宋体" w:hAnsi="宋体"/>
          <w:color w:val="000000"/>
          <w:szCs w:val="21"/>
          <w:highlight w:val="none"/>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 出修改意见，经监理人批准的支付分解报告为有合同约束力的支付分解表。支付分解表应根 据合同条款第10.2款约定的修订合同进度计划进行修正，修正的程序和期限应当依照本项 上述约定，经修正的支付分解表为有合同约束力的支付分解表。</w:t>
      </w:r>
    </w:p>
    <w:p w14:paraId="56C3CB71">
      <w:pPr>
        <w:spacing w:line="360" w:lineRule="auto"/>
        <w:ind w:firstLine="420" w:firstLineChars="200"/>
        <w:rPr>
          <w:rFonts w:ascii="宋体" w:hAnsi="宋体"/>
          <w:color w:val="000000"/>
          <w:szCs w:val="21"/>
          <w:highlight w:val="none"/>
        </w:rPr>
      </w:pPr>
      <w:r>
        <w:rPr>
          <w:rFonts w:ascii="宋体" w:hAnsi="宋体"/>
          <w:color w:val="000000"/>
          <w:szCs w:val="21"/>
          <w:highlight w:val="none"/>
        </w:rPr>
        <w:t>（1）总价子目的价格调整方法见合同条款专用部分。</w:t>
      </w:r>
    </w:p>
    <w:p w14:paraId="3060A291">
      <w:pPr>
        <w:spacing w:line="360" w:lineRule="auto"/>
        <w:ind w:firstLine="420" w:firstLineChars="200"/>
        <w:rPr>
          <w:rFonts w:ascii="宋体" w:hAnsi="宋体"/>
          <w:color w:val="000000"/>
          <w:szCs w:val="21"/>
          <w:highlight w:val="none"/>
        </w:rPr>
      </w:pPr>
      <w:r>
        <w:rPr>
          <w:rFonts w:ascii="宋体" w:hAnsi="宋体"/>
          <w:color w:val="000000"/>
          <w:szCs w:val="21"/>
          <w:highlight w:val="none"/>
        </w:rPr>
        <w:t>（2）列入每月进度付款申请单中各总价子目的价值为有合同约束力的支付分解表中对应月份的总价子目总价值。</w:t>
      </w:r>
    </w:p>
    <w:p w14:paraId="06495977">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（3）监理人根据有合同约束力的支付分解表复核列入每月进度付款申请单中的总价子目的总价值。</w:t>
      </w:r>
    </w:p>
    <w:p w14:paraId="46F9D3F7">
      <w:pPr>
        <w:spacing w:line="360" w:lineRule="auto"/>
        <w:ind w:firstLine="420" w:firstLineChars="200"/>
        <w:rPr>
          <w:rFonts w:ascii="宋体" w:hAnsi="宋体"/>
          <w:color w:val="000000"/>
          <w:szCs w:val="21"/>
          <w:highlight w:val="none"/>
        </w:rPr>
      </w:pPr>
      <w:r>
        <w:rPr>
          <w:rFonts w:ascii="宋体" w:hAnsi="宋体"/>
          <w:color w:val="000000"/>
          <w:szCs w:val="21"/>
          <w:highlight w:val="none"/>
        </w:rPr>
        <w:t>（4）除按照第15条约定的变更外，在竣工结算时总价子目的工程量不应当重新计量，签约合同价所基于的工程量即是用于竣工结算的最终工程量。</w:t>
      </w:r>
    </w:p>
    <w:p w14:paraId="79458B3C">
      <w:pPr>
        <w:spacing w:line="360" w:lineRule="auto"/>
        <w:ind w:firstLine="420" w:firstLineChars="200"/>
        <w:rPr>
          <w:rFonts w:ascii="宋体" w:hAnsi="宋体"/>
          <w:color w:val="000000"/>
          <w:szCs w:val="21"/>
          <w:highlight w:val="none"/>
        </w:rPr>
      </w:pPr>
      <w:r>
        <w:rPr>
          <w:rFonts w:ascii="宋体" w:hAnsi="宋体"/>
          <w:color w:val="000000"/>
          <w:szCs w:val="21"/>
          <w:highlight w:val="none"/>
        </w:rPr>
        <w:t>17.1.5</w:t>
      </w:r>
      <w:r>
        <w:rPr>
          <w:rFonts w:ascii="宋体" w:hAnsi="宋体"/>
          <w:color w:val="000000"/>
          <w:szCs w:val="21"/>
          <w:highlight w:val="none"/>
        </w:rPr>
        <w:tab/>
      </w:r>
      <w:r>
        <w:rPr>
          <w:rFonts w:ascii="宋体" w:hAnsi="宋体"/>
          <w:color w:val="000000"/>
          <w:szCs w:val="21"/>
          <w:highlight w:val="none"/>
        </w:rPr>
        <w:t>总价子目的计量（适用于采用按实际完成工程量计量）</w:t>
      </w:r>
    </w:p>
    <w:p w14:paraId="7BFB7B33">
      <w:pPr>
        <w:spacing w:line="360" w:lineRule="auto"/>
        <w:ind w:firstLine="420" w:firstLineChars="200"/>
        <w:rPr>
          <w:rFonts w:ascii="宋体" w:hAnsi="宋体"/>
          <w:color w:val="000000"/>
          <w:szCs w:val="21"/>
          <w:highlight w:val="none"/>
        </w:rPr>
      </w:pPr>
      <w:r>
        <w:rPr>
          <w:rFonts w:ascii="宋体" w:hAnsi="宋体"/>
          <w:color w:val="000000"/>
          <w:szCs w:val="21"/>
          <w:highlight w:val="none"/>
        </w:rPr>
        <w:t>（1）总价子目的计量和支付应以总价为基础，对承包人实际完成的工程量进行计量，是进行工程目标管理和控制进度款支付的依据。总价子目的价格调整方法见合同条款专用部分。</w:t>
      </w:r>
    </w:p>
    <w:p w14:paraId="79B23DD9">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在合同条款专用部分第17.1.3（1）目约定的每月计量截止日期后，对已完成的分部分项工程和单价措施项目的子目，按照合同条款专用部分第17.1.2项约定的计量方法进行计量，对已完成的总价措施项目的相关子目，按其总价构成、费用性质和实际发生比例进行计量，向监理人提交进度付款申请单、已完成工程量报表和有关计量资料。</w:t>
      </w:r>
    </w:p>
    <w:p w14:paraId="45FBA472">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61E07191">
      <w:pPr>
        <w:spacing w:line="360" w:lineRule="auto"/>
        <w:ind w:firstLine="420" w:firstLineChars="200"/>
        <w:rPr>
          <w:rFonts w:ascii="宋体" w:hAnsi="宋体"/>
          <w:color w:val="000000"/>
          <w:szCs w:val="21"/>
          <w:highlight w:val="none"/>
        </w:rPr>
      </w:pPr>
      <w:r>
        <w:rPr>
          <w:rFonts w:ascii="宋体" w:hAnsi="宋体"/>
          <w:color w:val="000000"/>
          <w:szCs w:val="21"/>
          <w:highlight w:val="none"/>
        </w:rPr>
        <w:t>（4）监理人应在收到承包人提交的工程量报表后的7天内进行复核，监理人未在约定时间内复核的，承包人提交的工程量报表中的工程量视为承包人实际完成的工程量，据此计算工程价款。</w:t>
      </w:r>
    </w:p>
    <w:p w14:paraId="7A71C4CE">
      <w:pPr>
        <w:spacing w:line="360" w:lineRule="auto"/>
        <w:ind w:firstLine="420" w:firstLineChars="200"/>
        <w:rPr>
          <w:rFonts w:ascii="宋体" w:hAnsi="宋体"/>
          <w:color w:val="000000"/>
          <w:szCs w:val="21"/>
          <w:highlight w:val="none"/>
        </w:rPr>
      </w:pPr>
      <w:r>
        <w:rPr>
          <w:rFonts w:ascii="宋体" w:hAnsi="宋体"/>
          <w:color w:val="000000"/>
          <w:szCs w:val="21"/>
          <w:highlight w:val="none"/>
        </w:rPr>
        <w:t>（5）除按照第15条约定的变更外，在竣工结算时总价子目的工程量不应当重新计量，签约合同价所基于的工程量即是用于竣工结算的最终工程量。</w:t>
      </w:r>
    </w:p>
    <w:p w14:paraId="7997F9B6">
      <w:pPr>
        <w:spacing w:line="360" w:lineRule="auto"/>
        <w:rPr>
          <w:rFonts w:ascii="宋体" w:hAnsi="宋体"/>
          <w:color w:val="000000"/>
          <w:sz w:val="24"/>
          <w:highlight w:val="none"/>
        </w:rPr>
      </w:pPr>
      <w:bookmarkStart w:id="668" w:name="_bookmark202"/>
      <w:bookmarkEnd w:id="668"/>
      <w:r>
        <w:rPr>
          <w:rFonts w:hint="eastAsia" w:ascii="宋体" w:hAnsi="宋体"/>
          <w:color w:val="000000"/>
          <w:sz w:val="24"/>
          <w:highlight w:val="none"/>
        </w:rPr>
        <w:t xml:space="preserve">17.2   </w:t>
      </w:r>
      <w:r>
        <w:rPr>
          <w:rFonts w:ascii="宋体" w:hAnsi="宋体"/>
          <w:color w:val="000000"/>
          <w:sz w:val="24"/>
          <w:highlight w:val="none"/>
        </w:rPr>
        <w:t>预付款</w:t>
      </w:r>
    </w:p>
    <w:p w14:paraId="5653A417">
      <w:pPr>
        <w:spacing w:line="360" w:lineRule="auto"/>
        <w:ind w:left="420"/>
        <w:rPr>
          <w:rFonts w:ascii="宋体" w:hAnsi="宋体"/>
          <w:color w:val="000000"/>
          <w:szCs w:val="21"/>
          <w:highlight w:val="none"/>
        </w:rPr>
      </w:pPr>
      <w:r>
        <w:rPr>
          <w:rFonts w:hint="eastAsia" w:ascii="宋体" w:hAnsi="宋体"/>
          <w:color w:val="000000"/>
          <w:szCs w:val="21"/>
          <w:highlight w:val="none"/>
        </w:rPr>
        <w:t xml:space="preserve">17.2.1  </w:t>
      </w:r>
      <w:r>
        <w:rPr>
          <w:rFonts w:ascii="宋体" w:hAnsi="宋体"/>
          <w:color w:val="000000"/>
          <w:szCs w:val="21"/>
          <w:highlight w:val="none"/>
        </w:rPr>
        <w:t>预付款</w:t>
      </w:r>
    </w:p>
    <w:p w14:paraId="61CAF2A0">
      <w:pPr>
        <w:spacing w:line="360" w:lineRule="auto"/>
        <w:ind w:firstLine="420" w:firstLineChars="200"/>
        <w:rPr>
          <w:rFonts w:ascii="宋体" w:hAnsi="宋体"/>
          <w:color w:val="000000"/>
          <w:szCs w:val="21"/>
          <w:highlight w:val="none"/>
        </w:rPr>
      </w:pPr>
      <w:r>
        <w:rPr>
          <w:rFonts w:ascii="宋体" w:hAnsi="宋体"/>
          <w:color w:val="000000"/>
          <w:szCs w:val="21"/>
          <w:highlight w:val="none"/>
        </w:rPr>
        <w:t>预付款用于承包人为合同工程施工购置材料、工程设备、施工设备、修建临时设施以及组织施工队伍进场等。预付款必须专用于合同工程。预付款的额度和预付办法以及支付时间见合同条款专用部分。</w:t>
      </w:r>
    </w:p>
    <w:p w14:paraId="41CAD006">
      <w:pPr>
        <w:spacing w:line="360" w:lineRule="auto"/>
        <w:ind w:firstLine="420" w:firstLineChars="200"/>
        <w:rPr>
          <w:rFonts w:ascii="宋体" w:hAnsi="宋体"/>
          <w:color w:val="000000"/>
          <w:szCs w:val="21"/>
          <w:highlight w:val="none"/>
        </w:rPr>
      </w:pPr>
      <w:r>
        <w:rPr>
          <w:rFonts w:ascii="宋体" w:hAnsi="宋体"/>
          <w:color w:val="000000"/>
          <w:szCs w:val="21"/>
          <w:highlight w:val="none"/>
        </w:rPr>
        <w:t>安全文明施工费用的预付不受上述预付办法和支付时间约定的制约，发包人应当在不迟于第11.1.1项约定的开工日期前的7天内将安全文明施工费用的预付款一次性拨付给承包人。安全文明施工费用预付款额度见合同条款专用部分。</w:t>
      </w:r>
    </w:p>
    <w:p w14:paraId="1C9B3F3D">
      <w:pPr>
        <w:spacing w:line="360" w:lineRule="auto"/>
        <w:ind w:firstLine="420" w:firstLineChars="200"/>
        <w:rPr>
          <w:rFonts w:ascii="宋体" w:hAnsi="宋体"/>
          <w:color w:val="000000"/>
          <w:szCs w:val="21"/>
          <w:highlight w:val="none"/>
        </w:rPr>
      </w:pPr>
      <w:r>
        <w:rPr>
          <w:rFonts w:ascii="宋体" w:hAnsi="宋体"/>
          <w:color w:val="000000"/>
          <w:szCs w:val="21"/>
          <w:highlight w:val="none"/>
        </w:rPr>
        <w:t>其他预付款约定见合同条款专用部分。</w:t>
      </w:r>
    </w:p>
    <w:p w14:paraId="0AD5BE76">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发包人逾期支付合同约定的预付款，除承担第22.2款约定的违约责任外，还应向承包人支付按第17.3.3(2)目约定的标准和方法计算的逾期付款违约金。</w:t>
      </w:r>
    </w:p>
    <w:p w14:paraId="44F86A4B">
      <w:pPr>
        <w:spacing w:line="360" w:lineRule="auto"/>
        <w:ind w:left="420"/>
        <w:rPr>
          <w:rFonts w:ascii="宋体" w:hAnsi="宋体"/>
          <w:color w:val="000000"/>
          <w:szCs w:val="21"/>
          <w:highlight w:val="none"/>
        </w:rPr>
      </w:pPr>
      <w:r>
        <w:rPr>
          <w:rFonts w:hint="eastAsia" w:ascii="宋体" w:hAnsi="宋体"/>
          <w:color w:val="000000"/>
          <w:szCs w:val="21"/>
          <w:highlight w:val="none"/>
        </w:rPr>
        <w:t xml:space="preserve">17.2.2  </w:t>
      </w:r>
      <w:r>
        <w:rPr>
          <w:rFonts w:ascii="宋体" w:hAnsi="宋体"/>
          <w:color w:val="000000"/>
          <w:szCs w:val="21"/>
          <w:highlight w:val="none"/>
        </w:rPr>
        <w:t>预付款的扣回与还清</w:t>
      </w:r>
    </w:p>
    <w:p w14:paraId="09128648">
      <w:pPr>
        <w:spacing w:line="360" w:lineRule="auto"/>
        <w:ind w:firstLine="420" w:firstLineChars="200"/>
        <w:rPr>
          <w:rFonts w:ascii="宋体" w:hAnsi="宋体"/>
          <w:color w:val="000000"/>
          <w:szCs w:val="21"/>
          <w:highlight w:val="none"/>
        </w:rPr>
      </w:pPr>
      <w:r>
        <w:rPr>
          <w:rFonts w:ascii="宋体" w:hAnsi="宋体"/>
          <w:color w:val="000000"/>
          <w:szCs w:val="21"/>
          <w:highlight w:val="none"/>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26B63320">
      <w:pPr>
        <w:spacing w:line="360" w:lineRule="auto"/>
        <w:rPr>
          <w:rFonts w:ascii="宋体" w:hAnsi="宋体"/>
          <w:color w:val="000000"/>
          <w:sz w:val="24"/>
          <w:highlight w:val="none"/>
        </w:rPr>
      </w:pPr>
      <w:bookmarkStart w:id="669" w:name="_bookmark203"/>
      <w:bookmarkEnd w:id="669"/>
      <w:r>
        <w:rPr>
          <w:rFonts w:ascii="宋体" w:hAnsi="宋体"/>
          <w:color w:val="000000"/>
          <w:sz w:val="24"/>
          <w:highlight w:val="none"/>
        </w:rPr>
        <w:t>17.3</w:t>
      </w:r>
      <w:r>
        <w:rPr>
          <w:rFonts w:ascii="宋体" w:hAnsi="宋体"/>
          <w:color w:val="000000"/>
          <w:sz w:val="24"/>
          <w:highlight w:val="none"/>
        </w:rPr>
        <w:tab/>
      </w:r>
      <w:r>
        <w:rPr>
          <w:rFonts w:ascii="宋体" w:hAnsi="宋体"/>
          <w:color w:val="000000"/>
          <w:sz w:val="24"/>
          <w:highlight w:val="none"/>
        </w:rPr>
        <w:t>工程进度付款</w:t>
      </w:r>
    </w:p>
    <w:p w14:paraId="36D42A97">
      <w:pPr>
        <w:spacing w:line="360" w:lineRule="auto"/>
        <w:ind w:firstLine="420" w:firstLineChars="200"/>
        <w:rPr>
          <w:rFonts w:ascii="宋体" w:hAnsi="宋体"/>
          <w:color w:val="000000"/>
          <w:szCs w:val="21"/>
          <w:highlight w:val="none"/>
        </w:rPr>
      </w:pPr>
      <w:r>
        <w:rPr>
          <w:rFonts w:ascii="宋体" w:hAnsi="宋体"/>
          <w:color w:val="000000"/>
          <w:szCs w:val="21"/>
          <w:highlight w:val="none"/>
        </w:rPr>
        <w:t>17.3.1</w:t>
      </w:r>
      <w:r>
        <w:rPr>
          <w:rFonts w:ascii="宋体" w:hAnsi="宋体"/>
          <w:color w:val="000000"/>
          <w:szCs w:val="21"/>
          <w:highlight w:val="none"/>
        </w:rPr>
        <w:tab/>
      </w:r>
      <w:r>
        <w:rPr>
          <w:rFonts w:ascii="宋体" w:hAnsi="宋体"/>
          <w:color w:val="000000"/>
          <w:szCs w:val="21"/>
          <w:highlight w:val="none"/>
        </w:rPr>
        <w:t>付款周期</w:t>
      </w:r>
    </w:p>
    <w:p w14:paraId="0472C624">
      <w:pPr>
        <w:spacing w:line="360" w:lineRule="auto"/>
        <w:ind w:firstLine="420" w:firstLineChars="200"/>
        <w:rPr>
          <w:rFonts w:ascii="宋体" w:hAnsi="宋体"/>
          <w:color w:val="000000"/>
          <w:szCs w:val="21"/>
          <w:highlight w:val="none"/>
        </w:rPr>
      </w:pPr>
      <w:r>
        <w:rPr>
          <w:rFonts w:ascii="宋体" w:hAnsi="宋体"/>
          <w:color w:val="000000"/>
          <w:szCs w:val="21"/>
          <w:highlight w:val="none"/>
        </w:rPr>
        <w:t>付款周期同计量周期。</w:t>
      </w:r>
    </w:p>
    <w:p w14:paraId="4227FA0B">
      <w:pPr>
        <w:spacing w:line="360" w:lineRule="auto"/>
        <w:ind w:firstLine="420" w:firstLineChars="200"/>
        <w:rPr>
          <w:rFonts w:ascii="宋体" w:hAnsi="宋体"/>
          <w:color w:val="000000"/>
          <w:szCs w:val="21"/>
          <w:highlight w:val="none"/>
        </w:rPr>
      </w:pPr>
      <w:r>
        <w:rPr>
          <w:rFonts w:ascii="宋体" w:hAnsi="宋体"/>
          <w:color w:val="000000"/>
          <w:szCs w:val="21"/>
          <w:highlight w:val="none"/>
        </w:rPr>
        <w:t>17.3.2</w:t>
      </w:r>
      <w:r>
        <w:rPr>
          <w:rFonts w:ascii="宋体" w:hAnsi="宋体"/>
          <w:color w:val="000000"/>
          <w:szCs w:val="21"/>
          <w:highlight w:val="none"/>
        </w:rPr>
        <w:tab/>
      </w:r>
      <w:r>
        <w:rPr>
          <w:rFonts w:ascii="宋体" w:hAnsi="宋体"/>
          <w:color w:val="000000"/>
          <w:szCs w:val="21"/>
          <w:highlight w:val="none"/>
        </w:rPr>
        <w:t>进度付款申请单</w:t>
      </w:r>
    </w:p>
    <w:p w14:paraId="12B03CDC">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承包人应在每个付款周期末，按监理人批准的格式和合同约定的份数，向监理人提交进度付款申请单，并附相应的支持性证明文件。承包人提交进度付款申请单份数见合同条款专用部分。</w:t>
      </w:r>
    </w:p>
    <w:p w14:paraId="0E1B74A1">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承包人报送监理人的进度付款申请单应包括下列内容：</w:t>
      </w:r>
    </w:p>
    <w:p w14:paraId="4E55FA83">
      <w:pPr>
        <w:spacing w:line="360" w:lineRule="auto"/>
        <w:ind w:firstLine="420" w:firstLineChars="200"/>
        <w:rPr>
          <w:rFonts w:ascii="宋体" w:hAnsi="宋体"/>
          <w:color w:val="000000"/>
          <w:szCs w:val="21"/>
          <w:highlight w:val="none"/>
        </w:rPr>
      </w:pPr>
      <w:r>
        <w:rPr>
          <w:rFonts w:ascii="宋体" w:hAnsi="宋体"/>
          <w:color w:val="000000"/>
          <w:szCs w:val="21"/>
          <w:highlight w:val="none"/>
        </w:rPr>
        <w:t>（1）截至本次付款周期末已实施工程的价款；</w:t>
      </w:r>
    </w:p>
    <w:p w14:paraId="53784C01">
      <w:pPr>
        <w:spacing w:line="360" w:lineRule="auto"/>
        <w:ind w:firstLine="420" w:firstLineChars="200"/>
        <w:rPr>
          <w:rFonts w:ascii="宋体" w:hAnsi="宋体"/>
          <w:color w:val="000000"/>
          <w:szCs w:val="21"/>
          <w:highlight w:val="none"/>
        </w:rPr>
      </w:pPr>
      <w:r>
        <w:rPr>
          <w:rFonts w:ascii="宋体" w:hAnsi="宋体"/>
          <w:color w:val="000000"/>
          <w:szCs w:val="21"/>
          <w:highlight w:val="none"/>
        </w:rPr>
        <w:t>（2）根据第15条应增加和扣减的变更金额；</w:t>
      </w:r>
    </w:p>
    <w:p w14:paraId="4908A917">
      <w:pPr>
        <w:spacing w:line="360" w:lineRule="auto"/>
        <w:ind w:firstLine="420" w:firstLineChars="200"/>
        <w:rPr>
          <w:rFonts w:ascii="宋体" w:hAnsi="宋体"/>
          <w:color w:val="000000"/>
          <w:szCs w:val="21"/>
          <w:highlight w:val="none"/>
        </w:rPr>
      </w:pPr>
      <w:r>
        <w:rPr>
          <w:rFonts w:ascii="宋体" w:hAnsi="宋体"/>
          <w:color w:val="000000"/>
          <w:szCs w:val="21"/>
          <w:highlight w:val="none"/>
        </w:rPr>
        <w:t>（3）根据第23条应增加和扣减的索赔金额；</w:t>
      </w:r>
    </w:p>
    <w:p w14:paraId="6C4BB251">
      <w:pPr>
        <w:spacing w:line="360" w:lineRule="auto"/>
        <w:ind w:firstLine="420" w:firstLineChars="200"/>
        <w:rPr>
          <w:rFonts w:ascii="宋体" w:hAnsi="宋体"/>
          <w:color w:val="000000"/>
          <w:szCs w:val="21"/>
          <w:highlight w:val="none"/>
        </w:rPr>
      </w:pPr>
      <w:r>
        <w:rPr>
          <w:rFonts w:ascii="宋体" w:hAnsi="宋体"/>
          <w:color w:val="000000"/>
          <w:szCs w:val="21"/>
          <w:highlight w:val="none"/>
        </w:rPr>
        <w:t>（4）根据第17.2款约定应支付的预付款和扣减的返还预付款；</w:t>
      </w:r>
    </w:p>
    <w:p w14:paraId="2F04BAE6">
      <w:pPr>
        <w:spacing w:line="360" w:lineRule="auto"/>
        <w:ind w:firstLine="420" w:firstLineChars="200"/>
        <w:rPr>
          <w:rFonts w:ascii="宋体" w:hAnsi="宋体"/>
          <w:color w:val="000000"/>
          <w:szCs w:val="21"/>
          <w:highlight w:val="none"/>
        </w:rPr>
      </w:pPr>
      <w:r>
        <w:rPr>
          <w:rFonts w:ascii="宋体" w:hAnsi="宋体"/>
          <w:color w:val="000000"/>
          <w:szCs w:val="21"/>
          <w:highlight w:val="none"/>
        </w:rPr>
        <w:t>（5）根据第17.4.1项约定应扣减的质量保证金；</w:t>
      </w:r>
    </w:p>
    <w:p w14:paraId="6382CB91">
      <w:pPr>
        <w:spacing w:line="360" w:lineRule="auto"/>
        <w:ind w:firstLine="420" w:firstLineChars="200"/>
        <w:rPr>
          <w:rFonts w:ascii="宋体" w:hAnsi="宋体"/>
          <w:color w:val="000000"/>
          <w:szCs w:val="21"/>
          <w:highlight w:val="none"/>
        </w:rPr>
      </w:pPr>
      <w:r>
        <w:rPr>
          <w:rFonts w:ascii="宋体" w:hAnsi="宋体"/>
          <w:color w:val="000000"/>
          <w:szCs w:val="21"/>
          <w:highlight w:val="none"/>
        </w:rPr>
        <w:t>（6）根据合同应增加和（或）扣减的其他内容金额见合同条款专用部分。</w:t>
      </w:r>
    </w:p>
    <w:p w14:paraId="2BC8547E">
      <w:pPr>
        <w:spacing w:line="360" w:lineRule="auto"/>
        <w:ind w:firstLine="420" w:firstLineChars="200"/>
        <w:rPr>
          <w:rFonts w:ascii="宋体" w:hAnsi="宋体"/>
          <w:color w:val="000000"/>
          <w:szCs w:val="21"/>
          <w:highlight w:val="none"/>
        </w:rPr>
      </w:pPr>
      <w:r>
        <w:rPr>
          <w:rFonts w:ascii="宋体" w:hAnsi="宋体"/>
          <w:color w:val="000000"/>
          <w:szCs w:val="21"/>
          <w:highlight w:val="none"/>
        </w:rPr>
        <w:t>17.3.3</w:t>
      </w:r>
      <w:r>
        <w:rPr>
          <w:rFonts w:ascii="宋体" w:hAnsi="宋体"/>
          <w:color w:val="000000"/>
          <w:szCs w:val="21"/>
          <w:highlight w:val="none"/>
        </w:rPr>
        <w:tab/>
      </w:r>
      <w:r>
        <w:rPr>
          <w:rFonts w:ascii="宋体" w:hAnsi="宋体"/>
          <w:color w:val="000000"/>
          <w:szCs w:val="21"/>
          <w:highlight w:val="none"/>
        </w:rPr>
        <w:t>进度付款证书和支付时间</w:t>
      </w:r>
    </w:p>
    <w:p w14:paraId="3F5E1EF2">
      <w:pPr>
        <w:spacing w:line="360" w:lineRule="auto"/>
        <w:ind w:firstLine="420" w:firstLineChars="200"/>
        <w:rPr>
          <w:rFonts w:ascii="宋体" w:hAnsi="宋体"/>
          <w:color w:val="000000"/>
          <w:szCs w:val="21"/>
          <w:highlight w:val="none"/>
        </w:rPr>
      </w:pPr>
      <w:r>
        <w:rPr>
          <w:rFonts w:ascii="宋体" w:hAnsi="宋体"/>
          <w:color w:val="000000"/>
          <w:szCs w:val="21"/>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8D5F419">
      <w:pPr>
        <w:spacing w:line="360" w:lineRule="auto"/>
        <w:ind w:firstLine="420" w:firstLineChars="200"/>
        <w:rPr>
          <w:rFonts w:ascii="宋体" w:hAnsi="宋体"/>
          <w:color w:val="000000"/>
          <w:szCs w:val="21"/>
          <w:highlight w:val="none"/>
        </w:rPr>
      </w:pPr>
      <w:r>
        <w:rPr>
          <w:rFonts w:ascii="宋体" w:hAnsi="宋体"/>
          <w:color w:val="000000"/>
          <w:szCs w:val="21"/>
          <w:highlight w:val="none"/>
        </w:rPr>
        <w:t>（2）发包人应在监理人收到进度付款申请单后的28天内，将进度应付款支付给承包人。发包人未按第17.2.1(2)目、第17.3.3(2)目、第17.5.2(2)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见合同条款专用部分。</w:t>
      </w:r>
    </w:p>
    <w:p w14:paraId="63020FD0">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（3）监理人出具进度付款证书，不应视为监理人已同意、批准或接受了承包人完成的该部分工作。</w:t>
      </w:r>
    </w:p>
    <w:p w14:paraId="61258942">
      <w:pPr>
        <w:spacing w:line="360" w:lineRule="auto"/>
        <w:ind w:firstLine="420" w:firstLineChars="200"/>
        <w:rPr>
          <w:rFonts w:ascii="宋体" w:hAnsi="宋体"/>
          <w:color w:val="000000"/>
          <w:szCs w:val="21"/>
          <w:highlight w:val="none"/>
        </w:rPr>
      </w:pPr>
      <w:r>
        <w:rPr>
          <w:rFonts w:ascii="宋体" w:hAnsi="宋体"/>
          <w:color w:val="000000"/>
          <w:szCs w:val="21"/>
          <w:highlight w:val="none"/>
        </w:rPr>
        <w:t>（4）进度付款涉及政府投资资金的，按照国库集中支付等国家相关规定和合同约定办理。进度付款涉及政府性资金的支付方法见合同条款专用部分。</w:t>
      </w:r>
    </w:p>
    <w:p w14:paraId="780F9BFD">
      <w:pPr>
        <w:spacing w:line="360" w:lineRule="auto"/>
        <w:ind w:firstLine="420" w:firstLineChars="200"/>
        <w:rPr>
          <w:rFonts w:ascii="宋体" w:hAnsi="宋体"/>
          <w:color w:val="000000"/>
          <w:szCs w:val="21"/>
          <w:highlight w:val="none"/>
        </w:rPr>
      </w:pPr>
      <w:r>
        <w:rPr>
          <w:rFonts w:ascii="宋体" w:hAnsi="宋体"/>
          <w:color w:val="000000"/>
          <w:szCs w:val="21"/>
          <w:highlight w:val="none"/>
        </w:rPr>
        <w:t>17.3.4</w:t>
      </w:r>
      <w:r>
        <w:rPr>
          <w:rFonts w:ascii="宋体" w:hAnsi="宋体"/>
          <w:color w:val="000000"/>
          <w:szCs w:val="21"/>
          <w:highlight w:val="none"/>
        </w:rPr>
        <w:tab/>
      </w:r>
      <w:r>
        <w:rPr>
          <w:rFonts w:ascii="宋体" w:hAnsi="宋体"/>
          <w:color w:val="000000"/>
          <w:szCs w:val="21"/>
          <w:highlight w:val="none"/>
        </w:rPr>
        <w:t xml:space="preserve">工程进度付款的修正 </w:t>
      </w:r>
    </w:p>
    <w:p w14:paraId="09E03226">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8F08B62">
      <w:pPr>
        <w:spacing w:line="360" w:lineRule="auto"/>
        <w:ind w:firstLine="420" w:firstLineChars="200"/>
        <w:rPr>
          <w:rFonts w:ascii="宋体" w:hAnsi="宋体"/>
          <w:color w:val="000000"/>
          <w:szCs w:val="21"/>
          <w:highlight w:val="none"/>
        </w:rPr>
      </w:pPr>
      <w:r>
        <w:rPr>
          <w:rFonts w:ascii="宋体" w:hAnsi="宋体"/>
          <w:color w:val="000000"/>
          <w:szCs w:val="21"/>
          <w:highlight w:val="none"/>
        </w:rPr>
        <w:t>17.3.5</w:t>
      </w:r>
      <w:r>
        <w:rPr>
          <w:rFonts w:ascii="宋体" w:hAnsi="宋体"/>
          <w:color w:val="000000"/>
          <w:szCs w:val="21"/>
          <w:highlight w:val="none"/>
        </w:rPr>
        <w:tab/>
      </w:r>
      <w:r>
        <w:rPr>
          <w:rFonts w:ascii="宋体" w:hAnsi="宋体"/>
          <w:color w:val="000000"/>
          <w:szCs w:val="21"/>
          <w:highlight w:val="none"/>
        </w:rPr>
        <w:t xml:space="preserve">临时付款证书 </w:t>
      </w:r>
    </w:p>
    <w:p w14:paraId="3F20158E">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4CE7B23D">
      <w:pPr>
        <w:spacing w:line="360" w:lineRule="auto"/>
        <w:ind w:firstLine="420" w:firstLineChars="200"/>
        <w:rPr>
          <w:rFonts w:ascii="宋体" w:hAnsi="宋体"/>
          <w:color w:val="000000"/>
          <w:szCs w:val="21"/>
          <w:highlight w:val="none"/>
        </w:rPr>
      </w:pPr>
      <w:r>
        <w:rPr>
          <w:rFonts w:ascii="宋体" w:hAnsi="宋体"/>
          <w:color w:val="000000"/>
          <w:szCs w:val="21"/>
          <w:highlight w:val="none"/>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6FADBD34">
      <w:pPr>
        <w:spacing w:line="360" w:lineRule="auto"/>
        <w:ind w:firstLine="420" w:firstLineChars="200"/>
        <w:rPr>
          <w:rFonts w:ascii="宋体" w:hAnsi="宋体"/>
          <w:color w:val="000000"/>
          <w:szCs w:val="21"/>
          <w:highlight w:val="none"/>
        </w:rPr>
      </w:pPr>
      <w:r>
        <w:rPr>
          <w:rFonts w:ascii="宋体" w:hAnsi="宋体"/>
          <w:color w:val="000000"/>
          <w:szCs w:val="21"/>
          <w:highlight w:val="none"/>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77405512">
      <w:pPr>
        <w:spacing w:line="360" w:lineRule="auto"/>
        <w:rPr>
          <w:rFonts w:ascii="宋体" w:hAnsi="宋体"/>
          <w:color w:val="000000"/>
          <w:sz w:val="24"/>
          <w:highlight w:val="none"/>
        </w:rPr>
      </w:pPr>
      <w:bookmarkStart w:id="670" w:name="_bookmark204"/>
      <w:bookmarkEnd w:id="670"/>
      <w:r>
        <w:rPr>
          <w:rFonts w:ascii="宋体" w:hAnsi="宋体"/>
          <w:color w:val="000000"/>
          <w:sz w:val="24"/>
          <w:highlight w:val="none"/>
        </w:rPr>
        <w:t>17.4 质量保证金</w:t>
      </w:r>
    </w:p>
    <w:p w14:paraId="7A0C8401">
      <w:pPr>
        <w:spacing w:line="360" w:lineRule="auto"/>
        <w:ind w:firstLine="420" w:firstLineChars="200"/>
        <w:rPr>
          <w:rFonts w:ascii="宋体" w:hAnsi="宋体"/>
          <w:color w:val="000000"/>
          <w:szCs w:val="21"/>
          <w:highlight w:val="none"/>
        </w:rPr>
      </w:pPr>
      <w:r>
        <w:rPr>
          <w:rFonts w:ascii="宋体" w:hAnsi="宋体"/>
          <w:color w:val="000000"/>
          <w:szCs w:val="21"/>
          <w:highlight w:val="none"/>
        </w:rPr>
        <w:t>17.4.1</w:t>
      </w:r>
      <w:r>
        <w:rPr>
          <w:rFonts w:ascii="宋体" w:hAnsi="宋体"/>
          <w:color w:val="000000"/>
          <w:szCs w:val="21"/>
          <w:highlight w:val="none"/>
        </w:rPr>
        <w:tab/>
      </w:r>
      <w:r>
        <w:rPr>
          <w:rFonts w:ascii="宋体" w:hAnsi="宋体"/>
          <w:color w:val="000000"/>
          <w:szCs w:val="21"/>
          <w:highlight w:val="none"/>
        </w:rPr>
        <w:t>质量保证金处理</w:t>
      </w:r>
    </w:p>
    <w:p w14:paraId="4D310CEE">
      <w:pPr>
        <w:spacing w:line="360" w:lineRule="auto"/>
        <w:ind w:firstLine="420" w:firstLineChars="200"/>
        <w:rPr>
          <w:rFonts w:ascii="宋体" w:hAnsi="宋体"/>
          <w:color w:val="000000"/>
          <w:szCs w:val="21"/>
          <w:highlight w:val="none"/>
        </w:rPr>
      </w:pPr>
      <w:r>
        <w:rPr>
          <w:rFonts w:ascii="宋体" w:hAnsi="宋体"/>
          <w:color w:val="000000"/>
          <w:szCs w:val="21"/>
          <w:highlight w:val="none"/>
        </w:rPr>
        <w:t>（1）合同条款专用部分第4.2.1项约定不提交履约担保，采用扣留质量保证金的，质量保证金由监理人从第一个付款周期开始按进度付款证书确认的已实施工程的价款、根据合同条款第</w:t>
      </w:r>
      <w:r>
        <w:rPr>
          <w:rFonts w:hint="eastAsia" w:ascii="宋体" w:hAnsi="宋体"/>
          <w:color w:val="000000"/>
          <w:szCs w:val="21"/>
          <w:highlight w:val="none"/>
        </w:rPr>
        <w:t>15</w:t>
      </w:r>
      <w:r>
        <w:rPr>
          <w:rFonts w:ascii="宋体" w:hAnsi="宋体"/>
          <w:color w:val="000000"/>
          <w:szCs w:val="21"/>
          <w:highlight w:val="none"/>
        </w:rPr>
        <w:t>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14:paraId="6DC9D5F5">
      <w:pPr>
        <w:spacing w:line="360" w:lineRule="auto"/>
        <w:ind w:firstLine="420" w:firstLineChars="200"/>
        <w:rPr>
          <w:rFonts w:ascii="宋体" w:hAnsi="宋体"/>
          <w:color w:val="000000"/>
          <w:szCs w:val="21"/>
          <w:highlight w:val="none"/>
        </w:rPr>
      </w:pPr>
      <w:r>
        <w:rPr>
          <w:rFonts w:ascii="宋体" w:hAnsi="宋体"/>
          <w:color w:val="000000"/>
          <w:szCs w:val="21"/>
          <w:highlight w:val="none"/>
        </w:rPr>
        <w:t>（2）合同条款专用部分第4.2.1项约定提交履约担保，采用扣留质量保证金的，在第17.5款竣工结算中，应当按照竣工结算合同总价约定的比例扣留质量保证金，当应支付的竣工付款金额不足应扣留的质量保证金金额时，承包人应返款差额部分；采用质量保证金保 函担保形式的，工程竣工前，不得扣留质量保证金；</w:t>
      </w:r>
    </w:p>
    <w:p w14:paraId="73220D7D">
      <w:pPr>
        <w:spacing w:line="360" w:lineRule="auto"/>
        <w:ind w:firstLine="420" w:firstLineChars="200"/>
        <w:rPr>
          <w:rFonts w:ascii="宋体" w:hAnsi="宋体"/>
          <w:color w:val="000000"/>
          <w:szCs w:val="21"/>
          <w:highlight w:val="none"/>
        </w:rPr>
      </w:pPr>
      <w:r>
        <w:rPr>
          <w:rFonts w:ascii="宋体" w:hAnsi="宋体"/>
          <w:color w:val="000000"/>
          <w:szCs w:val="21"/>
          <w:highlight w:val="none"/>
        </w:rPr>
        <w:t>（3）质量保证金的形式与约定比例见合同条款专用部分。</w:t>
      </w:r>
    </w:p>
    <w:p w14:paraId="7C6C6D6A">
      <w:pPr>
        <w:spacing w:line="360" w:lineRule="auto"/>
        <w:ind w:firstLine="420" w:firstLineChars="200"/>
        <w:rPr>
          <w:rFonts w:ascii="宋体" w:hAnsi="宋体"/>
          <w:color w:val="000000"/>
          <w:szCs w:val="21"/>
          <w:highlight w:val="none"/>
        </w:rPr>
      </w:pPr>
      <w:r>
        <w:rPr>
          <w:rFonts w:ascii="宋体" w:hAnsi="宋体"/>
          <w:color w:val="000000"/>
          <w:szCs w:val="21"/>
          <w:highlight w:val="none"/>
        </w:rPr>
        <w:t>17.4.2</w:t>
      </w:r>
      <w:r>
        <w:rPr>
          <w:rFonts w:ascii="宋体" w:hAnsi="宋体"/>
          <w:color w:val="000000"/>
          <w:szCs w:val="21"/>
          <w:highlight w:val="none"/>
        </w:rPr>
        <w:tab/>
      </w:r>
      <w:r>
        <w:rPr>
          <w:rFonts w:ascii="宋体" w:hAnsi="宋体"/>
          <w:color w:val="000000"/>
          <w:szCs w:val="21"/>
          <w:highlight w:val="none"/>
        </w:rPr>
        <w:t>在第 1.1.4.5 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66AE8932">
      <w:pPr>
        <w:spacing w:line="360" w:lineRule="auto"/>
        <w:ind w:firstLine="420" w:firstLineChars="200"/>
        <w:rPr>
          <w:rFonts w:ascii="宋体" w:hAnsi="宋体"/>
          <w:color w:val="000000"/>
          <w:szCs w:val="21"/>
          <w:highlight w:val="none"/>
        </w:rPr>
      </w:pPr>
      <w:r>
        <w:rPr>
          <w:rFonts w:ascii="宋体" w:hAnsi="宋体"/>
          <w:color w:val="000000"/>
          <w:szCs w:val="21"/>
          <w:highlight w:val="none"/>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50D22F96">
      <w:pPr>
        <w:spacing w:line="360" w:lineRule="auto"/>
        <w:rPr>
          <w:rFonts w:ascii="宋体" w:hAnsi="宋体"/>
          <w:color w:val="000000"/>
          <w:sz w:val="24"/>
          <w:highlight w:val="none"/>
        </w:rPr>
      </w:pPr>
      <w:bookmarkStart w:id="671" w:name="_bookmark205"/>
      <w:bookmarkEnd w:id="671"/>
      <w:r>
        <w:rPr>
          <w:rFonts w:hint="eastAsia" w:ascii="宋体" w:hAnsi="宋体"/>
          <w:color w:val="000000"/>
          <w:sz w:val="24"/>
          <w:highlight w:val="none"/>
        </w:rPr>
        <w:t xml:space="preserve">17.5  </w:t>
      </w:r>
      <w:r>
        <w:rPr>
          <w:rFonts w:ascii="宋体" w:hAnsi="宋体"/>
          <w:color w:val="000000"/>
          <w:sz w:val="24"/>
          <w:highlight w:val="none"/>
        </w:rPr>
        <w:t>竣工结算</w:t>
      </w:r>
    </w:p>
    <w:p w14:paraId="2A7860F7">
      <w:pPr>
        <w:spacing w:line="360" w:lineRule="auto"/>
        <w:ind w:firstLine="420" w:firstLineChars="200"/>
        <w:rPr>
          <w:rFonts w:ascii="宋体" w:hAnsi="宋体"/>
          <w:color w:val="000000"/>
          <w:szCs w:val="21"/>
          <w:highlight w:val="none"/>
        </w:rPr>
      </w:pPr>
      <w:r>
        <w:rPr>
          <w:rFonts w:ascii="宋体" w:hAnsi="宋体"/>
          <w:color w:val="000000"/>
          <w:szCs w:val="21"/>
          <w:highlight w:val="none"/>
        </w:rPr>
        <w:t>17.5.1</w:t>
      </w:r>
      <w:r>
        <w:rPr>
          <w:rFonts w:ascii="宋体" w:hAnsi="宋体"/>
          <w:color w:val="000000"/>
          <w:szCs w:val="21"/>
          <w:highlight w:val="none"/>
        </w:rPr>
        <w:tab/>
      </w:r>
      <w:r>
        <w:rPr>
          <w:rFonts w:ascii="宋体" w:hAnsi="宋体"/>
          <w:color w:val="000000"/>
          <w:szCs w:val="21"/>
          <w:highlight w:val="none"/>
        </w:rPr>
        <w:t>竣工付款申请单</w:t>
      </w:r>
    </w:p>
    <w:p w14:paraId="672CA48B">
      <w:pPr>
        <w:spacing w:line="360" w:lineRule="auto"/>
        <w:ind w:firstLine="420" w:firstLineChars="200"/>
        <w:rPr>
          <w:rFonts w:ascii="宋体" w:hAnsi="宋体"/>
          <w:color w:val="000000"/>
          <w:szCs w:val="21"/>
          <w:highlight w:val="none"/>
        </w:rPr>
      </w:pPr>
      <w:r>
        <w:rPr>
          <w:rFonts w:ascii="宋体" w:hAnsi="宋体"/>
          <w:color w:val="000000"/>
          <w:szCs w:val="21"/>
          <w:highlight w:val="none"/>
        </w:rPr>
        <w:t>（1）工程接收证书颁发后，承包人应按合同约定的份数和期限向监理人提交竣工付款申请单，并提供相关证明材料。承包人提交竣工付款申请单份数和期限见合同条款专用部分。</w:t>
      </w:r>
    </w:p>
    <w:p w14:paraId="36B146E8">
      <w:pPr>
        <w:spacing w:line="360" w:lineRule="auto"/>
        <w:ind w:firstLine="420" w:firstLineChars="200"/>
        <w:rPr>
          <w:rFonts w:ascii="宋体" w:hAnsi="宋体"/>
          <w:color w:val="000000"/>
          <w:szCs w:val="21"/>
          <w:highlight w:val="none"/>
        </w:rPr>
      </w:pPr>
      <w:r>
        <w:rPr>
          <w:rFonts w:ascii="宋体" w:hAnsi="宋体"/>
          <w:color w:val="000000"/>
          <w:szCs w:val="21"/>
          <w:highlight w:val="none"/>
        </w:rPr>
        <w:t>（2）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49FA0706">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（3）监理人对竣工付款申请单有异议的，有权要求承包人进行修正和提供补充资料。经监理人和承包人协商后，由承包人向监理人提交修正后的竣工付款申请单。</w:t>
      </w:r>
    </w:p>
    <w:p w14:paraId="17EC5BBB">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（4）承包人未按本项约定的期限和内容提交竣工付款申请单或者未按第17.5.1（3)目 约定提交修正后的竣工付款申请单，经监理人催促后14天内仍未提交或者没有明确答复的， 监理人和发包人有权根据已有资料进行审查，审查确定的竣工结算合同总价和竣工付款金额 视同是经承包人认可的工程竣工结算合同总价和竣工付款金额。</w:t>
      </w:r>
    </w:p>
    <w:p w14:paraId="6187D3A6">
      <w:pPr>
        <w:spacing w:line="360" w:lineRule="auto"/>
        <w:ind w:firstLine="420" w:firstLineChars="200"/>
        <w:rPr>
          <w:rFonts w:ascii="宋体" w:hAnsi="宋体"/>
          <w:color w:val="000000"/>
          <w:szCs w:val="21"/>
          <w:highlight w:val="none"/>
        </w:rPr>
      </w:pPr>
      <w:r>
        <w:rPr>
          <w:rFonts w:ascii="宋体" w:hAnsi="宋体"/>
          <w:color w:val="000000"/>
          <w:szCs w:val="21"/>
          <w:highlight w:val="none"/>
        </w:rPr>
        <w:t>17.5.2</w:t>
      </w:r>
      <w:r>
        <w:rPr>
          <w:rFonts w:ascii="宋体" w:hAnsi="宋体"/>
          <w:color w:val="000000"/>
          <w:szCs w:val="21"/>
          <w:highlight w:val="none"/>
        </w:rPr>
        <w:tab/>
      </w:r>
      <w:r>
        <w:rPr>
          <w:rFonts w:ascii="宋体" w:hAnsi="宋体"/>
          <w:color w:val="000000"/>
          <w:szCs w:val="21"/>
          <w:highlight w:val="none"/>
        </w:rPr>
        <w:t>竣工付款证书及支付时间</w:t>
      </w:r>
    </w:p>
    <w:p w14:paraId="32CF626B">
      <w:pPr>
        <w:spacing w:line="360" w:lineRule="auto"/>
        <w:ind w:firstLine="420" w:firstLineChars="200"/>
        <w:rPr>
          <w:rFonts w:ascii="宋体" w:hAnsi="宋体"/>
          <w:color w:val="000000"/>
          <w:szCs w:val="21"/>
          <w:highlight w:val="none"/>
        </w:rPr>
      </w:pPr>
      <w:r>
        <w:rPr>
          <w:rFonts w:ascii="宋体" w:hAnsi="宋体"/>
          <w:color w:val="000000"/>
          <w:szCs w:val="21"/>
          <w:highlight w:val="none"/>
        </w:rPr>
        <w:t>（1）监理人在收到承包人提交的竣工付款申请单后的 14 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58FF77EA">
      <w:pPr>
        <w:spacing w:line="360" w:lineRule="auto"/>
        <w:ind w:firstLine="420" w:firstLineChars="200"/>
        <w:rPr>
          <w:rFonts w:ascii="宋体" w:hAnsi="宋体"/>
          <w:color w:val="000000"/>
          <w:szCs w:val="21"/>
          <w:highlight w:val="none"/>
        </w:rPr>
      </w:pPr>
      <w:r>
        <w:rPr>
          <w:rFonts w:ascii="宋体" w:hAnsi="宋体"/>
          <w:color w:val="000000"/>
          <w:szCs w:val="21"/>
          <w:highlight w:val="none"/>
        </w:rPr>
        <w:t>（2）发包人应在监理人出具竣工付款证书后的 14 天内，将应支付款支付给承包人。发包人不按期支付的，按第17.3.3（2）目的约定，将逾期付款违约金支付给承包人。</w:t>
      </w:r>
    </w:p>
    <w:p w14:paraId="5BA82C11">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（3）承包人对发包人签认的竣工付款证书有异议的，发包人可出具竣工付款申请单中与承包人达成一致意见部分的临时付款证书。存在争议的部分，按第24条“争议的解决”的约定办理。</w:t>
      </w:r>
    </w:p>
    <w:p w14:paraId="5DAF5CC5">
      <w:pPr>
        <w:spacing w:line="360" w:lineRule="auto"/>
        <w:ind w:firstLine="420" w:firstLineChars="200"/>
        <w:rPr>
          <w:rFonts w:ascii="宋体" w:hAnsi="宋体"/>
          <w:color w:val="000000"/>
          <w:szCs w:val="21"/>
          <w:highlight w:val="none"/>
        </w:rPr>
      </w:pPr>
      <w:r>
        <w:rPr>
          <w:rFonts w:ascii="宋体" w:hAnsi="宋体"/>
          <w:color w:val="000000"/>
          <w:szCs w:val="21"/>
          <w:highlight w:val="none"/>
        </w:rPr>
        <w:t>（4）竣工付款涉及政府投资资金的，按第17.3.3（4）目的约定办理。</w:t>
      </w:r>
    </w:p>
    <w:p w14:paraId="2B86CE2E">
      <w:pPr>
        <w:spacing w:line="360" w:lineRule="auto"/>
        <w:ind w:firstLine="420" w:firstLineChars="200"/>
        <w:rPr>
          <w:rFonts w:ascii="宋体" w:hAnsi="宋体"/>
          <w:color w:val="000000"/>
          <w:szCs w:val="21"/>
          <w:highlight w:val="none"/>
        </w:rPr>
      </w:pPr>
      <w:r>
        <w:rPr>
          <w:rFonts w:ascii="宋体" w:hAnsi="宋体"/>
          <w:color w:val="000000"/>
          <w:szCs w:val="21"/>
          <w:highlight w:val="none"/>
        </w:rPr>
        <w:t>17.5.3</w:t>
      </w:r>
      <w:r>
        <w:rPr>
          <w:rFonts w:ascii="宋体" w:hAnsi="宋体"/>
          <w:color w:val="000000"/>
          <w:szCs w:val="21"/>
          <w:highlight w:val="none"/>
        </w:rPr>
        <w:tab/>
      </w:r>
      <w:r>
        <w:rPr>
          <w:rFonts w:ascii="宋体" w:hAnsi="宋体"/>
          <w:color w:val="000000"/>
          <w:szCs w:val="21"/>
          <w:highlight w:val="none"/>
        </w:rPr>
        <w:t>除第17.5.4项约定的情况外，发包人和承包人应当在监理人颁发（出具）工程接收证书后56天内办清竣工结算和竣工付款。</w:t>
      </w:r>
    </w:p>
    <w:p w14:paraId="6DA081AA">
      <w:pPr>
        <w:spacing w:line="360" w:lineRule="auto"/>
        <w:ind w:firstLine="420" w:firstLineChars="200"/>
        <w:rPr>
          <w:rFonts w:ascii="宋体" w:hAnsi="宋体"/>
          <w:color w:val="000000"/>
          <w:szCs w:val="21"/>
          <w:highlight w:val="none"/>
        </w:rPr>
      </w:pPr>
      <w:r>
        <w:rPr>
          <w:rFonts w:ascii="宋体" w:hAnsi="宋体"/>
          <w:color w:val="000000"/>
          <w:szCs w:val="21"/>
          <w:highlight w:val="none"/>
        </w:rPr>
        <w:t>17.5.4 政府投资或者以政府投资为主的建设项目纳入审计项目计划的，发包人和承包人均负有配合、接受审计机关审计的义务，竣工结算应当依据审计结论，办清竣工结算和竣工付款的时间按照相关规定执行。</w:t>
      </w:r>
    </w:p>
    <w:p w14:paraId="419B577C">
      <w:pPr>
        <w:spacing w:line="360" w:lineRule="auto"/>
        <w:jc w:val="left"/>
        <w:rPr>
          <w:rFonts w:ascii="宋体" w:hAnsi="宋体"/>
          <w:color w:val="000000"/>
          <w:sz w:val="24"/>
          <w:highlight w:val="none"/>
        </w:rPr>
      </w:pPr>
      <w:bookmarkStart w:id="672" w:name="_bookmark206"/>
      <w:bookmarkEnd w:id="672"/>
      <w:r>
        <w:rPr>
          <w:rFonts w:hint="eastAsia" w:ascii="宋体" w:hAnsi="宋体"/>
          <w:color w:val="000000"/>
          <w:sz w:val="24"/>
          <w:highlight w:val="none"/>
        </w:rPr>
        <w:t xml:space="preserve">17.6  </w:t>
      </w:r>
      <w:r>
        <w:rPr>
          <w:rFonts w:ascii="宋体" w:hAnsi="宋体"/>
          <w:color w:val="000000"/>
          <w:sz w:val="24"/>
          <w:highlight w:val="none"/>
        </w:rPr>
        <w:t>最终结清</w:t>
      </w:r>
    </w:p>
    <w:p w14:paraId="7F780C48">
      <w:pPr>
        <w:spacing w:line="360" w:lineRule="auto"/>
        <w:ind w:firstLine="420" w:firstLineChars="200"/>
        <w:rPr>
          <w:rFonts w:ascii="宋体" w:hAnsi="宋体"/>
          <w:color w:val="000000"/>
          <w:szCs w:val="21"/>
          <w:highlight w:val="none"/>
        </w:rPr>
      </w:pPr>
      <w:r>
        <w:rPr>
          <w:rFonts w:ascii="宋体" w:hAnsi="宋体"/>
          <w:color w:val="000000"/>
          <w:szCs w:val="21"/>
          <w:highlight w:val="none"/>
        </w:rPr>
        <w:t>17.6.1</w:t>
      </w:r>
      <w:r>
        <w:rPr>
          <w:rFonts w:ascii="宋体" w:hAnsi="宋体"/>
          <w:color w:val="000000"/>
          <w:szCs w:val="21"/>
          <w:highlight w:val="none"/>
        </w:rPr>
        <w:tab/>
      </w:r>
      <w:r>
        <w:rPr>
          <w:rFonts w:ascii="宋体" w:hAnsi="宋体"/>
          <w:color w:val="000000"/>
          <w:szCs w:val="21"/>
          <w:highlight w:val="none"/>
        </w:rPr>
        <w:t>最终结清申请单</w:t>
      </w:r>
    </w:p>
    <w:p w14:paraId="3B7C1700">
      <w:pPr>
        <w:spacing w:line="360" w:lineRule="auto"/>
        <w:ind w:firstLine="420" w:firstLineChars="200"/>
        <w:rPr>
          <w:rFonts w:ascii="宋体" w:hAnsi="宋体"/>
          <w:color w:val="000000"/>
          <w:szCs w:val="21"/>
          <w:highlight w:val="none"/>
        </w:rPr>
      </w:pPr>
      <w:r>
        <w:rPr>
          <w:rFonts w:ascii="宋体" w:hAnsi="宋体"/>
          <w:color w:val="000000"/>
          <w:szCs w:val="21"/>
          <w:highlight w:val="none"/>
        </w:rPr>
        <w:t>（1）缺陷责任期终止证书签发后，承包人可按合同约定的份数和期限向监理人提交最终结清申请单，并提供相关证明材料。承包人提交最终结清申请单的份数和期限</w:t>
      </w:r>
      <w:r>
        <w:rPr>
          <w:rFonts w:ascii="黑体" w:hAnsi="黑体" w:eastAsia="黑体"/>
          <w:color w:val="000000"/>
          <w:szCs w:val="21"/>
          <w:highlight w:val="none"/>
        </w:rPr>
        <w:t>见合同条款专用部分</w:t>
      </w:r>
      <w:r>
        <w:rPr>
          <w:rFonts w:ascii="宋体" w:hAnsi="宋体"/>
          <w:color w:val="000000"/>
          <w:szCs w:val="21"/>
          <w:highlight w:val="none"/>
        </w:rPr>
        <w:t>。</w:t>
      </w:r>
    </w:p>
    <w:p w14:paraId="228B23C2">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发包人向承包人支付质量保证金利息的，承包人应按照约定的利息计算方法计算利息，并列入最终结清申请单中。是否支付质量保证金利息及利息计算方法</w:t>
      </w:r>
      <w:r>
        <w:rPr>
          <w:rFonts w:ascii="黑体" w:hAnsi="黑体" w:eastAsia="黑体"/>
          <w:color w:val="000000"/>
          <w:szCs w:val="21"/>
          <w:highlight w:val="none"/>
        </w:rPr>
        <w:t>见合同条款专用部分</w:t>
      </w:r>
      <w:r>
        <w:rPr>
          <w:rFonts w:ascii="宋体" w:hAnsi="宋体"/>
          <w:color w:val="000000"/>
          <w:szCs w:val="21"/>
          <w:highlight w:val="none"/>
        </w:rPr>
        <w:t>。</w:t>
      </w:r>
    </w:p>
    <w:p w14:paraId="4EE78B43">
      <w:pPr>
        <w:spacing w:line="360" w:lineRule="auto"/>
        <w:ind w:firstLine="420" w:firstLineChars="200"/>
        <w:rPr>
          <w:rFonts w:ascii="宋体" w:hAnsi="宋体"/>
          <w:color w:val="000000"/>
          <w:szCs w:val="21"/>
          <w:highlight w:val="none"/>
        </w:rPr>
      </w:pPr>
      <w:r>
        <w:rPr>
          <w:rFonts w:ascii="宋体" w:hAnsi="宋体"/>
          <w:color w:val="000000"/>
          <w:szCs w:val="21"/>
          <w:highlight w:val="none"/>
        </w:rPr>
        <w:t>（2）发包人对最终结清申请单内容有异议的，有权要求承包人进行修正和提供补充资 料，由承包人向监理人提交修正后的最终结清申请单。</w:t>
      </w:r>
    </w:p>
    <w:p w14:paraId="23D6759D">
      <w:pPr>
        <w:spacing w:line="360" w:lineRule="auto"/>
        <w:ind w:firstLine="420" w:firstLineChars="200"/>
        <w:rPr>
          <w:rFonts w:ascii="宋体" w:hAnsi="宋体"/>
          <w:color w:val="000000"/>
          <w:szCs w:val="21"/>
          <w:highlight w:val="none"/>
        </w:rPr>
      </w:pPr>
      <w:r>
        <w:rPr>
          <w:rFonts w:ascii="宋体" w:hAnsi="宋体"/>
          <w:color w:val="000000"/>
          <w:szCs w:val="21"/>
          <w:highlight w:val="none"/>
        </w:rPr>
        <w:t>17.6.2</w:t>
      </w:r>
      <w:r>
        <w:rPr>
          <w:rFonts w:ascii="宋体" w:hAnsi="宋体"/>
          <w:color w:val="000000"/>
          <w:szCs w:val="21"/>
          <w:highlight w:val="none"/>
        </w:rPr>
        <w:tab/>
      </w:r>
      <w:r>
        <w:rPr>
          <w:rFonts w:ascii="宋体" w:hAnsi="宋体"/>
          <w:color w:val="000000"/>
          <w:szCs w:val="21"/>
          <w:highlight w:val="none"/>
        </w:rPr>
        <w:t>最终结清证书和支付时间</w:t>
      </w:r>
    </w:p>
    <w:p w14:paraId="756ACD91">
      <w:pPr>
        <w:spacing w:line="360" w:lineRule="auto"/>
        <w:ind w:firstLine="420" w:firstLineChars="200"/>
        <w:rPr>
          <w:rFonts w:ascii="宋体" w:hAnsi="宋体"/>
          <w:color w:val="000000"/>
          <w:szCs w:val="21"/>
          <w:highlight w:val="none"/>
        </w:rPr>
      </w:pPr>
      <w:r>
        <w:rPr>
          <w:rFonts w:ascii="宋体" w:hAnsi="宋体"/>
          <w:color w:val="000000"/>
          <w:szCs w:val="21"/>
          <w:highlight w:val="none"/>
        </w:rPr>
        <w:t>（1）监理人收到承包人提交的最终结清申请单后的14天内，提出发包人应支付给承包人的价款等审核意见，并报送发包人审核。发包人应在收到后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1D5D2319">
      <w:pPr>
        <w:spacing w:line="360" w:lineRule="auto"/>
        <w:ind w:firstLine="420" w:firstLineChars="200"/>
        <w:rPr>
          <w:rFonts w:ascii="宋体" w:hAnsi="宋体"/>
          <w:color w:val="000000"/>
          <w:szCs w:val="21"/>
          <w:highlight w:val="none"/>
        </w:rPr>
      </w:pPr>
      <w:r>
        <w:rPr>
          <w:rFonts w:ascii="宋体" w:hAnsi="宋体"/>
          <w:color w:val="000000"/>
          <w:szCs w:val="21"/>
          <w:highlight w:val="none"/>
        </w:rPr>
        <w:t>（2）发包人应在监理人出具最终结清证书后的 14 天内，将应支付款支付给承包人。发包人不按期支付的，按第17.3.3（2）目的约定，将逾期付款违约金支付给承包人。</w:t>
      </w:r>
    </w:p>
    <w:p w14:paraId="19182D75">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（3）承包人对发包人签认的最终结清证书有异议的，按第24条“争议的解决”的约定办理。</w:t>
      </w:r>
    </w:p>
    <w:p w14:paraId="4F949DE5">
      <w:pPr>
        <w:spacing w:line="360" w:lineRule="auto"/>
        <w:ind w:firstLine="420" w:firstLineChars="200"/>
        <w:rPr>
          <w:rFonts w:ascii="宋体" w:hAnsi="宋体"/>
          <w:color w:val="000000"/>
          <w:szCs w:val="21"/>
          <w:highlight w:val="none"/>
        </w:rPr>
      </w:pPr>
      <w:r>
        <w:rPr>
          <w:rFonts w:ascii="宋体" w:hAnsi="宋体"/>
          <w:color w:val="000000"/>
          <w:szCs w:val="21"/>
          <w:highlight w:val="none"/>
        </w:rPr>
        <w:t>（4）最终结清付款涉及政府投资资金的，按第 17.3.3（4）目的约定办理。</w:t>
      </w:r>
    </w:p>
    <w:p w14:paraId="137A4378">
      <w:pPr>
        <w:spacing w:line="360" w:lineRule="auto"/>
        <w:rPr>
          <w:rFonts w:ascii="宋体" w:hAnsi="宋体"/>
          <w:color w:val="000000"/>
          <w:sz w:val="28"/>
          <w:szCs w:val="28"/>
          <w:highlight w:val="none"/>
        </w:rPr>
      </w:pPr>
      <w:bookmarkStart w:id="673" w:name="_bookmark207"/>
      <w:bookmarkEnd w:id="673"/>
      <w:r>
        <w:rPr>
          <w:rFonts w:ascii="宋体" w:hAnsi="宋体"/>
          <w:color w:val="000000"/>
          <w:sz w:val="28"/>
          <w:szCs w:val="28"/>
          <w:highlight w:val="none"/>
        </w:rPr>
        <w:t>18.竣工验收</w:t>
      </w:r>
    </w:p>
    <w:p w14:paraId="547B0DF0">
      <w:pPr>
        <w:spacing w:line="360" w:lineRule="auto"/>
        <w:rPr>
          <w:rFonts w:ascii="宋体" w:hAnsi="宋体"/>
          <w:color w:val="000000"/>
          <w:sz w:val="24"/>
          <w:highlight w:val="none"/>
        </w:rPr>
      </w:pPr>
      <w:bookmarkStart w:id="674" w:name="_bookmark208"/>
      <w:bookmarkEnd w:id="674"/>
      <w:r>
        <w:rPr>
          <w:rFonts w:ascii="宋体" w:hAnsi="宋体"/>
          <w:color w:val="000000"/>
          <w:sz w:val="24"/>
          <w:highlight w:val="none"/>
        </w:rPr>
        <w:t>18.1</w:t>
      </w:r>
      <w:r>
        <w:rPr>
          <w:rFonts w:ascii="宋体" w:hAnsi="宋体"/>
          <w:color w:val="000000"/>
          <w:sz w:val="24"/>
          <w:highlight w:val="none"/>
        </w:rPr>
        <w:tab/>
      </w:r>
      <w:r>
        <w:rPr>
          <w:rFonts w:ascii="宋体" w:hAnsi="宋体"/>
          <w:color w:val="000000"/>
          <w:sz w:val="24"/>
          <w:highlight w:val="none"/>
        </w:rPr>
        <w:t>竣工验收的含义</w:t>
      </w:r>
    </w:p>
    <w:p w14:paraId="0FD284A3">
      <w:pPr>
        <w:spacing w:line="360" w:lineRule="auto"/>
        <w:ind w:firstLine="420" w:firstLineChars="200"/>
        <w:rPr>
          <w:rFonts w:ascii="宋体" w:hAnsi="宋体"/>
          <w:color w:val="000000"/>
          <w:szCs w:val="21"/>
          <w:highlight w:val="none"/>
        </w:rPr>
      </w:pPr>
      <w:r>
        <w:rPr>
          <w:rFonts w:ascii="宋体" w:hAnsi="宋体"/>
          <w:color w:val="000000"/>
          <w:szCs w:val="21"/>
          <w:highlight w:val="none"/>
        </w:rPr>
        <w:t>18.1.1</w:t>
      </w:r>
      <w:r>
        <w:rPr>
          <w:rFonts w:ascii="宋体" w:hAnsi="宋体"/>
          <w:color w:val="000000"/>
          <w:szCs w:val="21"/>
          <w:highlight w:val="none"/>
        </w:rPr>
        <w:tab/>
      </w:r>
      <w:r>
        <w:rPr>
          <w:rFonts w:ascii="宋体" w:hAnsi="宋体"/>
          <w:color w:val="000000"/>
          <w:szCs w:val="21"/>
          <w:highlight w:val="none"/>
        </w:rPr>
        <w:t>竣工验收指承包人完成了全部合同工作后，发包人按合同要求进行的验收。</w:t>
      </w:r>
    </w:p>
    <w:p w14:paraId="1A370987">
      <w:pPr>
        <w:spacing w:line="360" w:lineRule="auto"/>
        <w:ind w:firstLine="420" w:firstLineChars="200"/>
        <w:rPr>
          <w:rFonts w:ascii="宋体" w:hAnsi="宋体"/>
          <w:color w:val="000000"/>
          <w:szCs w:val="21"/>
          <w:highlight w:val="none"/>
        </w:rPr>
      </w:pPr>
      <w:r>
        <w:rPr>
          <w:rFonts w:ascii="宋体" w:hAnsi="宋体"/>
          <w:color w:val="000000"/>
          <w:szCs w:val="21"/>
          <w:highlight w:val="none"/>
        </w:rPr>
        <w:t>18.1.2</w:t>
      </w:r>
      <w:r>
        <w:rPr>
          <w:rFonts w:ascii="宋体" w:hAnsi="宋体"/>
          <w:color w:val="000000"/>
          <w:szCs w:val="21"/>
          <w:highlight w:val="none"/>
        </w:rPr>
        <w:tab/>
      </w:r>
      <w:r>
        <w:rPr>
          <w:rFonts w:ascii="宋体" w:hAnsi="宋体"/>
          <w:color w:val="000000"/>
          <w:szCs w:val="21"/>
          <w:highlight w:val="none"/>
        </w:rPr>
        <w:t>国家验收是政府有关部门根据法律、规范、规程和政策要求，针对发包人全面组织实施的整个工程正式交付投运前的验收。</w:t>
      </w:r>
    </w:p>
    <w:p w14:paraId="4C754F3E">
      <w:pPr>
        <w:spacing w:line="360" w:lineRule="auto"/>
        <w:ind w:firstLine="420" w:firstLineChars="200"/>
        <w:rPr>
          <w:rFonts w:ascii="宋体" w:hAnsi="宋体"/>
          <w:color w:val="000000"/>
          <w:szCs w:val="21"/>
          <w:highlight w:val="none"/>
        </w:rPr>
      </w:pPr>
      <w:r>
        <w:rPr>
          <w:rFonts w:ascii="宋体" w:hAnsi="宋体"/>
          <w:color w:val="000000"/>
          <w:szCs w:val="21"/>
          <w:highlight w:val="none"/>
        </w:rPr>
        <w:t>18.1.3 需要进行国家验收的，竣工验收是国家验收的一部分。竣工验收所采用的各项验收和评定标准应符合国家验收标准。发包人和承包人为竣工验收提供的各项竣工验收资料应符合国家验收的要求。</w:t>
      </w:r>
    </w:p>
    <w:p w14:paraId="4B6DD723">
      <w:pPr>
        <w:spacing w:line="360" w:lineRule="auto"/>
        <w:rPr>
          <w:rFonts w:ascii="宋体" w:hAnsi="宋体"/>
          <w:color w:val="000000"/>
          <w:sz w:val="24"/>
          <w:highlight w:val="none"/>
        </w:rPr>
      </w:pPr>
      <w:bookmarkStart w:id="675" w:name="_bookmark209"/>
      <w:bookmarkEnd w:id="675"/>
      <w:r>
        <w:rPr>
          <w:rFonts w:ascii="宋体" w:hAnsi="宋体"/>
          <w:color w:val="000000"/>
          <w:sz w:val="24"/>
          <w:highlight w:val="none"/>
        </w:rPr>
        <w:t>18.2</w:t>
      </w:r>
      <w:r>
        <w:rPr>
          <w:rFonts w:ascii="宋体" w:hAnsi="宋体"/>
          <w:color w:val="000000"/>
          <w:sz w:val="24"/>
          <w:highlight w:val="none"/>
        </w:rPr>
        <w:tab/>
      </w:r>
      <w:r>
        <w:rPr>
          <w:rFonts w:ascii="宋体" w:hAnsi="宋体"/>
          <w:color w:val="000000"/>
          <w:sz w:val="24"/>
          <w:highlight w:val="none"/>
        </w:rPr>
        <w:t>竣工验收申请报告</w:t>
      </w:r>
    </w:p>
    <w:p w14:paraId="4FE33CD8">
      <w:pPr>
        <w:spacing w:line="360" w:lineRule="auto"/>
        <w:ind w:firstLine="420" w:firstLineChars="200"/>
        <w:rPr>
          <w:rFonts w:ascii="宋体" w:hAnsi="宋体"/>
          <w:color w:val="000000"/>
          <w:szCs w:val="21"/>
          <w:highlight w:val="none"/>
        </w:rPr>
      </w:pPr>
      <w:r>
        <w:rPr>
          <w:rFonts w:ascii="宋体" w:hAnsi="宋体"/>
          <w:color w:val="000000"/>
          <w:szCs w:val="21"/>
          <w:highlight w:val="none"/>
        </w:rPr>
        <w:t>当工程具备以下条件时，承包人即可向监理人报送竣工验收申请报告：</w:t>
      </w:r>
    </w:p>
    <w:p w14:paraId="5BA21038">
      <w:pPr>
        <w:spacing w:line="360" w:lineRule="auto"/>
        <w:ind w:firstLine="420" w:firstLineChars="200"/>
        <w:rPr>
          <w:rFonts w:ascii="宋体" w:hAnsi="宋体"/>
          <w:color w:val="000000"/>
          <w:szCs w:val="21"/>
          <w:highlight w:val="none"/>
        </w:rPr>
      </w:pPr>
      <w:r>
        <w:rPr>
          <w:rFonts w:ascii="宋体" w:hAnsi="宋体"/>
          <w:color w:val="000000"/>
          <w:szCs w:val="21"/>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735527CE">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24E50685">
      <w:pPr>
        <w:spacing w:line="360" w:lineRule="auto"/>
        <w:ind w:firstLine="420" w:firstLineChars="200"/>
        <w:rPr>
          <w:rFonts w:ascii="宋体" w:hAnsi="宋体"/>
          <w:color w:val="000000"/>
          <w:szCs w:val="21"/>
          <w:highlight w:val="none"/>
        </w:rPr>
      </w:pPr>
      <w:r>
        <w:rPr>
          <w:rFonts w:ascii="宋体" w:hAnsi="宋体"/>
          <w:color w:val="000000"/>
          <w:szCs w:val="21"/>
          <w:highlight w:val="none"/>
        </w:rPr>
        <w:t>（3）已按监理人的要求编制了在缺陷责任期内需完成的尾工（甩项）工程，和缺陷修补工作清单等相应施工计划；</w:t>
      </w:r>
    </w:p>
    <w:p w14:paraId="0137D963">
      <w:pPr>
        <w:spacing w:line="360" w:lineRule="auto"/>
        <w:ind w:firstLine="420" w:firstLineChars="200"/>
        <w:rPr>
          <w:rFonts w:ascii="宋体" w:hAnsi="宋体"/>
          <w:color w:val="000000"/>
          <w:szCs w:val="21"/>
          <w:highlight w:val="none"/>
        </w:rPr>
      </w:pPr>
      <w:r>
        <w:rPr>
          <w:rFonts w:ascii="宋体" w:hAnsi="宋体"/>
          <w:color w:val="000000"/>
          <w:szCs w:val="21"/>
          <w:highlight w:val="none"/>
        </w:rPr>
        <w:t>（4）监理人要求在竣工验收前应完成的其他工作；</w:t>
      </w:r>
    </w:p>
    <w:p w14:paraId="569B5FDD">
      <w:pPr>
        <w:spacing w:line="360" w:lineRule="auto"/>
        <w:ind w:firstLine="420" w:firstLineChars="200"/>
        <w:rPr>
          <w:rFonts w:ascii="宋体" w:hAnsi="宋体"/>
          <w:color w:val="000000"/>
          <w:szCs w:val="21"/>
          <w:highlight w:val="none"/>
        </w:rPr>
      </w:pPr>
      <w:r>
        <w:rPr>
          <w:rFonts w:ascii="宋体" w:hAnsi="宋体"/>
          <w:color w:val="000000"/>
          <w:szCs w:val="21"/>
          <w:highlight w:val="none"/>
        </w:rPr>
        <w:t>（5）监理人要求提交的竣工验收资料清单。</w:t>
      </w:r>
    </w:p>
    <w:p w14:paraId="21B98445">
      <w:pPr>
        <w:spacing w:line="360" w:lineRule="auto"/>
        <w:rPr>
          <w:rFonts w:ascii="宋体" w:hAnsi="宋体"/>
          <w:color w:val="000000"/>
          <w:sz w:val="24"/>
          <w:highlight w:val="none"/>
        </w:rPr>
      </w:pPr>
      <w:bookmarkStart w:id="676" w:name="_bookmark210"/>
      <w:bookmarkEnd w:id="676"/>
      <w:r>
        <w:rPr>
          <w:rFonts w:ascii="宋体" w:hAnsi="宋体"/>
          <w:color w:val="000000"/>
          <w:sz w:val="24"/>
          <w:highlight w:val="none"/>
        </w:rPr>
        <w:t>18.3</w:t>
      </w:r>
      <w:r>
        <w:rPr>
          <w:rFonts w:ascii="宋体" w:hAnsi="宋体"/>
          <w:color w:val="000000"/>
          <w:sz w:val="24"/>
          <w:highlight w:val="none"/>
        </w:rPr>
        <w:tab/>
      </w:r>
      <w:r>
        <w:rPr>
          <w:rFonts w:ascii="宋体" w:hAnsi="宋体"/>
          <w:color w:val="000000"/>
          <w:sz w:val="24"/>
          <w:highlight w:val="none"/>
        </w:rPr>
        <w:t>验收</w:t>
      </w:r>
    </w:p>
    <w:p w14:paraId="651407FB">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监理人收到承包人按第 18.2 款约定提交的竣工验收申请报告后，应审查申请报告的各 项内容，并按以下不同情况进行处理。</w:t>
      </w:r>
    </w:p>
    <w:p w14:paraId="4C831BDF">
      <w:pPr>
        <w:spacing w:line="360" w:lineRule="auto"/>
        <w:ind w:firstLine="420" w:firstLineChars="200"/>
        <w:rPr>
          <w:rFonts w:ascii="宋体" w:hAnsi="宋体"/>
          <w:color w:val="000000"/>
          <w:szCs w:val="21"/>
          <w:highlight w:val="none"/>
        </w:rPr>
      </w:pPr>
      <w:r>
        <w:rPr>
          <w:rFonts w:ascii="宋体" w:hAnsi="宋体"/>
          <w:color w:val="000000"/>
          <w:szCs w:val="21"/>
          <w:highlight w:val="none"/>
        </w:rPr>
        <w:t>18.3.1</w:t>
      </w:r>
      <w:r>
        <w:rPr>
          <w:rFonts w:ascii="宋体" w:hAnsi="宋体"/>
          <w:color w:val="000000"/>
          <w:szCs w:val="21"/>
          <w:highlight w:val="none"/>
        </w:rPr>
        <w:tab/>
      </w:r>
      <w:r>
        <w:rPr>
          <w:rFonts w:ascii="宋体" w:hAnsi="宋体"/>
          <w:color w:val="000000"/>
          <w:szCs w:val="21"/>
          <w:highlight w:val="none"/>
        </w:rPr>
        <w:t>监理人审查后认为尚不具备竣工验收条件的，应在收到竣工验收申请报告后的28天内通知承包人，并指出在颁发接收证书前承包人需进行的工作内容。承包人完成监理 人通知的全部工作内容后，应再次提交竣工验收申请报告，直至监理人同意为止。</w:t>
      </w:r>
    </w:p>
    <w:p w14:paraId="5CD1253C">
      <w:pPr>
        <w:spacing w:line="360" w:lineRule="auto"/>
        <w:ind w:firstLine="420" w:firstLineChars="200"/>
        <w:rPr>
          <w:rFonts w:ascii="宋体" w:hAnsi="宋体"/>
          <w:color w:val="000000"/>
          <w:szCs w:val="21"/>
          <w:highlight w:val="none"/>
        </w:rPr>
      </w:pPr>
      <w:r>
        <w:rPr>
          <w:rFonts w:ascii="宋体" w:hAnsi="宋体"/>
          <w:color w:val="000000"/>
          <w:szCs w:val="21"/>
          <w:highlight w:val="none"/>
        </w:rPr>
        <w:t>18.3.2</w:t>
      </w:r>
      <w:r>
        <w:rPr>
          <w:rFonts w:ascii="宋体" w:hAnsi="宋体"/>
          <w:color w:val="000000"/>
          <w:szCs w:val="21"/>
          <w:highlight w:val="none"/>
        </w:rPr>
        <w:tab/>
      </w:r>
      <w:r>
        <w:rPr>
          <w:rFonts w:ascii="宋体" w:hAnsi="宋体"/>
          <w:color w:val="000000"/>
          <w:szCs w:val="21"/>
          <w:highlight w:val="none"/>
        </w:rPr>
        <w:t>监理人审查后认为已具备竣工验收条件的，应在收到竣工验收申请报告后的28天内提请发包人进行工程验收。</w:t>
      </w:r>
    </w:p>
    <w:p w14:paraId="5E8E45DD">
      <w:pPr>
        <w:spacing w:line="360" w:lineRule="auto"/>
        <w:ind w:firstLine="420" w:firstLineChars="200"/>
        <w:rPr>
          <w:rFonts w:ascii="宋体" w:hAnsi="宋体"/>
          <w:color w:val="000000"/>
          <w:szCs w:val="21"/>
          <w:highlight w:val="none"/>
        </w:rPr>
      </w:pPr>
      <w:r>
        <w:rPr>
          <w:rFonts w:ascii="宋体" w:hAnsi="宋体"/>
          <w:color w:val="000000"/>
          <w:szCs w:val="21"/>
          <w:highlight w:val="none"/>
        </w:rPr>
        <w:t>18.3.3</w:t>
      </w:r>
      <w:r>
        <w:rPr>
          <w:rFonts w:ascii="宋体" w:hAnsi="宋体"/>
          <w:color w:val="000000"/>
          <w:szCs w:val="21"/>
          <w:highlight w:val="none"/>
        </w:rPr>
        <w:tab/>
      </w:r>
      <w:r>
        <w:rPr>
          <w:rFonts w:ascii="宋体" w:hAnsi="宋体"/>
          <w:color w:val="000000"/>
          <w:szCs w:val="21"/>
          <w:highlight w:val="none"/>
        </w:rPr>
        <w:t>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131B0BAD">
      <w:pPr>
        <w:spacing w:line="360" w:lineRule="auto"/>
        <w:ind w:firstLine="420" w:firstLineChars="200"/>
        <w:rPr>
          <w:rFonts w:ascii="宋体" w:hAnsi="宋体"/>
          <w:color w:val="000000"/>
          <w:szCs w:val="21"/>
          <w:highlight w:val="none"/>
        </w:rPr>
      </w:pPr>
      <w:r>
        <w:rPr>
          <w:rFonts w:ascii="宋体" w:hAnsi="宋体"/>
          <w:color w:val="000000"/>
          <w:szCs w:val="21"/>
          <w:highlight w:val="none"/>
        </w:rPr>
        <w:t>18.3.4</w:t>
      </w:r>
      <w:r>
        <w:rPr>
          <w:rFonts w:ascii="宋体" w:hAnsi="宋体"/>
          <w:color w:val="000000"/>
          <w:szCs w:val="21"/>
          <w:highlight w:val="none"/>
        </w:rPr>
        <w:tab/>
      </w:r>
      <w:r>
        <w:rPr>
          <w:rFonts w:ascii="宋体" w:hAnsi="宋体"/>
          <w:color w:val="000000"/>
          <w:szCs w:val="21"/>
          <w:highlight w:val="none"/>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0F9B9DE7">
      <w:pPr>
        <w:spacing w:line="360" w:lineRule="auto"/>
        <w:ind w:firstLine="420" w:firstLineChars="200"/>
        <w:rPr>
          <w:rFonts w:ascii="宋体" w:hAnsi="宋体"/>
          <w:color w:val="000000"/>
          <w:szCs w:val="21"/>
          <w:highlight w:val="none"/>
        </w:rPr>
      </w:pPr>
      <w:r>
        <w:rPr>
          <w:rFonts w:ascii="宋体" w:hAnsi="宋体"/>
          <w:color w:val="000000"/>
          <w:szCs w:val="21"/>
          <w:highlight w:val="none"/>
        </w:rPr>
        <w:t>18.3.5</w:t>
      </w:r>
      <w:r>
        <w:rPr>
          <w:rFonts w:ascii="宋体" w:hAnsi="宋体"/>
          <w:color w:val="000000"/>
          <w:szCs w:val="21"/>
          <w:highlight w:val="none"/>
        </w:rPr>
        <w:tab/>
      </w:r>
      <w:r>
        <w:rPr>
          <w:rFonts w:ascii="宋体" w:hAnsi="宋体"/>
          <w:color w:val="000000"/>
          <w:szCs w:val="21"/>
          <w:highlight w:val="none"/>
        </w:rPr>
        <w:t>经验收合格的工程, 实际竣工日期为承包人按照第18.2款提交竣工验收申请报告或按照本款重新提交竣工验收申请报告的日期（以两者中时间在后者为准）。</w:t>
      </w:r>
    </w:p>
    <w:p w14:paraId="60056748">
      <w:pPr>
        <w:spacing w:line="360" w:lineRule="auto"/>
        <w:ind w:firstLine="420" w:firstLineChars="200"/>
        <w:rPr>
          <w:rFonts w:ascii="宋体" w:hAnsi="宋体"/>
          <w:color w:val="000000"/>
          <w:szCs w:val="21"/>
          <w:highlight w:val="none"/>
        </w:rPr>
      </w:pPr>
      <w:r>
        <w:rPr>
          <w:rFonts w:ascii="宋体" w:hAnsi="宋体"/>
          <w:color w:val="000000"/>
          <w:szCs w:val="21"/>
          <w:highlight w:val="none"/>
        </w:rPr>
        <w:t>18.3.6</w:t>
      </w:r>
      <w:r>
        <w:rPr>
          <w:rFonts w:ascii="宋体" w:hAnsi="宋体"/>
          <w:color w:val="000000"/>
          <w:szCs w:val="21"/>
          <w:highlight w:val="none"/>
        </w:rPr>
        <w:tab/>
      </w:r>
      <w:r>
        <w:rPr>
          <w:rFonts w:ascii="宋体" w:hAnsi="宋体"/>
          <w:color w:val="000000"/>
          <w:szCs w:val="21"/>
          <w:highlight w:val="none"/>
        </w:rPr>
        <w:t>发包人在收到承包人竣工验收申请报告56天后未进行验收的，视为验收合格，实际竣工日期以提交竣工验收申请报告的日期为准，但发包人由于不可抗力不能进行验收的除外。</w:t>
      </w:r>
    </w:p>
    <w:p w14:paraId="4A58101E">
      <w:pPr>
        <w:spacing w:line="360" w:lineRule="auto"/>
        <w:rPr>
          <w:rFonts w:ascii="宋体" w:hAnsi="宋体"/>
          <w:color w:val="000000"/>
          <w:sz w:val="24"/>
          <w:highlight w:val="none"/>
        </w:rPr>
      </w:pPr>
      <w:bookmarkStart w:id="677" w:name="_bookmark211"/>
      <w:bookmarkEnd w:id="677"/>
      <w:r>
        <w:rPr>
          <w:rFonts w:ascii="宋体" w:hAnsi="宋体"/>
          <w:color w:val="000000"/>
          <w:sz w:val="24"/>
          <w:highlight w:val="none"/>
        </w:rPr>
        <w:t>18.4</w:t>
      </w:r>
      <w:r>
        <w:rPr>
          <w:rFonts w:hint="eastAsia" w:ascii="宋体" w:hAnsi="宋体"/>
          <w:color w:val="000000"/>
          <w:sz w:val="24"/>
          <w:highlight w:val="none"/>
        </w:rPr>
        <w:t xml:space="preserve"> </w:t>
      </w:r>
      <w:r>
        <w:rPr>
          <w:rFonts w:ascii="宋体" w:hAnsi="宋体"/>
          <w:color w:val="000000"/>
          <w:sz w:val="24"/>
          <w:highlight w:val="none"/>
        </w:rPr>
        <w:t xml:space="preserve"> 单位工程验收</w:t>
      </w:r>
    </w:p>
    <w:p w14:paraId="2F6F3C5F">
      <w:pPr>
        <w:spacing w:line="360" w:lineRule="auto"/>
        <w:ind w:firstLine="420" w:firstLineChars="200"/>
        <w:rPr>
          <w:rFonts w:ascii="宋体" w:hAnsi="宋体"/>
          <w:color w:val="000000"/>
          <w:szCs w:val="21"/>
          <w:highlight w:val="none"/>
        </w:rPr>
      </w:pPr>
      <w:r>
        <w:rPr>
          <w:rFonts w:ascii="宋体" w:hAnsi="宋体"/>
          <w:color w:val="000000"/>
          <w:szCs w:val="21"/>
          <w:highlight w:val="none"/>
        </w:rPr>
        <w:t>18.4.1</w:t>
      </w:r>
      <w:r>
        <w:rPr>
          <w:rFonts w:ascii="宋体" w:hAnsi="宋体"/>
          <w:color w:val="000000"/>
          <w:szCs w:val="21"/>
          <w:highlight w:val="none"/>
        </w:rPr>
        <w:tab/>
      </w:r>
      <w:r>
        <w:rPr>
          <w:rFonts w:ascii="宋体" w:hAnsi="宋体"/>
          <w:color w:val="000000"/>
          <w:szCs w:val="21"/>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96BCA73">
      <w:pPr>
        <w:spacing w:line="360" w:lineRule="auto"/>
        <w:ind w:firstLine="420" w:firstLineChars="200"/>
        <w:rPr>
          <w:rFonts w:ascii="宋体" w:hAnsi="宋体"/>
          <w:color w:val="000000"/>
          <w:szCs w:val="21"/>
          <w:highlight w:val="none"/>
        </w:rPr>
      </w:pPr>
      <w:r>
        <w:rPr>
          <w:rFonts w:ascii="宋体" w:hAnsi="宋体"/>
          <w:color w:val="000000"/>
          <w:szCs w:val="21"/>
          <w:highlight w:val="none"/>
        </w:rPr>
        <w:t>18.4.2</w:t>
      </w:r>
      <w:r>
        <w:rPr>
          <w:rFonts w:ascii="宋体" w:hAnsi="宋体"/>
          <w:color w:val="000000"/>
          <w:szCs w:val="21"/>
          <w:highlight w:val="none"/>
        </w:rPr>
        <w:tab/>
      </w:r>
      <w:r>
        <w:rPr>
          <w:rFonts w:ascii="宋体" w:hAnsi="宋体"/>
          <w:color w:val="000000"/>
          <w:szCs w:val="21"/>
          <w:highlight w:val="none"/>
        </w:rPr>
        <w:t>发包人在全部工程竣工前，使用已接收的单位工程导致承包人费用增加的，发包人应承担由此增加的费用和（或）工期延误，并支付承包人合理利润。</w:t>
      </w:r>
    </w:p>
    <w:p w14:paraId="174271A0">
      <w:pPr>
        <w:spacing w:line="360" w:lineRule="auto"/>
        <w:rPr>
          <w:rFonts w:ascii="宋体" w:hAnsi="宋体"/>
          <w:color w:val="000000"/>
          <w:sz w:val="24"/>
          <w:highlight w:val="none"/>
        </w:rPr>
      </w:pPr>
      <w:bookmarkStart w:id="678" w:name="_bookmark212"/>
      <w:bookmarkEnd w:id="678"/>
      <w:r>
        <w:rPr>
          <w:rFonts w:ascii="宋体" w:hAnsi="宋体"/>
          <w:color w:val="000000"/>
          <w:sz w:val="24"/>
          <w:highlight w:val="none"/>
        </w:rPr>
        <w:t xml:space="preserve">18.5 </w:t>
      </w:r>
      <w:r>
        <w:rPr>
          <w:rFonts w:hint="eastAsia" w:ascii="宋体" w:hAnsi="宋体"/>
          <w:color w:val="000000"/>
          <w:sz w:val="24"/>
          <w:highlight w:val="none"/>
        </w:rPr>
        <w:t xml:space="preserve"> </w:t>
      </w:r>
      <w:r>
        <w:rPr>
          <w:rFonts w:ascii="宋体" w:hAnsi="宋体"/>
          <w:color w:val="000000"/>
          <w:sz w:val="24"/>
          <w:highlight w:val="none"/>
        </w:rPr>
        <w:t>施工期运行</w:t>
      </w:r>
    </w:p>
    <w:p w14:paraId="6B0DC46A">
      <w:pPr>
        <w:spacing w:line="360" w:lineRule="auto"/>
        <w:ind w:firstLine="420" w:firstLineChars="200"/>
        <w:rPr>
          <w:rFonts w:ascii="宋体" w:hAnsi="宋体"/>
          <w:color w:val="000000"/>
          <w:szCs w:val="21"/>
          <w:highlight w:val="none"/>
        </w:rPr>
      </w:pPr>
      <w:r>
        <w:rPr>
          <w:rFonts w:ascii="宋体" w:hAnsi="宋体"/>
          <w:color w:val="000000"/>
          <w:szCs w:val="21"/>
          <w:highlight w:val="none"/>
        </w:rPr>
        <w:t>18.5.1</w:t>
      </w:r>
      <w:r>
        <w:rPr>
          <w:rFonts w:ascii="宋体" w:hAnsi="宋体"/>
          <w:color w:val="000000"/>
          <w:szCs w:val="21"/>
          <w:highlight w:val="none"/>
        </w:rPr>
        <w:tab/>
      </w:r>
      <w:r>
        <w:rPr>
          <w:rFonts w:ascii="宋体" w:hAnsi="宋体"/>
          <w:color w:val="000000"/>
          <w:szCs w:val="21"/>
          <w:highlight w:val="none"/>
        </w:rPr>
        <w:t>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0A3506AE">
      <w:pPr>
        <w:spacing w:line="360" w:lineRule="auto"/>
        <w:ind w:firstLine="420" w:firstLineChars="200"/>
        <w:rPr>
          <w:rFonts w:ascii="宋体" w:hAnsi="宋体"/>
          <w:color w:val="000000"/>
          <w:szCs w:val="21"/>
          <w:highlight w:val="none"/>
        </w:rPr>
      </w:pPr>
      <w:r>
        <w:rPr>
          <w:rFonts w:ascii="宋体" w:hAnsi="宋体"/>
          <w:color w:val="000000"/>
          <w:szCs w:val="21"/>
          <w:highlight w:val="none"/>
        </w:rPr>
        <w:t>18.5.2</w:t>
      </w:r>
      <w:r>
        <w:rPr>
          <w:rFonts w:ascii="宋体" w:hAnsi="宋体"/>
          <w:color w:val="000000"/>
          <w:szCs w:val="21"/>
          <w:highlight w:val="none"/>
        </w:rPr>
        <w:tab/>
      </w:r>
      <w:r>
        <w:rPr>
          <w:rFonts w:ascii="宋体" w:hAnsi="宋体"/>
          <w:color w:val="000000"/>
          <w:szCs w:val="21"/>
          <w:highlight w:val="none"/>
        </w:rPr>
        <w:t>在施工期运行中发现工程或工程设备损坏或存在缺陷的，由承包人按第 19.2款约定进行修复。</w:t>
      </w:r>
    </w:p>
    <w:p w14:paraId="2F4DF18B">
      <w:pPr>
        <w:numPr>
          <w:ilvl w:val="1"/>
          <w:numId w:val="82"/>
        </w:numPr>
        <w:spacing w:line="360" w:lineRule="auto"/>
        <w:rPr>
          <w:rFonts w:ascii="宋体" w:hAnsi="宋体"/>
          <w:color w:val="000000"/>
          <w:sz w:val="24"/>
          <w:highlight w:val="none"/>
        </w:rPr>
      </w:pPr>
      <w:bookmarkStart w:id="679" w:name="_bookmark213"/>
      <w:bookmarkEnd w:id="679"/>
      <w:r>
        <w:rPr>
          <w:rFonts w:ascii="宋体" w:hAnsi="宋体"/>
          <w:color w:val="000000"/>
          <w:sz w:val="24"/>
          <w:highlight w:val="none"/>
        </w:rPr>
        <w:t>试运行</w:t>
      </w:r>
    </w:p>
    <w:p w14:paraId="5C381B0A">
      <w:pPr>
        <w:spacing w:line="360" w:lineRule="auto"/>
        <w:ind w:firstLine="420" w:firstLineChars="200"/>
        <w:rPr>
          <w:rFonts w:ascii="宋体" w:hAnsi="宋体"/>
          <w:color w:val="000000"/>
          <w:szCs w:val="21"/>
          <w:highlight w:val="none"/>
        </w:rPr>
      </w:pPr>
      <w:r>
        <w:rPr>
          <w:rFonts w:ascii="宋体" w:hAnsi="宋体"/>
          <w:color w:val="000000"/>
          <w:szCs w:val="21"/>
          <w:highlight w:val="none"/>
        </w:rPr>
        <w:t>18.6.1</w:t>
      </w:r>
      <w:r>
        <w:rPr>
          <w:rFonts w:ascii="宋体" w:hAnsi="宋体"/>
          <w:color w:val="000000"/>
          <w:szCs w:val="21"/>
          <w:highlight w:val="none"/>
        </w:rPr>
        <w:tab/>
      </w:r>
      <w:r>
        <w:rPr>
          <w:rFonts w:ascii="宋体" w:hAnsi="宋体"/>
          <w:color w:val="000000"/>
          <w:szCs w:val="21"/>
          <w:highlight w:val="none"/>
        </w:rPr>
        <w:t>工程及工程设备试运行的组织与费用承担</w:t>
      </w:r>
    </w:p>
    <w:p w14:paraId="6F723BA7">
      <w:pPr>
        <w:spacing w:line="360" w:lineRule="auto"/>
        <w:ind w:firstLine="420" w:firstLineChars="200"/>
        <w:rPr>
          <w:rFonts w:ascii="宋体" w:hAnsi="宋体"/>
          <w:color w:val="000000"/>
          <w:szCs w:val="21"/>
          <w:highlight w:val="none"/>
        </w:rPr>
      </w:pPr>
      <w:r>
        <w:rPr>
          <w:rFonts w:ascii="宋体" w:hAnsi="宋体"/>
          <w:color w:val="000000"/>
          <w:szCs w:val="21"/>
          <w:highlight w:val="none"/>
        </w:rPr>
        <w:t>（1）工程设备安装具备单机无负荷试运行条件，由承包人组织试运行，费用由承包人承担。</w:t>
      </w:r>
    </w:p>
    <w:p w14:paraId="0C675A86">
      <w:pPr>
        <w:spacing w:line="360" w:lineRule="auto"/>
        <w:ind w:firstLine="420" w:firstLineChars="200"/>
        <w:rPr>
          <w:rFonts w:ascii="宋体" w:hAnsi="宋体"/>
          <w:color w:val="000000"/>
          <w:szCs w:val="21"/>
          <w:highlight w:val="none"/>
        </w:rPr>
      </w:pPr>
      <w:r>
        <w:rPr>
          <w:rFonts w:ascii="宋体" w:hAnsi="宋体"/>
          <w:color w:val="000000"/>
          <w:szCs w:val="21"/>
          <w:highlight w:val="none"/>
        </w:rPr>
        <w:t>（2）工程设备安装具备无负荷联动试运行条件，由发包人组织试运行，费用由发包人承担。</w:t>
      </w:r>
    </w:p>
    <w:p w14:paraId="74088D09">
      <w:pPr>
        <w:spacing w:line="360" w:lineRule="auto"/>
        <w:ind w:firstLine="420" w:firstLineChars="200"/>
        <w:rPr>
          <w:rFonts w:ascii="宋体" w:hAnsi="宋体"/>
          <w:color w:val="000000"/>
          <w:szCs w:val="21"/>
          <w:highlight w:val="none"/>
        </w:rPr>
      </w:pPr>
      <w:r>
        <w:rPr>
          <w:rFonts w:ascii="宋体" w:hAnsi="宋体"/>
          <w:color w:val="000000"/>
          <w:szCs w:val="21"/>
          <w:highlight w:val="none"/>
        </w:rPr>
        <w:t>（3）投料试运行应在工程竣工验收后由发包人负责，如发包人要求在工程竣工验收前进行或需要承包人配合时，应征得承包人同意，另行签订补充协议。</w:t>
      </w:r>
    </w:p>
    <w:p w14:paraId="0717819E">
      <w:pPr>
        <w:spacing w:line="360" w:lineRule="auto"/>
        <w:ind w:firstLine="420" w:firstLineChars="200"/>
        <w:rPr>
          <w:rFonts w:ascii="宋体" w:hAnsi="宋体"/>
          <w:color w:val="000000"/>
          <w:szCs w:val="21"/>
          <w:highlight w:val="none"/>
        </w:rPr>
      </w:pPr>
      <w:r>
        <w:rPr>
          <w:rFonts w:ascii="宋体" w:hAnsi="宋体"/>
          <w:color w:val="000000"/>
          <w:szCs w:val="21"/>
          <w:highlight w:val="none"/>
        </w:rPr>
        <w:t>18.6.2</w:t>
      </w:r>
      <w:r>
        <w:rPr>
          <w:rFonts w:ascii="宋体" w:hAnsi="宋体"/>
          <w:color w:val="000000"/>
          <w:szCs w:val="21"/>
          <w:highlight w:val="none"/>
        </w:rPr>
        <w:tab/>
      </w:r>
      <w:r>
        <w:rPr>
          <w:rFonts w:ascii="宋体" w:hAnsi="宋体"/>
          <w:color w:val="000000"/>
          <w:szCs w:val="21"/>
          <w:highlight w:val="none"/>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bookmarkStart w:id="680" w:name="_bookmark214"/>
      <w:bookmarkEnd w:id="680"/>
    </w:p>
    <w:p w14:paraId="2BD43AE1">
      <w:pPr>
        <w:spacing w:line="360" w:lineRule="auto"/>
        <w:rPr>
          <w:rFonts w:ascii="宋体" w:hAnsi="宋体"/>
          <w:color w:val="000000"/>
          <w:sz w:val="24"/>
          <w:highlight w:val="none"/>
        </w:rPr>
      </w:pPr>
      <w:r>
        <w:rPr>
          <w:rFonts w:hint="eastAsia" w:ascii="宋体" w:hAnsi="宋体"/>
          <w:color w:val="000000"/>
          <w:sz w:val="24"/>
          <w:highlight w:val="none"/>
        </w:rPr>
        <w:t>18.7</w:t>
      </w:r>
      <w:r>
        <w:rPr>
          <w:rFonts w:ascii="宋体" w:hAnsi="宋体"/>
          <w:color w:val="000000"/>
          <w:sz w:val="24"/>
          <w:highlight w:val="none"/>
        </w:rPr>
        <w:t>竣工清场</w:t>
      </w:r>
    </w:p>
    <w:p w14:paraId="07E39139">
      <w:pPr>
        <w:spacing w:line="360" w:lineRule="auto"/>
        <w:ind w:firstLine="420" w:firstLineChars="200"/>
        <w:rPr>
          <w:rFonts w:ascii="宋体" w:hAnsi="宋体"/>
          <w:color w:val="000000"/>
          <w:szCs w:val="21"/>
          <w:highlight w:val="none"/>
        </w:rPr>
      </w:pPr>
      <w:r>
        <w:rPr>
          <w:rFonts w:ascii="宋体" w:hAnsi="宋体"/>
          <w:color w:val="000000"/>
          <w:szCs w:val="21"/>
          <w:highlight w:val="none"/>
        </w:rPr>
        <w:t>18.7.1</w:t>
      </w:r>
      <w:r>
        <w:rPr>
          <w:rFonts w:ascii="宋体" w:hAnsi="宋体"/>
          <w:color w:val="000000"/>
          <w:szCs w:val="21"/>
          <w:highlight w:val="none"/>
        </w:rPr>
        <w:tab/>
      </w:r>
      <w:r>
        <w:rPr>
          <w:rFonts w:ascii="宋体" w:hAnsi="宋体"/>
          <w:color w:val="000000"/>
          <w:szCs w:val="21"/>
          <w:highlight w:val="none"/>
        </w:rPr>
        <w:t>监理人颁发（出具）工程接收证书后，承包人负责按照以下要求对施工场地进行清理，直至监理人检验合格为止。竣工清场费用由承包人承担。</w:t>
      </w:r>
    </w:p>
    <w:p w14:paraId="4046F61F">
      <w:pPr>
        <w:spacing w:line="360" w:lineRule="auto"/>
        <w:ind w:firstLine="420" w:firstLineChars="200"/>
        <w:rPr>
          <w:rFonts w:ascii="宋体" w:hAnsi="宋体"/>
          <w:color w:val="000000"/>
          <w:szCs w:val="21"/>
          <w:highlight w:val="none"/>
        </w:rPr>
      </w:pPr>
      <w:r>
        <w:rPr>
          <w:rFonts w:ascii="宋体" w:hAnsi="宋体"/>
          <w:color w:val="000000"/>
          <w:szCs w:val="21"/>
          <w:highlight w:val="none"/>
        </w:rPr>
        <w:t>（1）施工场地内残留的垃圾已全部清除出场；</w:t>
      </w:r>
    </w:p>
    <w:p w14:paraId="7D5CE8DC">
      <w:pPr>
        <w:spacing w:line="360" w:lineRule="auto"/>
        <w:ind w:firstLine="420" w:firstLineChars="200"/>
        <w:rPr>
          <w:rFonts w:ascii="宋体" w:hAnsi="宋体"/>
          <w:color w:val="000000"/>
          <w:szCs w:val="21"/>
          <w:highlight w:val="none"/>
        </w:rPr>
      </w:pPr>
      <w:r>
        <w:rPr>
          <w:rFonts w:ascii="宋体" w:hAnsi="宋体"/>
          <w:color w:val="000000"/>
          <w:szCs w:val="21"/>
          <w:highlight w:val="none"/>
        </w:rPr>
        <w:t>（2）临时工程已拆除，场地已按合同要求进行清理、平整或复原；</w:t>
      </w:r>
    </w:p>
    <w:p w14:paraId="705E4BCF">
      <w:pPr>
        <w:spacing w:line="360" w:lineRule="auto"/>
        <w:ind w:firstLine="420" w:firstLineChars="200"/>
        <w:rPr>
          <w:rFonts w:ascii="宋体" w:hAnsi="宋体"/>
          <w:color w:val="000000"/>
          <w:szCs w:val="21"/>
          <w:highlight w:val="none"/>
        </w:rPr>
      </w:pPr>
      <w:r>
        <w:rPr>
          <w:rFonts w:ascii="宋体" w:hAnsi="宋体"/>
          <w:color w:val="000000"/>
          <w:szCs w:val="21"/>
          <w:highlight w:val="none"/>
        </w:rPr>
        <w:t>（3）按合同约定应撤离的承包人设备和剩余的材料，包括废弃的施工设备和材料，已按计划撤离施工场地；</w:t>
      </w:r>
    </w:p>
    <w:p w14:paraId="6C8F4932">
      <w:pPr>
        <w:spacing w:line="360" w:lineRule="auto"/>
        <w:ind w:firstLine="420" w:firstLineChars="200"/>
        <w:rPr>
          <w:rFonts w:ascii="宋体" w:hAnsi="宋体"/>
          <w:color w:val="000000"/>
          <w:szCs w:val="21"/>
          <w:highlight w:val="none"/>
        </w:rPr>
      </w:pPr>
      <w:r>
        <w:rPr>
          <w:rFonts w:ascii="宋体" w:hAnsi="宋体"/>
          <w:color w:val="000000"/>
          <w:szCs w:val="21"/>
          <w:highlight w:val="none"/>
        </w:rPr>
        <w:t>（4）工程建筑物周边及其附近道路、河道的施工堆积物，已按监理人指示全部清理；</w:t>
      </w:r>
    </w:p>
    <w:p w14:paraId="4FF7ECE3">
      <w:pPr>
        <w:spacing w:line="360" w:lineRule="auto"/>
        <w:ind w:firstLine="420" w:firstLineChars="200"/>
        <w:rPr>
          <w:rFonts w:ascii="宋体" w:hAnsi="宋体"/>
          <w:color w:val="000000"/>
          <w:szCs w:val="21"/>
          <w:highlight w:val="none"/>
        </w:rPr>
      </w:pPr>
      <w:r>
        <w:rPr>
          <w:rFonts w:ascii="宋体" w:hAnsi="宋体"/>
          <w:color w:val="000000"/>
          <w:szCs w:val="21"/>
          <w:highlight w:val="none"/>
        </w:rPr>
        <w:t>（5）监理人指示的其他场地清理工作已全部完成。</w:t>
      </w:r>
    </w:p>
    <w:p w14:paraId="7547A5B1">
      <w:pPr>
        <w:spacing w:line="360" w:lineRule="auto"/>
        <w:ind w:firstLine="420" w:firstLineChars="200"/>
        <w:rPr>
          <w:rFonts w:ascii="宋体" w:hAnsi="宋体"/>
          <w:color w:val="000000"/>
          <w:szCs w:val="21"/>
          <w:highlight w:val="none"/>
        </w:rPr>
      </w:pPr>
      <w:r>
        <w:rPr>
          <w:rFonts w:ascii="宋体" w:hAnsi="宋体"/>
          <w:color w:val="000000"/>
          <w:szCs w:val="21"/>
          <w:highlight w:val="none"/>
        </w:rPr>
        <w:t>18.7.2</w:t>
      </w:r>
      <w:r>
        <w:rPr>
          <w:rFonts w:ascii="宋体" w:hAnsi="宋体"/>
          <w:color w:val="000000"/>
          <w:szCs w:val="21"/>
          <w:highlight w:val="none"/>
        </w:rPr>
        <w:tab/>
      </w:r>
      <w:r>
        <w:rPr>
          <w:rFonts w:ascii="宋体" w:hAnsi="宋体"/>
          <w:color w:val="000000"/>
          <w:szCs w:val="21"/>
          <w:highlight w:val="none"/>
        </w:rPr>
        <w:t>承包人未按监理人的要求恢复临时占地，或者场地清理未达到合同约定的，发包人有权委托其他人恢复或清理，所发生的金额从拟支付给承包人的款项中扣除。</w:t>
      </w:r>
    </w:p>
    <w:p w14:paraId="58AC6059">
      <w:pPr>
        <w:spacing w:line="360" w:lineRule="auto"/>
        <w:rPr>
          <w:rFonts w:ascii="宋体" w:hAnsi="宋体"/>
          <w:color w:val="000000"/>
          <w:sz w:val="24"/>
          <w:highlight w:val="none"/>
        </w:rPr>
      </w:pPr>
      <w:bookmarkStart w:id="681" w:name="_bookmark215"/>
      <w:bookmarkEnd w:id="681"/>
      <w:r>
        <w:rPr>
          <w:rFonts w:ascii="宋体" w:hAnsi="宋体"/>
          <w:color w:val="000000"/>
          <w:sz w:val="24"/>
          <w:highlight w:val="none"/>
        </w:rPr>
        <w:t>18.8</w:t>
      </w:r>
      <w:r>
        <w:rPr>
          <w:rFonts w:ascii="宋体" w:hAnsi="宋体"/>
          <w:color w:val="000000"/>
          <w:sz w:val="24"/>
          <w:highlight w:val="none"/>
        </w:rPr>
        <w:tab/>
      </w:r>
      <w:r>
        <w:rPr>
          <w:rFonts w:ascii="宋体" w:hAnsi="宋体"/>
          <w:color w:val="000000"/>
          <w:sz w:val="24"/>
          <w:highlight w:val="none"/>
        </w:rPr>
        <w:t>施工队伍的撤离</w:t>
      </w:r>
    </w:p>
    <w:p w14:paraId="67F929A5">
      <w:pPr>
        <w:spacing w:line="360" w:lineRule="auto"/>
        <w:ind w:firstLine="420" w:firstLineChars="200"/>
        <w:rPr>
          <w:rFonts w:ascii="宋体" w:hAnsi="宋体"/>
          <w:color w:val="000000"/>
          <w:szCs w:val="21"/>
          <w:highlight w:val="none"/>
        </w:rPr>
      </w:pPr>
      <w:r>
        <w:rPr>
          <w:rFonts w:ascii="宋体" w:hAnsi="宋体"/>
          <w:color w:val="000000"/>
          <w:szCs w:val="21"/>
          <w:highlight w:val="none"/>
        </w:rPr>
        <w:t>18.8.1 工程接收证书颁发后的 56 天内，除了经监理人同意需在缺陷责任期内继续工作和使用的人员、施工设备和临时工程外，其余的人员、施工设备和临时工程均应撤离施工场地或拆除。</w:t>
      </w:r>
    </w:p>
    <w:p w14:paraId="5CBF8DAF">
      <w:pPr>
        <w:spacing w:line="360" w:lineRule="auto"/>
        <w:ind w:firstLine="420" w:firstLineChars="200"/>
        <w:rPr>
          <w:rFonts w:ascii="宋体" w:hAnsi="宋体"/>
          <w:color w:val="000000"/>
          <w:szCs w:val="21"/>
          <w:highlight w:val="none"/>
        </w:rPr>
      </w:pPr>
      <w:r>
        <w:rPr>
          <w:rFonts w:ascii="宋体" w:hAnsi="宋体"/>
          <w:color w:val="000000"/>
          <w:szCs w:val="21"/>
          <w:highlight w:val="none"/>
        </w:rPr>
        <w:t>18.8.2</w:t>
      </w:r>
      <w:r>
        <w:rPr>
          <w:rFonts w:ascii="宋体" w:hAnsi="宋体"/>
          <w:color w:val="000000"/>
          <w:szCs w:val="21"/>
          <w:highlight w:val="none"/>
        </w:rPr>
        <w:tab/>
      </w:r>
      <w:r>
        <w:rPr>
          <w:rFonts w:ascii="宋体" w:hAnsi="宋体"/>
          <w:color w:val="000000"/>
          <w:szCs w:val="21"/>
          <w:highlight w:val="none"/>
        </w:rPr>
        <w:t>承包人撤离施工场地（现场）时，监理人和承包人应当办理永久工程和施工场地移交手续，移交手续以书面方式出具，并分别经过发包人、监理人和承包人的签认。但是，监理人和发包人未按第 17.5.1 项约定的期限办清竣工结算和竣工付款的，本工程不得交付使用，发包人和监理人也无权要求承包人按合同约定的期限撤离施工场地（现场）和办理工程移交手续。</w:t>
      </w:r>
    </w:p>
    <w:p w14:paraId="3BAB5E3F">
      <w:pPr>
        <w:spacing w:line="360" w:lineRule="auto"/>
        <w:ind w:firstLine="420" w:firstLineChars="200"/>
        <w:rPr>
          <w:rFonts w:ascii="宋体" w:hAnsi="宋体"/>
          <w:color w:val="000000"/>
          <w:szCs w:val="21"/>
          <w:highlight w:val="none"/>
        </w:rPr>
      </w:pPr>
      <w:r>
        <w:rPr>
          <w:rFonts w:ascii="宋体" w:hAnsi="宋体"/>
          <w:color w:val="000000"/>
          <w:szCs w:val="21"/>
          <w:highlight w:val="none"/>
        </w:rPr>
        <w:t>18.8.3</w:t>
      </w:r>
      <w:r>
        <w:rPr>
          <w:rFonts w:ascii="宋体" w:hAnsi="宋体"/>
          <w:color w:val="000000"/>
          <w:szCs w:val="21"/>
          <w:highlight w:val="none"/>
        </w:rPr>
        <w:tab/>
      </w:r>
      <w:r>
        <w:rPr>
          <w:rFonts w:ascii="宋体" w:hAnsi="宋体"/>
          <w:color w:val="000000"/>
          <w:szCs w:val="21"/>
          <w:highlight w:val="none"/>
        </w:rPr>
        <w:t>缺陷责任期满时，承包人的人员和施工设备应在合同约定期限内全部撤离施工场地。撤离施工场地的期限要求见合同条款专用部分。</w:t>
      </w:r>
    </w:p>
    <w:p w14:paraId="384B7167">
      <w:pPr>
        <w:spacing w:line="360" w:lineRule="auto"/>
        <w:rPr>
          <w:rFonts w:ascii="宋体" w:hAnsi="宋体"/>
          <w:color w:val="000000"/>
          <w:sz w:val="24"/>
          <w:highlight w:val="none"/>
        </w:rPr>
      </w:pPr>
      <w:bookmarkStart w:id="682" w:name="_bookmark216"/>
      <w:bookmarkEnd w:id="682"/>
      <w:r>
        <w:rPr>
          <w:rFonts w:ascii="宋体" w:hAnsi="宋体"/>
          <w:color w:val="000000"/>
          <w:sz w:val="24"/>
          <w:highlight w:val="none"/>
        </w:rPr>
        <w:t>18.9</w:t>
      </w:r>
      <w:r>
        <w:rPr>
          <w:rFonts w:ascii="宋体" w:hAnsi="宋体"/>
          <w:color w:val="000000"/>
          <w:sz w:val="24"/>
          <w:highlight w:val="none"/>
        </w:rPr>
        <w:tab/>
      </w:r>
      <w:r>
        <w:rPr>
          <w:rFonts w:ascii="宋体" w:hAnsi="宋体"/>
          <w:color w:val="000000"/>
          <w:sz w:val="24"/>
          <w:highlight w:val="none"/>
        </w:rPr>
        <w:t>中间验收</w:t>
      </w:r>
    </w:p>
    <w:p w14:paraId="414A4014">
      <w:pPr>
        <w:spacing w:line="360" w:lineRule="auto"/>
        <w:ind w:firstLine="420" w:firstLineChars="200"/>
        <w:rPr>
          <w:rFonts w:ascii="宋体" w:hAnsi="宋体"/>
          <w:color w:val="000000"/>
          <w:szCs w:val="21"/>
          <w:highlight w:val="none"/>
        </w:rPr>
      </w:pPr>
      <w:r>
        <w:rPr>
          <w:rFonts w:ascii="宋体" w:hAnsi="宋体"/>
          <w:color w:val="000000"/>
          <w:szCs w:val="21"/>
          <w:highlight w:val="none"/>
        </w:rPr>
        <w:t>18.9.1</w:t>
      </w:r>
      <w:r>
        <w:rPr>
          <w:rFonts w:ascii="宋体" w:hAnsi="宋体"/>
          <w:color w:val="000000"/>
          <w:szCs w:val="21"/>
          <w:highlight w:val="none"/>
        </w:rPr>
        <w:tab/>
      </w:r>
      <w:r>
        <w:rPr>
          <w:rFonts w:ascii="宋体" w:hAnsi="宋体"/>
          <w:color w:val="000000"/>
          <w:szCs w:val="21"/>
          <w:highlight w:val="none"/>
        </w:rPr>
        <w:t>本工程需要按照合同约定进行中间验收。进行中间验收的部位见合同条款专用部分。</w:t>
      </w:r>
    </w:p>
    <w:p w14:paraId="588919ED">
      <w:pPr>
        <w:spacing w:line="360" w:lineRule="auto"/>
        <w:ind w:firstLine="420" w:firstLineChars="200"/>
        <w:rPr>
          <w:rFonts w:ascii="宋体" w:hAnsi="宋体"/>
          <w:color w:val="000000"/>
          <w:szCs w:val="21"/>
          <w:highlight w:val="none"/>
        </w:rPr>
      </w:pPr>
      <w:r>
        <w:rPr>
          <w:rFonts w:ascii="宋体" w:hAnsi="宋体"/>
          <w:color w:val="000000"/>
          <w:szCs w:val="21"/>
          <w:highlight w:val="none"/>
        </w:rPr>
        <w:t>18.9.2</w:t>
      </w:r>
      <w:r>
        <w:rPr>
          <w:rFonts w:ascii="宋体" w:hAnsi="宋体"/>
          <w:color w:val="000000"/>
          <w:szCs w:val="21"/>
          <w:highlight w:val="none"/>
        </w:rPr>
        <w:tab/>
      </w:r>
      <w:r>
        <w:rPr>
          <w:rFonts w:ascii="宋体" w:hAnsi="宋体"/>
          <w:color w:val="000000"/>
          <w:szCs w:val="21"/>
          <w:highlight w:val="none"/>
        </w:rPr>
        <w:t>当工程进度达到第18.9.1项约定的中间验收部位时，承包人应当进行自检，并在中间验收前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1EB4910F">
      <w:pPr>
        <w:spacing w:line="360" w:lineRule="auto"/>
        <w:ind w:firstLine="420" w:firstLineChars="200"/>
        <w:rPr>
          <w:rFonts w:ascii="宋体" w:hAnsi="宋体"/>
          <w:color w:val="000000"/>
          <w:szCs w:val="21"/>
          <w:highlight w:val="none"/>
        </w:rPr>
      </w:pPr>
      <w:r>
        <w:rPr>
          <w:rFonts w:ascii="宋体" w:hAnsi="宋体"/>
          <w:color w:val="000000"/>
          <w:szCs w:val="21"/>
          <w:highlight w:val="none"/>
        </w:rPr>
        <w:t>18.9.3</w:t>
      </w:r>
      <w:r>
        <w:rPr>
          <w:rFonts w:ascii="宋体" w:hAnsi="宋体"/>
          <w:color w:val="000000"/>
          <w:szCs w:val="21"/>
          <w:highlight w:val="none"/>
        </w:rPr>
        <w:tab/>
      </w:r>
      <w:r>
        <w:rPr>
          <w:rFonts w:ascii="宋体" w:hAnsi="宋体"/>
          <w:color w:val="000000"/>
          <w:szCs w:val="21"/>
          <w:highlight w:val="none"/>
        </w:rPr>
        <w:t>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102DBEE0">
      <w:pPr>
        <w:spacing w:line="360" w:lineRule="auto"/>
        <w:ind w:firstLine="420" w:firstLineChars="200"/>
        <w:rPr>
          <w:rFonts w:ascii="宋体" w:hAnsi="宋体"/>
          <w:color w:val="000000"/>
          <w:szCs w:val="21"/>
          <w:highlight w:val="none"/>
        </w:rPr>
      </w:pPr>
      <w:r>
        <w:rPr>
          <w:rFonts w:ascii="宋体" w:hAnsi="宋体"/>
          <w:color w:val="000000"/>
          <w:szCs w:val="21"/>
          <w:highlight w:val="none"/>
        </w:rPr>
        <w:t>经监理人验收后工程质量符合约定的验收标准，但验收24小时后监理人仍不在验收记录上签字的，视为监理人已经认可验收记录，承包人可继续施工。</w:t>
      </w:r>
    </w:p>
    <w:p w14:paraId="4600435C">
      <w:pPr>
        <w:spacing w:line="360" w:lineRule="auto"/>
        <w:rPr>
          <w:rFonts w:ascii="宋体" w:hAnsi="宋体"/>
          <w:color w:val="000000"/>
          <w:sz w:val="28"/>
          <w:szCs w:val="28"/>
          <w:highlight w:val="none"/>
        </w:rPr>
      </w:pPr>
      <w:bookmarkStart w:id="683" w:name="_bookmark217"/>
      <w:bookmarkEnd w:id="683"/>
      <w:r>
        <w:rPr>
          <w:rFonts w:ascii="宋体" w:hAnsi="宋体"/>
          <w:color w:val="000000"/>
          <w:sz w:val="28"/>
          <w:szCs w:val="28"/>
          <w:highlight w:val="none"/>
        </w:rPr>
        <w:t>19.缺陷责任与保修责任</w:t>
      </w:r>
    </w:p>
    <w:p w14:paraId="1324EBCE">
      <w:pPr>
        <w:spacing w:line="360" w:lineRule="auto"/>
        <w:rPr>
          <w:rFonts w:ascii="宋体" w:hAnsi="宋体"/>
          <w:color w:val="000000"/>
          <w:sz w:val="24"/>
          <w:highlight w:val="none"/>
        </w:rPr>
      </w:pPr>
      <w:bookmarkStart w:id="684" w:name="_bookmark218"/>
      <w:bookmarkEnd w:id="684"/>
      <w:r>
        <w:rPr>
          <w:rFonts w:ascii="宋体" w:hAnsi="宋体"/>
          <w:color w:val="000000"/>
          <w:sz w:val="24"/>
          <w:highlight w:val="none"/>
        </w:rPr>
        <w:t>19.1</w:t>
      </w:r>
      <w:r>
        <w:rPr>
          <w:rFonts w:ascii="宋体" w:hAnsi="宋体"/>
          <w:color w:val="000000"/>
          <w:sz w:val="24"/>
          <w:highlight w:val="none"/>
        </w:rPr>
        <w:tab/>
      </w:r>
      <w:r>
        <w:rPr>
          <w:rFonts w:ascii="宋体" w:hAnsi="宋体"/>
          <w:color w:val="000000"/>
          <w:sz w:val="24"/>
          <w:highlight w:val="none"/>
        </w:rPr>
        <w:t>缺陷责任期的起算时间</w:t>
      </w:r>
    </w:p>
    <w:p w14:paraId="0A76E6FA">
      <w:pPr>
        <w:spacing w:line="360" w:lineRule="auto"/>
        <w:ind w:firstLine="420" w:firstLineChars="200"/>
        <w:rPr>
          <w:rFonts w:ascii="宋体" w:hAnsi="宋体"/>
          <w:color w:val="000000"/>
          <w:szCs w:val="21"/>
          <w:highlight w:val="none"/>
        </w:rPr>
      </w:pPr>
      <w:r>
        <w:rPr>
          <w:rFonts w:ascii="宋体" w:hAnsi="宋体"/>
          <w:color w:val="000000"/>
          <w:szCs w:val="21"/>
          <w:highlight w:val="none"/>
        </w:rPr>
        <w:t>缺陷责任期自实际竣工日期起计算。在全部工程竣工验收前，已经发包人提前验收的单位工程，其缺陷责任期的起算日期相应提前。</w:t>
      </w:r>
    </w:p>
    <w:p w14:paraId="0E87AD96">
      <w:pPr>
        <w:spacing w:line="360" w:lineRule="auto"/>
        <w:rPr>
          <w:rFonts w:ascii="宋体" w:hAnsi="宋体"/>
          <w:color w:val="000000"/>
          <w:sz w:val="24"/>
          <w:highlight w:val="none"/>
        </w:rPr>
      </w:pPr>
      <w:bookmarkStart w:id="685" w:name="_bookmark219"/>
      <w:bookmarkEnd w:id="685"/>
      <w:r>
        <w:rPr>
          <w:rFonts w:ascii="宋体" w:hAnsi="宋体"/>
          <w:color w:val="000000"/>
          <w:sz w:val="24"/>
          <w:highlight w:val="none"/>
        </w:rPr>
        <w:t>19.2</w:t>
      </w:r>
      <w:r>
        <w:rPr>
          <w:rFonts w:ascii="宋体" w:hAnsi="宋体"/>
          <w:color w:val="000000"/>
          <w:sz w:val="24"/>
          <w:highlight w:val="none"/>
        </w:rPr>
        <w:tab/>
      </w:r>
      <w:r>
        <w:rPr>
          <w:rFonts w:ascii="宋体" w:hAnsi="宋体"/>
          <w:color w:val="000000"/>
          <w:sz w:val="24"/>
          <w:highlight w:val="none"/>
        </w:rPr>
        <w:t>缺陷责任</w:t>
      </w:r>
    </w:p>
    <w:p w14:paraId="061AFFC7">
      <w:pPr>
        <w:spacing w:line="360" w:lineRule="auto"/>
        <w:ind w:firstLine="420" w:firstLineChars="200"/>
        <w:rPr>
          <w:rFonts w:ascii="宋体" w:hAnsi="宋体"/>
          <w:color w:val="000000"/>
          <w:szCs w:val="21"/>
          <w:highlight w:val="none"/>
        </w:rPr>
      </w:pPr>
      <w:r>
        <w:rPr>
          <w:rFonts w:ascii="宋体" w:hAnsi="宋体"/>
          <w:color w:val="000000"/>
          <w:szCs w:val="21"/>
          <w:highlight w:val="none"/>
        </w:rPr>
        <w:t>19.2.1</w:t>
      </w:r>
      <w:r>
        <w:rPr>
          <w:rFonts w:ascii="宋体" w:hAnsi="宋体"/>
          <w:color w:val="000000"/>
          <w:szCs w:val="21"/>
          <w:highlight w:val="none"/>
        </w:rPr>
        <w:tab/>
      </w:r>
      <w:r>
        <w:rPr>
          <w:rFonts w:ascii="宋体" w:hAnsi="宋体"/>
          <w:color w:val="000000"/>
          <w:szCs w:val="21"/>
          <w:highlight w:val="none"/>
        </w:rPr>
        <w:t>承包人应在缺陷责任期内对已交付使用的工程承担缺陷责任。</w:t>
      </w:r>
    </w:p>
    <w:p w14:paraId="54D3362E">
      <w:pPr>
        <w:spacing w:line="360" w:lineRule="auto"/>
        <w:ind w:firstLine="420" w:firstLineChars="200"/>
        <w:rPr>
          <w:rFonts w:ascii="宋体" w:hAnsi="宋体"/>
          <w:color w:val="000000"/>
          <w:szCs w:val="21"/>
          <w:highlight w:val="none"/>
        </w:rPr>
      </w:pPr>
      <w:r>
        <w:rPr>
          <w:rFonts w:ascii="宋体" w:hAnsi="宋体"/>
          <w:color w:val="000000"/>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45D26817">
      <w:pPr>
        <w:spacing w:line="360" w:lineRule="auto"/>
        <w:ind w:firstLine="420" w:firstLineChars="200"/>
        <w:rPr>
          <w:rFonts w:ascii="宋体" w:hAnsi="宋体"/>
          <w:color w:val="000000"/>
          <w:szCs w:val="21"/>
          <w:highlight w:val="none"/>
        </w:rPr>
      </w:pPr>
      <w:r>
        <w:rPr>
          <w:rFonts w:ascii="宋体" w:hAnsi="宋体"/>
          <w:color w:val="000000"/>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3F00AFB">
      <w:pPr>
        <w:spacing w:line="360" w:lineRule="auto"/>
        <w:ind w:firstLine="420" w:firstLineChars="200"/>
        <w:rPr>
          <w:rFonts w:ascii="宋体" w:hAnsi="宋体"/>
          <w:color w:val="000000"/>
          <w:szCs w:val="21"/>
          <w:highlight w:val="none"/>
        </w:rPr>
      </w:pPr>
      <w:r>
        <w:rPr>
          <w:rFonts w:ascii="宋体" w:hAnsi="宋体"/>
          <w:color w:val="000000"/>
          <w:szCs w:val="21"/>
          <w:highlight w:val="none"/>
        </w:rPr>
        <w:t>19.2.4</w:t>
      </w:r>
      <w:r>
        <w:rPr>
          <w:rFonts w:ascii="宋体" w:hAnsi="宋体"/>
          <w:color w:val="000000"/>
          <w:szCs w:val="21"/>
          <w:highlight w:val="none"/>
        </w:rPr>
        <w:tab/>
      </w:r>
      <w:r>
        <w:rPr>
          <w:rFonts w:ascii="宋体" w:hAnsi="宋体"/>
          <w:color w:val="000000"/>
          <w:szCs w:val="21"/>
          <w:highlight w:val="none"/>
        </w:rPr>
        <w:t>承包人不能在合理时间内修复缺陷的，发包人可自行修复或委托其他人修复，所需费用和利润的承担，按第19.2.3项约定办理。</w:t>
      </w:r>
    </w:p>
    <w:p w14:paraId="1AE203BF">
      <w:pPr>
        <w:spacing w:line="360" w:lineRule="auto"/>
        <w:rPr>
          <w:rFonts w:ascii="宋体" w:hAnsi="宋体"/>
          <w:color w:val="000000"/>
          <w:sz w:val="24"/>
          <w:highlight w:val="none"/>
        </w:rPr>
      </w:pPr>
      <w:bookmarkStart w:id="686" w:name="_bookmark220"/>
      <w:bookmarkEnd w:id="686"/>
      <w:r>
        <w:rPr>
          <w:rFonts w:ascii="宋体" w:hAnsi="宋体"/>
          <w:color w:val="000000"/>
          <w:sz w:val="24"/>
          <w:highlight w:val="none"/>
        </w:rPr>
        <w:t>19.3</w:t>
      </w:r>
      <w:r>
        <w:rPr>
          <w:rFonts w:ascii="宋体" w:hAnsi="宋体"/>
          <w:color w:val="000000"/>
          <w:sz w:val="24"/>
          <w:highlight w:val="none"/>
        </w:rPr>
        <w:tab/>
      </w:r>
      <w:r>
        <w:rPr>
          <w:rFonts w:ascii="宋体" w:hAnsi="宋体"/>
          <w:color w:val="000000"/>
          <w:sz w:val="24"/>
          <w:highlight w:val="none"/>
        </w:rPr>
        <w:t>缺陷责任期的延长</w:t>
      </w:r>
    </w:p>
    <w:p w14:paraId="6BB67194">
      <w:pPr>
        <w:spacing w:line="360" w:lineRule="auto"/>
        <w:ind w:firstLine="420" w:firstLineChars="200"/>
        <w:rPr>
          <w:rFonts w:ascii="宋体" w:hAnsi="宋体"/>
          <w:color w:val="000000"/>
          <w:szCs w:val="21"/>
          <w:highlight w:val="none"/>
        </w:rPr>
      </w:pPr>
      <w:r>
        <w:rPr>
          <w:rFonts w:ascii="宋体" w:hAnsi="宋体"/>
          <w:color w:val="000000"/>
          <w:szCs w:val="21"/>
          <w:highlight w:val="none"/>
        </w:rPr>
        <w:t>由于承包人原因造成某项缺陷或损坏，使某项工程或工程设备不能按原定目标使用，需要再次检查、检验和修复的，发包人有权要求承包人相应延长缺陷责任期，但缺陷责任期最长不超过2年。</w:t>
      </w:r>
    </w:p>
    <w:p w14:paraId="513027A3">
      <w:pPr>
        <w:spacing w:line="360" w:lineRule="auto"/>
        <w:rPr>
          <w:rFonts w:ascii="宋体" w:hAnsi="宋体"/>
          <w:color w:val="000000"/>
          <w:sz w:val="24"/>
          <w:highlight w:val="none"/>
        </w:rPr>
      </w:pPr>
      <w:bookmarkStart w:id="687" w:name="_bookmark221"/>
      <w:bookmarkEnd w:id="687"/>
      <w:r>
        <w:rPr>
          <w:rFonts w:ascii="宋体" w:hAnsi="宋体"/>
          <w:color w:val="000000"/>
          <w:sz w:val="24"/>
          <w:highlight w:val="none"/>
        </w:rPr>
        <w:t>19.4</w:t>
      </w:r>
      <w:r>
        <w:rPr>
          <w:rFonts w:ascii="宋体" w:hAnsi="宋体"/>
          <w:color w:val="000000"/>
          <w:sz w:val="24"/>
          <w:highlight w:val="none"/>
        </w:rPr>
        <w:tab/>
      </w:r>
      <w:r>
        <w:rPr>
          <w:rFonts w:ascii="宋体" w:hAnsi="宋体"/>
          <w:color w:val="000000"/>
          <w:sz w:val="24"/>
          <w:highlight w:val="none"/>
        </w:rPr>
        <w:t>进一步试验和试运行</w:t>
      </w:r>
    </w:p>
    <w:p w14:paraId="3F6D6F35">
      <w:pPr>
        <w:spacing w:line="360" w:lineRule="auto"/>
        <w:ind w:firstLine="420" w:firstLineChars="200"/>
        <w:rPr>
          <w:rFonts w:ascii="宋体" w:hAnsi="宋体"/>
          <w:color w:val="000000"/>
          <w:szCs w:val="21"/>
          <w:highlight w:val="none"/>
        </w:rPr>
      </w:pPr>
      <w:r>
        <w:rPr>
          <w:rFonts w:ascii="宋体" w:hAnsi="宋体"/>
          <w:color w:val="000000"/>
          <w:szCs w:val="21"/>
          <w:highlight w:val="none"/>
        </w:rPr>
        <w:t>任何一项缺陷或损坏修复后，经检查证明其影响了工程或工程设备的使用性能，承包人应重新进行合同约定的试验和试运行，试验和试运行的全部费用应由责任方承担。</w:t>
      </w:r>
    </w:p>
    <w:p w14:paraId="645019AC">
      <w:pPr>
        <w:spacing w:line="360" w:lineRule="auto"/>
        <w:rPr>
          <w:rFonts w:ascii="宋体" w:hAnsi="宋体"/>
          <w:color w:val="000000"/>
          <w:sz w:val="24"/>
          <w:highlight w:val="none"/>
        </w:rPr>
      </w:pPr>
      <w:bookmarkStart w:id="688" w:name="_bookmark222"/>
      <w:bookmarkEnd w:id="688"/>
      <w:r>
        <w:rPr>
          <w:rFonts w:ascii="宋体" w:hAnsi="宋体"/>
          <w:color w:val="000000"/>
          <w:sz w:val="24"/>
          <w:highlight w:val="none"/>
        </w:rPr>
        <w:t>19.5</w:t>
      </w:r>
      <w:r>
        <w:rPr>
          <w:rFonts w:ascii="宋体" w:hAnsi="宋体"/>
          <w:color w:val="000000"/>
          <w:sz w:val="24"/>
          <w:highlight w:val="none"/>
        </w:rPr>
        <w:tab/>
      </w:r>
      <w:r>
        <w:rPr>
          <w:rFonts w:ascii="宋体" w:hAnsi="宋体"/>
          <w:color w:val="000000"/>
          <w:sz w:val="24"/>
          <w:highlight w:val="none"/>
        </w:rPr>
        <w:t>承包人的进入权</w:t>
      </w:r>
    </w:p>
    <w:p w14:paraId="6FF5B805">
      <w:pPr>
        <w:spacing w:line="360" w:lineRule="auto"/>
        <w:ind w:firstLine="420" w:firstLineChars="200"/>
        <w:rPr>
          <w:rFonts w:ascii="宋体" w:hAnsi="宋体"/>
          <w:color w:val="000000"/>
          <w:szCs w:val="21"/>
          <w:highlight w:val="none"/>
        </w:rPr>
      </w:pPr>
      <w:r>
        <w:rPr>
          <w:rFonts w:ascii="宋体" w:hAnsi="宋体"/>
          <w:color w:val="000000"/>
          <w:szCs w:val="21"/>
          <w:highlight w:val="none"/>
        </w:rPr>
        <w:t>缺陷责任期内承包人为缺陷修复工作需要，有权进入工程现场，但应遵守发包人的保安和保密规定。</w:t>
      </w:r>
    </w:p>
    <w:p w14:paraId="40A17E2B">
      <w:pPr>
        <w:spacing w:line="360" w:lineRule="auto"/>
        <w:rPr>
          <w:rFonts w:ascii="宋体" w:hAnsi="宋体"/>
          <w:color w:val="000000"/>
          <w:sz w:val="24"/>
          <w:highlight w:val="none"/>
        </w:rPr>
      </w:pPr>
      <w:bookmarkStart w:id="689" w:name="_bookmark223"/>
      <w:bookmarkEnd w:id="689"/>
      <w:r>
        <w:rPr>
          <w:rFonts w:ascii="宋体" w:hAnsi="宋体"/>
          <w:color w:val="000000"/>
          <w:sz w:val="24"/>
          <w:highlight w:val="none"/>
        </w:rPr>
        <w:t>19.6</w:t>
      </w:r>
      <w:r>
        <w:rPr>
          <w:rFonts w:ascii="宋体" w:hAnsi="宋体"/>
          <w:color w:val="000000"/>
          <w:sz w:val="24"/>
          <w:highlight w:val="none"/>
        </w:rPr>
        <w:tab/>
      </w:r>
      <w:r>
        <w:rPr>
          <w:rFonts w:ascii="宋体" w:hAnsi="宋体"/>
          <w:color w:val="000000"/>
          <w:sz w:val="24"/>
          <w:highlight w:val="none"/>
        </w:rPr>
        <w:t>缺陷责任期终止证书</w:t>
      </w:r>
    </w:p>
    <w:p w14:paraId="0E721642">
      <w:pPr>
        <w:spacing w:line="360" w:lineRule="auto"/>
        <w:ind w:firstLine="420" w:firstLineChars="200"/>
        <w:rPr>
          <w:rFonts w:ascii="宋体" w:hAnsi="宋体"/>
          <w:color w:val="000000"/>
          <w:szCs w:val="21"/>
          <w:highlight w:val="none"/>
        </w:rPr>
      </w:pPr>
      <w:r>
        <w:rPr>
          <w:rFonts w:ascii="宋体" w:hAnsi="宋体"/>
          <w:color w:val="000000"/>
          <w:szCs w:val="21"/>
          <w:highlight w:val="none"/>
        </w:rPr>
        <w:t>在第 1.1.4.5 目约定的缺陷责任期，包括根据第 19.3 款延长的期限终止后14天内，由监理人向承包人出具经发包人签认的缺陷责任期终止证书，并退还剩余的质量保证金或退还保函。</w:t>
      </w:r>
    </w:p>
    <w:p w14:paraId="49CCA543">
      <w:pPr>
        <w:spacing w:line="360" w:lineRule="auto"/>
        <w:rPr>
          <w:rFonts w:ascii="宋体" w:hAnsi="宋体"/>
          <w:color w:val="000000"/>
          <w:sz w:val="24"/>
          <w:highlight w:val="none"/>
        </w:rPr>
      </w:pPr>
      <w:bookmarkStart w:id="690" w:name="_bookmark224"/>
      <w:bookmarkEnd w:id="690"/>
      <w:r>
        <w:rPr>
          <w:rFonts w:ascii="宋体" w:hAnsi="宋体"/>
          <w:color w:val="000000"/>
          <w:sz w:val="24"/>
          <w:highlight w:val="none"/>
        </w:rPr>
        <w:t>19.7</w:t>
      </w:r>
      <w:r>
        <w:rPr>
          <w:rFonts w:ascii="宋体" w:hAnsi="宋体"/>
          <w:color w:val="000000"/>
          <w:sz w:val="24"/>
          <w:highlight w:val="none"/>
        </w:rPr>
        <w:tab/>
      </w:r>
      <w:r>
        <w:rPr>
          <w:rFonts w:ascii="宋体" w:hAnsi="宋体"/>
          <w:color w:val="000000"/>
          <w:sz w:val="24"/>
          <w:highlight w:val="none"/>
        </w:rPr>
        <w:t>保修责任</w:t>
      </w:r>
    </w:p>
    <w:p w14:paraId="4AECD986">
      <w:pPr>
        <w:spacing w:line="360" w:lineRule="auto"/>
        <w:ind w:firstLine="420" w:firstLineChars="200"/>
        <w:rPr>
          <w:rFonts w:ascii="宋体" w:hAnsi="宋体"/>
          <w:color w:val="000000"/>
          <w:szCs w:val="21"/>
          <w:highlight w:val="none"/>
        </w:rPr>
      </w:pPr>
      <w:r>
        <w:rPr>
          <w:rFonts w:ascii="宋体" w:hAnsi="宋体"/>
          <w:color w:val="000000"/>
          <w:szCs w:val="21"/>
          <w:highlight w:val="none"/>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r>
        <w:rPr>
          <w:rFonts w:ascii="黑体" w:hAnsi="黑体" w:eastAsia="黑体"/>
          <w:color w:val="000000"/>
          <w:szCs w:val="21"/>
          <w:highlight w:val="none"/>
        </w:rPr>
        <w:t>见合同条款专用部分</w:t>
      </w:r>
      <w:r>
        <w:rPr>
          <w:rFonts w:ascii="宋体" w:hAnsi="宋体"/>
          <w:color w:val="000000"/>
          <w:szCs w:val="21"/>
          <w:highlight w:val="none"/>
        </w:rPr>
        <w:t>。</w:t>
      </w:r>
    </w:p>
    <w:p w14:paraId="7B61CFE1">
      <w:pPr>
        <w:spacing w:line="360" w:lineRule="auto"/>
        <w:ind w:firstLine="420" w:firstLineChars="200"/>
        <w:rPr>
          <w:rFonts w:ascii="宋体" w:hAnsi="宋体"/>
          <w:color w:val="000000"/>
          <w:szCs w:val="21"/>
          <w:highlight w:val="none"/>
        </w:rPr>
      </w:pPr>
      <w:r>
        <w:rPr>
          <w:rFonts w:ascii="宋体" w:hAnsi="宋体"/>
          <w:color w:val="000000"/>
          <w:szCs w:val="21"/>
          <w:highlight w:val="none"/>
        </w:rPr>
        <w:t>19.7.2 质量保修书是竣工验收申请报告的组成内容。承包人应当按照有关法律法规规定和合同所附的格式出具质量保修书，质量保修书的主要内容应当与本款上述约定内容一致。承包人在递交合同条款第 18.2 款约定的竣工验收报告的同时，将质量保修书一并报送监理人。</w:t>
      </w:r>
    </w:p>
    <w:p w14:paraId="7270E1A6">
      <w:pPr>
        <w:spacing w:line="360" w:lineRule="auto"/>
        <w:rPr>
          <w:rFonts w:ascii="宋体" w:hAnsi="宋体"/>
          <w:color w:val="000000"/>
          <w:sz w:val="28"/>
          <w:szCs w:val="28"/>
          <w:highlight w:val="none"/>
        </w:rPr>
      </w:pPr>
      <w:bookmarkStart w:id="691" w:name="_bookmark225"/>
      <w:bookmarkEnd w:id="691"/>
      <w:r>
        <w:rPr>
          <w:rFonts w:ascii="宋体" w:hAnsi="宋体"/>
          <w:color w:val="000000"/>
          <w:sz w:val="28"/>
          <w:szCs w:val="28"/>
          <w:highlight w:val="none"/>
        </w:rPr>
        <w:t>20.保险</w:t>
      </w:r>
    </w:p>
    <w:p w14:paraId="6F8D8155">
      <w:pPr>
        <w:spacing w:line="360" w:lineRule="auto"/>
        <w:rPr>
          <w:rFonts w:ascii="宋体" w:hAnsi="宋体"/>
          <w:color w:val="000000"/>
          <w:sz w:val="24"/>
          <w:highlight w:val="none"/>
        </w:rPr>
      </w:pPr>
      <w:bookmarkStart w:id="692" w:name="_bookmark226"/>
      <w:bookmarkEnd w:id="692"/>
      <w:r>
        <w:rPr>
          <w:rFonts w:ascii="宋体" w:hAnsi="宋体"/>
          <w:color w:val="000000"/>
          <w:sz w:val="24"/>
          <w:highlight w:val="none"/>
        </w:rPr>
        <w:t>20.1</w:t>
      </w:r>
      <w:r>
        <w:rPr>
          <w:rFonts w:ascii="宋体" w:hAnsi="宋体"/>
          <w:color w:val="000000"/>
          <w:sz w:val="24"/>
          <w:highlight w:val="none"/>
        </w:rPr>
        <w:tab/>
      </w:r>
      <w:r>
        <w:rPr>
          <w:rFonts w:ascii="宋体" w:hAnsi="宋体"/>
          <w:color w:val="000000"/>
          <w:sz w:val="24"/>
          <w:highlight w:val="none"/>
        </w:rPr>
        <w:t>工程保险</w:t>
      </w:r>
    </w:p>
    <w:p w14:paraId="22A7869A">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承包人应以发包人和承包人的共同名义向双方同意的保险人投保</w:t>
      </w:r>
      <w:r>
        <w:rPr>
          <w:rFonts w:hint="eastAsia" w:ascii="宋体" w:hAnsi="宋体"/>
          <w:color w:val="000000"/>
          <w:szCs w:val="21"/>
          <w:highlight w:val="none"/>
        </w:rPr>
        <w:t>建筑工程</w:t>
      </w:r>
      <w:r>
        <w:rPr>
          <w:rFonts w:ascii="宋体" w:hAnsi="宋体"/>
          <w:color w:val="000000"/>
          <w:szCs w:val="21"/>
          <w:highlight w:val="none"/>
        </w:rPr>
        <w:t>一切险、安装工程一切险。其具体的投保内容、保险金额、保险费率、保险期限等有关内容</w:t>
      </w:r>
      <w:r>
        <w:rPr>
          <w:rFonts w:ascii="黑体" w:hAnsi="黑体" w:eastAsia="黑体"/>
          <w:color w:val="000000"/>
          <w:szCs w:val="21"/>
          <w:highlight w:val="none"/>
        </w:rPr>
        <w:t>见合同条款专用部分</w:t>
      </w:r>
      <w:r>
        <w:rPr>
          <w:rFonts w:ascii="宋体" w:hAnsi="宋体"/>
          <w:color w:val="000000"/>
          <w:szCs w:val="21"/>
          <w:highlight w:val="none"/>
        </w:rPr>
        <w:t>。</w:t>
      </w:r>
    </w:p>
    <w:p w14:paraId="0FE38B01">
      <w:pPr>
        <w:spacing w:line="360" w:lineRule="auto"/>
        <w:rPr>
          <w:rFonts w:ascii="宋体" w:hAnsi="宋体"/>
          <w:color w:val="000000"/>
          <w:sz w:val="24"/>
          <w:highlight w:val="none"/>
        </w:rPr>
      </w:pPr>
      <w:bookmarkStart w:id="693" w:name="_bookmark227"/>
      <w:bookmarkEnd w:id="693"/>
      <w:r>
        <w:rPr>
          <w:rFonts w:ascii="宋体" w:hAnsi="宋体"/>
          <w:color w:val="000000"/>
          <w:sz w:val="24"/>
          <w:highlight w:val="none"/>
        </w:rPr>
        <w:t>20.2</w:t>
      </w:r>
      <w:r>
        <w:rPr>
          <w:rFonts w:ascii="宋体" w:hAnsi="宋体"/>
          <w:color w:val="000000"/>
          <w:sz w:val="24"/>
          <w:highlight w:val="none"/>
        </w:rPr>
        <w:tab/>
      </w:r>
      <w:r>
        <w:rPr>
          <w:rFonts w:ascii="宋体" w:hAnsi="宋体"/>
          <w:color w:val="000000"/>
          <w:sz w:val="24"/>
          <w:highlight w:val="none"/>
        </w:rPr>
        <w:t>人员工伤事故的保险</w:t>
      </w:r>
    </w:p>
    <w:p w14:paraId="27585CAA">
      <w:pPr>
        <w:spacing w:line="360" w:lineRule="auto"/>
        <w:ind w:firstLine="420" w:firstLineChars="200"/>
        <w:rPr>
          <w:rFonts w:ascii="宋体" w:hAnsi="宋体"/>
          <w:color w:val="000000"/>
          <w:szCs w:val="21"/>
          <w:highlight w:val="none"/>
        </w:rPr>
      </w:pPr>
      <w:r>
        <w:rPr>
          <w:rFonts w:ascii="宋体" w:hAnsi="宋体"/>
          <w:color w:val="000000"/>
          <w:szCs w:val="21"/>
          <w:highlight w:val="none"/>
        </w:rPr>
        <w:t>20.2.1</w:t>
      </w:r>
      <w:r>
        <w:rPr>
          <w:rFonts w:ascii="宋体" w:hAnsi="宋体"/>
          <w:color w:val="000000"/>
          <w:szCs w:val="21"/>
          <w:highlight w:val="none"/>
        </w:rPr>
        <w:tab/>
      </w:r>
      <w:r>
        <w:rPr>
          <w:rFonts w:ascii="宋体" w:hAnsi="宋体"/>
          <w:color w:val="000000"/>
          <w:szCs w:val="21"/>
          <w:highlight w:val="none"/>
        </w:rPr>
        <w:t>承包人员工伤事故的保险</w:t>
      </w:r>
    </w:p>
    <w:p w14:paraId="03E79B30">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6739211B">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（2）承包人工伤事故保险期限自合同工程开工之日起至合同终止之日止。</w:t>
      </w:r>
    </w:p>
    <w:p w14:paraId="15B7EA25">
      <w:pPr>
        <w:spacing w:line="360" w:lineRule="auto"/>
        <w:ind w:firstLine="420" w:firstLineChars="200"/>
        <w:rPr>
          <w:rFonts w:ascii="宋体" w:hAnsi="宋体"/>
          <w:color w:val="000000"/>
          <w:szCs w:val="21"/>
          <w:highlight w:val="none"/>
        </w:rPr>
      </w:pPr>
      <w:r>
        <w:rPr>
          <w:rFonts w:ascii="宋体" w:hAnsi="宋体"/>
          <w:color w:val="000000"/>
          <w:szCs w:val="21"/>
          <w:highlight w:val="none"/>
        </w:rPr>
        <w:t>20.2.2</w:t>
      </w:r>
      <w:r>
        <w:rPr>
          <w:rFonts w:ascii="宋体" w:hAnsi="宋体"/>
          <w:color w:val="000000"/>
          <w:szCs w:val="21"/>
          <w:highlight w:val="none"/>
        </w:rPr>
        <w:tab/>
      </w:r>
      <w:r>
        <w:rPr>
          <w:rFonts w:ascii="宋体" w:hAnsi="宋体"/>
          <w:color w:val="000000"/>
          <w:szCs w:val="21"/>
          <w:highlight w:val="none"/>
        </w:rPr>
        <w:t>发包人员工伤事故的保险</w:t>
      </w:r>
    </w:p>
    <w:p w14:paraId="4B9E3F0B">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发包人应依照有关法律法规规定参加工伤保险，为其现场机构雇佣的全部人员，缴纳工伤保险费，并要求其监理人也进行此项保险。</w:t>
      </w:r>
    </w:p>
    <w:p w14:paraId="10E56C47">
      <w:pPr>
        <w:spacing w:line="360" w:lineRule="auto"/>
        <w:rPr>
          <w:rFonts w:ascii="宋体" w:hAnsi="宋体"/>
          <w:color w:val="000000"/>
          <w:sz w:val="24"/>
          <w:highlight w:val="none"/>
        </w:rPr>
      </w:pPr>
      <w:bookmarkStart w:id="694" w:name="_bookmark228"/>
      <w:bookmarkEnd w:id="694"/>
      <w:r>
        <w:rPr>
          <w:rFonts w:ascii="宋体" w:hAnsi="宋体"/>
          <w:color w:val="000000"/>
          <w:sz w:val="24"/>
          <w:highlight w:val="none"/>
        </w:rPr>
        <w:t>20.3</w:t>
      </w:r>
      <w:r>
        <w:rPr>
          <w:rFonts w:ascii="宋体" w:hAnsi="宋体"/>
          <w:color w:val="000000"/>
          <w:sz w:val="24"/>
          <w:highlight w:val="none"/>
        </w:rPr>
        <w:tab/>
      </w:r>
      <w:r>
        <w:rPr>
          <w:rFonts w:ascii="宋体" w:hAnsi="宋体"/>
          <w:color w:val="000000"/>
          <w:sz w:val="24"/>
          <w:highlight w:val="none"/>
        </w:rPr>
        <w:t>人身意外伤害险</w:t>
      </w:r>
    </w:p>
    <w:p w14:paraId="4C77AD1E">
      <w:pPr>
        <w:spacing w:line="360" w:lineRule="auto"/>
        <w:ind w:firstLine="420" w:firstLineChars="200"/>
        <w:rPr>
          <w:rFonts w:ascii="宋体" w:hAnsi="宋体"/>
          <w:color w:val="000000"/>
          <w:szCs w:val="21"/>
          <w:highlight w:val="none"/>
        </w:rPr>
      </w:pPr>
      <w:r>
        <w:rPr>
          <w:rFonts w:ascii="宋体" w:hAnsi="宋体"/>
          <w:color w:val="000000"/>
          <w:szCs w:val="21"/>
          <w:highlight w:val="none"/>
        </w:rPr>
        <w:t>20.3.1 发包人应在整个施工期间为其现场机构雇用的全部人员，投保人身意外伤害险，缴纳保险费，并要求其监理人也进行此项保险。</w:t>
      </w:r>
    </w:p>
    <w:p w14:paraId="2639431F">
      <w:pPr>
        <w:spacing w:line="360" w:lineRule="auto"/>
        <w:ind w:firstLine="420" w:firstLineChars="200"/>
        <w:rPr>
          <w:rFonts w:ascii="宋体" w:hAnsi="宋体"/>
          <w:color w:val="000000"/>
          <w:szCs w:val="21"/>
          <w:highlight w:val="none"/>
        </w:rPr>
      </w:pPr>
      <w:r>
        <w:rPr>
          <w:rFonts w:ascii="宋体" w:hAnsi="宋体"/>
          <w:color w:val="000000"/>
          <w:szCs w:val="21"/>
          <w:highlight w:val="none"/>
        </w:rPr>
        <w:t>20.3.2 承包人应在整个施工期间为其现场机构雇用的全部人员，投保人身意外伤害险，缴纳保险费，并要求其分包人也进行此项保险。</w:t>
      </w:r>
    </w:p>
    <w:p w14:paraId="7DD0D353">
      <w:pPr>
        <w:spacing w:line="360" w:lineRule="auto"/>
        <w:rPr>
          <w:rFonts w:ascii="宋体" w:hAnsi="宋体"/>
          <w:color w:val="000000"/>
          <w:sz w:val="24"/>
          <w:highlight w:val="none"/>
        </w:rPr>
      </w:pPr>
      <w:bookmarkStart w:id="695" w:name="_bookmark229"/>
      <w:bookmarkEnd w:id="695"/>
      <w:r>
        <w:rPr>
          <w:rFonts w:ascii="宋体" w:hAnsi="宋体"/>
          <w:color w:val="000000"/>
          <w:sz w:val="24"/>
          <w:highlight w:val="none"/>
        </w:rPr>
        <w:t>20.4</w:t>
      </w:r>
      <w:r>
        <w:rPr>
          <w:rFonts w:ascii="宋体" w:hAnsi="宋体"/>
          <w:color w:val="000000"/>
          <w:sz w:val="24"/>
          <w:highlight w:val="none"/>
        </w:rPr>
        <w:tab/>
      </w:r>
      <w:r>
        <w:rPr>
          <w:rFonts w:ascii="宋体" w:hAnsi="宋体"/>
          <w:color w:val="000000"/>
          <w:sz w:val="24"/>
          <w:highlight w:val="none"/>
        </w:rPr>
        <w:t>第三者责任险</w:t>
      </w:r>
    </w:p>
    <w:p w14:paraId="4F4819E7">
      <w:pPr>
        <w:spacing w:line="360" w:lineRule="auto"/>
        <w:ind w:firstLine="420" w:firstLineChars="200"/>
        <w:rPr>
          <w:rFonts w:ascii="宋体" w:hAnsi="宋体"/>
          <w:color w:val="000000"/>
          <w:szCs w:val="21"/>
          <w:highlight w:val="none"/>
        </w:rPr>
      </w:pPr>
      <w:r>
        <w:rPr>
          <w:rFonts w:ascii="宋体" w:hAnsi="宋体"/>
          <w:color w:val="000000"/>
          <w:szCs w:val="21"/>
          <w:highlight w:val="none"/>
        </w:rPr>
        <w:t>20.4.1 第三者责任系指在保险期内，对因工程意外事故造成的、依法应由被保险人负 责的工地上及毗邻地区的第三者人身伤亡、疾病或财产损失（本工程除外），以及被保险人 因此而支付的诉讼费用和事先经保险人书面同意支付的其他费用等赔偿责任。</w:t>
      </w:r>
    </w:p>
    <w:p w14:paraId="1C168B69">
      <w:pPr>
        <w:spacing w:line="360" w:lineRule="auto"/>
        <w:ind w:firstLine="420" w:firstLineChars="200"/>
        <w:rPr>
          <w:rFonts w:ascii="宋体" w:hAnsi="宋体"/>
          <w:color w:val="000000"/>
          <w:szCs w:val="21"/>
          <w:highlight w:val="none"/>
        </w:rPr>
      </w:pPr>
      <w:r>
        <w:rPr>
          <w:rFonts w:ascii="宋体" w:hAnsi="宋体"/>
          <w:color w:val="000000"/>
          <w:szCs w:val="21"/>
          <w:highlight w:val="none"/>
        </w:rPr>
        <w:t>20.4.2</w:t>
      </w:r>
      <w:r>
        <w:rPr>
          <w:rFonts w:ascii="宋体" w:hAnsi="宋体"/>
          <w:color w:val="000000"/>
          <w:szCs w:val="21"/>
          <w:highlight w:val="none"/>
        </w:rPr>
        <w:tab/>
      </w:r>
      <w:r>
        <w:rPr>
          <w:rFonts w:ascii="宋体" w:hAnsi="宋体"/>
          <w:color w:val="000000"/>
          <w:szCs w:val="21"/>
          <w:highlight w:val="none"/>
        </w:rPr>
        <w:t>在缺陷责任期终止证书颁发前，承包人应以承包人和发包人的共同名义，投保第20.4.1项约定的第三者责任险，其保险费率、保险金额、保险费承担人等有关内容</w:t>
      </w:r>
      <w:r>
        <w:rPr>
          <w:rFonts w:ascii="黑体" w:hAnsi="黑体" w:eastAsia="黑体"/>
          <w:color w:val="000000"/>
          <w:szCs w:val="21"/>
          <w:highlight w:val="none"/>
        </w:rPr>
        <w:t>见合同条款专用部分</w:t>
      </w:r>
      <w:r>
        <w:rPr>
          <w:rFonts w:ascii="宋体" w:hAnsi="宋体"/>
          <w:color w:val="000000"/>
          <w:szCs w:val="21"/>
          <w:highlight w:val="none"/>
        </w:rPr>
        <w:t>。</w:t>
      </w:r>
    </w:p>
    <w:p w14:paraId="27EF027A">
      <w:pPr>
        <w:spacing w:line="360" w:lineRule="auto"/>
        <w:rPr>
          <w:rFonts w:ascii="宋体" w:hAnsi="宋体"/>
          <w:color w:val="000000"/>
          <w:sz w:val="24"/>
          <w:highlight w:val="none"/>
        </w:rPr>
      </w:pPr>
      <w:bookmarkStart w:id="696" w:name="_bookmark230"/>
      <w:bookmarkEnd w:id="696"/>
      <w:r>
        <w:rPr>
          <w:rFonts w:ascii="宋体" w:hAnsi="宋体"/>
          <w:color w:val="000000"/>
          <w:sz w:val="24"/>
          <w:highlight w:val="none"/>
        </w:rPr>
        <w:t>20.5</w:t>
      </w:r>
      <w:r>
        <w:rPr>
          <w:rFonts w:ascii="宋体" w:hAnsi="宋体"/>
          <w:color w:val="000000"/>
          <w:sz w:val="24"/>
          <w:highlight w:val="none"/>
        </w:rPr>
        <w:tab/>
      </w:r>
      <w:r>
        <w:rPr>
          <w:rFonts w:ascii="宋体" w:hAnsi="宋体"/>
          <w:color w:val="000000"/>
          <w:sz w:val="24"/>
          <w:highlight w:val="none"/>
        </w:rPr>
        <w:t>其他保险</w:t>
      </w:r>
    </w:p>
    <w:p w14:paraId="173ED92A">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承包人应为其施工设备、进场的材料和工程设备等办理保险。办理保险的险种</w:t>
      </w:r>
      <w:r>
        <w:rPr>
          <w:rFonts w:ascii="黑体" w:hAnsi="黑体" w:eastAsia="黑体"/>
          <w:color w:val="000000"/>
          <w:szCs w:val="21"/>
          <w:highlight w:val="none"/>
        </w:rPr>
        <w:t>见合同条款专用部分</w:t>
      </w:r>
      <w:r>
        <w:rPr>
          <w:rFonts w:ascii="宋体" w:hAnsi="宋体"/>
          <w:color w:val="000000"/>
          <w:szCs w:val="21"/>
          <w:highlight w:val="none"/>
        </w:rPr>
        <w:t>。</w:t>
      </w:r>
    </w:p>
    <w:p w14:paraId="611DE7BD">
      <w:pPr>
        <w:spacing w:line="360" w:lineRule="auto"/>
        <w:rPr>
          <w:rFonts w:ascii="宋体" w:hAnsi="宋体"/>
          <w:color w:val="000000"/>
          <w:sz w:val="24"/>
          <w:highlight w:val="none"/>
        </w:rPr>
      </w:pPr>
      <w:bookmarkStart w:id="697" w:name="_bookmark231"/>
      <w:bookmarkEnd w:id="697"/>
      <w:r>
        <w:rPr>
          <w:rFonts w:ascii="宋体" w:hAnsi="宋体"/>
          <w:color w:val="000000"/>
          <w:sz w:val="24"/>
          <w:highlight w:val="none"/>
        </w:rPr>
        <w:t>20.6</w:t>
      </w:r>
      <w:r>
        <w:rPr>
          <w:rFonts w:ascii="宋体" w:hAnsi="宋体"/>
          <w:color w:val="000000"/>
          <w:sz w:val="24"/>
          <w:highlight w:val="none"/>
        </w:rPr>
        <w:tab/>
      </w:r>
      <w:r>
        <w:rPr>
          <w:rFonts w:ascii="宋体" w:hAnsi="宋体"/>
          <w:color w:val="000000"/>
          <w:sz w:val="24"/>
          <w:highlight w:val="none"/>
        </w:rPr>
        <w:t>对各项保险的一般要求</w:t>
      </w:r>
    </w:p>
    <w:p w14:paraId="53502270">
      <w:pPr>
        <w:spacing w:line="360" w:lineRule="auto"/>
        <w:ind w:firstLine="420" w:firstLineChars="200"/>
        <w:rPr>
          <w:rFonts w:ascii="宋体" w:hAnsi="宋体"/>
          <w:color w:val="000000"/>
          <w:szCs w:val="21"/>
          <w:highlight w:val="none"/>
        </w:rPr>
      </w:pPr>
      <w:r>
        <w:rPr>
          <w:rFonts w:ascii="宋体" w:hAnsi="宋体"/>
          <w:color w:val="000000"/>
          <w:szCs w:val="21"/>
          <w:highlight w:val="none"/>
        </w:rPr>
        <w:t>20.6.1</w:t>
      </w:r>
      <w:r>
        <w:rPr>
          <w:rFonts w:ascii="宋体" w:hAnsi="宋体"/>
          <w:color w:val="000000"/>
          <w:szCs w:val="21"/>
          <w:highlight w:val="none"/>
        </w:rPr>
        <w:tab/>
      </w:r>
      <w:r>
        <w:rPr>
          <w:rFonts w:ascii="宋体" w:hAnsi="宋体"/>
          <w:color w:val="000000"/>
          <w:szCs w:val="21"/>
          <w:highlight w:val="none"/>
        </w:rPr>
        <w:t>保险凭证 承包人应在合同约定的期限内向发包人提交各项保险生效的证据和保险单副本，保险单必须与合同约定的条件保持一致。各项保险生效的证据和保险单副本的期限</w:t>
      </w:r>
      <w:r>
        <w:rPr>
          <w:rFonts w:ascii="黑体" w:hAnsi="黑体" w:eastAsia="黑体"/>
          <w:color w:val="000000"/>
          <w:szCs w:val="21"/>
          <w:highlight w:val="none"/>
        </w:rPr>
        <w:t>见合同条款专用部分</w:t>
      </w:r>
      <w:r>
        <w:rPr>
          <w:rFonts w:ascii="宋体" w:hAnsi="宋体"/>
          <w:color w:val="000000"/>
          <w:szCs w:val="21"/>
          <w:highlight w:val="none"/>
        </w:rPr>
        <w:t>。</w:t>
      </w:r>
    </w:p>
    <w:p w14:paraId="4446084A">
      <w:pPr>
        <w:spacing w:line="360" w:lineRule="auto"/>
        <w:ind w:firstLine="420" w:firstLineChars="200"/>
        <w:rPr>
          <w:rFonts w:ascii="宋体" w:hAnsi="宋体"/>
          <w:color w:val="000000"/>
          <w:szCs w:val="21"/>
          <w:highlight w:val="none"/>
        </w:rPr>
      </w:pPr>
      <w:r>
        <w:rPr>
          <w:rFonts w:ascii="宋体" w:hAnsi="宋体"/>
          <w:color w:val="000000"/>
          <w:szCs w:val="21"/>
          <w:highlight w:val="none"/>
        </w:rPr>
        <w:t>20.6.2</w:t>
      </w:r>
      <w:r>
        <w:rPr>
          <w:rFonts w:ascii="宋体" w:hAnsi="宋体"/>
          <w:color w:val="000000"/>
          <w:szCs w:val="21"/>
          <w:highlight w:val="none"/>
        </w:rPr>
        <w:tab/>
      </w:r>
      <w:r>
        <w:rPr>
          <w:rFonts w:ascii="宋体" w:hAnsi="宋体"/>
          <w:color w:val="000000"/>
          <w:szCs w:val="21"/>
          <w:highlight w:val="none"/>
        </w:rPr>
        <w:t xml:space="preserve">保险合同条款的变动 </w:t>
      </w:r>
    </w:p>
    <w:p w14:paraId="4DB8E469">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承包人需要变动保险合同条款时，应事先征得发包人同意，并通知监理人。保险人作出变动的，承包人应在收到保险人通知后立即通知发包人和监理人。</w:t>
      </w:r>
    </w:p>
    <w:p w14:paraId="491F6EB4">
      <w:pPr>
        <w:spacing w:line="360" w:lineRule="auto"/>
        <w:ind w:firstLine="420" w:firstLineChars="200"/>
        <w:rPr>
          <w:rFonts w:ascii="宋体" w:hAnsi="宋体"/>
          <w:color w:val="000000"/>
          <w:szCs w:val="21"/>
          <w:highlight w:val="none"/>
        </w:rPr>
      </w:pPr>
      <w:r>
        <w:rPr>
          <w:rFonts w:ascii="宋体" w:hAnsi="宋体"/>
          <w:color w:val="000000"/>
          <w:szCs w:val="21"/>
          <w:highlight w:val="none"/>
        </w:rPr>
        <w:t>20.6.3</w:t>
      </w:r>
      <w:r>
        <w:rPr>
          <w:rFonts w:ascii="宋体" w:hAnsi="宋体"/>
          <w:color w:val="000000"/>
          <w:szCs w:val="21"/>
          <w:highlight w:val="none"/>
        </w:rPr>
        <w:tab/>
      </w:r>
      <w:r>
        <w:rPr>
          <w:rFonts w:ascii="宋体" w:hAnsi="宋体"/>
          <w:color w:val="000000"/>
          <w:szCs w:val="21"/>
          <w:highlight w:val="none"/>
        </w:rPr>
        <w:t>持续保险</w:t>
      </w:r>
    </w:p>
    <w:p w14:paraId="55E6D212">
      <w:pPr>
        <w:spacing w:line="360" w:lineRule="auto"/>
        <w:ind w:firstLine="420" w:firstLineChars="200"/>
        <w:rPr>
          <w:rFonts w:ascii="宋体" w:hAnsi="宋体"/>
          <w:color w:val="000000"/>
          <w:szCs w:val="21"/>
          <w:highlight w:val="none"/>
        </w:rPr>
      </w:pPr>
      <w:r>
        <w:rPr>
          <w:rFonts w:ascii="宋体" w:hAnsi="宋体"/>
          <w:color w:val="000000"/>
          <w:szCs w:val="21"/>
          <w:highlight w:val="none"/>
        </w:rPr>
        <w:t>承包人应与保险人保持联系，使保险人能够随时了解工程实施中的变动，并确保按保险合同条款要求持续保险。</w:t>
      </w:r>
    </w:p>
    <w:p w14:paraId="1315DED9">
      <w:pPr>
        <w:spacing w:line="360" w:lineRule="auto"/>
        <w:ind w:firstLine="420" w:firstLineChars="200"/>
        <w:rPr>
          <w:rFonts w:ascii="宋体" w:hAnsi="宋体"/>
          <w:color w:val="000000"/>
          <w:szCs w:val="21"/>
          <w:highlight w:val="none"/>
        </w:rPr>
      </w:pPr>
      <w:r>
        <w:rPr>
          <w:rFonts w:ascii="宋体" w:hAnsi="宋体"/>
          <w:color w:val="000000"/>
          <w:szCs w:val="21"/>
          <w:highlight w:val="none"/>
        </w:rPr>
        <w:t>20.6.4</w:t>
      </w:r>
      <w:r>
        <w:rPr>
          <w:rFonts w:ascii="宋体" w:hAnsi="宋体"/>
          <w:color w:val="000000"/>
          <w:szCs w:val="21"/>
          <w:highlight w:val="none"/>
        </w:rPr>
        <w:tab/>
      </w:r>
      <w:r>
        <w:rPr>
          <w:rFonts w:ascii="宋体" w:hAnsi="宋体"/>
          <w:color w:val="000000"/>
          <w:szCs w:val="21"/>
          <w:highlight w:val="none"/>
        </w:rPr>
        <w:t>保险金不足的补偿</w:t>
      </w:r>
    </w:p>
    <w:p w14:paraId="4912EA4C">
      <w:pPr>
        <w:spacing w:line="360" w:lineRule="auto"/>
        <w:ind w:firstLine="420" w:firstLineChars="200"/>
        <w:rPr>
          <w:rFonts w:ascii="宋体" w:hAnsi="宋体"/>
          <w:color w:val="000000"/>
          <w:szCs w:val="21"/>
          <w:highlight w:val="none"/>
        </w:rPr>
      </w:pPr>
      <w:r>
        <w:rPr>
          <w:rFonts w:ascii="宋体" w:hAnsi="宋体"/>
          <w:color w:val="000000"/>
          <w:szCs w:val="21"/>
          <w:highlight w:val="none"/>
        </w:rPr>
        <w:t>保险金不足以补偿损失的，应由承包人和（或）发包人按合同约定负责补偿。保险金不足的补偿原则</w:t>
      </w:r>
      <w:r>
        <w:rPr>
          <w:rFonts w:ascii="黑体" w:hAnsi="黑体" w:eastAsia="黑体"/>
          <w:color w:val="000000"/>
          <w:szCs w:val="21"/>
          <w:highlight w:val="none"/>
        </w:rPr>
        <w:t>见合同条款专用部分</w:t>
      </w:r>
      <w:r>
        <w:rPr>
          <w:rFonts w:ascii="宋体" w:hAnsi="宋体"/>
          <w:color w:val="000000"/>
          <w:szCs w:val="21"/>
          <w:highlight w:val="none"/>
        </w:rPr>
        <w:t>。</w:t>
      </w:r>
    </w:p>
    <w:p w14:paraId="75B339AD">
      <w:pPr>
        <w:spacing w:line="360" w:lineRule="auto"/>
        <w:ind w:firstLine="420" w:firstLineChars="200"/>
        <w:rPr>
          <w:rFonts w:ascii="宋体" w:hAnsi="宋体"/>
          <w:color w:val="000000"/>
          <w:szCs w:val="21"/>
          <w:highlight w:val="none"/>
        </w:rPr>
      </w:pPr>
      <w:r>
        <w:rPr>
          <w:rFonts w:ascii="宋体" w:hAnsi="宋体"/>
          <w:color w:val="000000"/>
          <w:szCs w:val="21"/>
          <w:highlight w:val="none"/>
        </w:rPr>
        <w:t>20.6.5</w:t>
      </w:r>
      <w:r>
        <w:rPr>
          <w:rFonts w:ascii="宋体" w:hAnsi="宋体"/>
          <w:color w:val="000000"/>
          <w:szCs w:val="21"/>
          <w:highlight w:val="none"/>
        </w:rPr>
        <w:tab/>
      </w:r>
      <w:r>
        <w:rPr>
          <w:rFonts w:ascii="宋体" w:hAnsi="宋体"/>
          <w:color w:val="000000"/>
          <w:szCs w:val="21"/>
          <w:highlight w:val="none"/>
        </w:rPr>
        <w:t>未按约定投保的补救</w:t>
      </w:r>
    </w:p>
    <w:p w14:paraId="77B89A67">
      <w:pPr>
        <w:spacing w:line="360" w:lineRule="auto"/>
        <w:ind w:firstLine="420" w:firstLineChars="200"/>
        <w:rPr>
          <w:rFonts w:ascii="宋体" w:hAnsi="宋体"/>
          <w:color w:val="000000"/>
          <w:szCs w:val="21"/>
          <w:highlight w:val="none"/>
        </w:rPr>
      </w:pPr>
      <w:r>
        <w:rPr>
          <w:rFonts w:ascii="宋体" w:hAnsi="宋体"/>
          <w:color w:val="000000"/>
          <w:szCs w:val="21"/>
          <w:highlight w:val="none"/>
        </w:rPr>
        <w:t>（1）由于负有投保义务的一方当事人未按合同约定办理保险，或未能使保险持续有效的，另一方当事人可代为办理，所需费用由对方当事人承担。</w:t>
      </w:r>
    </w:p>
    <w:p w14:paraId="00086BAA">
      <w:pPr>
        <w:spacing w:line="360" w:lineRule="auto"/>
        <w:ind w:firstLine="420" w:firstLineChars="200"/>
        <w:rPr>
          <w:rFonts w:ascii="宋体" w:hAnsi="宋体"/>
          <w:color w:val="000000"/>
          <w:szCs w:val="21"/>
          <w:highlight w:val="none"/>
        </w:rPr>
      </w:pPr>
      <w:r>
        <w:rPr>
          <w:rFonts w:ascii="宋体" w:hAnsi="宋体"/>
          <w:color w:val="000000"/>
          <w:szCs w:val="21"/>
          <w:highlight w:val="none"/>
        </w:rPr>
        <w:t>（2）由于负有投保义务的一方当事人未按合同约定办理某项保险，导致受益人未能得到保险人的赔偿，原应从该项保险得到的保险金应由负有投保义务的一方当事人支付。</w:t>
      </w:r>
    </w:p>
    <w:p w14:paraId="5E17112D">
      <w:pPr>
        <w:spacing w:line="360" w:lineRule="auto"/>
        <w:ind w:firstLine="420" w:firstLineChars="200"/>
        <w:rPr>
          <w:rFonts w:ascii="宋体" w:hAnsi="宋体"/>
          <w:color w:val="000000"/>
          <w:szCs w:val="21"/>
          <w:highlight w:val="none"/>
        </w:rPr>
      </w:pPr>
      <w:r>
        <w:rPr>
          <w:rFonts w:ascii="宋体" w:hAnsi="宋体"/>
          <w:color w:val="000000"/>
          <w:szCs w:val="21"/>
          <w:highlight w:val="none"/>
        </w:rPr>
        <w:t>20.6.6</w:t>
      </w:r>
      <w:r>
        <w:rPr>
          <w:rFonts w:ascii="宋体" w:hAnsi="宋体"/>
          <w:color w:val="000000"/>
          <w:szCs w:val="21"/>
          <w:highlight w:val="none"/>
        </w:rPr>
        <w:tab/>
      </w:r>
      <w:r>
        <w:rPr>
          <w:rFonts w:ascii="宋体" w:hAnsi="宋体"/>
          <w:color w:val="000000"/>
          <w:szCs w:val="21"/>
          <w:highlight w:val="none"/>
        </w:rPr>
        <w:t>报告义务</w:t>
      </w:r>
    </w:p>
    <w:p w14:paraId="35FAE2EF">
      <w:pPr>
        <w:spacing w:line="360" w:lineRule="auto"/>
        <w:ind w:firstLine="420" w:firstLineChars="200"/>
        <w:rPr>
          <w:rFonts w:ascii="宋体" w:hAnsi="宋体"/>
          <w:color w:val="000000"/>
          <w:szCs w:val="21"/>
          <w:highlight w:val="none"/>
        </w:rPr>
      </w:pPr>
      <w:r>
        <w:rPr>
          <w:rFonts w:ascii="宋体" w:hAnsi="宋体"/>
          <w:color w:val="000000"/>
          <w:szCs w:val="21"/>
          <w:highlight w:val="none"/>
        </w:rPr>
        <w:t>当保险事故发生时，投保人应按照保险单规定的条件和期限及时向保险人报告。</w:t>
      </w:r>
    </w:p>
    <w:p w14:paraId="74E0CE67">
      <w:pPr>
        <w:spacing w:line="360" w:lineRule="auto"/>
        <w:rPr>
          <w:rFonts w:ascii="宋体" w:hAnsi="宋体"/>
          <w:color w:val="000000"/>
          <w:sz w:val="28"/>
          <w:szCs w:val="28"/>
          <w:highlight w:val="none"/>
        </w:rPr>
      </w:pPr>
      <w:bookmarkStart w:id="698" w:name="_bookmark232"/>
      <w:bookmarkEnd w:id="698"/>
      <w:r>
        <w:rPr>
          <w:rFonts w:ascii="宋体" w:hAnsi="宋体"/>
          <w:color w:val="000000"/>
          <w:sz w:val="28"/>
          <w:szCs w:val="28"/>
          <w:highlight w:val="none"/>
        </w:rPr>
        <w:t>21.不可抗力</w:t>
      </w:r>
    </w:p>
    <w:p w14:paraId="6F5B2E9D">
      <w:pPr>
        <w:spacing w:line="360" w:lineRule="auto"/>
        <w:rPr>
          <w:rFonts w:ascii="宋体" w:hAnsi="宋体"/>
          <w:color w:val="000000"/>
          <w:sz w:val="24"/>
          <w:highlight w:val="none"/>
        </w:rPr>
      </w:pPr>
      <w:bookmarkStart w:id="699" w:name="_bookmark233"/>
      <w:bookmarkEnd w:id="699"/>
      <w:r>
        <w:rPr>
          <w:rFonts w:ascii="宋体" w:hAnsi="宋体"/>
          <w:color w:val="000000"/>
          <w:sz w:val="24"/>
          <w:highlight w:val="none"/>
        </w:rPr>
        <w:t>21.1</w:t>
      </w:r>
      <w:r>
        <w:rPr>
          <w:rFonts w:ascii="宋体" w:hAnsi="宋体"/>
          <w:color w:val="000000"/>
          <w:sz w:val="24"/>
          <w:highlight w:val="none"/>
        </w:rPr>
        <w:tab/>
      </w:r>
      <w:r>
        <w:rPr>
          <w:rFonts w:ascii="宋体" w:hAnsi="宋体"/>
          <w:color w:val="000000"/>
          <w:sz w:val="24"/>
          <w:highlight w:val="none"/>
        </w:rPr>
        <w:t>不可抗力的确认</w:t>
      </w:r>
    </w:p>
    <w:p w14:paraId="18183E24">
      <w:pPr>
        <w:spacing w:line="360" w:lineRule="auto"/>
        <w:ind w:firstLine="420" w:firstLineChars="200"/>
        <w:rPr>
          <w:rFonts w:ascii="宋体" w:hAnsi="宋体"/>
          <w:color w:val="000000"/>
          <w:szCs w:val="21"/>
          <w:highlight w:val="none"/>
        </w:rPr>
      </w:pPr>
      <w:r>
        <w:rPr>
          <w:rFonts w:ascii="宋体" w:hAnsi="宋体"/>
          <w:color w:val="000000"/>
          <w:szCs w:val="21"/>
          <w:highlight w:val="none"/>
        </w:rPr>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75149D5A">
      <w:pPr>
        <w:spacing w:line="360" w:lineRule="auto"/>
        <w:ind w:firstLine="420" w:firstLineChars="200"/>
        <w:rPr>
          <w:rFonts w:ascii="宋体" w:hAnsi="宋体"/>
          <w:color w:val="000000"/>
          <w:szCs w:val="21"/>
          <w:highlight w:val="none"/>
        </w:rPr>
      </w:pPr>
      <w:r>
        <w:rPr>
          <w:rFonts w:ascii="宋体" w:hAnsi="宋体"/>
          <w:color w:val="000000"/>
          <w:szCs w:val="21"/>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 24 条的约定办理。</w:t>
      </w:r>
    </w:p>
    <w:p w14:paraId="32E58154">
      <w:pPr>
        <w:spacing w:line="360" w:lineRule="auto"/>
        <w:rPr>
          <w:rFonts w:ascii="宋体" w:hAnsi="宋体"/>
          <w:color w:val="000000"/>
          <w:sz w:val="24"/>
          <w:highlight w:val="none"/>
        </w:rPr>
      </w:pPr>
      <w:bookmarkStart w:id="700" w:name="_bookmark234"/>
      <w:bookmarkEnd w:id="700"/>
      <w:r>
        <w:rPr>
          <w:rFonts w:ascii="宋体" w:hAnsi="宋体"/>
          <w:color w:val="000000"/>
          <w:sz w:val="24"/>
          <w:highlight w:val="none"/>
        </w:rPr>
        <w:t>21.2</w:t>
      </w:r>
      <w:r>
        <w:rPr>
          <w:rFonts w:ascii="宋体" w:hAnsi="宋体"/>
          <w:color w:val="000000"/>
          <w:sz w:val="24"/>
          <w:highlight w:val="none"/>
        </w:rPr>
        <w:tab/>
      </w:r>
      <w:r>
        <w:rPr>
          <w:rFonts w:ascii="宋体" w:hAnsi="宋体"/>
          <w:color w:val="000000"/>
          <w:sz w:val="24"/>
          <w:highlight w:val="none"/>
        </w:rPr>
        <w:t>不可抗力的通知</w:t>
      </w:r>
    </w:p>
    <w:p w14:paraId="299F4244">
      <w:pPr>
        <w:spacing w:line="360" w:lineRule="auto"/>
        <w:ind w:firstLine="420" w:firstLineChars="200"/>
        <w:rPr>
          <w:rFonts w:ascii="宋体" w:hAnsi="宋体"/>
          <w:color w:val="000000"/>
          <w:szCs w:val="21"/>
          <w:highlight w:val="none"/>
        </w:rPr>
      </w:pPr>
      <w:r>
        <w:rPr>
          <w:rFonts w:ascii="宋体" w:hAnsi="宋体"/>
          <w:color w:val="000000"/>
          <w:szCs w:val="21"/>
          <w:highlight w:val="none"/>
        </w:rPr>
        <w:t>21.2.1</w:t>
      </w:r>
      <w:r>
        <w:rPr>
          <w:rFonts w:ascii="宋体" w:hAnsi="宋体"/>
          <w:color w:val="000000"/>
          <w:szCs w:val="21"/>
          <w:highlight w:val="none"/>
        </w:rPr>
        <w:tab/>
      </w:r>
      <w:r>
        <w:rPr>
          <w:rFonts w:ascii="宋体" w:hAnsi="宋体"/>
          <w:color w:val="000000"/>
          <w:szCs w:val="21"/>
          <w:highlight w:val="none"/>
        </w:rPr>
        <w:t>合同一方当事人遇到不可抗力事件，使其履行合同义务受到阻碍时，应立即通知合同另一方当事人和监理人，书面说明不可抗力和受阻碍的详细情况，并提供必要的证明。</w:t>
      </w:r>
    </w:p>
    <w:p w14:paraId="5DBE00DF">
      <w:pPr>
        <w:spacing w:line="360" w:lineRule="auto"/>
        <w:ind w:firstLine="420" w:firstLineChars="200"/>
        <w:rPr>
          <w:rFonts w:ascii="宋体" w:hAnsi="宋体"/>
          <w:color w:val="000000"/>
          <w:szCs w:val="21"/>
          <w:highlight w:val="none"/>
        </w:rPr>
      </w:pPr>
      <w:r>
        <w:rPr>
          <w:rFonts w:ascii="宋体" w:hAnsi="宋体"/>
          <w:color w:val="000000"/>
          <w:szCs w:val="21"/>
          <w:highlight w:val="none"/>
        </w:rPr>
        <w:t>21.2.2</w:t>
      </w:r>
      <w:r>
        <w:rPr>
          <w:rFonts w:ascii="宋体" w:hAnsi="宋体"/>
          <w:color w:val="000000"/>
          <w:szCs w:val="21"/>
          <w:highlight w:val="none"/>
        </w:rPr>
        <w:tab/>
      </w:r>
      <w:r>
        <w:rPr>
          <w:rFonts w:ascii="宋体" w:hAnsi="宋体"/>
          <w:color w:val="000000"/>
          <w:szCs w:val="21"/>
          <w:highlight w:val="none"/>
        </w:rPr>
        <w:t>如不可抗力持续发生，合同一方当事人应及时向合同另一方当事人和监理人提交中间报告，说明不可抗力和履行合同受阻的情况，并于不可抗力事件结束后 28 天内提交最终报告及有关资料。</w:t>
      </w:r>
    </w:p>
    <w:p w14:paraId="5D344081">
      <w:pPr>
        <w:spacing w:line="360" w:lineRule="auto"/>
        <w:rPr>
          <w:rFonts w:ascii="宋体" w:hAnsi="宋体"/>
          <w:color w:val="000000"/>
          <w:sz w:val="24"/>
          <w:highlight w:val="none"/>
        </w:rPr>
      </w:pPr>
      <w:bookmarkStart w:id="701" w:name="_bookmark235"/>
      <w:bookmarkEnd w:id="701"/>
      <w:r>
        <w:rPr>
          <w:rFonts w:ascii="宋体" w:hAnsi="宋体"/>
          <w:color w:val="000000"/>
          <w:sz w:val="24"/>
          <w:highlight w:val="none"/>
        </w:rPr>
        <w:t>21.3 不可抗力后果及其处理</w:t>
      </w:r>
    </w:p>
    <w:p w14:paraId="389B785E">
      <w:pPr>
        <w:spacing w:line="360" w:lineRule="auto"/>
        <w:ind w:firstLine="420" w:firstLineChars="200"/>
        <w:rPr>
          <w:rFonts w:ascii="宋体" w:hAnsi="宋体"/>
          <w:color w:val="000000"/>
          <w:szCs w:val="21"/>
          <w:highlight w:val="none"/>
        </w:rPr>
      </w:pPr>
      <w:r>
        <w:rPr>
          <w:rFonts w:ascii="宋体" w:hAnsi="宋体"/>
          <w:color w:val="000000"/>
          <w:szCs w:val="21"/>
          <w:highlight w:val="none"/>
        </w:rPr>
        <w:t>21.3.1</w:t>
      </w:r>
      <w:r>
        <w:rPr>
          <w:rFonts w:ascii="宋体" w:hAnsi="宋体"/>
          <w:color w:val="000000"/>
          <w:szCs w:val="21"/>
          <w:highlight w:val="none"/>
        </w:rPr>
        <w:tab/>
      </w:r>
      <w:r>
        <w:rPr>
          <w:rFonts w:ascii="宋体" w:hAnsi="宋体"/>
          <w:color w:val="000000"/>
          <w:szCs w:val="21"/>
          <w:highlight w:val="none"/>
        </w:rPr>
        <w:t xml:space="preserve">不可抗力造成损害的责任 </w:t>
      </w:r>
    </w:p>
    <w:p w14:paraId="3F659061">
      <w:pPr>
        <w:spacing w:line="360" w:lineRule="auto"/>
        <w:ind w:firstLine="420" w:firstLineChars="200"/>
        <w:rPr>
          <w:rFonts w:ascii="宋体" w:hAnsi="宋体"/>
          <w:color w:val="000000"/>
          <w:szCs w:val="21"/>
          <w:highlight w:val="none"/>
        </w:rPr>
      </w:pPr>
      <w:r>
        <w:rPr>
          <w:rFonts w:ascii="宋体" w:hAnsi="宋体"/>
          <w:color w:val="000000"/>
          <w:szCs w:val="21"/>
          <w:highlight w:val="none"/>
        </w:rPr>
        <w:t>不可抗力导致的人员伤亡、财产损失、费用增加和（或）工期延误等后果，由合同双方按以下原则承担：</w:t>
      </w:r>
    </w:p>
    <w:p w14:paraId="3660B819">
      <w:pPr>
        <w:spacing w:line="360" w:lineRule="auto"/>
        <w:ind w:firstLine="420" w:firstLineChars="200"/>
        <w:rPr>
          <w:rFonts w:ascii="宋体" w:hAnsi="宋体"/>
          <w:color w:val="000000"/>
          <w:szCs w:val="21"/>
          <w:highlight w:val="none"/>
        </w:rPr>
      </w:pPr>
      <w:r>
        <w:rPr>
          <w:rFonts w:ascii="宋体" w:hAnsi="宋体"/>
          <w:color w:val="000000"/>
          <w:szCs w:val="21"/>
          <w:highlight w:val="none"/>
        </w:rPr>
        <w:t>（1）永久工程，包括已运至施工场地的材料和工程设备的损害，以及因工程损害造成的第三者人员伤亡和财产损失由发包人承担；</w:t>
      </w:r>
    </w:p>
    <w:p w14:paraId="37836F46">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（2）承包人设备的损坏由承包人承担；</w:t>
      </w:r>
    </w:p>
    <w:p w14:paraId="4850A240">
      <w:pPr>
        <w:spacing w:line="360" w:lineRule="auto"/>
        <w:ind w:firstLine="420" w:firstLineChars="200"/>
        <w:rPr>
          <w:rFonts w:ascii="宋体" w:hAnsi="宋体"/>
          <w:color w:val="000000"/>
          <w:szCs w:val="21"/>
          <w:highlight w:val="none"/>
        </w:rPr>
      </w:pPr>
      <w:r>
        <w:rPr>
          <w:rFonts w:ascii="宋体" w:hAnsi="宋体"/>
          <w:color w:val="000000"/>
          <w:szCs w:val="21"/>
          <w:highlight w:val="none"/>
        </w:rPr>
        <w:t>（3）发包人和承包人各自承担其人员伤亡和其他财产损失及其相关费用；</w:t>
      </w:r>
    </w:p>
    <w:p w14:paraId="586D5893">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（4）承包人的停工损失由承包人承担，但停工期间应监理人要求照管工程和清理、修复工程的金额由发包人承担；</w:t>
      </w:r>
    </w:p>
    <w:p w14:paraId="75EBEBBF">
      <w:pPr>
        <w:spacing w:line="360" w:lineRule="auto"/>
        <w:ind w:firstLine="420" w:firstLineChars="200"/>
        <w:rPr>
          <w:rFonts w:ascii="宋体" w:hAnsi="宋体"/>
          <w:color w:val="000000"/>
          <w:szCs w:val="21"/>
          <w:highlight w:val="none"/>
        </w:rPr>
      </w:pPr>
      <w:r>
        <w:rPr>
          <w:rFonts w:ascii="宋体" w:hAnsi="宋体"/>
          <w:color w:val="000000"/>
          <w:szCs w:val="21"/>
          <w:highlight w:val="none"/>
        </w:rPr>
        <w:t>（5）不能按期竣工的，应合理延长工期，承包人不需支付逾期竣工违约金。发包人要求赶工的，承包人应采取赶工措施，赶工费用由发包人承担。</w:t>
      </w:r>
    </w:p>
    <w:p w14:paraId="76BFF140">
      <w:pPr>
        <w:spacing w:line="360" w:lineRule="auto"/>
        <w:ind w:firstLine="420" w:firstLineChars="200"/>
        <w:rPr>
          <w:rFonts w:ascii="宋体" w:hAnsi="宋体"/>
          <w:color w:val="000000"/>
          <w:szCs w:val="21"/>
          <w:highlight w:val="none"/>
        </w:rPr>
      </w:pPr>
      <w:r>
        <w:rPr>
          <w:rFonts w:ascii="宋体" w:hAnsi="宋体"/>
          <w:color w:val="000000"/>
          <w:szCs w:val="21"/>
          <w:highlight w:val="none"/>
        </w:rPr>
        <w:t>21.3.2</w:t>
      </w:r>
      <w:r>
        <w:rPr>
          <w:rFonts w:ascii="宋体" w:hAnsi="宋体"/>
          <w:color w:val="000000"/>
          <w:szCs w:val="21"/>
          <w:highlight w:val="none"/>
        </w:rPr>
        <w:tab/>
      </w:r>
      <w:r>
        <w:rPr>
          <w:rFonts w:ascii="宋体" w:hAnsi="宋体"/>
          <w:color w:val="000000"/>
          <w:szCs w:val="21"/>
          <w:highlight w:val="none"/>
        </w:rPr>
        <w:t xml:space="preserve">延迟履行期间发生的不可抗力 </w:t>
      </w:r>
    </w:p>
    <w:p w14:paraId="3C970F9F">
      <w:pPr>
        <w:spacing w:line="360" w:lineRule="auto"/>
        <w:ind w:firstLine="420" w:firstLineChars="200"/>
        <w:rPr>
          <w:rFonts w:ascii="宋体" w:hAnsi="宋体"/>
          <w:color w:val="000000"/>
          <w:szCs w:val="21"/>
          <w:highlight w:val="none"/>
        </w:rPr>
      </w:pPr>
      <w:r>
        <w:rPr>
          <w:rFonts w:ascii="宋体" w:hAnsi="宋体"/>
          <w:color w:val="000000"/>
          <w:szCs w:val="21"/>
          <w:highlight w:val="none"/>
        </w:rPr>
        <w:t>合同一方当事人延迟履行，在延迟履行期间发生不可抗力的，不免除其责任。</w:t>
      </w:r>
    </w:p>
    <w:p w14:paraId="0A3F2BD8">
      <w:pPr>
        <w:spacing w:line="360" w:lineRule="auto"/>
        <w:ind w:firstLine="420" w:firstLineChars="200"/>
        <w:rPr>
          <w:rFonts w:ascii="宋体" w:hAnsi="宋体"/>
          <w:color w:val="000000"/>
          <w:szCs w:val="21"/>
          <w:highlight w:val="none"/>
        </w:rPr>
      </w:pPr>
      <w:r>
        <w:rPr>
          <w:rFonts w:ascii="宋体" w:hAnsi="宋体"/>
          <w:color w:val="000000"/>
          <w:szCs w:val="21"/>
          <w:highlight w:val="none"/>
        </w:rPr>
        <w:t>21.3.3</w:t>
      </w:r>
      <w:r>
        <w:rPr>
          <w:rFonts w:ascii="宋体" w:hAnsi="宋体"/>
          <w:color w:val="000000"/>
          <w:szCs w:val="21"/>
          <w:highlight w:val="none"/>
        </w:rPr>
        <w:tab/>
      </w:r>
      <w:r>
        <w:rPr>
          <w:rFonts w:ascii="宋体" w:hAnsi="宋体"/>
          <w:color w:val="000000"/>
          <w:szCs w:val="21"/>
          <w:highlight w:val="none"/>
        </w:rPr>
        <w:t>避免和减少不可抗力损失</w:t>
      </w:r>
    </w:p>
    <w:p w14:paraId="3481B238">
      <w:pPr>
        <w:spacing w:line="360" w:lineRule="auto"/>
        <w:ind w:firstLine="420" w:firstLineChars="200"/>
        <w:rPr>
          <w:rFonts w:ascii="宋体" w:hAnsi="宋体"/>
          <w:color w:val="000000"/>
          <w:szCs w:val="21"/>
          <w:highlight w:val="none"/>
        </w:rPr>
      </w:pPr>
      <w:r>
        <w:rPr>
          <w:rFonts w:ascii="宋体" w:hAnsi="宋体"/>
          <w:color w:val="000000"/>
          <w:szCs w:val="21"/>
          <w:highlight w:val="none"/>
        </w:rPr>
        <w:t>不可抗力发生后，发包人和承包人均应采取措施尽量避免和减少损失的扩大，任何一方没有采取有效措施导致损失扩大的，应对扩大的损失承担责任。</w:t>
      </w:r>
    </w:p>
    <w:p w14:paraId="6E9EE363">
      <w:pPr>
        <w:spacing w:line="360" w:lineRule="auto"/>
        <w:ind w:firstLine="420" w:firstLineChars="200"/>
        <w:rPr>
          <w:rFonts w:ascii="宋体" w:hAnsi="宋体"/>
          <w:color w:val="000000"/>
          <w:szCs w:val="21"/>
          <w:highlight w:val="none"/>
        </w:rPr>
      </w:pPr>
      <w:r>
        <w:rPr>
          <w:rFonts w:ascii="宋体" w:hAnsi="宋体"/>
          <w:color w:val="000000"/>
          <w:szCs w:val="21"/>
          <w:highlight w:val="none"/>
        </w:rPr>
        <w:t>21.3.4</w:t>
      </w:r>
      <w:r>
        <w:rPr>
          <w:rFonts w:ascii="宋体" w:hAnsi="宋体"/>
          <w:color w:val="000000"/>
          <w:szCs w:val="21"/>
          <w:highlight w:val="none"/>
        </w:rPr>
        <w:tab/>
      </w:r>
      <w:r>
        <w:rPr>
          <w:rFonts w:ascii="宋体" w:hAnsi="宋体"/>
          <w:color w:val="000000"/>
          <w:szCs w:val="21"/>
          <w:highlight w:val="none"/>
        </w:rPr>
        <w:t xml:space="preserve">因不可抗力解除合同 </w:t>
      </w:r>
    </w:p>
    <w:p w14:paraId="60862D05">
      <w:pPr>
        <w:spacing w:line="360" w:lineRule="auto"/>
        <w:ind w:firstLine="420" w:firstLineChars="200"/>
        <w:rPr>
          <w:rFonts w:ascii="宋体" w:hAnsi="宋体"/>
          <w:color w:val="000000"/>
          <w:szCs w:val="21"/>
          <w:highlight w:val="none"/>
        </w:rPr>
      </w:pPr>
      <w:r>
        <w:rPr>
          <w:rFonts w:ascii="宋体" w:hAnsi="宋体"/>
          <w:color w:val="000000"/>
          <w:szCs w:val="21"/>
          <w:highlight w:val="none"/>
        </w:rPr>
        <w:t>合同一方当事人因不可抗力不能履行合同的，应当及时通知对方解除合同。合同解除后，承包人应按照第 22.2.5 项约定撤离施工场地。已经订货的材料、设备由订货方负责退货或 解除订货合同，不能退还的货款和因退货、解除订货合同发生的费用，由发包人承担，因未 及时退货造成的损失由责任方承担。合同解除后的付款，参照第 22.2.4 项约定，由监理人按第 3.5 款商定或确定。</w:t>
      </w:r>
    </w:p>
    <w:p w14:paraId="167A13ED">
      <w:pPr>
        <w:spacing w:line="360" w:lineRule="auto"/>
        <w:rPr>
          <w:rFonts w:ascii="宋体" w:hAnsi="宋体"/>
          <w:color w:val="000000"/>
          <w:sz w:val="28"/>
          <w:szCs w:val="28"/>
          <w:highlight w:val="none"/>
        </w:rPr>
      </w:pPr>
      <w:bookmarkStart w:id="702" w:name="_bookmark236"/>
      <w:bookmarkEnd w:id="702"/>
      <w:r>
        <w:rPr>
          <w:rFonts w:ascii="宋体" w:hAnsi="宋体"/>
          <w:color w:val="000000"/>
          <w:sz w:val="28"/>
          <w:szCs w:val="28"/>
          <w:highlight w:val="none"/>
        </w:rPr>
        <w:t>22.违约</w:t>
      </w:r>
    </w:p>
    <w:p w14:paraId="645B2F48">
      <w:pPr>
        <w:spacing w:line="360" w:lineRule="auto"/>
        <w:rPr>
          <w:rFonts w:ascii="宋体" w:hAnsi="宋体"/>
          <w:color w:val="000000"/>
          <w:sz w:val="24"/>
          <w:highlight w:val="none"/>
        </w:rPr>
      </w:pPr>
      <w:bookmarkStart w:id="703" w:name="_bookmark237"/>
      <w:bookmarkEnd w:id="703"/>
      <w:r>
        <w:rPr>
          <w:rFonts w:ascii="宋体" w:hAnsi="宋体"/>
          <w:color w:val="000000"/>
          <w:sz w:val="24"/>
          <w:highlight w:val="none"/>
        </w:rPr>
        <w:t>22.1 承包人违约</w:t>
      </w:r>
    </w:p>
    <w:p w14:paraId="1931C23D">
      <w:pPr>
        <w:spacing w:line="360" w:lineRule="auto"/>
        <w:ind w:firstLine="420" w:firstLineChars="200"/>
        <w:rPr>
          <w:rFonts w:ascii="宋体" w:hAnsi="宋体"/>
          <w:color w:val="000000"/>
          <w:szCs w:val="21"/>
          <w:highlight w:val="none"/>
        </w:rPr>
      </w:pPr>
      <w:r>
        <w:rPr>
          <w:rFonts w:ascii="宋体" w:hAnsi="宋体"/>
          <w:color w:val="000000"/>
          <w:szCs w:val="21"/>
          <w:highlight w:val="none"/>
        </w:rPr>
        <w:t>22.1.1</w:t>
      </w:r>
      <w:r>
        <w:rPr>
          <w:rFonts w:ascii="宋体" w:hAnsi="宋体"/>
          <w:color w:val="000000"/>
          <w:szCs w:val="21"/>
          <w:highlight w:val="none"/>
        </w:rPr>
        <w:tab/>
      </w:r>
      <w:r>
        <w:rPr>
          <w:rFonts w:ascii="宋体" w:hAnsi="宋体"/>
          <w:color w:val="000000"/>
          <w:szCs w:val="21"/>
          <w:highlight w:val="none"/>
        </w:rPr>
        <w:t>承包人违约的情形</w:t>
      </w:r>
    </w:p>
    <w:p w14:paraId="24F552E9">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在履行合同过程中发生的下列情况属承包人违约：</w:t>
      </w:r>
    </w:p>
    <w:p w14:paraId="727A89AF">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（1）承包人违反第 1.8 款或第 4.3 款的约定，私自将合同的全部或部分权利转让给其他人，或私自将合同的全部或部分义务转移给其他人；</w:t>
      </w:r>
    </w:p>
    <w:p w14:paraId="620104FE">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（2）承包人违反第 5.3 款或第 6.4 款的约定，未经监理人批准，私自将已按合同约定进入施工场地的施工设备、临时设施或材料撤离施工场地；</w:t>
      </w:r>
    </w:p>
    <w:p w14:paraId="5C297F61">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（3）承包人违反第 5.4 款的约定使用了不合格材料或工程设备，工程质量达不到标准要求，又拒绝清除不合格工程；</w:t>
      </w:r>
    </w:p>
    <w:p w14:paraId="3F0896C9">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（4）承包人未能按合同进度计划及时完成合同约定的工作，已造成或预期造成工期延误；</w:t>
      </w:r>
    </w:p>
    <w:p w14:paraId="478D8219">
      <w:pPr>
        <w:spacing w:line="360" w:lineRule="auto"/>
        <w:ind w:firstLine="420" w:firstLineChars="200"/>
        <w:rPr>
          <w:rFonts w:ascii="宋体" w:hAnsi="宋体"/>
          <w:color w:val="000000"/>
          <w:szCs w:val="21"/>
          <w:highlight w:val="none"/>
        </w:rPr>
      </w:pPr>
      <w:r>
        <w:rPr>
          <w:rFonts w:ascii="宋体" w:hAnsi="宋体"/>
          <w:color w:val="000000"/>
          <w:szCs w:val="21"/>
          <w:highlight w:val="none"/>
        </w:rPr>
        <w:t>（5）承包人在缺陷责任期内，未能对工程接收证书所列的缺陷清单的内容或缺陷责任期内发生的缺陷进行修复，而又拒绝按监理人指示再进行修补；</w:t>
      </w:r>
    </w:p>
    <w:p w14:paraId="1AC4D433">
      <w:pPr>
        <w:spacing w:line="360" w:lineRule="auto"/>
        <w:ind w:firstLine="420" w:firstLineChars="200"/>
        <w:rPr>
          <w:rFonts w:ascii="宋体" w:hAnsi="宋体"/>
          <w:color w:val="000000"/>
          <w:szCs w:val="21"/>
          <w:highlight w:val="none"/>
        </w:rPr>
      </w:pPr>
      <w:r>
        <w:rPr>
          <w:rFonts w:ascii="宋体" w:hAnsi="宋体"/>
          <w:color w:val="000000"/>
          <w:szCs w:val="21"/>
          <w:highlight w:val="none"/>
        </w:rPr>
        <w:t>（6）承包人无法继续履行或明确表示不履行或实质上已停止履行合同；</w:t>
      </w:r>
    </w:p>
    <w:p w14:paraId="0C0D5736">
      <w:pPr>
        <w:spacing w:line="360" w:lineRule="auto"/>
        <w:ind w:firstLine="420" w:firstLineChars="200"/>
        <w:rPr>
          <w:rFonts w:ascii="宋体" w:hAnsi="宋体"/>
          <w:color w:val="000000"/>
          <w:szCs w:val="21"/>
          <w:highlight w:val="none"/>
        </w:rPr>
      </w:pPr>
      <w:r>
        <w:rPr>
          <w:rFonts w:ascii="宋体" w:hAnsi="宋体"/>
          <w:color w:val="000000"/>
          <w:szCs w:val="21"/>
          <w:highlight w:val="none"/>
        </w:rPr>
        <w:t xml:space="preserve">（7）承包人不按合同约定履行义务的其他情况。 </w:t>
      </w:r>
    </w:p>
    <w:p w14:paraId="76D76C4F">
      <w:pPr>
        <w:spacing w:line="360" w:lineRule="auto"/>
        <w:ind w:firstLine="420" w:firstLineChars="200"/>
        <w:rPr>
          <w:rFonts w:ascii="宋体" w:hAnsi="宋体"/>
          <w:color w:val="000000"/>
          <w:szCs w:val="21"/>
          <w:highlight w:val="none"/>
        </w:rPr>
      </w:pPr>
      <w:r>
        <w:rPr>
          <w:rFonts w:ascii="宋体" w:hAnsi="宋体"/>
          <w:color w:val="000000"/>
          <w:szCs w:val="21"/>
          <w:highlight w:val="none"/>
        </w:rPr>
        <w:t>22.1.2</w:t>
      </w:r>
      <w:r>
        <w:rPr>
          <w:rFonts w:ascii="宋体" w:hAnsi="宋体"/>
          <w:color w:val="000000"/>
          <w:szCs w:val="21"/>
          <w:highlight w:val="none"/>
        </w:rPr>
        <w:tab/>
      </w:r>
      <w:r>
        <w:rPr>
          <w:rFonts w:ascii="宋体" w:hAnsi="宋体"/>
          <w:color w:val="000000"/>
          <w:szCs w:val="21"/>
          <w:highlight w:val="none"/>
        </w:rPr>
        <w:t>对承包人违约的处理</w:t>
      </w:r>
    </w:p>
    <w:p w14:paraId="41630DA8">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（1）承包人发生第 22.1.1（6）目约定的违约情况时，发包人可通知承包人立即解除合同，并按有关法律处理。</w:t>
      </w:r>
    </w:p>
    <w:p w14:paraId="100FC2B9">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（2）承包人发生除第 22.1.1（6）目约定以外的其他违约情况时，监理人可向承包人发出整改通知，要求其在指定的期限内改正。承包人应承担其违约所引起的费用增加和（或）工期延误。</w:t>
      </w:r>
    </w:p>
    <w:p w14:paraId="47ADDAC5">
      <w:pPr>
        <w:spacing w:line="360" w:lineRule="auto"/>
        <w:ind w:firstLine="420" w:firstLineChars="200"/>
        <w:rPr>
          <w:rFonts w:ascii="宋体" w:hAnsi="宋体"/>
          <w:color w:val="000000"/>
          <w:szCs w:val="21"/>
          <w:highlight w:val="none"/>
        </w:rPr>
      </w:pPr>
      <w:r>
        <w:rPr>
          <w:rFonts w:ascii="宋体" w:hAnsi="宋体"/>
          <w:color w:val="000000"/>
          <w:szCs w:val="21"/>
          <w:highlight w:val="none"/>
        </w:rPr>
        <w:t>（3）经检查证明承包人已采取了有效措施纠正违约行为，具备复工条件的，可由监理人签发复工通知复工。</w:t>
      </w:r>
    </w:p>
    <w:p w14:paraId="73AE8DCE">
      <w:pPr>
        <w:spacing w:line="360" w:lineRule="auto"/>
        <w:ind w:firstLine="420" w:firstLineChars="200"/>
        <w:rPr>
          <w:rFonts w:ascii="宋体" w:hAnsi="宋体"/>
          <w:color w:val="000000"/>
          <w:szCs w:val="21"/>
          <w:highlight w:val="none"/>
        </w:rPr>
      </w:pPr>
      <w:r>
        <w:rPr>
          <w:rFonts w:ascii="宋体" w:hAnsi="宋体"/>
          <w:color w:val="000000"/>
          <w:szCs w:val="21"/>
          <w:highlight w:val="none"/>
        </w:rPr>
        <w:t>22.1.3</w:t>
      </w:r>
      <w:r>
        <w:rPr>
          <w:rFonts w:ascii="宋体" w:hAnsi="宋体"/>
          <w:color w:val="000000"/>
          <w:szCs w:val="21"/>
          <w:highlight w:val="none"/>
        </w:rPr>
        <w:tab/>
      </w:r>
      <w:r>
        <w:rPr>
          <w:rFonts w:ascii="宋体" w:hAnsi="宋体"/>
          <w:color w:val="000000"/>
          <w:szCs w:val="21"/>
          <w:highlight w:val="none"/>
        </w:rPr>
        <w:t>承包人违约解除合同</w:t>
      </w:r>
    </w:p>
    <w:p w14:paraId="0A831AAA">
      <w:pPr>
        <w:spacing w:line="360" w:lineRule="auto"/>
        <w:ind w:firstLine="420" w:firstLineChars="200"/>
        <w:rPr>
          <w:rFonts w:ascii="宋体" w:hAnsi="宋体"/>
          <w:color w:val="000000"/>
          <w:szCs w:val="21"/>
          <w:highlight w:val="none"/>
        </w:rPr>
      </w:pPr>
      <w:r>
        <w:rPr>
          <w:rFonts w:ascii="宋体" w:hAnsi="宋体"/>
          <w:color w:val="000000"/>
          <w:szCs w:val="21"/>
          <w:highlight w:val="none"/>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2A2A4ED">
      <w:pPr>
        <w:spacing w:line="360" w:lineRule="auto"/>
        <w:ind w:firstLine="420" w:firstLineChars="200"/>
        <w:rPr>
          <w:rFonts w:ascii="宋体" w:hAnsi="宋体"/>
          <w:color w:val="000000"/>
          <w:szCs w:val="21"/>
          <w:highlight w:val="none"/>
        </w:rPr>
      </w:pPr>
      <w:r>
        <w:rPr>
          <w:rFonts w:ascii="宋体" w:hAnsi="宋体"/>
          <w:color w:val="000000"/>
          <w:szCs w:val="21"/>
          <w:highlight w:val="none"/>
        </w:rPr>
        <w:t>22.1.4</w:t>
      </w:r>
      <w:r>
        <w:rPr>
          <w:rFonts w:ascii="宋体" w:hAnsi="宋体"/>
          <w:color w:val="000000"/>
          <w:szCs w:val="21"/>
          <w:highlight w:val="none"/>
        </w:rPr>
        <w:tab/>
      </w:r>
      <w:r>
        <w:rPr>
          <w:rFonts w:ascii="宋体" w:hAnsi="宋体"/>
          <w:color w:val="000000"/>
          <w:szCs w:val="21"/>
          <w:highlight w:val="none"/>
        </w:rPr>
        <w:t>合同解除后的估价、付款和结清</w:t>
      </w:r>
    </w:p>
    <w:p w14:paraId="149E08A5">
      <w:pPr>
        <w:spacing w:line="360" w:lineRule="auto"/>
        <w:ind w:firstLine="420" w:firstLineChars="200"/>
        <w:rPr>
          <w:rFonts w:ascii="宋体" w:hAnsi="宋体"/>
          <w:color w:val="000000"/>
          <w:szCs w:val="21"/>
          <w:highlight w:val="none"/>
        </w:rPr>
      </w:pPr>
      <w:r>
        <w:rPr>
          <w:rFonts w:ascii="宋体" w:hAnsi="宋体"/>
          <w:color w:val="000000"/>
          <w:szCs w:val="21"/>
          <w:highlight w:val="none"/>
        </w:rPr>
        <w:t>（1）合同解除后，监理人按第 3.5 款商定或确定承包人实际完成工作的价值，以及承包人已提供的材料、施工设备、工程设备和临时工程等的价值。</w:t>
      </w:r>
    </w:p>
    <w:p w14:paraId="0DBE4EAD">
      <w:pPr>
        <w:spacing w:line="360" w:lineRule="auto"/>
        <w:ind w:firstLine="420" w:firstLineChars="200"/>
        <w:rPr>
          <w:rFonts w:ascii="宋体" w:hAnsi="宋体"/>
          <w:color w:val="000000"/>
          <w:szCs w:val="21"/>
          <w:highlight w:val="none"/>
        </w:rPr>
      </w:pPr>
      <w:r>
        <w:rPr>
          <w:rFonts w:ascii="宋体" w:hAnsi="宋体"/>
          <w:color w:val="000000"/>
          <w:szCs w:val="21"/>
          <w:highlight w:val="none"/>
        </w:rPr>
        <w:t>（2）合同解除后，发包人应暂停对承包人的一切付款，查清各项付款和已扣款金额， 包括承包人应支付的违约金。</w:t>
      </w:r>
    </w:p>
    <w:p w14:paraId="58DD072E">
      <w:pPr>
        <w:spacing w:line="360" w:lineRule="auto"/>
        <w:ind w:firstLine="420" w:firstLineChars="200"/>
        <w:rPr>
          <w:rFonts w:ascii="宋体" w:hAnsi="宋体"/>
          <w:color w:val="000000"/>
          <w:szCs w:val="21"/>
          <w:highlight w:val="none"/>
        </w:rPr>
      </w:pPr>
      <w:r>
        <w:rPr>
          <w:rFonts w:ascii="宋体" w:hAnsi="宋体"/>
          <w:color w:val="000000"/>
          <w:szCs w:val="21"/>
          <w:highlight w:val="none"/>
        </w:rPr>
        <w:t>（3）合同解除后，发包人应按第 23.4 款的约定向承包人索赔由于解除合同给发包人造成的损失。</w:t>
      </w:r>
    </w:p>
    <w:p w14:paraId="326962BA">
      <w:pPr>
        <w:spacing w:line="360" w:lineRule="auto"/>
        <w:ind w:firstLine="420" w:firstLineChars="200"/>
        <w:rPr>
          <w:rFonts w:ascii="宋体" w:hAnsi="宋体"/>
          <w:color w:val="000000"/>
          <w:szCs w:val="21"/>
          <w:highlight w:val="none"/>
        </w:rPr>
      </w:pPr>
      <w:r>
        <w:rPr>
          <w:rFonts w:ascii="宋体" w:hAnsi="宋体"/>
          <w:color w:val="000000"/>
          <w:szCs w:val="21"/>
          <w:highlight w:val="none"/>
        </w:rPr>
        <w:t>（4）合同双方确认上述往来款项后，出具最终结清付款证书，结清全部合同款项。</w:t>
      </w:r>
    </w:p>
    <w:p w14:paraId="0FFD4C72">
      <w:pPr>
        <w:spacing w:line="360" w:lineRule="auto"/>
        <w:ind w:firstLine="420" w:firstLineChars="200"/>
        <w:rPr>
          <w:rFonts w:ascii="宋体" w:hAnsi="宋体"/>
          <w:color w:val="000000"/>
          <w:szCs w:val="21"/>
          <w:highlight w:val="none"/>
        </w:rPr>
      </w:pPr>
      <w:r>
        <w:rPr>
          <w:rFonts w:ascii="宋体" w:hAnsi="宋体"/>
          <w:color w:val="000000"/>
          <w:szCs w:val="21"/>
          <w:highlight w:val="none"/>
        </w:rPr>
        <w:t>（5）发包人和承包人未能就解除合同后的结清达成一致而形成争议的，按第 24 条的约定办理。</w:t>
      </w:r>
    </w:p>
    <w:p w14:paraId="036A60D9">
      <w:pPr>
        <w:spacing w:line="360" w:lineRule="auto"/>
        <w:ind w:firstLine="420" w:firstLineChars="200"/>
        <w:rPr>
          <w:rFonts w:ascii="宋体" w:hAnsi="宋体"/>
          <w:color w:val="000000"/>
          <w:szCs w:val="21"/>
          <w:highlight w:val="none"/>
        </w:rPr>
      </w:pPr>
      <w:r>
        <w:rPr>
          <w:rFonts w:ascii="宋体" w:hAnsi="宋体"/>
          <w:color w:val="000000"/>
          <w:szCs w:val="21"/>
          <w:highlight w:val="none"/>
        </w:rPr>
        <w:t>22.1.5</w:t>
      </w:r>
      <w:r>
        <w:rPr>
          <w:rFonts w:ascii="宋体" w:hAnsi="宋体"/>
          <w:color w:val="000000"/>
          <w:szCs w:val="21"/>
          <w:highlight w:val="none"/>
        </w:rPr>
        <w:tab/>
      </w:r>
      <w:r>
        <w:rPr>
          <w:rFonts w:ascii="宋体" w:hAnsi="宋体"/>
          <w:color w:val="000000"/>
          <w:szCs w:val="21"/>
          <w:highlight w:val="none"/>
        </w:rPr>
        <w:t xml:space="preserve">协议利益的转让 </w:t>
      </w:r>
    </w:p>
    <w:p w14:paraId="2312177C">
      <w:pPr>
        <w:spacing w:line="360" w:lineRule="auto"/>
        <w:ind w:firstLine="420" w:firstLineChars="200"/>
        <w:rPr>
          <w:rFonts w:ascii="宋体" w:hAnsi="宋体"/>
          <w:color w:val="000000"/>
          <w:szCs w:val="21"/>
          <w:highlight w:val="none"/>
        </w:rPr>
      </w:pPr>
      <w:r>
        <w:rPr>
          <w:rFonts w:ascii="宋体" w:hAnsi="宋体"/>
          <w:color w:val="000000"/>
          <w:szCs w:val="21"/>
          <w:highlight w:val="none"/>
        </w:rPr>
        <w:t>因承包人违约解除合同的，发包人有权要求承包人将其为实施合同而签订的材料和设备的订货协议或任何服务协议利益转让给发包人，并在解除合同后的 14 天内，依法办理转让 手续。</w:t>
      </w:r>
    </w:p>
    <w:p w14:paraId="081BC1CC">
      <w:pPr>
        <w:spacing w:line="360" w:lineRule="auto"/>
        <w:ind w:firstLine="420" w:firstLineChars="200"/>
        <w:rPr>
          <w:rFonts w:ascii="宋体" w:hAnsi="宋体"/>
          <w:color w:val="000000"/>
          <w:szCs w:val="21"/>
          <w:highlight w:val="none"/>
        </w:rPr>
      </w:pPr>
      <w:r>
        <w:rPr>
          <w:rFonts w:ascii="宋体" w:hAnsi="宋体"/>
          <w:color w:val="000000"/>
          <w:szCs w:val="21"/>
          <w:highlight w:val="none"/>
        </w:rPr>
        <w:t>22.1.6</w:t>
      </w:r>
      <w:r>
        <w:rPr>
          <w:rFonts w:ascii="宋体" w:hAnsi="宋体"/>
          <w:color w:val="000000"/>
          <w:szCs w:val="21"/>
          <w:highlight w:val="none"/>
        </w:rPr>
        <w:tab/>
      </w:r>
      <w:r>
        <w:rPr>
          <w:rFonts w:ascii="宋体" w:hAnsi="宋体"/>
          <w:color w:val="000000"/>
          <w:szCs w:val="21"/>
          <w:highlight w:val="none"/>
        </w:rPr>
        <w:t xml:space="preserve">紧急情况下无能力或不愿进行抢救 </w:t>
      </w:r>
    </w:p>
    <w:p w14:paraId="2BE6691B">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15AFAEA">
      <w:pPr>
        <w:spacing w:line="360" w:lineRule="auto"/>
        <w:rPr>
          <w:rFonts w:ascii="宋体" w:hAnsi="宋体"/>
          <w:color w:val="000000"/>
          <w:sz w:val="24"/>
          <w:highlight w:val="none"/>
        </w:rPr>
      </w:pPr>
      <w:bookmarkStart w:id="704" w:name="_bookmark238"/>
      <w:bookmarkEnd w:id="704"/>
      <w:r>
        <w:rPr>
          <w:rFonts w:ascii="宋体" w:hAnsi="宋体"/>
          <w:color w:val="000000"/>
          <w:sz w:val="24"/>
          <w:highlight w:val="none"/>
        </w:rPr>
        <w:t>22.2</w:t>
      </w:r>
      <w:r>
        <w:rPr>
          <w:rFonts w:ascii="宋体" w:hAnsi="宋体"/>
          <w:color w:val="000000"/>
          <w:sz w:val="24"/>
          <w:highlight w:val="none"/>
        </w:rPr>
        <w:tab/>
      </w:r>
      <w:r>
        <w:rPr>
          <w:rFonts w:ascii="宋体" w:hAnsi="宋体"/>
          <w:color w:val="000000"/>
          <w:sz w:val="24"/>
          <w:highlight w:val="none"/>
        </w:rPr>
        <w:t>发包人违约</w:t>
      </w:r>
    </w:p>
    <w:p w14:paraId="5A58AF22">
      <w:pPr>
        <w:spacing w:line="360" w:lineRule="auto"/>
        <w:ind w:firstLine="420" w:firstLineChars="200"/>
        <w:rPr>
          <w:rFonts w:ascii="宋体" w:hAnsi="宋体"/>
          <w:color w:val="000000"/>
          <w:szCs w:val="21"/>
          <w:highlight w:val="none"/>
        </w:rPr>
      </w:pPr>
      <w:r>
        <w:rPr>
          <w:rFonts w:ascii="宋体" w:hAnsi="宋体"/>
          <w:color w:val="000000"/>
          <w:szCs w:val="21"/>
          <w:highlight w:val="none"/>
        </w:rPr>
        <w:t>22.2.1</w:t>
      </w:r>
      <w:r>
        <w:rPr>
          <w:rFonts w:ascii="宋体" w:hAnsi="宋体"/>
          <w:color w:val="000000"/>
          <w:szCs w:val="21"/>
          <w:highlight w:val="none"/>
        </w:rPr>
        <w:tab/>
      </w:r>
      <w:r>
        <w:rPr>
          <w:rFonts w:ascii="宋体" w:hAnsi="宋体"/>
          <w:color w:val="000000"/>
          <w:szCs w:val="21"/>
          <w:highlight w:val="none"/>
        </w:rPr>
        <w:t xml:space="preserve">发包人违约的情形 </w:t>
      </w:r>
    </w:p>
    <w:p w14:paraId="17439A2C">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在履行合同过程中发生的下列情形，属发包人违约：</w:t>
      </w:r>
    </w:p>
    <w:p w14:paraId="177E5644">
      <w:pPr>
        <w:spacing w:line="360" w:lineRule="auto"/>
        <w:ind w:firstLine="420" w:firstLineChars="200"/>
        <w:rPr>
          <w:rFonts w:ascii="宋体" w:hAnsi="宋体"/>
          <w:color w:val="000000"/>
          <w:szCs w:val="21"/>
          <w:highlight w:val="none"/>
        </w:rPr>
      </w:pPr>
      <w:r>
        <w:rPr>
          <w:rFonts w:ascii="宋体" w:hAnsi="宋体"/>
          <w:color w:val="000000"/>
          <w:szCs w:val="21"/>
          <w:highlight w:val="none"/>
        </w:rPr>
        <w:t>（1）发包人未能按合同约定支付预付款或合同价款，或拖延、拒绝批准付款申请和支付凭证，导致付款延误的；</w:t>
      </w:r>
    </w:p>
    <w:p w14:paraId="64C01EBB">
      <w:pPr>
        <w:spacing w:line="360" w:lineRule="auto"/>
        <w:ind w:firstLine="420" w:firstLineChars="200"/>
        <w:rPr>
          <w:rFonts w:ascii="宋体" w:hAnsi="宋体"/>
          <w:color w:val="000000"/>
          <w:szCs w:val="21"/>
          <w:highlight w:val="none"/>
        </w:rPr>
      </w:pPr>
      <w:r>
        <w:rPr>
          <w:rFonts w:ascii="宋体" w:hAnsi="宋体"/>
          <w:color w:val="000000"/>
          <w:szCs w:val="21"/>
          <w:highlight w:val="none"/>
        </w:rPr>
        <w:t>（2）发包人原因造成停工的；</w:t>
      </w:r>
    </w:p>
    <w:p w14:paraId="3967D655">
      <w:pPr>
        <w:spacing w:line="360" w:lineRule="auto"/>
        <w:ind w:firstLine="420" w:firstLineChars="200"/>
        <w:rPr>
          <w:rFonts w:ascii="宋体" w:hAnsi="宋体"/>
          <w:color w:val="000000"/>
          <w:szCs w:val="21"/>
          <w:highlight w:val="none"/>
        </w:rPr>
      </w:pPr>
      <w:r>
        <w:rPr>
          <w:rFonts w:ascii="宋体" w:hAnsi="宋体"/>
          <w:color w:val="000000"/>
          <w:szCs w:val="21"/>
          <w:highlight w:val="none"/>
        </w:rPr>
        <w:t>（3）监理人无正当理由没有在约定期限内发出复工指示，导致承包人无法复工的；</w:t>
      </w:r>
    </w:p>
    <w:p w14:paraId="5F965205">
      <w:pPr>
        <w:spacing w:line="360" w:lineRule="auto"/>
        <w:ind w:firstLine="420" w:firstLineChars="200"/>
        <w:rPr>
          <w:rFonts w:ascii="宋体" w:hAnsi="宋体"/>
          <w:color w:val="000000"/>
          <w:szCs w:val="21"/>
          <w:highlight w:val="none"/>
        </w:rPr>
      </w:pPr>
      <w:r>
        <w:rPr>
          <w:rFonts w:ascii="宋体" w:hAnsi="宋体"/>
          <w:color w:val="000000"/>
          <w:szCs w:val="21"/>
          <w:highlight w:val="none"/>
        </w:rPr>
        <w:t>（4）发包人无法继续履行或明确表示不履行或实质上已停止履行合同的；</w:t>
      </w:r>
    </w:p>
    <w:p w14:paraId="24D56D2C">
      <w:pPr>
        <w:spacing w:line="360" w:lineRule="auto"/>
        <w:ind w:firstLine="420" w:firstLineChars="200"/>
        <w:rPr>
          <w:rFonts w:ascii="宋体" w:hAnsi="宋体"/>
          <w:color w:val="000000"/>
          <w:szCs w:val="21"/>
          <w:highlight w:val="none"/>
        </w:rPr>
      </w:pPr>
      <w:r>
        <w:rPr>
          <w:rFonts w:ascii="宋体" w:hAnsi="宋体"/>
          <w:color w:val="000000"/>
          <w:szCs w:val="21"/>
          <w:highlight w:val="none"/>
        </w:rPr>
        <w:t xml:space="preserve">（5）发包人不履行合同约定其他义务的。 </w:t>
      </w:r>
    </w:p>
    <w:p w14:paraId="2ACA0548">
      <w:pPr>
        <w:spacing w:line="360" w:lineRule="auto"/>
        <w:ind w:firstLine="420" w:firstLineChars="200"/>
        <w:rPr>
          <w:rFonts w:ascii="宋体" w:hAnsi="宋体"/>
          <w:color w:val="000000"/>
          <w:szCs w:val="21"/>
          <w:highlight w:val="none"/>
        </w:rPr>
      </w:pPr>
      <w:r>
        <w:rPr>
          <w:rFonts w:ascii="宋体" w:hAnsi="宋体"/>
          <w:color w:val="000000"/>
          <w:szCs w:val="21"/>
          <w:highlight w:val="none"/>
        </w:rPr>
        <w:t>22.2.2</w:t>
      </w:r>
      <w:r>
        <w:rPr>
          <w:rFonts w:ascii="宋体" w:hAnsi="宋体"/>
          <w:color w:val="000000"/>
          <w:szCs w:val="21"/>
          <w:highlight w:val="none"/>
        </w:rPr>
        <w:tab/>
      </w:r>
      <w:r>
        <w:rPr>
          <w:rFonts w:ascii="宋体" w:hAnsi="宋体"/>
          <w:color w:val="000000"/>
          <w:szCs w:val="21"/>
          <w:highlight w:val="none"/>
        </w:rPr>
        <w:t>承包人有权暂停施工</w:t>
      </w:r>
    </w:p>
    <w:p w14:paraId="23395BE5">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6A8737A1">
      <w:pPr>
        <w:spacing w:line="360" w:lineRule="auto"/>
        <w:ind w:firstLine="420" w:firstLineChars="200"/>
        <w:rPr>
          <w:rFonts w:ascii="宋体" w:hAnsi="宋体"/>
          <w:color w:val="000000"/>
          <w:szCs w:val="21"/>
          <w:highlight w:val="none"/>
        </w:rPr>
      </w:pPr>
      <w:r>
        <w:rPr>
          <w:rFonts w:ascii="宋体" w:hAnsi="宋体"/>
          <w:color w:val="000000"/>
          <w:szCs w:val="21"/>
          <w:highlight w:val="none"/>
        </w:rPr>
        <w:t>22.2.3</w:t>
      </w:r>
      <w:r>
        <w:rPr>
          <w:rFonts w:ascii="宋体" w:hAnsi="宋体"/>
          <w:color w:val="000000"/>
          <w:szCs w:val="21"/>
          <w:highlight w:val="none"/>
        </w:rPr>
        <w:tab/>
      </w:r>
      <w:r>
        <w:rPr>
          <w:rFonts w:ascii="宋体" w:hAnsi="宋体"/>
          <w:color w:val="000000"/>
          <w:szCs w:val="21"/>
          <w:highlight w:val="none"/>
        </w:rPr>
        <w:t>发包人违约解除合同</w:t>
      </w:r>
    </w:p>
    <w:p w14:paraId="606E1AB7">
      <w:pPr>
        <w:spacing w:line="360" w:lineRule="auto"/>
        <w:ind w:firstLine="420" w:firstLineChars="200"/>
        <w:rPr>
          <w:rFonts w:ascii="宋体" w:hAnsi="宋体"/>
          <w:color w:val="000000"/>
          <w:szCs w:val="21"/>
          <w:highlight w:val="none"/>
        </w:rPr>
      </w:pPr>
      <w:r>
        <w:rPr>
          <w:rFonts w:ascii="宋体" w:hAnsi="宋体"/>
          <w:color w:val="000000"/>
          <w:szCs w:val="21"/>
          <w:highlight w:val="none"/>
        </w:rPr>
        <w:t>（1）发生第 22.2.1（4）目的违约情况时，承包人可书面通知发包人解除合同。</w:t>
      </w:r>
    </w:p>
    <w:p w14:paraId="7B03C8A7">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（2）承包人按第 22.2.2 项暂停施工 28 天后，发包人仍不纠正违约行为的，承包人可向发包人发出解除合同通知。但承包人的这一行动不免除发包人承担的违约责任，也不影响承包人根据合同约定享有的索赔权利。</w:t>
      </w:r>
    </w:p>
    <w:p w14:paraId="5B359744">
      <w:pPr>
        <w:spacing w:line="360" w:lineRule="auto"/>
        <w:ind w:firstLine="420" w:firstLineChars="200"/>
        <w:rPr>
          <w:rFonts w:ascii="宋体" w:hAnsi="宋体"/>
          <w:color w:val="000000"/>
          <w:szCs w:val="21"/>
          <w:highlight w:val="none"/>
        </w:rPr>
      </w:pPr>
      <w:r>
        <w:rPr>
          <w:rFonts w:ascii="宋体" w:hAnsi="宋体"/>
          <w:color w:val="000000"/>
          <w:szCs w:val="21"/>
          <w:highlight w:val="none"/>
        </w:rPr>
        <w:t>22.2.4</w:t>
      </w:r>
      <w:r>
        <w:rPr>
          <w:rFonts w:ascii="宋体" w:hAnsi="宋体"/>
          <w:color w:val="000000"/>
          <w:szCs w:val="21"/>
          <w:highlight w:val="none"/>
        </w:rPr>
        <w:tab/>
      </w:r>
      <w:r>
        <w:rPr>
          <w:rFonts w:ascii="宋体" w:hAnsi="宋体"/>
          <w:color w:val="000000"/>
          <w:szCs w:val="21"/>
          <w:highlight w:val="none"/>
        </w:rPr>
        <w:t>解除合同后的付款</w:t>
      </w:r>
    </w:p>
    <w:p w14:paraId="31F8FB6C">
      <w:pPr>
        <w:spacing w:line="360" w:lineRule="auto"/>
        <w:ind w:firstLine="420" w:firstLineChars="200"/>
        <w:rPr>
          <w:rFonts w:ascii="宋体" w:hAnsi="宋体"/>
          <w:color w:val="000000"/>
          <w:szCs w:val="21"/>
          <w:highlight w:val="none"/>
        </w:rPr>
      </w:pPr>
      <w:r>
        <w:rPr>
          <w:rFonts w:ascii="宋体" w:hAnsi="宋体"/>
          <w:color w:val="000000"/>
          <w:szCs w:val="21"/>
          <w:highlight w:val="none"/>
        </w:rPr>
        <w:t>因发包人违约解除合同的，发包人应在解除合同后 28 天内向承包人支付下列金额，承 包人应在此期限内及时向发包人提交要求支付下列金额的有关资料和凭证：</w:t>
      </w:r>
    </w:p>
    <w:p w14:paraId="37D23168">
      <w:pPr>
        <w:spacing w:line="360" w:lineRule="auto"/>
        <w:ind w:firstLine="420" w:firstLineChars="200"/>
        <w:rPr>
          <w:rFonts w:ascii="宋体" w:hAnsi="宋体"/>
          <w:color w:val="000000"/>
          <w:szCs w:val="21"/>
          <w:highlight w:val="none"/>
        </w:rPr>
      </w:pPr>
      <w:r>
        <w:rPr>
          <w:rFonts w:ascii="宋体" w:hAnsi="宋体"/>
          <w:color w:val="000000"/>
          <w:szCs w:val="21"/>
          <w:highlight w:val="none"/>
        </w:rPr>
        <w:t>（1）合同解除日以前所完成工作的价款；</w:t>
      </w:r>
    </w:p>
    <w:p w14:paraId="15BE2E16">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（2）承包人为该工程施工订购并已付款的材料、工程设备和其他物品的金额。发包人付还后，该材料、工程设备和其他物品归发包人所有；</w:t>
      </w:r>
    </w:p>
    <w:p w14:paraId="3BFACA86">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（3）承包人为完成工程所发生的，而发包人未支付的金额；</w:t>
      </w:r>
    </w:p>
    <w:p w14:paraId="1F3849ED">
      <w:pPr>
        <w:spacing w:line="360" w:lineRule="auto"/>
        <w:ind w:firstLine="420" w:firstLineChars="200"/>
        <w:rPr>
          <w:rFonts w:ascii="宋体" w:hAnsi="宋体"/>
          <w:color w:val="000000"/>
          <w:szCs w:val="21"/>
          <w:highlight w:val="none"/>
        </w:rPr>
      </w:pPr>
      <w:r>
        <w:rPr>
          <w:rFonts w:ascii="宋体" w:hAnsi="宋体"/>
          <w:color w:val="000000"/>
          <w:szCs w:val="21"/>
          <w:highlight w:val="none"/>
        </w:rPr>
        <w:t>（4）承包人撤离施工场地以及遣散承包人人员的金额；</w:t>
      </w:r>
    </w:p>
    <w:p w14:paraId="4D78DB5E">
      <w:pPr>
        <w:spacing w:line="360" w:lineRule="auto"/>
        <w:ind w:firstLine="420" w:firstLineChars="200"/>
        <w:rPr>
          <w:rFonts w:ascii="宋体" w:hAnsi="宋体"/>
          <w:color w:val="000000"/>
          <w:szCs w:val="21"/>
          <w:highlight w:val="none"/>
        </w:rPr>
      </w:pPr>
      <w:r>
        <w:rPr>
          <w:rFonts w:ascii="宋体" w:hAnsi="宋体"/>
          <w:color w:val="000000"/>
          <w:szCs w:val="21"/>
          <w:highlight w:val="none"/>
        </w:rPr>
        <w:t>（5）由于解除合同应赔偿的承包人损失；</w:t>
      </w:r>
    </w:p>
    <w:p w14:paraId="30848FEC">
      <w:pPr>
        <w:spacing w:line="360" w:lineRule="auto"/>
        <w:ind w:firstLine="420" w:firstLineChars="200"/>
        <w:rPr>
          <w:rFonts w:ascii="宋体" w:hAnsi="宋体"/>
          <w:color w:val="000000"/>
          <w:szCs w:val="21"/>
          <w:highlight w:val="none"/>
        </w:rPr>
      </w:pPr>
      <w:r>
        <w:rPr>
          <w:rFonts w:ascii="宋体" w:hAnsi="宋体"/>
          <w:color w:val="000000"/>
          <w:szCs w:val="21"/>
          <w:highlight w:val="none"/>
        </w:rPr>
        <w:t>（6）按合同约定在合同解除日前应支付给承包人的其他金额。 发包人应按本项约定支付上述金额并退还质量保证金或退还质量保证金保函和履约担保，但有权要求承包人支付应偿还给发包人的各项金额。 22.2.5</w:t>
      </w:r>
      <w:r>
        <w:rPr>
          <w:rFonts w:ascii="宋体" w:hAnsi="宋体"/>
          <w:color w:val="000000"/>
          <w:szCs w:val="21"/>
          <w:highlight w:val="none"/>
        </w:rPr>
        <w:tab/>
      </w:r>
      <w:r>
        <w:rPr>
          <w:rFonts w:ascii="宋体" w:hAnsi="宋体"/>
          <w:color w:val="000000"/>
          <w:szCs w:val="21"/>
          <w:highlight w:val="none"/>
        </w:rPr>
        <w:t>解除合同后的承包人撤离</w:t>
      </w:r>
    </w:p>
    <w:p w14:paraId="6892245A">
      <w:pPr>
        <w:spacing w:line="360" w:lineRule="auto"/>
        <w:ind w:firstLine="420" w:firstLineChars="200"/>
        <w:rPr>
          <w:rFonts w:ascii="宋体" w:hAnsi="宋体"/>
          <w:color w:val="000000"/>
          <w:szCs w:val="21"/>
          <w:highlight w:val="none"/>
        </w:rPr>
      </w:pPr>
      <w:r>
        <w:rPr>
          <w:rFonts w:ascii="宋体" w:hAnsi="宋体"/>
          <w:color w:val="000000"/>
          <w:szCs w:val="21"/>
          <w:highlight w:val="none"/>
        </w:rPr>
        <w:t>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w:t>
      </w:r>
    </w:p>
    <w:p w14:paraId="498985CF">
      <w:pPr>
        <w:spacing w:line="360" w:lineRule="auto"/>
        <w:rPr>
          <w:rFonts w:ascii="宋体" w:hAnsi="宋体"/>
          <w:color w:val="000000"/>
          <w:sz w:val="24"/>
          <w:highlight w:val="none"/>
        </w:rPr>
      </w:pPr>
      <w:bookmarkStart w:id="705" w:name="_bookmark239"/>
      <w:bookmarkEnd w:id="705"/>
      <w:r>
        <w:rPr>
          <w:rFonts w:ascii="宋体" w:hAnsi="宋体"/>
          <w:color w:val="000000"/>
          <w:sz w:val="24"/>
          <w:highlight w:val="none"/>
        </w:rPr>
        <w:t>22.3</w:t>
      </w:r>
      <w:r>
        <w:rPr>
          <w:rFonts w:ascii="宋体" w:hAnsi="宋体"/>
          <w:color w:val="000000"/>
          <w:sz w:val="24"/>
          <w:highlight w:val="none"/>
        </w:rPr>
        <w:tab/>
      </w:r>
      <w:r>
        <w:rPr>
          <w:rFonts w:ascii="宋体" w:hAnsi="宋体"/>
          <w:color w:val="000000"/>
          <w:sz w:val="24"/>
          <w:highlight w:val="none"/>
        </w:rPr>
        <w:t>第三人造成的违约</w:t>
      </w:r>
    </w:p>
    <w:p w14:paraId="3BDF2C5E">
      <w:pPr>
        <w:spacing w:line="360" w:lineRule="auto"/>
        <w:ind w:firstLine="420" w:firstLineChars="200"/>
        <w:rPr>
          <w:rFonts w:ascii="宋体" w:hAnsi="宋体"/>
          <w:color w:val="000000"/>
          <w:szCs w:val="21"/>
          <w:highlight w:val="none"/>
        </w:rPr>
      </w:pPr>
      <w:r>
        <w:rPr>
          <w:rFonts w:ascii="宋体" w:hAnsi="宋体"/>
          <w:color w:val="000000"/>
          <w:szCs w:val="21"/>
          <w:highlight w:val="none"/>
        </w:rPr>
        <w:t>在履行合同过程中，一方当事人因第三人的原因造成违约的，应当向对方当事人承担违约责任。一方当事人和第三人之间的纠纷，依照法律规定或者按照约定解决。</w:t>
      </w:r>
    </w:p>
    <w:p w14:paraId="7BB5E7A3">
      <w:pPr>
        <w:spacing w:line="360" w:lineRule="auto"/>
        <w:rPr>
          <w:rFonts w:ascii="宋体" w:hAnsi="宋体"/>
          <w:color w:val="000000"/>
          <w:sz w:val="28"/>
          <w:szCs w:val="28"/>
          <w:highlight w:val="none"/>
        </w:rPr>
      </w:pPr>
      <w:bookmarkStart w:id="706" w:name="_bookmark240"/>
      <w:bookmarkEnd w:id="706"/>
      <w:r>
        <w:rPr>
          <w:rFonts w:ascii="宋体" w:hAnsi="宋体"/>
          <w:color w:val="000000"/>
          <w:sz w:val="28"/>
          <w:szCs w:val="28"/>
          <w:highlight w:val="none"/>
        </w:rPr>
        <w:t>23.索赔</w:t>
      </w:r>
    </w:p>
    <w:p w14:paraId="0C846216">
      <w:pPr>
        <w:spacing w:line="360" w:lineRule="auto"/>
        <w:rPr>
          <w:rFonts w:ascii="宋体" w:hAnsi="宋体"/>
          <w:color w:val="000000"/>
          <w:sz w:val="24"/>
          <w:highlight w:val="none"/>
        </w:rPr>
      </w:pPr>
      <w:bookmarkStart w:id="707" w:name="_bookmark241"/>
      <w:bookmarkEnd w:id="707"/>
      <w:r>
        <w:rPr>
          <w:rFonts w:ascii="宋体" w:hAnsi="宋体"/>
          <w:color w:val="000000"/>
          <w:sz w:val="24"/>
          <w:highlight w:val="none"/>
        </w:rPr>
        <w:t>23.1</w:t>
      </w:r>
      <w:r>
        <w:rPr>
          <w:rFonts w:ascii="宋体" w:hAnsi="宋体"/>
          <w:color w:val="000000"/>
          <w:sz w:val="24"/>
          <w:highlight w:val="none"/>
        </w:rPr>
        <w:tab/>
      </w:r>
      <w:r>
        <w:rPr>
          <w:rFonts w:ascii="宋体" w:hAnsi="宋体"/>
          <w:color w:val="000000"/>
          <w:sz w:val="24"/>
          <w:highlight w:val="none"/>
        </w:rPr>
        <w:t>承包人索赔的提出</w:t>
      </w:r>
    </w:p>
    <w:p w14:paraId="4DB3A1DC">
      <w:pPr>
        <w:spacing w:line="360" w:lineRule="auto"/>
        <w:ind w:firstLine="420" w:firstLineChars="200"/>
        <w:rPr>
          <w:rFonts w:ascii="宋体" w:hAnsi="宋体"/>
          <w:color w:val="000000"/>
          <w:szCs w:val="21"/>
          <w:highlight w:val="none"/>
        </w:rPr>
      </w:pPr>
      <w:r>
        <w:rPr>
          <w:rFonts w:ascii="宋体" w:hAnsi="宋体"/>
          <w:color w:val="000000"/>
          <w:szCs w:val="21"/>
          <w:highlight w:val="none"/>
        </w:rPr>
        <w:t>根据合同约定，承包人认为有权得到追加付款和（或）延长工期的，应按以下程序向发包人提出索赔：</w:t>
      </w:r>
    </w:p>
    <w:p w14:paraId="7F5553C7">
      <w:pPr>
        <w:spacing w:line="360" w:lineRule="auto"/>
        <w:ind w:firstLine="420" w:firstLineChars="200"/>
        <w:rPr>
          <w:rFonts w:ascii="宋体" w:hAnsi="宋体"/>
          <w:color w:val="000000"/>
          <w:szCs w:val="21"/>
          <w:highlight w:val="none"/>
        </w:rPr>
      </w:pPr>
      <w:r>
        <w:rPr>
          <w:rFonts w:ascii="宋体" w:hAnsi="宋体"/>
          <w:color w:val="000000"/>
          <w:szCs w:val="21"/>
          <w:highlight w:val="none"/>
        </w:rPr>
        <w:t>（1）承包人应在知道或应当知道索赔事件发生后 28 天内，向监理人递交索赔意向通知书，并说明发生索赔事件的事由。承包人未在前述 28 天内发出索赔意向通知书的，丧失要求追加付款和（或）延长工期的权利；</w:t>
      </w:r>
    </w:p>
    <w:p w14:paraId="077BF7DA">
      <w:pPr>
        <w:spacing w:line="360" w:lineRule="auto"/>
        <w:ind w:firstLine="420" w:firstLineChars="200"/>
        <w:rPr>
          <w:rFonts w:ascii="宋体" w:hAnsi="宋体"/>
          <w:color w:val="000000"/>
          <w:szCs w:val="21"/>
          <w:highlight w:val="none"/>
        </w:rPr>
      </w:pPr>
      <w:r>
        <w:rPr>
          <w:rFonts w:ascii="宋体" w:hAnsi="宋体"/>
          <w:color w:val="000000"/>
          <w:szCs w:val="21"/>
          <w:highlight w:val="none"/>
        </w:rPr>
        <w:t>（2）承包人应在发出索赔意向通知书后 28 天内，向监理人正式递交索赔通知书。索赔通知书应详细说明索赔理由以及要求追加的付款金额和（或）延长的工期，并附必要的记录和证明材料；</w:t>
      </w:r>
    </w:p>
    <w:p w14:paraId="39E011BB">
      <w:pPr>
        <w:spacing w:line="360" w:lineRule="auto"/>
        <w:ind w:firstLine="420" w:firstLineChars="200"/>
        <w:rPr>
          <w:rFonts w:ascii="宋体" w:hAnsi="宋体"/>
          <w:color w:val="000000"/>
          <w:szCs w:val="21"/>
          <w:highlight w:val="none"/>
        </w:rPr>
      </w:pPr>
      <w:r>
        <w:rPr>
          <w:rFonts w:ascii="宋体" w:hAnsi="宋体"/>
          <w:color w:val="000000"/>
          <w:szCs w:val="21"/>
          <w:highlight w:val="none"/>
        </w:rPr>
        <w:t>（3）索赔事件具有连续影响的，承包人应按合理时间间隔继续递交延续索赔通知，说明连续影响的实际情况和记录，列出累计的追加付款金额和（或）工期延长天数；</w:t>
      </w:r>
    </w:p>
    <w:p w14:paraId="6414FADD">
      <w:pPr>
        <w:spacing w:line="360" w:lineRule="auto"/>
        <w:ind w:firstLine="420" w:firstLineChars="200"/>
        <w:rPr>
          <w:rFonts w:ascii="宋体" w:hAnsi="宋体"/>
          <w:color w:val="000000"/>
          <w:szCs w:val="21"/>
          <w:highlight w:val="none"/>
        </w:rPr>
      </w:pPr>
      <w:r>
        <w:rPr>
          <w:rFonts w:ascii="宋体" w:hAnsi="宋体"/>
          <w:color w:val="000000"/>
          <w:szCs w:val="21"/>
          <w:highlight w:val="none"/>
        </w:rPr>
        <w:t>（4）在索赔事件影响结束后的 28 天内，承包人应向监理人递交最终索赔通知书，说明最终要求索赔的追加付款金额和延长的工期，并附必要的记录和证明材料。</w:t>
      </w:r>
    </w:p>
    <w:p w14:paraId="13E8D883">
      <w:pPr>
        <w:spacing w:line="360" w:lineRule="auto"/>
        <w:rPr>
          <w:rFonts w:ascii="宋体" w:hAnsi="宋体"/>
          <w:color w:val="000000"/>
          <w:sz w:val="24"/>
          <w:highlight w:val="none"/>
        </w:rPr>
      </w:pPr>
      <w:bookmarkStart w:id="708" w:name="_bookmark242"/>
      <w:bookmarkEnd w:id="708"/>
      <w:r>
        <w:rPr>
          <w:rFonts w:ascii="宋体" w:hAnsi="宋体"/>
          <w:color w:val="000000"/>
          <w:sz w:val="24"/>
          <w:highlight w:val="none"/>
        </w:rPr>
        <w:t>23.2</w:t>
      </w:r>
      <w:r>
        <w:rPr>
          <w:rFonts w:ascii="宋体" w:hAnsi="宋体"/>
          <w:color w:val="000000"/>
          <w:sz w:val="24"/>
          <w:highlight w:val="none"/>
        </w:rPr>
        <w:tab/>
      </w:r>
      <w:r>
        <w:rPr>
          <w:rFonts w:ascii="宋体" w:hAnsi="宋体"/>
          <w:color w:val="000000"/>
          <w:sz w:val="24"/>
          <w:highlight w:val="none"/>
        </w:rPr>
        <w:t>承包人索赔处理程序</w:t>
      </w:r>
    </w:p>
    <w:p w14:paraId="66C6E677">
      <w:pPr>
        <w:spacing w:line="360" w:lineRule="auto"/>
        <w:ind w:firstLine="420" w:firstLineChars="200"/>
        <w:rPr>
          <w:rFonts w:ascii="宋体" w:hAnsi="宋体"/>
          <w:color w:val="000000"/>
          <w:szCs w:val="21"/>
          <w:highlight w:val="none"/>
        </w:rPr>
      </w:pPr>
      <w:r>
        <w:rPr>
          <w:rFonts w:ascii="宋体" w:hAnsi="宋体"/>
          <w:color w:val="000000"/>
          <w:szCs w:val="21"/>
          <w:highlight w:val="none"/>
        </w:rPr>
        <w:t>（1）监理人收到承包人提交的索赔通知书后，应及时审查索赔通知书的内容、查验承包人的记录和证明材料，必要时监理人可要求承包人提交全部原始记录副本。</w:t>
      </w:r>
    </w:p>
    <w:p w14:paraId="77844B01">
      <w:pPr>
        <w:spacing w:line="360" w:lineRule="auto"/>
        <w:ind w:firstLine="420" w:firstLineChars="200"/>
        <w:rPr>
          <w:rFonts w:ascii="宋体" w:hAnsi="宋体"/>
          <w:color w:val="000000"/>
          <w:szCs w:val="21"/>
          <w:highlight w:val="none"/>
        </w:rPr>
      </w:pPr>
      <w:r>
        <w:rPr>
          <w:rFonts w:ascii="宋体" w:hAnsi="宋体"/>
          <w:color w:val="000000"/>
          <w:szCs w:val="21"/>
          <w:highlight w:val="none"/>
        </w:rPr>
        <w:t>（2）监理人应按第 3.5 款商定或确定追加的付款和（或）延长的工期，并在收到上述索赔通知书或有关索赔的进一步证明材料后的 42 天内，将索赔处理结果答复承包人。</w:t>
      </w:r>
    </w:p>
    <w:p w14:paraId="293E5528">
      <w:pPr>
        <w:spacing w:line="360" w:lineRule="auto"/>
        <w:ind w:firstLine="420" w:firstLineChars="200"/>
        <w:rPr>
          <w:rFonts w:ascii="宋体" w:hAnsi="宋体"/>
          <w:color w:val="000000"/>
          <w:szCs w:val="21"/>
          <w:highlight w:val="none"/>
        </w:rPr>
      </w:pPr>
      <w:r>
        <w:rPr>
          <w:rFonts w:ascii="宋体" w:hAnsi="宋体"/>
          <w:color w:val="000000"/>
          <w:szCs w:val="21"/>
          <w:highlight w:val="none"/>
        </w:rPr>
        <w:t>（3）承包人接受索赔处理结果的，发包人应在作出索赔处理结果答复后 28 天内完成赔付。承包人不接受索赔处理结果的，按第 24 条的约定办理。</w:t>
      </w:r>
    </w:p>
    <w:p w14:paraId="5755B9AB">
      <w:pPr>
        <w:spacing w:line="360" w:lineRule="auto"/>
        <w:rPr>
          <w:rFonts w:ascii="宋体" w:hAnsi="宋体"/>
          <w:color w:val="000000"/>
          <w:sz w:val="24"/>
          <w:highlight w:val="none"/>
        </w:rPr>
      </w:pPr>
      <w:bookmarkStart w:id="709" w:name="_bookmark243"/>
      <w:bookmarkEnd w:id="709"/>
      <w:r>
        <w:rPr>
          <w:rFonts w:ascii="宋体" w:hAnsi="宋体"/>
          <w:color w:val="000000"/>
          <w:sz w:val="24"/>
          <w:highlight w:val="none"/>
        </w:rPr>
        <w:t>23.3</w:t>
      </w:r>
      <w:r>
        <w:rPr>
          <w:rFonts w:ascii="宋体" w:hAnsi="宋体"/>
          <w:color w:val="000000"/>
          <w:sz w:val="24"/>
          <w:highlight w:val="none"/>
        </w:rPr>
        <w:tab/>
      </w:r>
      <w:r>
        <w:rPr>
          <w:rFonts w:ascii="宋体" w:hAnsi="宋体"/>
          <w:color w:val="000000"/>
          <w:sz w:val="24"/>
          <w:highlight w:val="none"/>
        </w:rPr>
        <w:t>承包人提出索赔的期限</w:t>
      </w:r>
    </w:p>
    <w:p w14:paraId="0EC0C2AB">
      <w:pPr>
        <w:spacing w:line="360" w:lineRule="auto"/>
        <w:ind w:firstLine="420" w:firstLineChars="200"/>
        <w:rPr>
          <w:rFonts w:ascii="宋体" w:hAnsi="宋体"/>
          <w:color w:val="000000"/>
          <w:szCs w:val="21"/>
          <w:highlight w:val="none"/>
        </w:rPr>
      </w:pPr>
      <w:r>
        <w:rPr>
          <w:rFonts w:ascii="宋体" w:hAnsi="宋体"/>
          <w:color w:val="000000"/>
          <w:szCs w:val="21"/>
          <w:highlight w:val="none"/>
        </w:rPr>
        <w:t>23.3.1</w:t>
      </w:r>
      <w:r>
        <w:rPr>
          <w:rFonts w:ascii="宋体" w:hAnsi="宋体"/>
          <w:color w:val="000000"/>
          <w:szCs w:val="21"/>
          <w:highlight w:val="none"/>
        </w:rPr>
        <w:tab/>
      </w:r>
      <w:r>
        <w:rPr>
          <w:rFonts w:ascii="宋体" w:hAnsi="宋体"/>
          <w:color w:val="000000"/>
          <w:szCs w:val="21"/>
          <w:highlight w:val="none"/>
        </w:rPr>
        <w:t>承包人按第 17.5 款的约定接受了竣工付款证书后，应被认为已无权再提出在合同工程接收证书颁发前所发生的任何索赔。</w:t>
      </w:r>
    </w:p>
    <w:p w14:paraId="13F8E308">
      <w:pPr>
        <w:spacing w:line="360" w:lineRule="auto"/>
        <w:ind w:firstLine="420" w:firstLineChars="200"/>
        <w:rPr>
          <w:rFonts w:ascii="宋体" w:hAnsi="宋体"/>
          <w:color w:val="000000"/>
          <w:szCs w:val="21"/>
          <w:highlight w:val="none"/>
        </w:rPr>
      </w:pPr>
      <w:r>
        <w:rPr>
          <w:rFonts w:ascii="宋体" w:hAnsi="宋体"/>
          <w:color w:val="000000"/>
          <w:szCs w:val="21"/>
          <w:highlight w:val="none"/>
        </w:rPr>
        <w:t>23.3.2</w:t>
      </w:r>
      <w:r>
        <w:rPr>
          <w:rFonts w:ascii="宋体" w:hAnsi="宋体"/>
          <w:color w:val="000000"/>
          <w:szCs w:val="21"/>
          <w:highlight w:val="none"/>
        </w:rPr>
        <w:tab/>
      </w:r>
      <w:r>
        <w:rPr>
          <w:rFonts w:ascii="宋体" w:hAnsi="宋体"/>
          <w:color w:val="000000"/>
          <w:szCs w:val="21"/>
          <w:highlight w:val="none"/>
        </w:rPr>
        <w:t>承包人按第 17.6 款的约定提交的最终结清申请单中，只限于提出工程接收证书颁发后发生的索赔。提出索赔的期限自接受最终结清证书时终止。</w:t>
      </w:r>
    </w:p>
    <w:p w14:paraId="4E2A5344">
      <w:pPr>
        <w:spacing w:line="360" w:lineRule="auto"/>
        <w:rPr>
          <w:rFonts w:ascii="宋体" w:hAnsi="宋体"/>
          <w:color w:val="000000"/>
          <w:sz w:val="24"/>
          <w:highlight w:val="none"/>
        </w:rPr>
      </w:pPr>
      <w:bookmarkStart w:id="710" w:name="_bookmark244"/>
      <w:bookmarkEnd w:id="710"/>
      <w:r>
        <w:rPr>
          <w:rFonts w:ascii="宋体" w:hAnsi="宋体"/>
          <w:color w:val="000000"/>
          <w:sz w:val="24"/>
          <w:highlight w:val="none"/>
        </w:rPr>
        <w:t>23.4</w:t>
      </w:r>
      <w:r>
        <w:rPr>
          <w:rFonts w:ascii="宋体" w:hAnsi="宋体"/>
          <w:color w:val="000000"/>
          <w:sz w:val="24"/>
          <w:highlight w:val="none"/>
        </w:rPr>
        <w:tab/>
      </w:r>
      <w:r>
        <w:rPr>
          <w:rFonts w:ascii="宋体" w:hAnsi="宋体"/>
          <w:color w:val="000000"/>
          <w:sz w:val="24"/>
          <w:highlight w:val="none"/>
        </w:rPr>
        <w:t>发包人的索赔</w:t>
      </w:r>
    </w:p>
    <w:p w14:paraId="48C93BBB">
      <w:pPr>
        <w:spacing w:line="360" w:lineRule="auto"/>
        <w:ind w:firstLine="420" w:firstLineChars="200"/>
        <w:rPr>
          <w:rFonts w:ascii="宋体" w:hAnsi="宋体"/>
          <w:color w:val="000000"/>
          <w:szCs w:val="21"/>
          <w:highlight w:val="none"/>
        </w:rPr>
      </w:pPr>
      <w:r>
        <w:rPr>
          <w:rFonts w:ascii="宋体" w:hAnsi="宋体"/>
          <w:color w:val="000000"/>
          <w:szCs w:val="21"/>
          <w:highlight w:val="none"/>
        </w:rPr>
        <w:t>23.4.1</w:t>
      </w:r>
      <w:r>
        <w:rPr>
          <w:rFonts w:ascii="宋体" w:hAnsi="宋体"/>
          <w:color w:val="000000"/>
          <w:szCs w:val="21"/>
          <w:highlight w:val="none"/>
        </w:rPr>
        <w:tab/>
      </w:r>
      <w:r>
        <w:rPr>
          <w:rFonts w:ascii="宋体" w:hAnsi="宋体"/>
          <w:color w:val="000000"/>
          <w:szCs w:val="21"/>
          <w:highlight w:val="none"/>
        </w:rPr>
        <w:t>发生索赔事件后，监理人应及时书面通知承包人，详细说明发包人有权得到的</w:t>
      </w:r>
    </w:p>
    <w:p w14:paraId="6B056194">
      <w:pPr>
        <w:spacing w:line="360" w:lineRule="auto"/>
        <w:ind w:firstLine="420" w:firstLineChars="200"/>
        <w:rPr>
          <w:rFonts w:ascii="宋体" w:hAnsi="宋体"/>
          <w:color w:val="000000"/>
          <w:szCs w:val="21"/>
          <w:highlight w:val="none"/>
        </w:rPr>
      </w:pPr>
      <w:r>
        <w:rPr>
          <w:rFonts w:ascii="宋体" w:hAnsi="宋体"/>
          <w:color w:val="000000"/>
          <w:szCs w:val="21"/>
          <w:highlight w:val="none"/>
        </w:rPr>
        <w:t>索赔金额和（或）延长缺陷责任期的细节和依据。发包人提出索赔的期限和要求与第 23.3 款的约定相同，延长缺陷责任期的通知应在缺陷责任期届满前发出。</w:t>
      </w:r>
    </w:p>
    <w:p w14:paraId="487D5324">
      <w:pPr>
        <w:spacing w:line="360" w:lineRule="auto"/>
        <w:ind w:firstLine="420" w:firstLineChars="200"/>
        <w:rPr>
          <w:rFonts w:ascii="宋体" w:hAnsi="宋体"/>
          <w:color w:val="000000"/>
          <w:szCs w:val="21"/>
          <w:highlight w:val="none"/>
        </w:rPr>
      </w:pPr>
      <w:r>
        <w:rPr>
          <w:rFonts w:ascii="宋体" w:hAnsi="宋体"/>
          <w:color w:val="000000"/>
          <w:szCs w:val="21"/>
          <w:highlight w:val="none"/>
        </w:rPr>
        <w:t>23.4.2</w:t>
      </w:r>
      <w:r>
        <w:rPr>
          <w:rFonts w:ascii="宋体" w:hAnsi="宋体"/>
          <w:color w:val="000000"/>
          <w:szCs w:val="21"/>
          <w:highlight w:val="none"/>
        </w:rPr>
        <w:tab/>
      </w:r>
      <w:r>
        <w:rPr>
          <w:rFonts w:ascii="宋体" w:hAnsi="宋体"/>
          <w:color w:val="000000"/>
          <w:szCs w:val="21"/>
          <w:highlight w:val="none"/>
        </w:rPr>
        <w:t>监理人按第 3.5 款商定或确定发包人从承包人处得到赔付的金额和（或）缺陷责任期的延长期。承包人应付给发包人的金额可从拟支付给承包人的合同价款中扣除，或由承包人以其他方式支付给发包人。</w:t>
      </w:r>
    </w:p>
    <w:p w14:paraId="0AEB66F8">
      <w:pPr>
        <w:spacing w:line="360" w:lineRule="auto"/>
        <w:rPr>
          <w:rFonts w:ascii="宋体" w:hAnsi="宋体"/>
          <w:color w:val="000000"/>
          <w:sz w:val="28"/>
          <w:szCs w:val="28"/>
          <w:highlight w:val="none"/>
        </w:rPr>
      </w:pPr>
      <w:bookmarkStart w:id="711" w:name="_bookmark245"/>
      <w:bookmarkEnd w:id="711"/>
      <w:r>
        <w:rPr>
          <w:rFonts w:ascii="宋体" w:hAnsi="宋体"/>
          <w:color w:val="000000"/>
          <w:sz w:val="28"/>
          <w:szCs w:val="28"/>
          <w:highlight w:val="none"/>
        </w:rPr>
        <w:t>24.争议的解决</w:t>
      </w:r>
    </w:p>
    <w:p w14:paraId="03D9F83D">
      <w:pPr>
        <w:spacing w:line="360" w:lineRule="auto"/>
        <w:jc w:val="left"/>
        <w:rPr>
          <w:rFonts w:ascii="宋体" w:hAnsi="宋体"/>
          <w:color w:val="000000"/>
          <w:sz w:val="24"/>
          <w:highlight w:val="none"/>
        </w:rPr>
      </w:pPr>
      <w:bookmarkStart w:id="712" w:name="_bookmark246"/>
      <w:bookmarkEnd w:id="712"/>
      <w:r>
        <w:rPr>
          <w:rFonts w:ascii="宋体" w:hAnsi="宋体"/>
          <w:color w:val="000000"/>
          <w:sz w:val="24"/>
          <w:highlight w:val="none"/>
        </w:rPr>
        <w:t>24.1</w:t>
      </w:r>
      <w:r>
        <w:rPr>
          <w:rFonts w:ascii="宋体" w:hAnsi="宋体"/>
          <w:color w:val="000000"/>
          <w:sz w:val="24"/>
          <w:highlight w:val="none"/>
        </w:rPr>
        <w:tab/>
      </w:r>
      <w:r>
        <w:rPr>
          <w:rFonts w:ascii="宋体" w:hAnsi="宋体"/>
          <w:color w:val="000000"/>
          <w:sz w:val="24"/>
          <w:highlight w:val="none"/>
        </w:rPr>
        <w:t>争议的解决方式</w:t>
      </w:r>
    </w:p>
    <w:p w14:paraId="5C14DBDA">
      <w:pPr>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发包人和承包人在履行合同中发生争议的，可以友好协商解决或者提请争议评审组评 审。合同当事人友好协商解决不成、不愿提请争议评审或者不接受争议评审组意见的，可在 合同条款专用部分中约定下列一种方式解决。</w:t>
      </w:r>
    </w:p>
    <w:p w14:paraId="27433408">
      <w:pPr>
        <w:spacing w:line="360" w:lineRule="auto"/>
        <w:ind w:firstLine="420" w:firstLineChars="200"/>
        <w:rPr>
          <w:rFonts w:ascii="宋体" w:hAnsi="宋体"/>
          <w:color w:val="000000"/>
          <w:szCs w:val="21"/>
          <w:highlight w:val="none"/>
        </w:rPr>
      </w:pPr>
      <w:r>
        <w:rPr>
          <w:rFonts w:ascii="宋体" w:hAnsi="宋体"/>
          <w:color w:val="000000"/>
          <w:szCs w:val="21"/>
          <w:highlight w:val="none"/>
        </w:rPr>
        <w:t>（1）向约定的仲裁委员会申请仲裁；</w:t>
      </w:r>
    </w:p>
    <w:p w14:paraId="582FD7B8">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向有管辖权的人民法院提起诉讼。</w:t>
      </w:r>
    </w:p>
    <w:p w14:paraId="3E738C41">
      <w:pPr>
        <w:spacing w:line="360" w:lineRule="auto"/>
        <w:rPr>
          <w:rFonts w:ascii="宋体" w:hAnsi="宋体"/>
          <w:color w:val="000000"/>
          <w:sz w:val="24"/>
          <w:highlight w:val="none"/>
        </w:rPr>
      </w:pPr>
      <w:bookmarkStart w:id="713" w:name="_bookmark247"/>
      <w:bookmarkEnd w:id="713"/>
      <w:r>
        <w:rPr>
          <w:rFonts w:hint="eastAsia" w:ascii="宋体" w:hAnsi="宋体"/>
          <w:color w:val="000000"/>
          <w:sz w:val="24"/>
          <w:highlight w:val="none"/>
        </w:rPr>
        <w:t xml:space="preserve">24.2    </w:t>
      </w:r>
      <w:r>
        <w:rPr>
          <w:rFonts w:ascii="宋体" w:hAnsi="宋体"/>
          <w:color w:val="000000"/>
          <w:sz w:val="24"/>
          <w:highlight w:val="none"/>
        </w:rPr>
        <w:t>友好解决</w:t>
      </w:r>
    </w:p>
    <w:p w14:paraId="71D86E5B">
      <w:pPr>
        <w:spacing w:line="360" w:lineRule="auto"/>
        <w:ind w:firstLine="420" w:firstLineChars="200"/>
        <w:rPr>
          <w:rFonts w:ascii="宋体" w:hAnsi="宋体"/>
          <w:color w:val="000000"/>
          <w:szCs w:val="21"/>
          <w:highlight w:val="none"/>
        </w:rPr>
      </w:pPr>
      <w:r>
        <w:rPr>
          <w:rFonts w:ascii="宋体" w:hAnsi="宋体"/>
          <w:color w:val="000000"/>
          <w:szCs w:val="21"/>
          <w:highlight w:val="none"/>
        </w:rPr>
        <w:t>在提请争议评审、仲裁或者诉讼前，以及在争议评审、仲裁或诉讼过程中，发包人和承 包人均可共同努力友好协商解决争议。</w:t>
      </w:r>
      <w:bookmarkStart w:id="714" w:name="_bookmark248"/>
      <w:bookmarkEnd w:id="714"/>
    </w:p>
    <w:p w14:paraId="170E839C">
      <w:pPr>
        <w:spacing w:line="360" w:lineRule="auto"/>
        <w:rPr>
          <w:rFonts w:ascii="宋体" w:hAnsi="宋体"/>
          <w:color w:val="000000"/>
          <w:sz w:val="24"/>
          <w:highlight w:val="none"/>
        </w:rPr>
      </w:pPr>
      <w:r>
        <w:rPr>
          <w:rFonts w:hint="eastAsia" w:ascii="宋体" w:hAnsi="宋体"/>
          <w:color w:val="000000"/>
          <w:sz w:val="24"/>
          <w:highlight w:val="none"/>
        </w:rPr>
        <w:t xml:space="preserve">24.3    </w:t>
      </w:r>
      <w:r>
        <w:rPr>
          <w:rFonts w:ascii="宋体" w:hAnsi="宋体"/>
          <w:color w:val="000000"/>
          <w:sz w:val="24"/>
          <w:highlight w:val="none"/>
        </w:rPr>
        <w:t>争议评审</w:t>
      </w:r>
    </w:p>
    <w:p w14:paraId="22DBB68A">
      <w:pPr>
        <w:spacing w:line="360" w:lineRule="auto"/>
        <w:ind w:firstLine="420" w:firstLineChars="200"/>
        <w:rPr>
          <w:rFonts w:ascii="宋体" w:hAnsi="宋体"/>
          <w:color w:val="000000"/>
          <w:szCs w:val="21"/>
          <w:highlight w:val="none"/>
        </w:rPr>
      </w:pPr>
      <w:r>
        <w:rPr>
          <w:rFonts w:ascii="宋体" w:hAnsi="宋体"/>
          <w:color w:val="000000"/>
          <w:szCs w:val="21"/>
          <w:highlight w:val="none"/>
        </w:rPr>
        <w:t>24.3.1 采用争议评审的，发包人和承包人应在开工日后的 28 天内或在争议发生后，协商成立争议评审组。争议评审组由有合同管理和工程实践经验的专家组成。</w:t>
      </w:r>
    </w:p>
    <w:p w14:paraId="61F68ED1">
      <w:pPr>
        <w:spacing w:line="360" w:lineRule="auto"/>
        <w:ind w:firstLine="420" w:firstLineChars="200"/>
        <w:rPr>
          <w:rFonts w:ascii="宋体" w:hAnsi="宋体"/>
          <w:color w:val="000000"/>
          <w:szCs w:val="21"/>
          <w:highlight w:val="none"/>
        </w:rPr>
      </w:pPr>
      <w:r>
        <w:rPr>
          <w:rFonts w:ascii="宋体" w:hAnsi="宋体"/>
          <w:color w:val="000000"/>
          <w:szCs w:val="21"/>
          <w:highlight w:val="none"/>
        </w:rPr>
        <w:t>24.3.2 合同双方的争议，应首先由申请人向争议评审组提交一份详细的评审申请报告，并附必要的文件、图纸和证明材料，申请人还应将上述报告的副本同时提交给被申请人和监理人。</w:t>
      </w:r>
    </w:p>
    <w:p w14:paraId="4AD1DB17">
      <w:pPr>
        <w:spacing w:line="360" w:lineRule="auto"/>
        <w:ind w:firstLine="420" w:firstLineChars="200"/>
        <w:rPr>
          <w:rFonts w:ascii="宋体" w:hAnsi="宋体"/>
          <w:color w:val="000000"/>
          <w:szCs w:val="21"/>
          <w:highlight w:val="none"/>
        </w:rPr>
      </w:pPr>
      <w:r>
        <w:rPr>
          <w:rFonts w:ascii="宋体" w:hAnsi="宋体"/>
          <w:color w:val="000000"/>
          <w:szCs w:val="21"/>
          <w:highlight w:val="none"/>
        </w:rPr>
        <w:t>24.3.3 被申请人在收到申请人评审申请报告副本后的 28 天内，向争议评审组提交一份答辩报告，并附证明材料。被申请人应将答辩报告的副本同时提交给申请人和监理人。</w:t>
      </w:r>
    </w:p>
    <w:p w14:paraId="6FCEE229">
      <w:pPr>
        <w:spacing w:line="360" w:lineRule="auto"/>
        <w:ind w:firstLine="420" w:firstLineChars="200"/>
        <w:rPr>
          <w:rFonts w:ascii="宋体" w:hAnsi="宋体"/>
          <w:color w:val="000000"/>
          <w:szCs w:val="21"/>
          <w:highlight w:val="none"/>
        </w:rPr>
      </w:pPr>
      <w:r>
        <w:rPr>
          <w:rFonts w:ascii="宋体" w:hAnsi="宋体"/>
          <w:color w:val="000000"/>
          <w:szCs w:val="21"/>
          <w:highlight w:val="none"/>
        </w:rPr>
        <w:t>24.3.4 争议评审组在收到合同双方报告后的 14 天内，邀请双方代表和有关人员在合同约定的期限内举行调查会，向双方调查争议细节；必要时争议评审组可要求双方进一步提供补充材料。举行调查会的期限见合同条款专用部分。</w:t>
      </w:r>
    </w:p>
    <w:p w14:paraId="6EC732CE">
      <w:pPr>
        <w:spacing w:line="360" w:lineRule="auto"/>
        <w:ind w:firstLine="420" w:firstLineChars="200"/>
        <w:rPr>
          <w:rFonts w:ascii="宋体" w:hAnsi="宋体"/>
          <w:color w:val="000000"/>
          <w:szCs w:val="21"/>
          <w:highlight w:val="none"/>
        </w:rPr>
      </w:pPr>
      <w:r>
        <w:rPr>
          <w:rFonts w:ascii="宋体" w:hAnsi="宋体"/>
          <w:color w:val="000000"/>
          <w:szCs w:val="21"/>
          <w:highlight w:val="none"/>
        </w:rPr>
        <w:t>24.3.5</w:t>
      </w:r>
      <w:r>
        <w:rPr>
          <w:rFonts w:ascii="宋体" w:hAnsi="宋体"/>
          <w:color w:val="000000"/>
          <w:szCs w:val="21"/>
          <w:highlight w:val="none"/>
        </w:rPr>
        <w:tab/>
      </w:r>
      <w:r>
        <w:rPr>
          <w:rFonts w:ascii="宋体" w:hAnsi="宋体"/>
          <w:color w:val="000000"/>
          <w:szCs w:val="21"/>
          <w:highlight w:val="none"/>
        </w:rPr>
        <w:t>在调查会结束后的 14 天内，争议评审组应在不受任何干扰的情况下进行独立、公正的评审，在合同约定的期限内作出书面评审意见，并说明理由。在争议评审期间，争议双方暂按总监理工程师的确定执行。争议评审组作出争议评审意见的期限</w:t>
      </w:r>
      <w:r>
        <w:rPr>
          <w:rFonts w:ascii="黑体" w:hAnsi="黑体" w:eastAsia="黑体"/>
          <w:color w:val="000000"/>
          <w:szCs w:val="21"/>
          <w:highlight w:val="none"/>
        </w:rPr>
        <w:t>见合同条款专用部分</w:t>
      </w:r>
      <w:r>
        <w:rPr>
          <w:rFonts w:ascii="宋体" w:hAnsi="宋体"/>
          <w:color w:val="000000"/>
          <w:szCs w:val="21"/>
          <w:highlight w:val="none"/>
        </w:rPr>
        <w:t>。</w:t>
      </w:r>
    </w:p>
    <w:p w14:paraId="6AF50909">
      <w:pPr>
        <w:spacing w:line="360" w:lineRule="auto"/>
        <w:ind w:firstLine="420" w:firstLineChars="200"/>
        <w:rPr>
          <w:rFonts w:ascii="宋体" w:hAnsi="宋体"/>
          <w:color w:val="000000"/>
          <w:szCs w:val="21"/>
          <w:highlight w:val="none"/>
        </w:rPr>
      </w:pPr>
      <w:r>
        <w:rPr>
          <w:rFonts w:ascii="宋体" w:hAnsi="宋体"/>
          <w:color w:val="000000"/>
          <w:szCs w:val="21"/>
          <w:highlight w:val="none"/>
        </w:rPr>
        <w:t>24.3.6</w:t>
      </w:r>
      <w:r>
        <w:rPr>
          <w:rFonts w:ascii="宋体" w:hAnsi="宋体"/>
          <w:color w:val="000000"/>
          <w:szCs w:val="21"/>
          <w:highlight w:val="none"/>
        </w:rPr>
        <w:tab/>
      </w:r>
      <w:r>
        <w:rPr>
          <w:rFonts w:ascii="宋体" w:hAnsi="宋体"/>
          <w:color w:val="000000"/>
          <w:szCs w:val="21"/>
          <w:highlight w:val="none"/>
        </w:rPr>
        <w:t>发包人和承包人接受评审意见的，由监理人根据评审意见拟定执行协议，经争议双方签字后作为合同的补充文件，并遵照执行。</w:t>
      </w:r>
    </w:p>
    <w:p w14:paraId="55689661">
      <w:pPr>
        <w:spacing w:line="360" w:lineRule="auto"/>
        <w:ind w:firstLine="420" w:firstLineChars="200"/>
        <w:rPr>
          <w:rFonts w:ascii="宋体" w:hAnsi="宋体"/>
          <w:color w:val="000000"/>
          <w:szCs w:val="21"/>
          <w:highlight w:val="none"/>
        </w:rPr>
      </w:pPr>
      <w:r>
        <w:rPr>
          <w:rFonts w:ascii="宋体" w:hAnsi="宋体"/>
          <w:color w:val="000000"/>
          <w:szCs w:val="21"/>
          <w:highlight w:val="none"/>
        </w:rPr>
        <w:t>24.3.7</w:t>
      </w:r>
      <w:r>
        <w:rPr>
          <w:rFonts w:ascii="宋体" w:hAnsi="宋体"/>
          <w:color w:val="000000"/>
          <w:szCs w:val="21"/>
          <w:highlight w:val="none"/>
        </w:rPr>
        <w:tab/>
      </w:r>
      <w:r>
        <w:rPr>
          <w:rFonts w:ascii="宋体" w:hAnsi="宋体"/>
          <w:color w:val="000000"/>
          <w:szCs w:val="21"/>
          <w:highlight w:val="none"/>
        </w:rPr>
        <w:t>发包人或承包人不接受评审意见，并要求提交仲裁或提起诉讼的，应在收到评审意见后的 14 天内将仲裁或起诉意向书面通知另一方，并抄送监理人，但在仲裁或诉讼结束前应暂按总监理工程师的确定执行。</w:t>
      </w:r>
    </w:p>
    <w:p w14:paraId="285DE7AC">
      <w:pPr>
        <w:ind w:firstLine="420" w:firstLineChars="200"/>
        <w:rPr>
          <w:rFonts w:ascii="Arial" w:hAnsi="Arial" w:cs="Arial"/>
          <w:color w:val="000000"/>
          <w:highlight w:val="none"/>
        </w:rPr>
        <w:sectPr>
          <w:footerReference r:id="rId23" w:type="default"/>
          <w:pgSz w:w="11906" w:h="16838"/>
          <w:pgMar w:top="1440" w:right="1797" w:bottom="1440" w:left="1797" w:header="851" w:footer="992" w:gutter="0"/>
          <w:cols w:space="720" w:num="1"/>
          <w:docGrid w:linePitch="312" w:charSpace="0"/>
        </w:sectPr>
      </w:pPr>
    </w:p>
    <w:p w14:paraId="358D828F">
      <w:pPr>
        <w:rPr>
          <w:rFonts w:ascii="Arial" w:hAnsi="Arial" w:cs="Arial"/>
          <w:color w:val="000000"/>
          <w:highlight w:val="none"/>
        </w:rPr>
      </w:pPr>
    </w:p>
    <w:p w14:paraId="10D66FF5">
      <w:pPr>
        <w:rPr>
          <w:rFonts w:ascii="Arial" w:hAnsi="Arial" w:cs="Arial"/>
          <w:color w:val="000000"/>
          <w:highlight w:val="none"/>
        </w:rPr>
      </w:pPr>
    </w:p>
    <w:p w14:paraId="0D91D2D6">
      <w:pPr>
        <w:rPr>
          <w:rFonts w:ascii="Arial" w:hAnsi="Arial" w:cs="Arial"/>
          <w:color w:val="000000"/>
          <w:highlight w:val="none"/>
        </w:rPr>
      </w:pPr>
    </w:p>
    <w:p w14:paraId="2E522480">
      <w:pPr>
        <w:rPr>
          <w:rFonts w:ascii="Arial" w:hAnsi="Arial" w:cs="Arial"/>
          <w:color w:val="000000"/>
          <w:highlight w:val="none"/>
        </w:rPr>
      </w:pPr>
    </w:p>
    <w:p w14:paraId="204F044A">
      <w:pPr>
        <w:rPr>
          <w:color w:val="000000"/>
          <w:sz w:val="28"/>
          <w:szCs w:val="28"/>
          <w:highlight w:val="none"/>
        </w:rPr>
      </w:pPr>
    </w:p>
    <w:p w14:paraId="126450CB">
      <w:pPr>
        <w:rPr>
          <w:color w:val="000000"/>
          <w:sz w:val="28"/>
          <w:szCs w:val="28"/>
          <w:highlight w:val="none"/>
        </w:rPr>
      </w:pPr>
    </w:p>
    <w:p w14:paraId="2D7C4148">
      <w:pPr>
        <w:rPr>
          <w:color w:val="000000"/>
          <w:sz w:val="28"/>
          <w:szCs w:val="28"/>
          <w:highlight w:val="none"/>
        </w:rPr>
      </w:pPr>
    </w:p>
    <w:p w14:paraId="12E13037">
      <w:pPr>
        <w:rPr>
          <w:color w:val="000000"/>
          <w:sz w:val="28"/>
          <w:szCs w:val="28"/>
          <w:highlight w:val="none"/>
        </w:rPr>
      </w:pPr>
    </w:p>
    <w:p w14:paraId="64036547">
      <w:pPr>
        <w:rPr>
          <w:color w:val="000000"/>
          <w:sz w:val="28"/>
          <w:szCs w:val="28"/>
          <w:highlight w:val="none"/>
        </w:rPr>
      </w:pPr>
    </w:p>
    <w:p w14:paraId="71513094">
      <w:pPr>
        <w:rPr>
          <w:color w:val="000000"/>
          <w:sz w:val="28"/>
          <w:szCs w:val="28"/>
          <w:highlight w:val="none"/>
        </w:rPr>
      </w:pPr>
    </w:p>
    <w:p w14:paraId="52C18B29">
      <w:pPr>
        <w:pStyle w:val="425"/>
        <w:spacing w:after="120" w:line="300" w:lineRule="auto"/>
        <w:jc w:val="center"/>
        <w:rPr>
          <w:rFonts w:ascii="Arial" w:hAnsi="Arial" w:cs="Arial"/>
          <w:color w:val="000000"/>
          <w:highlight w:val="none"/>
        </w:rPr>
      </w:pPr>
      <w:bookmarkStart w:id="715" w:name="_Toc342296417"/>
      <w:bookmarkStart w:id="716" w:name="_Toc489003752"/>
      <w:bookmarkStart w:id="717" w:name="_Toc241459658"/>
      <w:r>
        <w:rPr>
          <w:rFonts w:ascii="Arial" w:hAnsi="Arial" w:cs="Arial"/>
          <w:color w:val="000000"/>
          <w:highlight w:val="none"/>
        </w:rPr>
        <w:t>第二节 专用合同条款</w:t>
      </w:r>
      <w:bookmarkEnd w:id="715"/>
      <w:bookmarkEnd w:id="716"/>
      <w:bookmarkEnd w:id="717"/>
    </w:p>
    <w:p w14:paraId="66048539">
      <w:pPr>
        <w:rPr>
          <w:rFonts w:ascii="Arial" w:hAnsi="Arial" w:cs="Arial"/>
          <w:color w:val="000000"/>
          <w:highlight w:val="none"/>
        </w:rPr>
      </w:pPr>
    </w:p>
    <w:p w14:paraId="5677DA09">
      <w:pPr>
        <w:rPr>
          <w:rFonts w:ascii="Arial" w:hAnsi="Arial" w:cs="Arial"/>
          <w:color w:val="000000"/>
          <w:highlight w:val="none"/>
        </w:rPr>
      </w:pPr>
    </w:p>
    <w:p w14:paraId="4EF46E8D">
      <w:pPr>
        <w:rPr>
          <w:rFonts w:ascii="Arial" w:hAnsi="Arial" w:cs="Arial"/>
          <w:color w:val="000000"/>
          <w:highlight w:val="none"/>
        </w:rPr>
      </w:pPr>
    </w:p>
    <w:p w14:paraId="1241E48D">
      <w:pPr>
        <w:rPr>
          <w:rFonts w:ascii="Arial" w:hAnsi="Arial" w:cs="Arial"/>
          <w:color w:val="000000"/>
          <w:highlight w:val="none"/>
        </w:rPr>
        <w:sectPr>
          <w:footerReference r:id="rId24" w:type="default"/>
          <w:pgSz w:w="11906" w:h="16838"/>
          <w:pgMar w:top="1440" w:right="1797" w:bottom="1440" w:left="1797" w:header="851" w:footer="992" w:gutter="0"/>
          <w:cols w:space="720" w:num="1"/>
          <w:docGrid w:linePitch="312" w:charSpace="0"/>
        </w:sectPr>
      </w:pPr>
    </w:p>
    <w:p w14:paraId="04E9BA16">
      <w:pPr>
        <w:pStyle w:val="4"/>
        <w:rPr>
          <w:rFonts w:ascii="宋体" w:hAnsi="宋体"/>
          <w:color w:val="000000"/>
          <w:szCs w:val="30"/>
          <w:highlight w:val="none"/>
        </w:rPr>
      </w:pPr>
      <w:bookmarkStart w:id="718" w:name="_Toc486580374"/>
      <w:bookmarkStart w:id="719" w:name="_Toc490331665"/>
      <w:bookmarkStart w:id="720" w:name="_Toc480303381"/>
      <w:bookmarkStart w:id="721" w:name="_Toc489280180"/>
      <w:bookmarkStart w:id="722" w:name="_Toc241459659"/>
      <w:bookmarkStart w:id="723" w:name="_Toc492202844"/>
      <w:bookmarkStart w:id="724" w:name="_Toc342296418"/>
      <w:bookmarkStart w:id="725" w:name="_Toc485323148"/>
      <w:bookmarkStart w:id="726" w:name="_Toc491149504"/>
      <w:bookmarkStart w:id="727" w:name="_BookMark_2"/>
      <w:r>
        <w:rPr>
          <w:rFonts w:ascii="宋体" w:hAnsi="宋体"/>
          <w:color w:val="000000"/>
          <w:szCs w:val="30"/>
          <w:highlight w:val="none"/>
        </w:rPr>
        <w:t>1.一般约定</w:t>
      </w:r>
      <w:bookmarkEnd w:id="718"/>
      <w:bookmarkEnd w:id="719"/>
      <w:bookmarkEnd w:id="720"/>
      <w:bookmarkEnd w:id="721"/>
      <w:bookmarkEnd w:id="722"/>
      <w:bookmarkEnd w:id="723"/>
      <w:bookmarkEnd w:id="724"/>
      <w:bookmarkEnd w:id="725"/>
      <w:bookmarkEnd w:id="726"/>
    </w:p>
    <w:bookmarkEnd w:id="727"/>
    <w:p w14:paraId="15948EB3">
      <w:pPr>
        <w:pStyle w:val="6"/>
        <w:spacing w:line="360" w:lineRule="auto"/>
        <w:rPr>
          <w:rFonts w:hAnsi="宋体"/>
          <w:b w:val="0"/>
          <w:color w:val="000000"/>
          <w:szCs w:val="24"/>
          <w:highlight w:val="none"/>
        </w:rPr>
      </w:pPr>
      <w:bookmarkStart w:id="728" w:name="_Toc486580375"/>
      <w:bookmarkStart w:id="729" w:name="_Toc485323149"/>
      <w:bookmarkStart w:id="730" w:name="_Toc490331666"/>
      <w:bookmarkStart w:id="731" w:name="_Toc152045612"/>
      <w:bookmarkStart w:id="732" w:name="_Toc480303382"/>
      <w:bookmarkStart w:id="733" w:name="_Toc489280181"/>
      <w:bookmarkStart w:id="734" w:name="_Toc241459660"/>
      <w:bookmarkStart w:id="735" w:name="_Toc342296419"/>
      <w:bookmarkStart w:id="736" w:name="_Toc179632630"/>
      <w:bookmarkStart w:id="737" w:name="_Toc492202845"/>
      <w:bookmarkStart w:id="738" w:name="_Toc152042390"/>
      <w:bookmarkStart w:id="739" w:name="_Toc491149505"/>
      <w:bookmarkStart w:id="740" w:name="_Toc144974580"/>
      <w:bookmarkStart w:id="741" w:name="_BookMark_3"/>
      <w:r>
        <w:rPr>
          <w:rFonts w:hAnsi="宋体"/>
          <w:b w:val="0"/>
          <w:color w:val="000000"/>
          <w:szCs w:val="24"/>
          <w:highlight w:val="none"/>
        </w:rPr>
        <w:t xml:space="preserve">1.1 </w:t>
      </w:r>
      <w:r>
        <w:rPr>
          <w:rFonts w:hint="eastAsia" w:hAnsi="宋体"/>
          <w:b w:val="0"/>
          <w:color w:val="000000"/>
          <w:szCs w:val="24"/>
          <w:highlight w:val="none"/>
        </w:rPr>
        <w:t xml:space="preserve"> </w:t>
      </w:r>
      <w:r>
        <w:rPr>
          <w:rFonts w:hAnsi="宋体"/>
          <w:b w:val="0"/>
          <w:color w:val="000000"/>
          <w:szCs w:val="24"/>
          <w:highlight w:val="none"/>
        </w:rPr>
        <w:t>词语定义</w:t>
      </w:r>
      <w:bookmarkEnd w:id="728"/>
      <w:bookmarkEnd w:id="729"/>
      <w:bookmarkEnd w:id="730"/>
      <w:bookmarkEnd w:id="731"/>
      <w:bookmarkEnd w:id="732"/>
      <w:bookmarkEnd w:id="733"/>
      <w:bookmarkEnd w:id="734"/>
      <w:bookmarkEnd w:id="735"/>
      <w:bookmarkEnd w:id="736"/>
      <w:bookmarkEnd w:id="737"/>
      <w:bookmarkEnd w:id="738"/>
      <w:bookmarkEnd w:id="739"/>
      <w:bookmarkEnd w:id="740"/>
    </w:p>
    <w:bookmarkEnd w:id="741"/>
    <w:p w14:paraId="7F331F0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1.1.2  合同当事人和人员</w:t>
      </w:r>
    </w:p>
    <w:p w14:paraId="673B0E23">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1.1.2.2  发包人：</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5F9A3B71">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1.1.2.3  承包人：</w:t>
      </w:r>
      <w:r>
        <w:rPr>
          <w:rFonts w:hint="eastAsia" w:ascii="宋体" w:hAnsi="宋体"/>
          <w:color w:val="000000"/>
          <w:szCs w:val="21"/>
          <w:highlight w:val="none"/>
          <w:u w:val="single"/>
        </w:rPr>
        <w:t xml:space="preserve">                                                        </w:t>
      </w:r>
    </w:p>
    <w:p w14:paraId="3AE73904">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1.1.2.6  监理人：</w:t>
      </w:r>
      <w:r>
        <w:rPr>
          <w:rFonts w:hint="eastAsia" w:ascii="宋体" w:hAnsi="宋体"/>
          <w:color w:val="000000"/>
          <w:szCs w:val="21"/>
          <w:highlight w:val="none"/>
          <w:u w:val="single"/>
        </w:rPr>
        <w:t xml:space="preserve">                                                        </w:t>
      </w:r>
    </w:p>
    <w:p w14:paraId="5383158F">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1.1.2.8  发包人代表：</w:t>
      </w:r>
    </w:p>
    <w:p w14:paraId="66DEF73F">
      <w:pPr>
        <w:spacing w:line="360" w:lineRule="auto"/>
        <w:ind w:firstLine="1575" w:firstLineChars="750"/>
        <w:jc w:val="left"/>
        <w:rPr>
          <w:rFonts w:ascii="宋体" w:hAnsi="宋体"/>
          <w:color w:val="000000"/>
          <w:szCs w:val="21"/>
          <w:highlight w:val="none"/>
        </w:rPr>
      </w:pPr>
      <w:r>
        <w:rPr>
          <w:rFonts w:hint="eastAsia" w:ascii="宋体" w:hAnsi="宋体"/>
          <w:color w:val="000000"/>
          <w:szCs w:val="21"/>
          <w:highlight w:val="none"/>
        </w:rPr>
        <w:t>姓    名：</w:t>
      </w:r>
      <w:r>
        <w:rPr>
          <w:rFonts w:hint="eastAsia" w:ascii="宋体" w:hAnsi="宋体"/>
          <w:color w:val="000000"/>
          <w:szCs w:val="21"/>
          <w:highlight w:val="none"/>
          <w:u w:val="single"/>
        </w:rPr>
        <w:t xml:space="preserve">                                                      </w:t>
      </w:r>
    </w:p>
    <w:p w14:paraId="12C02619">
      <w:pPr>
        <w:spacing w:line="360" w:lineRule="auto"/>
        <w:ind w:firstLine="1575" w:firstLineChars="750"/>
        <w:jc w:val="left"/>
        <w:rPr>
          <w:rFonts w:ascii="宋体" w:hAnsi="宋体"/>
          <w:color w:val="000000"/>
          <w:szCs w:val="21"/>
          <w:highlight w:val="none"/>
        </w:rPr>
      </w:pPr>
      <w:r>
        <w:rPr>
          <w:rFonts w:hint="eastAsia" w:ascii="宋体" w:hAnsi="宋体"/>
          <w:color w:val="000000"/>
          <w:szCs w:val="21"/>
          <w:highlight w:val="none"/>
        </w:rPr>
        <w:t>职    称：</w:t>
      </w:r>
      <w:r>
        <w:rPr>
          <w:rFonts w:hint="eastAsia" w:ascii="宋体" w:hAnsi="宋体"/>
          <w:color w:val="000000"/>
          <w:szCs w:val="21"/>
          <w:highlight w:val="none"/>
          <w:u w:val="single"/>
        </w:rPr>
        <w:t xml:space="preserve">                                                      </w:t>
      </w:r>
    </w:p>
    <w:p w14:paraId="70824A5F">
      <w:pPr>
        <w:spacing w:line="360" w:lineRule="auto"/>
        <w:ind w:firstLine="1575" w:firstLineChars="750"/>
        <w:jc w:val="left"/>
        <w:rPr>
          <w:rFonts w:ascii="宋体" w:hAnsi="宋体"/>
          <w:color w:val="000000"/>
          <w:szCs w:val="21"/>
          <w:highlight w:val="none"/>
        </w:rPr>
      </w:pPr>
      <w:r>
        <w:rPr>
          <w:rFonts w:hint="eastAsia" w:ascii="宋体" w:hAnsi="宋体"/>
          <w:color w:val="000000"/>
          <w:szCs w:val="21"/>
          <w:highlight w:val="none"/>
        </w:rPr>
        <w:t>联系电话：</w:t>
      </w:r>
      <w:r>
        <w:rPr>
          <w:rFonts w:hint="eastAsia" w:ascii="宋体" w:hAnsi="宋体"/>
          <w:color w:val="000000"/>
          <w:szCs w:val="21"/>
          <w:highlight w:val="none"/>
          <w:u w:val="single"/>
        </w:rPr>
        <w:t xml:space="preserve">                                                      </w:t>
      </w:r>
    </w:p>
    <w:p w14:paraId="516C0EAE">
      <w:pPr>
        <w:spacing w:line="360" w:lineRule="auto"/>
        <w:ind w:firstLine="1575" w:firstLineChars="750"/>
        <w:jc w:val="left"/>
        <w:rPr>
          <w:rFonts w:ascii="宋体" w:hAnsi="宋体"/>
          <w:color w:val="000000"/>
          <w:szCs w:val="21"/>
          <w:highlight w:val="none"/>
        </w:rPr>
      </w:pPr>
      <w:r>
        <w:rPr>
          <w:rFonts w:hint="eastAsia" w:ascii="宋体" w:hAnsi="宋体"/>
          <w:color w:val="000000"/>
          <w:szCs w:val="21"/>
          <w:highlight w:val="none"/>
        </w:rPr>
        <w:t>电子信箱：</w:t>
      </w:r>
      <w:r>
        <w:rPr>
          <w:rFonts w:hint="eastAsia" w:ascii="宋体" w:hAnsi="宋体"/>
          <w:color w:val="000000"/>
          <w:szCs w:val="21"/>
          <w:highlight w:val="none"/>
          <w:u w:val="single"/>
        </w:rPr>
        <w:t xml:space="preserve">                                                      </w:t>
      </w:r>
    </w:p>
    <w:p w14:paraId="397BFFE7">
      <w:pPr>
        <w:spacing w:line="360" w:lineRule="auto"/>
        <w:ind w:firstLine="1575" w:firstLineChars="750"/>
        <w:jc w:val="left"/>
        <w:rPr>
          <w:rFonts w:ascii="宋体" w:hAnsi="宋体"/>
          <w:color w:val="000000"/>
          <w:szCs w:val="21"/>
          <w:highlight w:val="none"/>
        </w:rPr>
      </w:pPr>
      <w:r>
        <w:rPr>
          <w:rFonts w:hint="eastAsia" w:ascii="宋体" w:hAnsi="宋体"/>
          <w:color w:val="000000"/>
          <w:szCs w:val="21"/>
          <w:highlight w:val="none"/>
        </w:rPr>
        <w:t>通信地址：</w:t>
      </w:r>
      <w:r>
        <w:rPr>
          <w:rFonts w:hint="eastAsia" w:ascii="宋体" w:hAnsi="宋体"/>
          <w:color w:val="000000"/>
          <w:szCs w:val="21"/>
          <w:highlight w:val="none"/>
          <w:u w:val="single"/>
        </w:rPr>
        <w:t xml:space="preserve">                                                      </w:t>
      </w:r>
    </w:p>
    <w:p w14:paraId="651520D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1.1.</w:t>
      </w:r>
      <w:r>
        <w:rPr>
          <w:rFonts w:ascii="宋体" w:hAnsi="宋体"/>
          <w:color w:val="000000"/>
          <w:szCs w:val="21"/>
          <w:highlight w:val="none"/>
        </w:rPr>
        <w:t>3</w:t>
      </w:r>
      <w:r>
        <w:rPr>
          <w:rFonts w:hint="eastAsia" w:ascii="宋体" w:hAnsi="宋体"/>
          <w:color w:val="000000"/>
          <w:szCs w:val="21"/>
          <w:highlight w:val="none"/>
        </w:rPr>
        <w:t xml:space="preserve">  工程和设备</w:t>
      </w:r>
    </w:p>
    <w:p w14:paraId="76992BAC">
      <w:pPr>
        <w:spacing w:line="360" w:lineRule="auto"/>
        <w:ind w:firstLine="630" w:firstLineChars="300"/>
        <w:jc w:val="left"/>
        <w:rPr>
          <w:rFonts w:ascii="宋体" w:hAnsi="宋体"/>
          <w:color w:val="000000"/>
          <w:szCs w:val="21"/>
          <w:highlight w:val="none"/>
          <w:u w:val="single"/>
        </w:rPr>
      </w:pPr>
      <w:r>
        <w:rPr>
          <w:rFonts w:hint="eastAsia" w:ascii="宋体" w:hAnsi="宋体"/>
          <w:color w:val="000000"/>
          <w:szCs w:val="21"/>
          <w:highlight w:val="none"/>
        </w:rPr>
        <w:t>1.1.</w:t>
      </w:r>
      <w:r>
        <w:rPr>
          <w:rFonts w:ascii="宋体" w:hAnsi="宋体"/>
          <w:color w:val="000000"/>
          <w:szCs w:val="21"/>
          <w:highlight w:val="none"/>
        </w:rPr>
        <w:t>3</w:t>
      </w:r>
      <w:r>
        <w:rPr>
          <w:rFonts w:hint="eastAsia" w:ascii="宋体" w:hAnsi="宋体"/>
          <w:color w:val="000000"/>
          <w:szCs w:val="21"/>
          <w:highlight w:val="none"/>
        </w:rPr>
        <w:t>.2  永久工程：</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指本工程招标范围内施工形成的工程</w:t>
      </w:r>
      <w:r>
        <w:rPr>
          <w:rFonts w:hint="eastAsia" w:ascii="宋体" w:hAnsi="宋体" w:cs="宋体"/>
          <w:color w:val="000000"/>
          <w:highlight w:val="none"/>
        </w:rPr>
        <w:t>。</w:t>
      </w:r>
    </w:p>
    <w:p w14:paraId="6D2D4A56">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w:t>
      </w:r>
      <w:r>
        <w:rPr>
          <w:rFonts w:ascii="宋体" w:hAnsi="宋体"/>
          <w:color w:val="000000"/>
          <w:szCs w:val="21"/>
          <w:highlight w:val="none"/>
        </w:rPr>
        <w:t>3</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临时工程：</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指为完成本工程而修建的临时性工程</w:t>
      </w:r>
      <w:r>
        <w:rPr>
          <w:rFonts w:hint="eastAsia" w:ascii="宋体" w:hAnsi="宋体" w:cs="宋体"/>
          <w:color w:val="000000"/>
          <w:highlight w:val="none"/>
        </w:rPr>
        <w:t>。</w:t>
      </w:r>
    </w:p>
    <w:p w14:paraId="7D89B1F6">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w:t>
      </w:r>
      <w:r>
        <w:rPr>
          <w:rFonts w:ascii="宋体" w:hAnsi="宋体"/>
          <w:color w:val="000000"/>
          <w:szCs w:val="21"/>
          <w:highlight w:val="none"/>
        </w:rPr>
        <w:t>3</w:t>
      </w:r>
      <w:r>
        <w:rPr>
          <w:rFonts w:hint="eastAsia" w:ascii="宋体" w:hAnsi="宋体"/>
          <w:color w:val="000000"/>
          <w:szCs w:val="21"/>
          <w:highlight w:val="none"/>
        </w:rPr>
        <w:t>.</w:t>
      </w:r>
      <w:r>
        <w:rPr>
          <w:rFonts w:ascii="宋体" w:hAnsi="宋体"/>
          <w:color w:val="000000"/>
          <w:szCs w:val="21"/>
          <w:highlight w:val="none"/>
        </w:rPr>
        <w:t>10</w:t>
      </w:r>
      <w:r>
        <w:rPr>
          <w:rFonts w:hint="eastAsia" w:ascii="宋体" w:hAnsi="宋体"/>
          <w:color w:val="000000"/>
          <w:szCs w:val="21"/>
          <w:highlight w:val="none"/>
        </w:rPr>
        <w:t xml:space="preserve">  永久占地：</w:t>
      </w:r>
      <w:r>
        <w:rPr>
          <w:rFonts w:hint="eastAsia" w:ascii="宋体" w:hAnsi="宋体" w:cs="宋体"/>
          <w:color w:val="000000"/>
          <w:highlight w:val="none"/>
          <w:u w:val="single"/>
        </w:rPr>
        <w:t>为实施本合同工程需要永久占地范围</w:t>
      </w:r>
      <w:r>
        <w:rPr>
          <w:rFonts w:hint="eastAsia" w:ascii="宋体" w:hAnsi="宋体" w:cs="宋体"/>
          <w:color w:val="000000"/>
          <w:highlight w:val="none"/>
        </w:rPr>
        <w:t>。</w:t>
      </w:r>
    </w:p>
    <w:p w14:paraId="267D19CA">
      <w:pPr>
        <w:spacing w:line="360" w:lineRule="auto"/>
        <w:ind w:firstLine="630" w:firstLineChars="300"/>
        <w:jc w:val="left"/>
        <w:rPr>
          <w:rFonts w:ascii="宋体" w:hAnsi="宋体" w:cs="宋体"/>
          <w:color w:val="000000"/>
          <w:highlight w:val="none"/>
        </w:rPr>
      </w:pPr>
      <w:r>
        <w:rPr>
          <w:rFonts w:hint="eastAsia" w:ascii="宋体" w:hAnsi="宋体"/>
          <w:color w:val="000000"/>
          <w:szCs w:val="21"/>
          <w:highlight w:val="none"/>
        </w:rPr>
        <w:t>1.1.</w:t>
      </w:r>
      <w:r>
        <w:rPr>
          <w:rFonts w:ascii="宋体" w:hAnsi="宋体"/>
          <w:color w:val="000000"/>
          <w:szCs w:val="21"/>
          <w:highlight w:val="none"/>
        </w:rPr>
        <w:t>3</w:t>
      </w:r>
      <w:r>
        <w:rPr>
          <w:rFonts w:hint="eastAsia" w:ascii="宋体" w:hAnsi="宋体"/>
          <w:color w:val="000000"/>
          <w:szCs w:val="21"/>
          <w:highlight w:val="none"/>
        </w:rPr>
        <w:t>.</w:t>
      </w:r>
      <w:r>
        <w:rPr>
          <w:rFonts w:ascii="宋体" w:hAnsi="宋体"/>
          <w:color w:val="000000"/>
          <w:szCs w:val="21"/>
          <w:highlight w:val="none"/>
        </w:rPr>
        <w:t>11</w:t>
      </w:r>
      <w:r>
        <w:rPr>
          <w:rFonts w:hint="eastAsia" w:ascii="宋体" w:hAnsi="宋体"/>
          <w:color w:val="000000"/>
          <w:szCs w:val="21"/>
          <w:highlight w:val="none"/>
        </w:rPr>
        <w:t xml:space="preserve">  临时占地：</w:t>
      </w:r>
      <w:r>
        <w:rPr>
          <w:rFonts w:hint="eastAsia" w:ascii="宋体" w:hAnsi="宋体" w:cs="宋体"/>
          <w:color w:val="000000"/>
          <w:highlight w:val="none"/>
          <w:u w:val="single"/>
        </w:rPr>
        <w:t>为实施本合同工程需要临时占地范围</w:t>
      </w:r>
      <w:r>
        <w:rPr>
          <w:rFonts w:hint="eastAsia" w:ascii="宋体" w:hAnsi="宋体" w:cs="宋体"/>
          <w:color w:val="000000"/>
          <w:highlight w:val="none"/>
        </w:rPr>
        <w:t>。</w:t>
      </w:r>
    </w:p>
    <w:p w14:paraId="285311C2">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1.1.4  日期</w:t>
      </w:r>
    </w:p>
    <w:p w14:paraId="15DCFBDF">
      <w:pPr>
        <w:spacing w:line="360" w:lineRule="auto"/>
        <w:ind w:firstLine="630" w:firstLineChars="300"/>
        <w:jc w:val="left"/>
        <w:rPr>
          <w:rFonts w:ascii="宋体" w:hAnsi="宋体"/>
          <w:color w:val="000000"/>
          <w:szCs w:val="21"/>
          <w:highlight w:val="none"/>
        </w:rPr>
      </w:pPr>
      <w:r>
        <w:rPr>
          <w:rFonts w:hint="eastAsia" w:ascii="宋体" w:hAnsi="宋体"/>
          <w:color w:val="000000"/>
          <w:szCs w:val="21"/>
          <w:highlight w:val="none"/>
        </w:rPr>
        <w:t>1.1.4.5  缺陷责任期期限：</w:t>
      </w:r>
      <w:r>
        <w:rPr>
          <w:rFonts w:hint="eastAsia" w:ascii="宋体" w:hAnsi="宋体"/>
          <w:color w:val="000000"/>
          <w:szCs w:val="21"/>
          <w:highlight w:val="none"/>
          <w:u w:val="single"/>
        </w:rPr>
        <w:t xml:space="preserve"> 24个 </w:t>
      </w:r>
      <w:r>
        <w:rPr>
          <w:rFonts w:hint="eastAsia" w:ascii="宋体" w:hAnsi="宋体"/>
          <w:color w:val="000000"/>
          <w:szCs w:val="21"/>
          <w:highlight w:val="none"/>
        </w:rPr>
        <w:t>月。</w:t>
      </w:r>
    </w:p>
    <w:p w14:paraId="59B75CE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1.1.8  其他需要补充的内容</w:t>
      </w:r>
    </w:p>
    <w:p w14:paraId="6A74AB70">
      <w:pPr>
        <w:spacing w:line="360" w:lineRule="auto"/>
        <w:ind w:left="315" w:leftChars="150" w:firstLine="109" w:firstLineChars="52"/>
        <w:rPr>
          <w:rFonts w:ascii="宋体" w:hAnsi="宋体"/>
          <w:color w:val="000000"/>
          <w:szCs w:val="21"/>
          <w:highlight w:val="none"/>
        </w:rPr>
      </w:pPr>
      <w:r>
        <w:rPr>
          <w:rFonts w:hint="eastAsia" w:ascii="宋体" w:hAnsi="宋体"/>
          <w:color w:val="000000"/>
          <w:szCs w:val="21"/>
          <w:highlight w:val="none"/>
          <w:u w:val="single"/>
        </w:rPr>
        <w:t xml:space="preserve">   /   </w:t>
      </w:r>
    </w:p>
    <w:p w14:paraId="18E1E27F">
      <w:pPr>
        <w:pStyle w:val="6"/>
        <w:spacing w:line="360" w:lineRule="auto"/>
        <w:rPr>
          <w:rFonts w:hAnsi="宋体"/>
          <w:b w:val="0"/>
          <w:color w:val="000000"/>
          <w:szCs w:val="24"/>
          <w:highlight w:val="none"/>
        </w:rPr>
      </w:pPr>
      <w:bookmarkStart w:id="742" w:name="_Toc241459661"/>
      <w:bookmarkStart w:id="743" w:name="_Toc152045615"/>
      <w:bookmarkStart w:id="744" w:name="_Toc490331667"/>
      <w:bookmarkStart w:id="745" w:name="_Toc342296420"/>
      <w:bookmarkStart w:id="746" w:name="_Toc489280182"/>
      <w:bookmarkStart w:id="747" w:name="_Toc144974583"/>
      <w:bookmarkStart w:id="748" w:name="_Toc492202846"/>
      <w:bookmarkStart w:id="749" w:name="_Toc480303383"/>
      <w:bookmarkStart w:id="750" w:name="_Toc486580376"/>
      <w:bookmarkStart w:id="751" w:name="_Toc152042393"/>
      <w:bookmarkStart w:id="752" w:name="_Toc179632633"/>
      <w:bookmarkStart w:id="753" w:name="_Toc491149506"/>
      <w:bookmarkStart w:id="754" w:name="_Toc485323150"/>
      <w:bookmarkStart w:id="755" w:name="_BookMark_4"/>
      <w:r>
        <w:rPr>
          <w:rFonts w:hint="eastAsia" w:hAnsi="宋体"/>
          <w:b w:val="0"/>
          <w:color w:val="000000"/>
          <w:szCs w:val="24"/>
          <w:highlight w:val="none"/>
        </w:rPr>
        <w:t>1.4  合同文件的优先顺序</w:t>
      </w:r>
      <w:bookmarkEnd w:id="742"/>
      <w:bookmarkEnd w:id="743"/>
      <w:bookmarkEnd w:id="744"/>
      <w:bookmarkEnd w:id="745"/>
      <w:bookmarkEnd w:id="746"/>
      <w:bookmarkEnd w:id="747"/>
      <w:bookmarkEnd w:id="748"/>
      <w:bookmarkEnd w:id="749"/>
      <w:bookmarkEnd w:id="750"/>
      <w:bookmarkEnd w:id="751"/>
      <w:bookmarkEnd w:id="752"/>
      <w:bookmarkEnd w:id="753"/>
      <w:bookmarkEnd w:id="754"/>
    </w:p>
    <w:bookmarkEnd w:id="755"/>
    <w:p w14:paraId="2CBAF0D0">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合同文件的优先解释顺序如下：</w:t>
      </w:r>
    </w:p>
    <w:p w14:paraId="1AB52AC4">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（1）合同协议书；</w:t>
      </w:r>
    </w:p>
    <w:p w14:paraId="33365475">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（2）中标通知书；</w:t>
      </w:r>
    </w:p>
    <w:p w14:paraId="4652C945">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（3）投标函及投标函附录；</w:t>
      </w:r>
    </w:p>
    <w:p w14:paraId="710041D1">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（4）合同条款专用部分；</w:t>
      </w:r>
    </w:p>
    <w:p w14:paraId="31E9E264">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（5）合同条款通用部分；</w:t>
      </w:r>
    </w:p>
    <w:p w14:paraId="749EECB8">
      <w:pPr>
        <w:spacing w:line="360" w:lineRule="auto"/>
        <w:ind w:firstLine="482"/>
        <w:rPr>
          <w:rFonts w:ascii="宋体" w:hAnsi="宋体" w:cs="Arial"/>
          <w:color w:val="000000"/>
          <w:szCs w:val="21"/>
          <w:highlight w:val="none"/>
        </w:rPr>
      </w:pPr>
      <w:r>
        <w:rPr>
          <w:rFonts w:hint="eastAsia" w:ascii="宋体" w:hAnsi="宋体" w:cs="Arial"/>
          <w:color w:val="000000"/>
          <w:szCs w:val="21"/>
          <w:highlight w:val="none"/>
        </w:rPr>
        <w:t>（6）</w:t>
      </w:r>
      <w:r>
        <w:rPr>
          <w:rFonts w:hint="eastAsia" w:ascii="宋体" w:hAnsi="宋体" w:cs="Arial"/>
          <w:color w:val="000000"/>
          <w:highlight w:val="none"/>
          <w:u w:val="single"/>
        </w:rPr>
        <w:t xml:space="preserve"> </w:t>
      </w:r>
      <w:r>
        <w:rPr>
          <w:rFonts w:hint="eastAsia" w:ascii="宋体" w:hAnsi="宋体" w:cs="宋体"/>
          <w:color w:val="000000"/>
          <w:highlight w:val="none"/>
          <w:u w:val="single"/>
        </w:rPr>
        <w:t>技术标准和要求</w:t>
      </w:r>
      <w:r>
        <w:rPr>
          <w:rFonts w:hint="eastAsia" w:ascii="宋体" w:hAnsi="宋体" w:cs="宋体"/>
          <w:color w:val="000000"/>
          <w:highlight w:val="none"/>
        </w:rPr>
        <w:t>；</w:t>
      </w:r>
    </w:p>
    <w:p w14:paraId="0FEC393F">
      <w:pPr>
        <w:spacing w:line="360" w:lineRule="auto"/>
        <w:ind w:firstLine="482"/>
        <w:rPr>
          <w:rFonts w:ascii="宋体" w:hAnsi="宋体" w:cs="宋体"/>
          <w:color w:val="000000"/>
          <w:highlight w:val="none"/>
        </w:rPr>
      </w:pPr>
      <w:r>
        <w:rPr>
          <w:rFonts w:hint="eastAsia" w:ascii="宋体" w:hAnsi="宋体" w:cs="Arial"/>
          <w:color w:val="000000"/>
          <w:szCs w:val="21"/>
          <w:highlight w:val="none"/>
        </w:rPr>
        <w:t>（7）</w:t>
      </w:r>
      <w:r>
        <w:rPr>
          <w:rFonts w:hint="eastAsia" w:ascii="宋体" w:hAnsi="宋体" w:cs="宋体"/>
          <w:color w:val="000000"/>
          <w:highlight w:val="none"/>
          <w:u w:val="single"/>
        </w:rPr>
        <w:t>图纸</w:t>
      </w:r>
      <w:r>
        <w:rPr>
          <w:rFonts w:hint="eastAsia" w:ascii="宋体" w:hAnsi="宋体" w:cs="宋体"/>
          <w:color w:val="000000"/>
          <w:highlight w:val="none"/>
        </w:rPr>
        <w:t>；</w:t>
      </w:r>
    </w:p>
    <w:p w14:paraId="745CD6AA">
      <w:pPr>
        <w:spacing w:line="360" w:lineRule="auto"/>
        <w:ind w:firstLine="482"/>
        <w:rPr>
          <w:rFonts w:ascii="宋体" w:hAnsi="宋体" w:cs="宋体"/>
          <w:color w:val="000000"/>
          <w:highlight w:val="none"/>
        </w:rPr>
      </w:pPr>
      <w:r>
        <w:rPr>
          <w:rFonts w:hint="eastAsia" w:ascii="宋体" w:hAnsi="宋体" w:cs="Arial"/>
          <w:color w:val="000000"/>
          <w:szCs w:val="21"/>
          <w:highlight w:val="none"/>
        </w:rPr>
        <w:t>（8）</w:t>
      </w:r>
      <w:r>
        <w:rPr>
          <w:rFonts w:hint="eastAsia" w:ascii="宋体" w:hAnsi="宋体" w:cs="宋体"/>
          <w:color w:val="000000"/>
          <w:highlight w:val="none"/>
          <w:u w:val="single"/>
        </w:rPr>
        <w:t>已标价的工程量清单</w:t>
      </w:r>
      <w:r>
        <w:rPr>
          <w:rFonts w:ascii="宋体" w:hAnsi="宋体" w:cs="宋体"/>
          <w:color w:val="000000"/>
          <w:highlight w:val="none"/>
        </w:rPr>
        <w:t xml:space="preserve"> </w:t>
      </w:r>
      <w:r>
        <w:rPr>
          <w:rFonts w:hint="eastAsia" w:ascii="宋体" w:hAnsi="宋体" w:cs="宋体"/>
          <w:color w:val="000000"/>
          <w:highlight w:val="none"/>
        </w:rPr>
        <w:t>；</w:t>
      </w:r>
    </w:p>
    <w:p w14:paraId="28A41B1D">
      <w:pPr>
        <w:spacing w:line="360" w:lineRule="auto"/>
        <w:ind w:firstLine="482"/>
        <w:rPr>
          <w:rFonts w:ascii="宋体" w:hAnsi="宋体" w:cs="Arial"/>
          <w:color w:val="000000"/>
          <w:highlight w:val="none"/>
        </w:rPr>
      </w:pPr>
      <w:r>
        <w:rPr>
          <w:rFonts w:hint="eastAsia" w:ascii="宋体" w:hAnsi="宋体" w:cs="Arial"/>
          <w:color w:val="000000"/>
          <w:highlight w:val="none"/>
        </w:rPr>
        <w:t>（9）</w:t>
      </w:r>
      <w:r>
        <w:rPr>
          <w:rFonts w:hint="eastAsia" w:ascii="宋体" w:hAnsi="宋体" w:cs="Arial"/>
          <w:color w:val="000000"/>
          <w:highlight w:val="none"/>
          <w:u w:val="single"/>
        </w:rPr>
        <w:t xml:space="preserve"> </w:t>
      </w:r>
      <w:r>
        <w:rPr>
          <w:rFonts w:hint="eastAsia" w:ascii="宋体" w:hAnsi="宋体" w:cs="宋体"/>
          <w:color w:val="000000"/>
          <w:highlight w:val="none"/>
          <w:u w:val="single"/>
        </w:rPr>
        <w:t>施工组织设计</w:t>
      </w:r>
      <w:r>
        <w:rPr>
          <w:rFonts w:ascii="宋体" w:hAnsi="宋体" w:cs="宋体"/>
          <w:color w:val="000000"/>
          <w:highlight w:val="none"/>
        </w:rPr>
        <w:t xml:space="preserve"> </w:t>
      </w:r>
      <w:r>
        <w:rPr>
          <w:rFonts w:hint="eastAsia" w:ascii="宋体" w:hAnsi="宋体" w:cs="宋体"/>
          <w:color w:val="000000"/>
          <w:highlight w:val="none"/>
        </w:rPr>
        <w:t>。</w:t>
      </w:r>
    </w:p>
    <w:p w14:paraId="3AB0FBFB">
      <w:pPr>
        <w:spacing w:line="360" w:lineRule="auto"/>
        <w:ind w:firstLine="480"/>
        <w:rPr>
          <w:rFonts w:ascii="宋体" w:hAnsi="宋体" w:cs="Arial"/>
          <w:color w:val="000000"/>
          <w:szCs w:val="21"/>
          <w:highlight w:val="none"/>
        </w:rPr>
      </w:pPr>
      <w:r>
        <w:rPr>
          <w:rFonts w:hint="eastAsia" w:ascii="宋体" w:hAnsi="宋体" w:cs="Arial"/>
          <w:color w:val="000000"/>
          <w:szCs w:val="21"/>
          <w:highlight w:val="none"/>
        </w:rPr>
        <w:t>（说明：（6）、（7）、（8）填空内容分别限于技术标准和要求、图纸、已标价工程量清单三者之一。）</w:t>
      </w:r>
    </w:p>
    <w:p w14:paraId="32BF9ADC">
      <w:pPr>
        <w:pStyle w:val="6"/>
        <w:spacing w:line="360" w:lineRule="auto"/>
        <w:rPr>
          <w:rFonts w:hAnsi="宋体"/>
          <w:b w:val="0"/>
          <w:color w:val="000000"/>
          <w:szCs w:val="24"/>
          <w:highlight w:val="none"/>
        </w:rPr>
      </w:pPr>
      <w:bookmarkStart w:id="756" w:name="_Toc241459662"/>
      <w:bookmarkStart w:id="757" w:name="_Toc144974584"/>
      <w:bookmarkStart w:id="758" w:name="_Toc489280183"/>
      <w:bookmarkStart w:id="759" w:name="_Toc486580377"/>
      <w:bookmarkStart w:id="760" w:name="_Toc492202847"/>
      <w:bookmarkStart w:id="761" w:name="_Toc491149507"/>
      <w:bookmarkStart w:id="762" w:name="_Toc480303384"/>
      <w:bookmarkStart w:id="763" w:name="_Toc490331668"/>
      <w:bookmarkStart w:id="764" w:name="_Toc179632634"/>
      <w:bookmarkStart w:id="765" w:name="_Toc152042394"/>
      <w:bookmarkStart w:id="766" w:name="_Toc152045616"/>
      <w:bookmarkStart w:id="767" w:name="_Toc485323151"/>
      <w:bookmarkStart w:id="768" w:name="_Toc342296421"/>
      <w:bookmarkStart w:id="769" w:name="_BookMark_5"/>
      <w:r>
        <w:rPr>
          <w:rFonts w:hint="eastAsia" w:hAnsi="宋体"/>
          <w:b w:val="0"/>
          <w:color w:val="000000"/>
          <w:szCs w:val="24"/>
          <w:highlight w:val="none"/>
        </w:rPr>
        <w:t xml:space="preserve">1.5 </w:t>
      </w:r>
      <w:r>
        <w:rPr>
          <w:rFonts w:hAnsi="宋体"/>
          <w:b w:val="0"/>
          <w:color w:val="000000"/>
          <w:szCs w:val="24"/>
          <w:highlight w:val="none"/>
        </w:rPr>
        <w:t xml:space="preserve"> </w:t>
      </w:r>
      <w:r>
        <w:rPr>
          <w:rFonts w:hint="eastAsia" w:hAnsi="宋体"/>
          <w:b w:val="0"/>
          <w:color w:val="000000"/>
          <w:szCs w:val="24"/>
          <w:highlight w:val="none"/>
        </w:rPr>
        <w:t>合同协议书</w:t>
      </w:r>
      <w:bookmarkEnd w:id="756"/>
      <w:bookmarkEnd w:id="757"/>
      <w:bookmarkEnd w:id="758"/>
      <w:bookmarkEnd w:id="759"/>
      <w:bookmarkEnd w:id="760"/>
      <w:bookmarkEnd w:id="761"/>
      <w:bookmarkEnd w:id="762"/>
      <w:bookmarkEnd w:id="763"/>
      <w:bookmarkEnd w:id="764"/>
      <w:bookmarkEnd w:id="765"/>
      <w:bookmarkEnd w:id="766"/>
      <w:bookmarkEnd w:id="767"/>
      <w:bookmarkEnd w:id="768"/>
    </w:p>
    <w:bookmarkEnd w:id="769"/>
    <w:p w14:paraId="7BA4B91E">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合同生效的条件：</w:t>
      </w:r>
      <w:r>
        <w:rPr>
          <w:rFonts w:hint="eastAsia" w:ascii="宋体" w:hAnsi="宋体" w:cs="宋体"/>
          <w:color w:val="000000"/>
          <w:highlight w:val="none"/>
          <w:u w:val="single"/>
        </w:rPr>
        <w:t>本合同双方法定代表人或其委托代理人签字并加盖双方公章后生效。</w:t>
      </w:r>
    </w:p>
    <w:p w14:paraId="795EB3DF">
      <w:pPr>
        <w:pStyle w:val="6"/>
        <w:spacing w:line="360" w:lineRule="auto"/>
        <w:rPr>
          <w:rFonts w:hAnsi="宋体"/>
          <w:b w:val="0"/>
          <w:color w:val="000000"/>
          <w:szCs w:val="24"/>
          <w:highlight w:val="none"/>
        </w:rPr>
      </w:pPr>
      <w:bookmarkStart w:id="770" w:name="_Toc241459663"/>
      <w:bookmarkStart w:id="771" w:name="_Toc491149508"/>
      <w:bookmarkStart w:id="772" w:name="_Toc342296422"/>
      <w:bookmarkStart w:id="773" w:name="_Toc152042395"/>
      <w:bookmarkStart w:id="774" w:name="_Toc144974585"/>
      <w:bookmarkStart w:id="775" w:name="_Toc490331669"/>
      <w:bookmarkStart w:id="776" w:name="_Toc152045617"/>
      <w:bookmarkStart w:id="777" w:name="_Toc179632635"/>
      <w:bookmarkStart w:id="778" w:name="_Toc485323152"/>
      <w:bookmarkStart w:id="779" w:name="_Toc489280184"/>
      <w:bookmarkStart w:id="780" w:name="_Toc492202848"/>
      <w:bookmarkStart w:id="781" w:name="_Toc480303385"/>
      <w:bookmarkStart w:id="782" w:name="_Toc486580378"/>
      <w:bookmarkStart w:id="783" w:name="_BookMark_6"/>
      <w:r>
        <w:rPr>
          <w:rFonts w:hint="eastAsia" w:hAnsi="宋体"/>
          <w:b w:val="0"/>
          <w:color w:val="000000"/>
          <w:szCs w:val="24"/>
          <w:highlight w:val="none"/>
        </w:rPr>
        <w:t>1.6  图纸和承包人文件</w:t>
      </w:r>
      <w:bookmarkEnd w:id="770"/>
      <w:bookmarkEnd w:id="771"/>
      <w:bookmarkEnd w:id="772"/>
      <w:bookmarkEnd w:id="773"/>
      <w:bookmarkEnd w:id="774"/>
      <w:bookmarkEnd w:id="775"/>
      <w:bookmarkEnd w:id="776"/>
      <w:bookmarkEnd w:id="777"/>
      <w:bookmarkEnd w:id="778"/>
      <w:bookmarkEnd w:id="779"/>
      <w:bookmarkEnd w:id="780"/>
      <w:bookmarkEnd w:id="781"/>
      <w:bookmarkEnd w:id="782"/>
    </w:p>
    <w:bookmarkEnd w:id="783"/>
    <w:p w14:paraId="41277B81">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1.6.1  图纸的提供</w:t>
      </w:r>
    </w:p>
    <w:p w14:paraId="22B9E9B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5</w:t>
      </w:r>
      <w:r>
        <w:rPr>
          <w:rFonts w:hint="eastAsia" w:ascii="宋体" w:hAnsi="宋体"/>
          <w:color w:val="000000"/>
          <w:szCs w:val="21"/>
          <w:highlight w:val="none"/>
        </w:rPr>
        <w:t>）发包人提供图纸的期限：</w:t>
      </w:r>
      <w:r>
        <w:rPr>
          <w:rFonts w:hint="eastAsia" w:ascii="宋体" w:hAnsi="宋体" w:cs="宋体"/>
          <w:color w:val="000000"/>
          <w:highlight w:val="none"/>
          <w:u w:val="single"/>
        </w:rPr>
        <w:t>在承包人进场前提前</w:t>
      </w:r>
      <w:r>
        <w:rPr>
          <w:rFonts w:ascii="宋体" w:hAnsi="宋体" w:cs="宋体"/>
          <w:color w:val="000000"/>
          <w:highlight w:val="none"/>
          <w:u w:val="single"/>
        </w:rPr>
        <w:t>7</w:t>
      </w:r>
      <w:r>
        <w:rPr>
          <w:rFonts w:hint="eastAsia" w:ascii="宋体" w:hAnsi="宋体" w:cs="宋体"/>
          <w:color w:val="000000"/>
          <w:highlight w:val="none"/>
          <w:u w:val="single"/>
        </w:rPr>
        <w:t>天</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5146FF5F">
      <w:pPr>
        <w:spacing w:line="360" w:lineRule="auto"/>
        <w:ind w:firstLine="991" w:firstLineChars="472"/>
        <w:rPr>
          <w:rFonts w:ascii="宋体"/>
          <w:color w:val="000000"/>
          <w:highlight w:val="none"/>
        </w:rPr>
      </w:pPr>
      <w:r>
        <w:rPr>
          <w:rFonts w:hint="eastAsia" w:ascii="宋体" w:hAnsi="宋体"/>
          <w:color w:val="000000"/>
          <w:szCs w:val="21"/>
          <w:highlight w:val="none"/>
        </w:rPr>
        <w:t>发包人提供图纸的数量：</w:t>
      </w:r>
      <w:r>
        <w:rPr>
          <w:rFonts w:hint="eastAsia" w:ascii="宋体" w:hAnsi="宋体"/>
          <w:color w:val="000000"/>
          <w:szCs w:val="21"/>
          <w:highlight w:val="none"/>
          <w:u w:val="single"/>
        </w:rPr>
        <w:t xml:space="preserve">   </w:t>
      </w:r>
      <w:r>
        <w:rPr>
          <w:rFonts w:ascii="宋体" w:hAnsi="宋体" w:cs="宋体"/>
          <w:color w:val="000000"/>
          <w:highlight w:val="none"/>
          <w:u w:val="single"/>
        </w:rPr>
        <w:t>6</w:t>
      </w:r>
      <w:r>
        <w:rPr>
          <w:rFonts w:hint="eastAsia" w:ascii="宋体" w:hAnsi="宋体" w:cs="宋体"/>
          <w:color w:val="000000"/>
          <w:highlight w:val="none"/>
          <w:u w:val="single"/>
        </w:rPr>
        <w:t xml:space="preserve">套施工图 </w:t>
      </w:r>
      <w:r>
        <w:rPr>
          <w:rFonts w:ascii="宋体" w:hAnsi="宋体" w:cs="宋体"/>
          <w:color w:val="000000"/>
          <w:highlight w:val="none"/>
          <w:u w:val="single"/>
        </w:rPr>
        <w:t xml:space="preserve">    </w:t>
      </w:r>
      <w:r>
        <w:rPr>
          <w:rFonts w:hint="eastAsia" w:ascii="宋体" w:hAnsi="宋体" w:cs="宋体"/>
          <w:color w:val="000000"/>
          <w:highlight w:val="none"/>
        </w:rPr>
        <w:t>。</w:t>
      </w:r>
    </w:p>
    <w:p w14:paraId="2BBFB1B6">
      <w:pPr>
        <w:spacing w:line="360" w:lineRule="auto"/>
        <w:ind w:firstLine="945" w:firstLineChars="450"/>
        <w:rPr>
          <w:rFonts w:ascii="宋体" w:hAnsi="宋体"/>
          <w:color w:val="000000"/>
          <w:szCs w:val="21"/>
          <w:highlight w:val="none"/>
        </w:rPr>
      </w:pPr>
      <w:r>
        <w:rPr>
          <w:rFonts w:hint="eastAsia" w:ascii="宋体" w:hAnsi="宋体"/>
          <w:color w:val="000000"/>
          <w:szCs w:val="21"/>
          <w:highlight w:val="none"/>
        </w:rPr>
        <w:t>其他约定：</w:t>
      </w:r>
      <w:r>
        <w:rPr>
          <w:rFonts w:hint="eastAsia" w:ascii="宋体" w:hAnsi="宋体"/>
          <w:color w:val="000000"/>
          <w:szCs w:val="21"/>
          <w:highlight w:val="none"/>
          <w:u w:val="single"/>
        </w:rPr>
        <w:t xml:space="preserve">     无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7411508E">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1.6.2  承包人提供的文件</w:t>
      </w:r>
    </w:p>
    <w:p w14:paraId="574C55B0">
      <w:pPr>
        <w:spacing w:line="360" w:lineRule="auto"/>
        <w:ind w:firstLine="315" w:firstLineChars="150"/>
        <w:rPr>
          <w:rFonts w:ascii="宋体" w:hAnsi="宋体" w:cs="宋体"/>
          <w:color w:val="000000"/>
          <w:highlight w:val="none"/>
          <w:u w:val="single"/>
        </w:rPr>
      </w:pPr>
      <w:r>
        <w:rPr>
          <w:rFonts w:hint="eastAsia" w:ascii="宋体" w:hAnsi="宋体"/>
          <w:color w:val="000000"/>
          <w:szCs w:val="21"/>
          <w:highlight w:val="none"/>
        </w:rPr>
        <w:t>（1）由承包人提供的文件范围：</w:t>
      </w: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w:t>
      </w:r>
      <w:r>
        <w:rPr>
          <w:rFonts w:hint="eastAsia" w:ascii="宋体" w:hAnsi="宋体" w:cs="宋体"/>
          <w:color w:val="000000"/>
          <w:highlight w:val="none"/>
          <w:u w:val="single"/>
        </w:rPr>
        <w:t>工程施工组织设计、施工总进度计划、资金拨付计划、用水、电计划、材料设备采购计划（包括发包人提供材料和设备的使用计划）。（</w:t>
      </w:r>
      <w:r>
        <w:rPr>
          <w:rFonts w:ascii="宋体" w:hAnsi="宋体" w:cs="宋体"/>
          <w:color w:val="000000"/>
          <w:highlight w:val="none"/>
          <w:u w:val="single"/>
        </w:rPr>
        <w:t>2</w:t>
      </w:r>
      <w:r>
        <w:rPr>
          <w:rFonts w:hint="eastAsia" w:ascii="宋体" w:hAnsi="宋体" w:cs="宋体"/>
          <w:color w:val="000000"/>
          <w:highlight w:val="none"/>
          <w:u w:val="single"/>
        </w:rPr>
        <w:t>）按照发包人要求提供工程有关报表，包括本月完成工程量、下月进度计划、材料设备进场计划、劳动力计划等。</w:t>
      </w:r>
    </w:p>
    <w:p w14:paraId="268035C1">
      <w:pPr>
        <w:spacing w:line="360" w:lineRule="auto"/>
        <w:ind w:firstLine="420" w:firstLineChars="200"/>
        <w:rPr>
          <w:rFonts w:ascii="宋体" w:hAnsi="宋体" w:cs="宋体"/>
          <w:color w:val="000000"/>
          <w:highlight w:val="none"/>
          <w:u w:val="single"/>
        </w:rPr>
      </w:pPr>
      <w:r>
        <w:rPr>
          <w:rFonts w:hint="eastAsia" w:ascii="宋体" w:hAnsi="宋体"/>
          <w:color w:val="000000"/>
          <w:szCs w:val="21"/>
          <w:highlight w:val="none"/>
        </w:rPr>
        <w:t>承包人提供文件的期限：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w:t>
      </w:r>
      <w:r>
        <w:rPr>
          <w:rFonts w:ascii="宋体" w:hAnsi="宋体" w:cs="宋体"/>
          <w:color w:val="000000"/>
          <w:highlight w:val="none"/>
          <w:u w:val="single"/>
        </w:rPr>
        <w:t>1</w:t>
      </w:r>
      <w:r>
        <w:rPr>
          <w:rFonts w:hint="eastAsia" w:ascii="宋体" w:hAnsi="宋体" w:cs="宋体"/>
          <w:color w:val="000000"/>
          <w:highlight w:val="none"/>
          <w:u w:val="single"/>
        </w:rPr>
        <w:t>）开工前</w:t>
      </w:r>
      <w:r>
        <w:rPr>
          <w:rFonts w:ascii="宋体" w:hAnsi="宋体" w:cs="宋体"/>
          <w:color w:val="000000"/>
          <w:highlight w:val="none"/>
          <w:u w:val="single"/>
        </w:rPr>
        <w:t>7</w:t>
      </w:r>
      <w:r>
        <w:rPr>
          <w:rFonts w:hint="eastAsia" w:ascii="宋体" w:hAnsi="宋体" w:cs="宋体"/>
          <w:color w:val="000000"/>
          <w:highlight w:val="none"/>
          <w:u w:val="single"/>
        </w:rPr>
        <w:t>天；（</w:t>
      </w:r>
      <w:r>
        <w:rPr>
          <w:rFonts w:ascii="宋体" w:hAnsi="宋体" w:cs="宋体"/>
          <w:color w:val="000000"/>
          <w:highlight w:val="none"/>
          <w:u w:val="single"/>
        </w:rPr>
        <w:t>2</w:t>
      </w:r>
      <w:r>
        <w:rPr>
          <w:rFonts w:hint="eastAsia" w:ascii="宋体" w:hAnsi="宋体" w:cs="宋体"/>
          <w:color w:val="000000"/>
          <w:highlight w:val="none"/>
          <w:u w:val="single"/>
        </w:rPr>
        <w:t>）每月</w:t>
      </w:r>
      <w:r>
        <w:rPr>
          <w:rFonts w:ascii="宋体" w:hAnsi="宋体" w:cs="宋体"/>
          <w:color w:val="000000"/>
          <w:highlight w:val="none"/>
          <w:u w:val="single"/>
        </w:rPr>
        <w:t>25</w:t>
      </w:r>
      <w:r>
        <w:rPr>
          <w:rFonts w:hint="eastAsia" w:ascii="宋体" w:hAnsi="宋体" w:cs="宋体"/>
          <w:color w:val="000000"/>
          <w:highlight w:val="none"/>
          <w:u w:val="single"/>
        </w:rPr>
        <w:t>日。</w:t>
      </w:r>
    </w:p>
    <w:p w14:paraId="1F9AE769">
      <w:pPr>
        <w:spacing w:line="360" w:lineRule="auto"/>
        <w:ind w:firstLine="420" w:firstLineChars="200"/>
        <w:rPr>
          <w:rFonts w:ascii="宋体" w:hAnsi="宋体" w:cs="宋体"/>
          <w:color w:val="000000"/>
          <w:highlight w:val="none"/>
          <w:u w:val="single"/>
        </w:rPr>
      </w:pPr>
      <w:r>
        <w:rPr>
          <w:rFonts w:hint="eastAsia" w:ascii="宋体" w:hAnsi="宋体"/>
          <w:color w:val="000000"/>
          <w:szCs w:val="21"/>
          <w:highlight w:val="none"/>
        </w:rPr>
        <w:t>承包人提供文件的数量：</w:t>
      </w:r>
      <w:r>
        <w:rPr>
          <w:rFonts w:hint="eastAsia" w:ascii="宋体" w:hAnsi="宋体"/>
          <w:color w:val="000000"/>
          <w:szCs w:val="21"/>
          <w:highlight w:val="none"/>
          <w:u w:val="single"/>
        </w:rPr>
        <w:t xml:space="preserve">  </w:t>
      </w:r>
      <w:r>
        <w:rPr>
          <w:rFonts w:ascii="宋体" w:hAnsi="宋体" w:cs="宋体"/>
          <w:color w:val="000000"/>
          <w:highlight w:val="none"/>
          <w:u w:val="single"/>
        </w:rPr>
        <w:t>3</w:t>
      </w:r>
      <w:r>
        <w:rPr>
          <w:rFonts w:hint="eastAsia" w:ascii="宋体" w:hAnsi="宋体" w:cs="宋体"/>
          <w:color w:val="000000"/>
          <w:highlight w:val="none"/>
          <w:u w:val="single"/>
        </w:rPr>
        <w:t>份</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14AC66C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监理人批复承包人提供文件的期限：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w:t>
      </w:r>
      <w:r>
        <w:rPr>
          <w:rFonts w:ascii="宋体" w:hAnsi="宋体" w:cs="宋体"/>
          <w:color w:val="000000"/>
          <w:highlight w:val="none"/>
          <w:u w:val="single"/>
        </w:rPr>
        <w:t>1</w:t>
      </w:r>
      <w:r>
        <w:rPr>
          <w:rFonts w:hint="eastAsia" w:ascii="宋体" w:hAnsi="宋体" w:cs="宋体"/>
          <w:color w:val="000000"/>
          <w:highlight w:val="none"/>
          <w:u w:val="single"/>
        </w:rPr>
        <w:t>）</w:t>
      </w:r>
      <w:r>
        <w:rPr>
          <w:rFonts w:ascii="宋体" w:hAnsi="宋体" w:cs="宋体"/>
          <w:color w:val="000000"/>
          <w:highlight w:val="none"/>
          <w:u w:val="single"/>
        </w:rPr>
        <w:t>7</w:t>
      </w:r>
      <w:r>
        <w:rPr>
          <w:rFonts w:hint="eastAsia" w:ascii="宋体" w:hAnsi="宋体" w:cs="宋体"/>
          <w:color w:val="000000"/>
          <w:highlight w:val="none"/>
          <w:u w:val="single"/>
        </w:rPr>
        <w:t>日内批复；（</w:t>
      </w:r>
      <w:r>
        <w:rPr>
          <w:rFonts w:ascii="宋体" w:hAnsi="宋体" w:cs="宋体"/>
          <w:color w:val="000000"/>
          <w:highlight w:val="none"/>
          <w:u w:val="single"/>
        </w:rPr>
        <w:t>2</w:t>
      </w:r>
      <w:r>
        <w:rPr>
          <w:rFonts w:hint="eastAsia" w:ascii="宋体" w:hAnsi="宋体" w:cs="宋体"/>
          <w:color w:val="000000"/>
          <w:highlight w:val="none"/>
          <w:u w:val="single"/>
        </w:rPr>
        <w:t>）</w:t>
      </w:r>
      <w:r>
        <w:rPr>
          <w:rFonts w:ascii="宋体" w:hAnsi="宋体" w:cs="宋体"/>
          <w:color w:val="000000"/>
          <w:highlight w:val="none"/>
          <w:u w:val="single"/>
        </w:rPr>
        <w:t>3</w:t>
      </w:r>
      <w:r>
        <w:rPr>
          <w:rFonts w:hint="eastAsia" w:ascii="宋体" w:hAnsi="宋体" w:cs="宋体"/>
          <w:color w:val="000000"/>
          <w:highlight w:val="none"/>
          <w:u w:val="single"/>
        </w:rPr>
        <w:t>日内批复</w:t>
      </w:r>
      <w:r>
        <w:rPr>
          <w:rFonts w:ascii="宋体" w:hAnsi="宋体" w:cs="宋体"/>
          <w:color w:val="000000"/>
          <w:highlight w:val="none"/>
          <w:u w:val="single"/>
        </w:rPr>
        <w:t xml:space="preserve"> </w:t>
      </w:r>
      <w:r>
        <w:rPr>
          <w:rFonts w:hint="eastAsia" w:ascii="宋体" w:hAnsi="宋体" w:cs="宋体"/>
          <w:color w:val="000000"/>
          <w:highlight w:val="none"/>
          <w:u w:val="single"/>
        </w:rPr>
        <w:t>。</w:t>
      </w:r>
      <w:r>
        <w:rPr>
          <w:rFonts w:hint="eastAsia" w:ascii="宋体" w:hAnsi="宋体"/>
          <w:color w:val="000000"/>
          <w:szCs w:val="21"/>
          <w:highlight w:val="none"/>
          <w:u w:val="single"/>
        </w:rPr>
        <w:t xml:space="preserve">   </w:t>
      </w:r>
    </w:p>
    <w:p w14:paraId="34EF027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其他约定：</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503F1900">
      <w:pPr>
        <w:pStyle w:val="6"/>
        <w:spacing w:line="360" w:lineRule="auto"/>
        <w:rPr>
          <w:rFonts w:hAnsi="宋体"/>
          <w:b w:val="0"/>
          <w:color w:val="000000"/>
          <w:szCs w:val="24"/>
          <w:highlight w:val="none"/>
        </w:rPr>
      </w:pPr>
      <w:bookmarkStart w:id="784" w:name="_Toc241459664"/>
      <w:bookmarkStart w:id="785" w:name="_Toc492202849"/>
      <w:bookmarkStart w:id="786" w:name="_Toc152045618"/>
      <w:bookmarkStart w:id="787" w:name="_Toc491149509"/>
      <w:bookmarkStart w:id="788" w:name="_Toc342296423"/>
      <w:bookmarkStart w:id="789" w:name="_Toc480303386"/>
      <w:bookmarkStart w:id="790" w:name="_Toc489280185"/>
      <w:bookmarkStart w:id="791" w:name="_Toc485323153"/>
      <w:bookmarkStart w:id="792" w:name="_Toc486580379"/>
      <w:bookmarkStart w:id="793" w:name="_Toc144974586"/>
      <w:bookmarkStart w:id="794" w:name="_Toc490331670"/>
      <w:bookmarkStart w:id="795" w:name="_Toc152042396"/>
      <w:bookmarkStart w:id="796" w:name="_Toc179632636"/>
      <w:bookmarkStart w:id="797" w:name="_BookMark_7"/>
      <w:r>
        <w:rPr>
          <w:rFonts w:hint="eastAsia" w:hAnsi="宋体"/>
          <w:b w:val="0"/>
          <w:color w:val="000000"/>
          <w:szCs w:val="24"/>
          <w:highlight w:val="none"/>
        </w:rPr>
        <w:t>1.7  联 络</w:t>
      </w:r>
      <w:bookmarkEnd w:id="784"/>
      <w:bookmarkEnd w:id="785"/>
      <w:bookmarkEnd w:id="786"/>
      <w:bookmarkEnd w:id="787"/>
      <w:bookmarkEnd w:id="788"/>
      <w:bookmarkEnd w:id="789"/>
      <w:bookmarkEnd w:id="790"/>
      <w:bookmarkEnd w:id="791"/>
      <w:bookmarkEnd w:id="792"/>
      <w:bookmarkEnd w:id="793"/>
      <w:bookmarkEnd w:id="794"/>
      <w:bookmarkEnd w:id="795"/>
      <w:bookmarkEnd w:id="796"/>
    </w:p>
    <w:bookmarkEnd w:id="797"/>
    <w:p w14:paraId="1FAEF98E">
      <w:pPr>
        <w:spacing w:line="360" w:lineRule="auto"/>
        <w:ind w:firstLine="420" w:firstLineChars="200"/>
        <w:jc w:val="left"/>
        <w:rPr>
          <w:rFonts w:ascii="宋体" w:hAnsi="宋体" w:cs="Arial"/>
          <w:color w:val="000000"/>
          <w:szCs w:val="21"/>
          <w:highlight w:val="none"/>
        </w:rPr>
      </w:pPr>
      <w:r>
        <w:rPr>
          <w:rFonts w:hint="eastAsia" w:ascii="宋体" w:hAnsi="宋体"/>
          <w:color w:val="000000"/>
          <w:szCs w:val="21"/>
          <w:highlight w:val="none"/>
        </w:rPr>
        <w:t>1.7.2  联络来往函件的送达和接收</w:t>
      </w:r>
    </w:p>
    <w:p w14:paraId="16A88D4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（2）发包人指定的接收地点：</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施工现场</w:t>
      </w:r>
      <w:r>
        <w:rPr>
          <w:rFonts w:hint="eastAsia" w:ascii="宋体" w:hAnsi="宋体"/>
          <w:color w:val="000000"/>
          <w:szCs w:val="21"/>
          <w:highlight w:val="none"/>
          <w:u w:val="single"/>
        </w:rPr>
        <w:t xml:space="preserve">                 </w:t>
      </w:r>
      <w:r>
        <w:rPr>
          <w:rFonts w:hint="eastAsia" w:ascii="宋体" w:hAnsi="宋体" w:cs="宋体"/>
          <w:color w:val="000000"/>
          <w:highlight w:val="none"/>
        </w:rPr>
        <w:t>。</w:t>
      </w:r>
    </w:p>
    <w:p w14:paraId="5B40F50C">
      <w:pPr>
        <w:spacing w:line="360" w:lineRule="auto"/>
        <w:ind w:firstLine="567" w:firstLineChars="270"/>
        <w:jc w:val="left"/>
        <w:rPr>
          <w:rFonts w:ascii="宋体" w:hAnsi="宋体"/>
          <w:color w:val="000000"/>
          <w:szCs w:val="21"/>
          <w:highlight w:val="none"/>
        </w:rPr>
      </w:pPr>
      <w:r>
        <w:rPr>
          <w:rFonts w:hint="eastAsia" w:ascii="宋体" w:hAnsi="宋体"/>
          <w:color w:val="000000"/>
          <w:szCs w:val="21"/>
          <w:highlight w:val="none"/>
        </w:rPr>
        <w:t>发包人指定的接收人为：</w:t>
      </w:r>
      <w:r>
        <w:rPr>
          <w:rFonts w:hint="eastAsia" w:ascii="宋体" w:hAnsi="宋体" w:cs="宋体"/>
          <w:color w:val="000000"/>
          <w:highlight w:val="none"/>
          <w:u w:val="single"/>
        </w:rPr>
        <w:t>待定</w:t>
      </w:r>
      <w:r>
        <w:rPr>
          <w:rFonts w:hint="eastAsia" w:ascii="宋体" w:hAnsi="宋体"/>
          <w:color w:val="000000"/>
          <w:szCs w:val="21"/>
          <w:highlight w:val="none"/>
          <w:u w:val="single"/>
        </w:rPr>
        <w:t xml:space="preserve">                           </w:t>
      </w:r>
      <w:r>
        <w:rPr>
          <w:rFonts w:hint="eastAsia" w:ascii="宋体" w:hAnsi="宋体" w:cs="宋体"/>
          <w:color w:val="000000"/>
          <w:highlight w:val="none"/>
        </w:rPr>
        <w:t>。</w:t>
      </w:r>
    </w:p>
    <w:p w14:paraId="6605AACB">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（3）监理人指定的接收地点：</w:t>
      </w:r>
      <w:r>
        <w:rPr>
          <w:rFonts w:hint="eastAsia" w:ascii="宋体" w:hAnsi="宋体" w:cs="宋体"/>
          <w:color w:val="000000"/>
          <w:highlight w:val="none"/>
          <w:u w:val="single"/>
        </w:rPr>
        <w:t>待定</w:t>
      </w:r>
      <w:r>
        <w:rPr>
          <w:rFonts w:hint="eastAsia" w:ascii="宋体" w:hAnsi="宋体"/>
          <w:color w:val="000000"/>
          <w:szCs w:val="21"/>
          <w:highlight w:val="none"/>
          <w:u w:val="single"/>
        </w:rPr>
        <w:t xml:space="preserve">                       </w:t>
      </w:r>
      <w:r>
        <w:rPr>
          <w:rFonts w:hint="eastAsia" w:ascii="宋体" w:hAnsi="宋体" w:cs="宋体"/>
          <w:color w:val="000000"/>
          <w:highlight w:val="none"/>
        </w:rPr>
        <w:t>。</w:t>
      </w:r>
    </w:p>
    <w:p w14:paraId="02761AFF">
      <w:pPr>
        <w:spacing w:line="360" w:lineRule="auto"/>
        <w:ind w:firstLine="567" w:firstLineChars="270"/>
        <w:rPr>
          <w:rFonts w:ascii="宋体" w:hAnsi="宋体"/>
          <w:color w:val="000000"/>
          <w:szCs w:val="21"/>
          <w:highlight w:val="none"/>
          <w:u w:val="single"/>
        </w:rPr>
      </w:pPr>
      <w:r>
        <w:rPr>
          <w:rFonts w:hint="eastAsia" w:ascii="宋体" w:hAnsi="宋体"/>
          <w:color w:val="000000"/>
          <w:szCs w:val="21"/>
          <w:highlight w:val="none"/>
        </w:rPr>
        <w:t>监理人指定的接收人为：</w:t>
      </w:r>
      <w:r>
        <w:rPr>
          <w:rFonts w:hint="eastAsia" w:ascii="宋体" w:hAnsi="宋体" w:cs="宋体"/>
          <w:color w:val="000000"/>
          <w:highlight w:val="none"/>
          <w:u w:val="single"/>
        </w:rPr>
        <w:t>待定</w:t>
      </w:r>
      <w:r>
        <w:rPr>
          <w:rFonts w:hint="eastAsia" w:ascii="宋体" w:hAnsi="宋体"/>
          <w:color w:val="000000"/>
          <w:szCs w:val="21"/>
          <w:highlight w:val="none"/>
          <w:u w:val="single"/>
        </w:rPr>
        <w:t xml:space="preserve">                           </w:t>
      </w:r>
      <w:r>
        <w:rPr>
          <w:rFonts w:hint="eastAsia" w:ascii="宋体" w:hAnsi="宋体" w:cs="宋体"/>
          <w:color w:val="000000"/>
          <w:highlight w:val="none"/>
        </w:rPr>
        <w:t>。</w:t>
      </w:r>
    </w:p>
    <w:p w14:paraId="07F655AC">
      <w:pPr>
        <w:spacing w:line="360" w:lineRule="auto"/>
        <w:ind w:firstLine="420" w:firstLineChars="200"/>
        <w:jc w:val="left"/>
        <w:rPr>
          <w:rFonts w:ascii="宋体" w:hAnsi="宋体" w:cs="宋体"/>
          <w:color w:val="000000"/>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）承包人指定的接收地点：</w:t>
      </w:r>
      <w:r>
        <w:rPr>
          <w:rFonts w:hint="eastAsia" w:ascii="宋体" w:hAnsi="宋体" w:cs="宋体"/>
          <w:color w:val="000000"/>
          <w:highlight w:val="none"/>
          <w:u w:val="single"/>
        </w:rPr>
        <w:t>待定</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s="宋体"/>
          <w:color w:val="000000"/>
          <w:highlight w:val="none"/>
        </w:rPr>
        <w:t>。</w:t>
      </w:r>
    </w:p>
    <w:p w14:paraId="10416156">
      <w:pPr>
        <w:spacing w:line="360" w:lineRule="auto"/>
        <w:ind w:firstLine="840" w:firstLineChars="400"/>
        <w:jc w:val="left"/>
        <w:rPr>
          <w:rFonts w:ascii="宋体" w:hAnsi="宋体"/>
          <w:color w:val="000000"/>
          <w:szCs w:val="21"/>
          <w:highlight w:val="none"/>
        </w:rPr>
      </w:pPr>
      <w:r>
        <w:rPr>
          <w:rFonts w:hint="eastAsia" w:ascii="宋体" w:hAnsi="宋体" w:cs="宋体"/>
          <w:color w:val="000000"/>
          <w:highlight w:val="none"/>
        </w:rPr>
        <w:t>承包人指定的接收人为：</w:t>
      </w:r>
      <w:r>
        <w:rPr>
          <w:rFonts w:hint="eastAsia" w:ascii="宋体" w:hAnsi="宋体" w:cs="宋体"/>
          <w:color w:val="000000"/>
          <w:highlight w:val="none"/>
          <w:u w:val="single"/>
        </w:rPr>
        <w:t xml:space="preserve">   待定          </w:t>
      </w:r>
    </w:p>
    <w:p w14:paraId="373FCD0A">
      <w:pPr>
        <w:pStyle w:val="4"/>
        <w:spacing w:line="360" w:lineRule="auto"/>
        <w:jc w:val="left"/>
        <w:rPr>
          <w:rFonts w:ascii="宋体" w:hAnsi="宋体"/>
          <w:color w:val="000000"/>
          <w:szCs w:val="30"/>
          <w:highlight w:val="none"/>
        </w:rPr>
      </w:pPr>
      <w:bookmarkStart w:id="798" w:name="_Toc491149510"/>
      <w:bookmarkStart w:id="799" w:name="_Toc152042402"/>
      <w:bookmarkStart w:id="800" w:name="_Toc152045624"/>
      <w:bookmarkStart w:id="801" w:name="_Toc480303387"/>
      <w:bookmarkStart w:id="802" w:name="_Toc485323154"/>
      <w:bookmarkStart w:id="803" w:name="_Toc179632642"/>
      <w:bookmarkStart w:id="804" w:name="_Toc241459665"/>
      <w:bookmarkStart w:id="805" w:name="_Toc492202850"/>
      <w:bookmarkStart w:id="806" w:name="_Toc144974592"/>
      <w:bookmarkStart w:id="807" w:name="_Toc490331671"/>
      <w:bookmarkStart w:id="808" w:name="_Toc486580380"/>
      <w:bookmarkStart w:id="809" w:name="_Toc489280186"/>
      <w:bookmarkStart w:id="810" w:name="_Toc342296424"/>
      <w:bookmarkStart w:id="811" w:name="_BookMark_8"/>
      <w:r>
        <w:rPr>
          <w:rFonts w:hint="eastAsia" w:ascii="宋体" w:hAnsi="宋体"/>
          <w:color w:val="000000"/>
          <w:szCs w:val="30"/>
          <w:highlight w:val="none"/>
        </w:rPr>
        <w:t>2.发包人义务</w:t>
      </w:r>
      <w:bookmarkEnd w:id="798"/>
      <w:bookmarkEnd w:id="799"/>
      <w:bookmarkEnd w:id="800"/>
      <w:bookmarkEnd w:id="801"/>
      <w:bookmarkEnd w:id="802"/>
      <w:bookmarkEnd w:id="803"/>
      <w:bookmarkEnd w:id="804"/>
      <w:bookmarkEnd w:id="805"/>
      <w:bookmarkEnd w:id="806"/>
      <w:bookmarkEnd w:id="807"/>
      <w:bookmarkEnd w:id="808"/>
      <w:bookmarkEnd w:id="809"/>
      <w:bookmarkEnd w:id="810"/>
    </w:p>
    <w:bookmarkEnd w:id="811"/>
    <w:p w14:paraId="25A9DB0E">
      <w:pPr>
        <w:pStyle w:val="6"/>
        <w:spacing w:line="360" w:lineRule="auto"/>
        <w:rPr>
          <w:rFonts w:hAnsi="宋体"/>
          <w:b w:val="0"/>
          <w:color w:val="000000"/>
          <w:szCs w:val="24"/>
          <w:highlight w:val="none"/>
        </w:rPr>
      </w:pPr>
      <w:bookmarkStart w:id="812" w:name="_Toc491149511"/>
      <w:bookmarkStart w:id="813" w:name="_Toc152045627"/>
      <w:bookmarkStart w:id="814" w:name="_Toc241459666"/>
      <w:bookmarkStart w:id="815" w:name="_Toc485323155"/>
      <w:bookmarkStart w:id="816" w:name="_Toc492202851"/>
      <w:bookmarkStart w:id="817" w:name="_Toc480303388"/>
      <w:bookmarkStart w:id="818" w:name="_Toc144974595"/>
      <w:bookmarkStart w:id="819" w:name="_Toc490331672"/>
      <w:bookmarkStart w:id="820" w:name="_Toc152042405"/>
      <w:bookmarkStart w:id="821" w:name="_Toc179632645"/>
      <w:bookmarkStart w:id="822" w:name="_Toc342296425"/>
      <w:bookmarkStart w:id="823" w:name="_Toc489280187"/>
      <w:bookmarkStart w:id="824" w:name="_Toc486580381"/>
      <w:bookmarkStart w:id="825" w:name="_BookMark_9"/>
      <w:r>
        <w:rPr>
          <w:rFonts w:hint="eastAsia" w:hAnsi="宋体"/>
          <w:b w:val="0"/>
          <w:color w:val="000000"/>
          <w:szCs w:val="24"/>
          <w:highlight w:val="none"/>
        </w:rPr>
        <w:t>2.3  提供施工场地</w:t>
      </w:r>
      <w:bookmarkEnd w:id="812"/>
      <w:bookmarkEnd w:id="813"/>
      <w:bookmarkEnd w:id="814"/>
      <w:bookmarkEnd w:id="815"/>
      <w:bookmarkEnd w:id="816"/>
      <w:bookmarkEnd w:id="817"/>
      <w:bookmarkEnd w:id="818"/>
      <w:bookmarkEnd w:id="819"/>
      <w:bookmarkEnd w:id="820"/>
      <w:bookmarkEnd w:id="821"/>
      <w:bookmarkEnd w:id="822"/>
      <w:bookmarkEnd w:id="823"/>
      <w:bookmarkEnd w:id="824"/>
    </w:p>
    <w:bookmarkEnd w:id="825"/>
    <w:p w14:paraId="00455EC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发包人移交施工场地的期限：发包人应当将具备施工条件的施工场地，在监理人发出开工通知中载明的开工日期</w:t>
      </w:r>
      <w:r>
        <w:rPr>
          <w:rFonts w:hint="eastAsia" w:ascii="宋体" w:hAnsi="宋体"/>
          <w:color w:val="000000"/>
          <w:szCs w:val="21"/>
          <w:highlight w:val="none"/>
          <w:u w:val="single"/>
        </w:rPr>
        <w:t xml:space="preserve">   7   </w:t>
      </w:r>
      <w:r>
        <w:rPr>
          <w:rFonts w:hint="eastAsia" w:ascii="宋体" w:hAnsi="宋体"/>
          <w:color w:val="000000"/>
          <w:szCs w:val="21"/>
          <w:highlight w:val="none"/>
        </w:rPr>
        <w:t>天前移交给承包人。</w:t>
      </w:r>
      <w:bookmarkStart w:id="826" w:name="_Toc152045630"/>
      <w:bookmarkStart w:id="827" w:name="_Toc152042408"/>
      <w:bookmarkStart w:id="828" w:name="_Toc179632648"/>
      <w:bookmarkStart w:id="829" w:name="_Toc144974598"/>
    </w:p>
    <w:p w14:paraId="00520F6D">
      <w:pPr>
        <w:pStyle w:val="6"/>
        <w:spacing w:line="360" w:lineRule="auto"/>
        <w:rPr>
          <w:rFonts w:hAnsi="宋体"/>
          <w:b w:val="0"/>
          <w:color w:val="000000"/>
          <w:szCs w:val="24"/>
          <w:highlight w:val="none"/>
        </w:rPr>
      </w:pPr>
      <w:bookmarkStart w:id="830" w:name="_Toc485323156"/>
      <w:bookmarkStart w:id="831" w:name="_Toc482175185"/>
      <w:bookmarkStart w:id="832" w:name="_Toc492202852"/>
      <w:bookmarkStart w:id="833" w:name="_Toc489280188"/>
      <w:bookmarkStart w:id="834" w:name="_Toc491149512"/>
      <w:bookmarkStart w:id="835" w:name="_Toc490331673"/>
      <w:bookmarkStart w:id="836" w:name="_Toc486580382"/>
      <w:bookmarkStart w:id="837" w:name="_BookMark_10"/>
      <w:r>
        <w:rPr>
          <w:rFonts w:hint="eastAsia" w:hAnsi="宋体"/>
          <w:b w:val="0"/>
          <w:color w:val="000000"/>
          <w:szCs w:val="24"/>
          <w:highlight w:val="none"/>
        </w:rPr>
        <w:t>2.8  向承包人提交支付担保</w:t>
      </w:r>
      <w:bookmarkEnd w:id="830"/>
      <w:bookmarkEnd w:id="831"/>
      <w:bookmarkEnd w:id="832"/>
      <w:bookmarkEnd w:id="833"/>
      <w:bookmarkEnd w:id="834"/>
      <w:bookmarkEnd w:id="835"/>
      <w:bookmarkEnd w:id="836"/>
    </w:p>
    <w:bookmarkEnd w:id="837"/>
    <w:p w14:paraId="67268A3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（1）发包人向承包人提交支付担保的金额：</w:t>
      </w:r>
      <w:r>
        <w:rPr>
          <w:rFonts w:hint="eastAsia" w:ascii="宋体" w:hAnsi="宋体"/>
          <w:color w:val="000000"/>
          <w:szCs w:val="21"/>
          <w:highlight w:val="none"/>
          <w:u w:val="single"/>
        </w:rPr>
        <w:t xml:space="preserve">   /       </w:t>
      </w:r>
      <w:r>
        <w:rPr>
          <w:rFonts w:ascii="宋体" w:hAnsi="宋体"/>
          <w:color w:val="000000"/>
          <w:szCs w:val="21"/>
          <w:highlight w:val="none"/>
          <w:u w:val="single"/>
        </w:rPr>
        <w:t xml:space="preserve">   </w:t>
      </w:r>
    </w:p>
    <w:bookmarkEnd w:id="826"/>
    <w:bookmarkEnd w:id="827"/>
    <w:bookmarkEnd w:id="828"/>
    <w:bookmarkEnd w:id="829"/>
    <w:p w14:paraId="4C920C81">
      <w:pPr>
        <w:pStyle w:val="6"/>
        <w:spacing w:line="360" w:lineRule="auto"/>
        <w:rPr>
          <w:rFonts w:hAnsi="宋体"/>
          <w:b w:val="0"/>
          <w:color w:val="000000"/>
          <w:szCs w:val="24"/>
          <w:highlight w:val="none"/>
        </w:rPr>
      </w:pPr>
      <w:bookmarkStart w:id="838" w:name="_Toc485323157"/>
      <w:bookmarkStart w:id="839" w:name="_Toc490331674"/>
      <w:bookmarkStart w:id="840" w:name="_Toc144974600"/>
      <w:bookmarkStart w:id="841" w:name="_Toc486580383"/>
      <w:bookmarkStart w:id="842" w:name="_Toc489280189"/>
      <w:bookmarkStart w:id="843" w:name="_Toc491149513"/>
      <w:bookmarkStart w:id="844" w:name="_Toc480303389"/>
      <w:bookmarkStart w:id="845" w:name="_Toc342296427"/>
      <w:bookmarkStart w:id="846" w:name="_Toc492202853"/>
      <w:bookmarkStart w:id="847" w:name="_Toc241459668"/>
      <w:bookmarkStart w:id="848" w:name="_Toc152042410"/>
      <w:bookmarkStart w:id="849" w:name="_Toc179632650"/>
      <w:bookmarkStart w:id="850" w:name="_Toc152045632"/>
      <w:bookmarkStart w:id="851" w:name="_BookMark_11"/>
      <w:r>
        <w:rPr>
          <w:rFonts w:hint="eastAsia" w:hAnsi="宋体"/>
          <w:b w:val="0"/>
          <w:color w:val="000000"/>
          <w:szCs w:val="24"/>
          <w:highlight w:val="none"/>
        </w:rPr>
        <w:t>2.1</w:t>
      </w:r>
      <w:r>
        <w:rPr>
          <w:rFonts w:hAnsi="宋体"/>
          <w:b w:val="0"/>
          <w:color w:val="000000"/>
          <w:szCs w:val="24"/>
          <w:highlight w:val="none"/>
        </w:rPr>
        <w:t>3</w:t>
      </w:r>
      <w:r>
        <w:rPr>
          <w:rFonts w:hint="eastAsia" w:hAnsi="宋体"/>
          <w:b w:val="0"/>
          <w:color w:val="000000"/>
          <w:szCs w:val="24"/>
          <w:highlight w:val="none"/>
        </w:rPr>
        <w:t xml:space="preserve">  其他义务</w:t>
      </w:r>
      <w:bookmarkEnd w:id="838"/>
      <w:bookmarkEnd w:id="839"/>
      <w:bookmarkEnd w:id="840"/>
      <w:bookmarkEnd w:id="841"/>
      <w:bookmarkEnd w:id="842"/>
      <w:bookmarkEnd w:id="843"/>
      <w:bookmarkEnd w:id="844"/>
      <w:bookmarkEnd w:id="845"/>
      <w:bookmarkEnd w:id="846"/>
      <w:bookmarkEnd w:id="847"/>
      <w:bookmarkEnd w:id="848"/>
      <w:bookmarkEnd w:id="849"/>
      <w:bookmarkEnd w:id="850"/>
    </w:p>
    <w:bookmarkEnd w:id="851"/>
    <w:p w14:paraId="19F69A97">
      <w:pPr>
        <w:spacing w:line="360" w:lineRule="auto"/>
        <w:ind w:firstLine="315" w:firstLineChars="150"/>
        <w:rPr>
          <w:rFonts w:ascii="宋体"/>
          <w:color w:val="000000"/>
          <w:highlight w:val="none"/>
          <w:u w:val="single"/>
        </w:rPr>
      </w:pPr>
      <w:r>
        <w:rPr>
          <w:rFonts w:hint="eastAsia" w:ascii="宋体" w:hAnsi="宋体"/>
          <w:color w:val="000000"/>
          <w:szCs w:val="21"/>
          <w:highlight w:val="none"/>
        </w:rPr>
        <w:t>发包人应当履行的其他义务</w:t>
      </w:r>
      <w:r>
        <w:rPr>
          <w:rFonts w:hint="eastAsia" w:ascii="宋体" w:hAnsi="宋体" w:cs="Arial"/>
          <w:color w:val="000000"/>
          <w:highlight w:val="none"/>
        </w:rPr>
        <w:t>：</w:t>
      </w:r>
      <w:r>
        <w:rPr>
          <w:rFonts w:ascii="宋体"/>
          <w:color w:val="000000"/>
          <w:highlight w:val="none"/>
          <w:u w:val="single"/>
        </w:rPr>
        <w:t xml:space="preserve"> </w:t>
      </w:r>
      <w:r>
        <w:rPr>
          <w:rFonts w:hint="eastAsia" w:ascii="宋体" w:hAnsi="宋体" w:cs="宋体"/>
          <w:color w:val="000000"/>
          <w:highlight w:val="none"/>
          <w:u w:val="single"/>
        </w:rPr>
        <w:t>a</w:t>
      </w:r>
      <w:r>
        <w:rPr>
          <w:rFonts w:ascii="宋体" w:hAnsi="宋体" w:cs="宋体"/>
          <w:color w:val="000000"/>
          <w:highlight w:val="none"/>
          <w:u w:val="single"/>
        </w:rPr>
        <w:t>.</w:t>
      </w:r>
      <w:r>
        <w:rPr>
          <w:rFonts w:hint="eastAsia" w:ascii="宋体" w:hAnsi="宋体" w:cs="宋体"/>
          <w:color w:val="000000"/>
          <w:highlight w:val="none"/>
          <w:u w:val="single"/>
        </w:rPr>
        <w:t>发包人负责治理扬尘的整体组织工作，负责制定治理扬尘的质量和总目标，并对工程扬尘治理的决策、实施等环节实行全面管理，总体控制治理情况，进行中间检查验收等。b</w:t>
      </w:r>
      <w:r>
        <w:rPr>
          <w:rFonts w:ascii="宋体" w:hAnsi="宋体" w:cs="宋体"/>
          <w:color w:val="000000"/>
          <w:highlight w:val="none"/>
          <w:u w:val="single"/>
        </w:rPr>
        <w:t>.</w:t>
      </w:r>
      <w:r>
        <w:rPr>
          <w:rFonts w:hint="eastAsia" w:ascii="宋体" w:hAnsi="宋体" w:cs="宋体"/>
          <w:color w:val="000000"/>
          <w:highlight w:val="none"/>
          <w:u w:val="single"/>
        </w:rPr>
        <w:t>发包人委托工程监理单位对承包人落实文明施工和环境保护措施情况进行现场监理。</w:t>
      </w:r>
      <w:r>
        <w:rPr>
          <w:rFonts w:hint="eastAsia" w:ascii="宋体" w:hAnsi="宋体"/>
          <w:color w:val="000000"/>
          <w:szCs w:val="21"/>
          <w:highlight w:val="none"/>
          <w:u w:val="single"/>
        </w:rPr>
        <w:t xml:space="preserve"> </w:t>
      </w:r>
    </w:p>
    <w:p w14:paraId="249551A6">
      <w:pPr>
        <w:pStyle w:val="4"/>
        <w:spacing w:line="360" w:lineRule="auto"/>
        <w:jc w:val="left"/>
        <w:rPr>
          <w:rFonts w:ascii="宋体" w:hAnsi="宋体"/>
          <w:color w:val="000000"/>
          <w:szCs w:val="30"/>
          <w:highlight w:val="none"/>
        </w:rPr>
      </w:pPr>
      <w:bookmarkStart w:id="852" w:name="_Toc492202854"/>
      <w:bookmarkStart w:id="853" w:name="_Toc480303390"/>
      <w:bookmarkStart w:id="854" w:name="_Toc486580384"/>
      <w:bookmarkStart w:id="855" w:name="_Toc152045633"/>
      <w:bookmarkStart w:id="856" w:name="_Toc485323158"/>
      <w:bookmarkStart w:id="857" w:name="_Toc489280190"/>
      <w:bookmarkStart w:id="858" w:name="_Toc179632651"/>
      <w:bookmarkStart w:id="859" w:name="_Toc491149514"/>
      <w:bookmarkStart w:id="860" w:name="_Toc241459669"/>
      <w:bookmarkStart w:id="861" w:name="_Toc152042411"/>
      <w:bookmarkStart w:id="862" w:name="_Toc144974601"/>
      <w:bookmarkStart w:id="863" w:name="_Toc490331675"/>
      <w:bookmarkStart w:id="864" w:name="_Toc342296428"/>
      <w:bookmarkStart w:id="865" w:name="_BookMark_12"/>
      <w:r>
        <w:rPr>
          <w:rFonts w:hint="eastAsia" w:ascii="宋体" w:hAnsi="宋体"/>
          <w:color w:val="000000"/>
          <w:szCs w:val="30"/>
          <w:highlight w:val="none"/>
        </w:rPr>
        <w:t>3.监理人</w:t>
      </w:r>
      <w:bookmarkEnd w:id="852"/>
      <w:bookmarkEnd w:id="853"/>
      <w:bookmarkEnd w:id="854"/>
      <w:bookmarkEnd w:id="855"/>
      <w:bookmarkEnd w:id="856"/>
      <w:bookmarkEnd w:id="857"/>
      <w:bookmarkEnd w:id="858"/>
      <w:bookmarkEnd w:id="859"/>
      <w:bookmarkEnd w:id="860"/>
      <w:bookmarkEnd w:id="861"/>
      <w:bookmarkEnd w:id="862"/>
      <w:bookmarkEnd w:id="863"/>
      <w:bookmarkEnd w:id="864"/>
    </w:p>
    <w:bookmarkEnd w:id="865"/>
    <w:p w14:paraId="0F6A0907">
      <w:pPr>
        <w:pStyle w:val="6"/>
        <w:spacing w:line="360" w:lineRule="auto"/>
        <w:rPr>
          <w:rFonts w:hAnsi="宋体"/>
          <w:b w:val="0"/>
          <w:color w:val="000000"/>
          <w:szCs w:val="24"/>
          <w:highlight w:val="none"/>
        </w:rPr>
      </w:pPr>
      <w:bookmarkStart w:id="866" w:name="_Toc480303391"/>
      <w:bookmarkStart w:id="867" w:name="_Toc342296429"/>
      <w:bookmarkStart w:id="868" w:name="_Toc490331676"/>
      <w:bookmarkStart w:id="869" w:name="_Toc179632652"/>
      <w:bookmarkStart w:id="870" w:name="_Toc491149515"/>
      <w:bookmarkStart w:id="871" w:name="_Toc144974602"/>
      <w:bookmarkStart w:id="872" w:name="_Toc489280191"/>
      <w:bookmarkStart w:id="873" w:name="_Toc152042412"/>
      <w:bookmarkStart w:id="874" w:name="_Toc492202855"/>
      <w:bookmarkStart w:id="875" w:name="_Toc486580385"/>
      <w:bookmarkStart w:id="876" w:name="_Toc152045634"/>
      <w:bookmarkStart w:id="877" w:name="_Toc241459670"/>
      <w:bookmarkStart w:id="878" w:name="_Toc485323159"/>
      <w:bookmarkStart w:id="879" w:name="_BookMark_13"/>
      <w:r>
        <w:rPr>
          <w:rFonts w:hint="eastAsia" w:hAnsi="宋体"/>
          <w:b w:val="0"/>
          <w:color w:val="000000"/>
          <w:szCs w:val="24"/>
          <w:highlight w:val="none"/>
        </w:rPr>
        <w:t>3.1  监理人的职责和权力</w:t>
      </w:r>
      <w:bookmarkEnd w:id="866"/>
      <w:bookmarkEnd w:id="867"/>
      <w:bookmarkEnd w:id="868"/>
      <w:bookmarkEnd w:id="869"/>
      <w:bookmarkEnd w:id="870"/>
      <w:bookmarkEnd w:id="871"/>
      <w:bookmarkEnd w:id="872"/>
      <w:bookmarkEnd w:id="873"/>
      <w:bookmarkEnd w:id="874"/>
      <w:bookmarkEnd w:id="875"/>
      <w:bookmarkEnd w:id="876"/>
      <w:bookmarkEnd w:id="877"/>
      <w:bookmarkEnd w:id="878"/>
    </w:p>
    <w:bookmarkEnd w:id="879"/>
    <w:p w14:paraId="71E8FC1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3.1.1  发包人需批准明确行使的权力：</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w:t>
      </w:r>
      <w:r>
        <w:rPr>
          <w:rFonts w:ascii="宋体" w:hAnsi="宋体" w:cs="宋体"/>
          <w:color w:val="000000"/>
          <w:highlight w:val="none"/>
          <w:u w:val="single"/>
        </w:rPr>
        <w:t>1</w:t>
      </w:r>
      <w:r>
        <w:rPr>
          <w:rFonts w:hint="eastAsia" w:ascii="宋体" w:hAnsi="宋体" w:cs="宋体"/>
          <w:color w:val="000000"/>
          <w:highlight w:val="none"/>
          <w:u w:val="single"/>
        </w:rPr>
        <w:t>）同意分包本工程的某些非主体和非关键性工作。（</w:t>
      </w:r>
      <w:r>
        <w:rPr>
          <w:rFonts w:ascii="宋体" w:hAnsi="宋体" w:cs="宋体"/>
          <w:color w:val="000000"/>
          <w:highlight w:val="none"/>
          <w:u w:val="single"/>
        </w:rPr>
        <w:t>2</w:t>
      </w:r>
      <w:r>
        <w:rPr>
          <w:rFonts w:hint="eastAsia" w:ascii="宋体" w:hAnsi="宋体" w:cs="宋体"/>
          <w:color w:val="000000"/>
          <w:highlight w:val="none"/>
          <w:u w:val="single"/>
        </w:rPr>
        <w:t>）产生的费用增加额。（</w:t>
      </w:r>
      <w:r>
        <w:rPr>
          <w:rFonts w:ascii="宋体" w:hAnsi="宋体" w:cs="宋体"/>
          <w:color w:val="000000"/>
          <w:highlight w:val="none"/>
          <w:u w:val="single"/>
        </w:rPr>
        <w:t>3</w:t>
      </w:r>
      <w:r>
        <w:rPr>
          <w:rFonts w:hint="eastAsia" w:ascii="宋体" w:hAnsi="宋体" w:cs="宋体"/>
          <w:color w:val="000000"/>
          <w:highlight w:val="none"/>
          <w:u w:val="single"/>
        </w:rPr>
        <w:t>）发布开工通知、暂停施工指示或者复工通知。（</w:t>
      </w:r>
      <w:r>
        <w:rPr>
          <w:rFonts w:ascii="宋体" w:hAnsi="宋体" w:cs="宋体"/>
          <w:color w:val="000000"/>
          <w:highlight w:val="none"/>
          <w:u w:val="single"/>
        </w:rPr>
        <w:t>4</w:t>
      </w:r>
      <w:r>
        <w:rPr>
          <w:rFonts w:hint="eastAsia" w:ascii="宋体" w:hAnsi="宋体" w:cs="宋体"/>
          <w:color w:val="000000"/>
          <w:highlight w:val="none"/>
          <w:u w:val="single"/>
        </w:rPr>
        <w:t>）工程延长（</w:t>
      </w:r>
      <w:r>
        <w:rPr>
          <w:rFonts w:ascii="宋体" w:hAnsi="宋体" w:cs="宋体"/>
          <w:color w:val="000000"/>
          <w:highlight w:val="none"/>
          <w:u w:val="single"/>
        </w:rPr>
        <w:t>5</w:t>
      </w:r>
      <w:r>
        <w:rPr>
          <w:rFonts w:hint="eastAsia" w:ascii="宋体" w:hAnsi="宋体" w:cs="宋体"/>
          <w:color w:val="000000"/>
          <w:highlight w:val="none"/>
          <w:u w:val="single"/>
        </w:rPr>
        <w:t>）审查批准技术规范或设计的变更（</w:t>
      </w:r>
      <w:r>
        <w:rPr>
          <w:rFonts w:ascii="宋体" w:hAnsi="宋体" w:cs="宋体"/>
          <w:color w:val="000000"/>
          <w:highlight w:val="none"/>
          <w:u w:val="single"/>
        </w:rPr>
        <w:t>6</w:t>
      </w:r>
      <w:r>
        <w:rPr>
          <w:rFonts w:hint="eastAsia" w:ascii="宋体" w:hAnsi="宋体" w:cs="宋体"/>
          <w:color w:val="000000"/>
          <w:highlight w:val="none"/>
          <w:u w:val="single"/>
        </w:rPr>
        <w:t>）发出的变更指令，其单项工程变更或者累计变更涉及的金额超过了项目专用合同条款数据表规定的金额。（</w:t>
      </w:r>
      <w:r>
        <w:rPr>
          <w:rFonts w:ascii="宋体" w:hAnsi="宋体" w:cs="宋体"/>
          <w:color w:val="000000"/>
          <w:highlight w:val="none"/>
          <w:u w:val="single"/>
        </w:rPr>
        <w:t>7</w:t>
      </w:r>
      <w:r>
        <w:rPr>
          <w:rFonts w:hint="eastAsia" w:ascii="宋体" w:hAnsi="宋体" w:cs="宋体"/>
          <w:color w:val="000000"/>
          <w:highlight w:val="none"/>
          <w:u w:val="single"/>
        </w:rPr>
        <w:t>）变更工作的单价。（</w:t>
      </w:r>
      <w:r>
        <w:rPr>
          <w:rFonts w:ascii="宋体" w:hAnsi="宋体" w:cs="宋体"/>
          <w:color w:val="000000"/>
          <w:highlight w:val="none"/>
          <w:u w:val="single"/>
        </w:rPr>
        <w:t>8</w:t>
      </w:r>
      <w:r>
        <w:rPr>
          <w:rFonts w:hint="eastAsia" w:ascii="宋体" w:hAnsi="宋体" w:cs="宋体"/>
          <w:color w:val="000000"/>
          <w:highlight w:val="none"/>
          <w:u w:val="single"/>
        </w:rPr>
        <w:t>）有关暂列金额的使用。（</w:t>
      </w:r>
      <w:r>
        <w:rPr>
          <w:rFonts w:ascii="宋体" w:hAnsi="宋体" w:cs="宋体"/>
          <w:color w:val="000000"/>
          <w:highlight w:val="none"/>
          <w:u w:val="single"/>
        </w:rPr>
        <w:t>9</w:t>
      </w:r>
      <w:r>
        <w:rPr>
          <w:rFonts w:hint="eastAsia" w:ascii="宋体" w:hAnsi="宋体" w:cs="宋体"/>
          <w:color w:val="000000"/>
          <w:highlight w:val="none"/>
          <w:u w:val="single"/>
        </w:rPr>
        <w:t>）暂估价金额。（</w:t>
      </w:r>
      <w:r>
        <w:rPr>
          <w:rFonts w:ascii="宋体" w:hAnsi="宋体" w:cs="宋体"/>
          <w:color w:val="000000"/>
          <w:highlight w:val="none"/>
          <w:u w:val="single"/>
        </w:rPr>
        <w:t>10</w:t>
      </w:r>
      <w:r>
        <w:rPr>
          <w:rFonts w:hint="eastAsia" w:ascii="宋体" w:hAnsi="宋体" w:cs="宋体"/>
          <w:color w:val="000000"/>
          <w:highlight w:val="none"/>
          <w:u w:val="single"/>
        </w:rPr>
        <w:t>）索赔额。</w:t>
      </w:r>
      <w:r>
        <w:rPr>
          <w:rFonts w:hint="eastAsia" w:ascii="宋体" w:hAnsi="宋体"/>
          <w:color w:val="000000"/>
          <w:szCs w:val="21"/>
          <w:highlight w:val="none"/>
          <w:u w:val="single"/>
        </w:rPr>
        <w:t xml:space="preserve">  </w:t>
      </w:r>
    </w:p>
    <w:p w14:paraId="121C51E2">
      <w:pPr>
        <w:pStyle w:val="4"/>
        <w:spacing w:line="360" w:lineRule="auto"/>
        <w:jc w:val="left"/>
        <w:rPr>
          <w:rFonts w:ascii="宋体" w:hAnsi="宋体"/>
          <w:color w:val="000000"/>
          <w:szCs w:val="30"/>
          <w:highlight w:val="none"/>
        </w:rPr>
      </w:pPr>
      <w:bookmarkStart w:id="880" w:name="_Toc152045639"/>
      <w:bookmarkStart w:id="881" w:name="_Toc342296433"/>
      <w:bookmarkStart w:id="882" w:name="_Toc480303392"/>
      <w:bookmarkStart w:id="883" w:name="_Toc489280192"/>
      <w:bookmarkStart w:id="884" w:name="_Toc179632657"/>
      <w:bookmarkStart w:id="885" w:name="_Toc490331677"/>
      <w:bookmarkStart w:id="886" w:name="_Toc485323160"/>
      <w:bookmarkStart w:id="887" w:name="_Toc492202856"/>
      <w:bookmarkStart w:id="888" w:name="_Toc491149516"/>
      <w:bookmarkStart w:id="889" w:name="_Toc144974607"/>
      <w:bookmarkStart w:id="890" w:name="_Toc152042417"/>
      <w:bookmarkStart w:id="891" w:name="_Toc486580386"/>
      <w:bookmarkStart w:id="892" w:name="_Toc241459674"/>
      <w:bookmarkStart w:id="893" w:name="_BookMark_14"/>
      <w:r>
        <w:rPr>
          <w:rFonts w:hint="eastAsia" w:ascii="宋体" w:hAnsi="宋体"/>
          <w:color w:val="000000"/>
          <w:szCs w:val="30"/>
          <w:highlight w:val="none"/>
        </w:rPr>
        <w:t>4.承包人</w:t>
      </w:r>
      <w:bookmarkEnd w:id="880"/>
      <w:bookmarkEnd w:id="881"/>
      <w:bookmarkEnd w:id="882"/>
      <w:bookmarkEnd w:id="883"/>
      <w:bookmarkEnd w:id="884"/>
      <w:bookmarkEnd w:id="885"/>
      <w:bookmarkEnd w:id="886"/>
      <w:bookmarkEnd w:id="887"/>
      <w:bookmarkEnd w:id="888"/>
      <w:bookmarkEnd w:id="889"/>
      <w:bookmarkEnd w:id="890"/>
      <w:bookmarkEnd w:id="891"/>
      <w:bookmarkEnd w:id="892"/>
    </w:p>
    <w:bookmarkEnd w:id="893"/>
    <w:p w14:paraId="637DF5E2">
      <w:pPr>
        <w:pStyle w:val="6"/>
        <w:spacing w:line="360" w:lineRule="auto"/>
        <w:rPr>
          <w:rFonts w:hAnsi="宋体"/>
          <w:b w:val="0"/>
          <w:color w:val="000000"/>
          <w:szCs w:val="24"/>
          <w:highlight w:val="none"/>
        </w:rPr>
      </w:pPr>
      <w:bookmarkStart w:id="894" w:name="_Toc489280193"/>
      <w:bookmarkStart w:id="895" w:name="_Toc480303393"/>
      <w:bookmarkStart w:id="896" w:name="_Toc152042418"/>
      <w:bookmarkStart w:id="897" w:name="_Toc491149517"/>
      <w:bookmarkStart w:id="898" w:name="_Toc342296434"/>
      <w:bookmarkStart w:id="899" w:name="_Toc485323161"/>
      <w:bookmarkStart w:id="900" w:name="_Toc152045640"/>
      <w:bookmarkStart w:id="901" w:name="_Toc144974608"/>
      <w:bookmarkStart w:id="902" w:name="_Toc492202857"/>
      <w:bookmarkStart w:id="903" w:name="_Toc241459675"/>
      <w:bookmarkStart w:id="904" w:name="_Toc179632658"/>
      <w:bookmarkStart w:id="905" w:name="_Toc490331678"/>
      <w:bookmarkStart w:id="906" w:name="_Toc486580387"/>
      <w:bookmarkStart w:id="907" w:name="_BookMark_15"/>
      <w:r>
        <w:rPr>
          <w:rFonts w:hint="eastAsia" w:hAnsi="宋体"/>
          <w:b w:val="0"/>
          <w:color w:val="000000"/>
          <w:szCs w:val="24"/>
          <w:highlight w:val="none"/>
        </w:rPr>
        <w:t>4.1  承包人的一般义务</w:t>
      </w:r>
      <w:bookmarkEnd w:id="894"/>
      <w:bookmarkEnd w:id="895"/>
      <w:bookmarkEnd w:id="896"/>
      <w:bookmarkEnd w:id="897"/>
      <w:bookmarkEnd w:id="898"/>
      <w:bookmarkEnd w:id="899"/>
      <w:bookmarkEnd w:id="900"/>
      <w:bookmarkEnd w:id="901"/>
      <w:bookmarkEnd w:id="902"/>
      <w:bookmarkEnd w:id="903"/>
      <w:bookmarkEnd w:id="904"/>
      <w:bookmarkEnd w:id="905"/>
      <w:bookmarkEnd w:id="906"/>
    </w:p>
    <w:bookmarkEnd w:id="907"/>
    <w:p w14:paraId="724ED47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4.1.8  为他人提供方便</w:t>
      </w:r>
    </w:p>
    <w:p w14:paraId="5538B7C2">
      <w:pPr>
        <w:spacing w:line="360" w:lineRule="auto"/>
        <w:ind w:firstLine="315" w:firstLineChars="150"/>
        <w:rPr>
          <w:rFonts w:ascii="宋体" w:hAnsi="宋体"/>
          <w:color w:val="000000"/>
          <w:szCs w:val="21"/>
          <w:highlight w:val="none"/>
        </w:rPr>
      </w:pPr>
      <w:r>
        <w:rPr>
          <w:rFonts w:hint="eastAsia" w:ascii="宋体" w:hAnsi="宋体"/>
          <w:color w:val="000000"/>
          <w:szCs w:val="21"/>
          <w:highlight w:val="none"/>
        </w:rPr>
        <w:t>（1）承包人应当对在施工场地或者附近实施与合同工程有关的其他工作的独立承包人履行管理、协调、配合、照管和服务义务的具体工作内容和要求：</w:t>
      </w:r>
      <w:r>
        <w:rPr>
          <w:rFonts w:hint="eastAsia" w:ascii="宋体" w:hAnsi="宋体" w:cs="宋体"/>
          <w:color w:val="000000"/>
          <w:highlight w:val="none"/>
          <w:u w:val="single"/>
        </w:rPr>
        <w:t>无</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7BEE7D0B">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4.1.10  承包人的设计工作 </w:t>
      </w:r>
    </w:p>
    <w:p w14:paraId="073FFA9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承包人承担的施工图设计或与工程配套的设计工作内容：</w:t>
      </w:r>
      <w:r>
        <w:rPr>
          <w:rFonts w:hint="eastAsia" w:ascii="宋体" w:hAnsi="宋体" w:cs="宋体"/>
          <w:color w:val="000000"/>
          <w:highlight w:val="none"/>
          <w:u w:val="single"/>
        </w:rPr>
        <w:t>竣工图纸</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3C7D6CC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4.1.1</w:t>
      </w:r>
      <w:r>
        <w:rPr>
          <w:rFonts w:ascii="宋体" w:hAnsi="宋体"/>
          <w:color w:val="000000"/>
          <w:szCs w:val="21"/>
          <w:highlight w:val="none"/>
        </w:rPr>
        <w:t>2</w:t>
      </w:r>
      <w:r>
        <w:rPr>
          <w:rFonts w:hint="eastAsia" w:ascii="宋体" w:hAnsi="宋体"/>
          <w:color w:val="000000"/>
          <w:szCs w:val="21"/>
          <w:highlight w:val="none"/>
        </w:rPr>
        <w:t xml:space="preserve">  其他义务  </w:t>
      </w:r>
    </w:p>
    <w:p w14:paraId="32C262FC">
      <w:pPr>
        <w:spacing w:line="360" w:lineRule="auto"/>
        <w:ind w:firstLine="315" w:firstLineChars="150"/>
        <w:rPr>
          <w:rFonts w:ascii="宋体" w:hAnsi="宋体" w:cs="宋体"/>
          <w:color w:val="000000"/>
          <w:highlight w:val="none"/>
          <w:u w:val="single"/>
        </w:rPr>
      </w:pPr>
      <w:r>
        <w:rPr>
          <w:rFonts w:hint="eastAsia" w:ascii="宋体" w:hAnsi="宋体"/>
          <w:color w:val="000000"/>
          <w:szCs w:val="21"/>
          <w:highlight w:val="none"/>
        </w:rPr>
        <w:t>承包人应履行的其他义务</w:t>
      </w:r>
      <w:r>
        <w:rPr>
          <w:rFonts w:hint="eastAsia" w:ascii="宋体" w:hAnsi="宋体" w:cs="Arial"/>
          <w:color w:val="000000"/>
          <w:highlight w:val="none"/>
        </w:rPr>
        <w:t>：</w:t>
      </w:r>
      <w:r>
        <w:rPr>
          <w:rFonts w:hint="eastAsia" w:ascii="宋体" w:hAnsi="宋体"/>
          <w:color w:val="000000"/>
          <w:szCs w:val="21"/>
          <w:highlight w:val="none"/>
          <w:u w:val="single"/>
        </w:rPr>
        <w:t xml:space="preserve"> </w:t>
      </w:r>
      <w:r>
        <w:rPr>
          <w:rFonts w:ascii="宋体" w:hAnsi="宋体" w:cs="宋体"/>
          <w:color w:val="000000"/>
          <w:highlight w:val="none"/>
          <w:u w:val="single"/>
        </w:rPr>
        <w:t>1）关于扬尘治理义务</w:t>
      </w:r>
    </w:p>
    <w:p w14:paraId="665C37D5">
      <w:pPr>
        <w:spacing w:line="360" w:lineRule="auto"/>
        <w:ind w:firstLine="315" w:firstLineChars="150"/>
        <w:rPr>
          <w:rFonts w:ascii="宋体" w:hAnsi="宋体" w:cs="宋体"/>
          <w:color w:val="000000"/>
          <w:highlight w:val="none"/>
          <w:u w:val="single"/>
        </w:rPr>
      </w:pPr>
      <w:r>
        <w:rPr>
          <w:rFonts w:ascii="宋体" w:hAnsi="宋体" w:cs="宋体"/>
          <w:color w:val="000000"/>
          <w:highlight w:val="none"/>
          <w:u w:val="single"/>
        </w:rPr>
        <w:t>a.承包人应通过有效的技术手段和管理措施将施工产生的扬尘控制在相关指标范围内。确保工地沙土覆盖、工地路面硬化、出工地车辆冲洗车轮、拆除房屋的工地洒水压尘、垃圾分类密闭存放，并保证渣土运输车辆符合相关规定要求。</w:t>
      </w:r>
    </w:p>
    <w:p w14:paraId="7AD6E1DC">
      <w:pPr>
        <w:spacing w:line="360" w:lineRule="auto"/>
        <w:ind w:firstLine="315" w:firstLineChars="150"/>
        <w:rPr>
          <w:rFonts w:ascii="宋体" w:hAnsi="宋体" w:cs="宋体"/>
          <w:color w:val="000000"/>
          <w:highlight w:val="none"/>
          <w:u w:val="single"/>
        </w:rPr>
      </w:pPr>
      <w:r>
        <w:rPr>
          <w:rFonts w:ascii="宋体" w:hAnsi="宋体" w:cs="宋体"/>
          <w:color w:val="000000"/>
          <w:highlight w:val="none"/>
          <w:u w:val="single"/>
        </w:rPr>
        <w:t>b.承包人应在施工期间加强环保意识、保持工地清洁、控制扬尘、杜绝漏洒材料，使得施工现场及周围无扬尘污染。</w:t>
      </w:r>
    </w:p>
    <w:p w14:paraId="20A39BF3">
      <w:pPr>
        <w:spacing w:line="360" w:lineRule="auto"/>
        <w:ind w:firstLine="315" w:firstLineChars="150"/>
        <w:rPr>
          <w:rFonts w:ascii="宋体" w:hAnsi="宋体" w:cs="宋体"/>
          <w:color w:val="000000"/>
          <w:highlight w:val="none"/>
          <w:u w:val="single"/>
        </w:rPr>
      </w:pPr>
      <w:r>
        <w:rPr>
          <w:rFonts w:hint="eastAsia" w:ascii="宋体" w:hAnsi="宋体" w:cs="宋体"/>
          <w:color w:val="000000"/>
          <w:highlight w:val="none"/>
          <w:u w:val="single"/>
        </w:rPr>
        <w:t>c.</w:t>
      </w:r>
      <w:r>
        <w:rPr>
          <w:rFonts w:hint="eastAsia" w:cs="宋体"/>
          <w:color w:val="000000"/>
          <w:highlight w:val="none"/>
          <w:u w:val="single"/>
        </w:rPr>
        <w:t xml:space="preserve"> 因承包人原因导致发包人被处罚给或给发包人带来损失的，应在赔偿发包人损失的同时，向发包人支付同等损失金额的违约金。</w:t>
      </w:r>
    </w:p>
    <w:p w14:paraId="3FA289D3">
      <w:pPr>
        <w:spacing w:line="360" w:lineRule="auto"/>
        <w:ind w:firstLine="315" w:firstLineChars="150"/>
        <w:rPr>
          <w:rFonts w:ascii="宋体" w:hAnsi="宋体" w:cs="宋体"/>
          <w:color w:val="000000"/>
          <w:highlight w:val="none"/>
          <w:u w:val="single"/>
        </w:rPr>
      </w:pPr>
      <w:r>
        <w:rPr>
          <w:rFonts w:hint="eastAsia" w:ascii="宋体" w:hAnsi="宋体"/>
          <w:color w:val="000000"/>
          <w:szCs w:val="21"/>
          <w:highlight w:val="none"/>
          <w:u w:val="single"/>
        </w:rPr>
        <w:t xml:space="preserve"> </w:t>
      </w:r>
      <w:r>
        <w:rPr>
          <w:rFonts w:ascii="宋体" w:hAnsi="宋体" w:cs="宋体"/>
          <w:color w:val="000000"/>
          <w:highlight w:val="none"/>
          <w:u w:val="single"/>
        </w:rPr>
        <w:t>2)</w:t>
      </w:r>
      <w:r>
        <w:rPr>
          <w:rFonts w:hint="eastAsia" w:ascii="宋体" w:hAnsi="宋体" w:cs="宋体"/>
          <w:color w:val="000000"/>
          <w:highlight w:val="none"/>
          <w:u w:val="single"/>
        </w:rPr>
        <w:t>其它</w:t>
      </w:r>
    </w:p>
    <w:p w14:paraId="598E479B">
      <w:pPr>
        <w:spacing w:line="360" w:lineRule="auto"/>
        <w:ind w:firstLine="420" w:firstLineChars="200"/>
        <w:rPr>
          <w:rFonts w:ascii="宋体"/>
          <w:color w:val="000000"/>
          <w:highlight w:val="none"/>
          <w:u w:val="single"/>
        </w:rPr>
      </w:pPr>
      <w:r>
        <w:rPr>
          <w:rFonts w:ascii="宋体" w:hAnsi="宋体" w:cs="宋体"/>
          <w:color w:val="000000"/>
          <w:highlight w:val="none"/>
          <w:u w:val="single"/>
        </w:rPr>
        <w:t>a</w:t>
      </w:r>
      <w:r>
        <w:rPr>
          <w:rFonts w:hint="eastAsia" w:ascii="宋体" w:hAnsi="宋体" w:cs="宋体"/>
          <w:color w:val="000000"/>
          <w:highlight w:val="none"/>
          <w:u w:val="single"/>
        </w:rPr>
        <w:t>施工期间（竣工验收合格前）承包人项目经理每天需到发包人委托的项目管理单位签到，以签到表为准，一天未签到处罚一千元；如项目经理离开现场需向发包人委托的项目管理单位本项目</w:t>
      </w:r>
      <w:r>
        <w:rPr>
          <w:rFonts w:hint="eastAsia" w:hAnsi="宋体" w:cs="宋体"/>
          <w:szCs w:val="21"/>
          <w:highlight w:val="none"/>
          <w:u w:val="single"/>
          <w:lang w:val="en-US" w:eastAsia="zh-CN"/>
        </w:rPr>
        <w:t>经理</w:t>
      </w:r>
      <w:r>
        <w:rPr>
          <w:rFonts w:hint="eastAsia" w:ascii="宋体" w:hAnsi="宋体" w:cs="宋体"/>
          <w:color w:val="000000"/>
          <w:highlight w:val="none"/>
          <w:u w:val="single"/>
        </w:rPr>
        <w:t>请假并同意，否则每天处罚一千元。该处罚款项，发包人有权直接从工程款扣除。</w:t>
      </w:r>
    </w:p>
    <w:p w14:paraId="425DEAFD">
      <w:pPr>
        <w:spacing w:line="360" w:lineRule="auto"/>
        <w:ind w:firstLine="420" w:firstLineChars="200"/>
        <w:rPr>
          <w:rFonts w:ascii="宋体"/>
          <w:color w:val="000000"/>
          <w:highlight w:val="none"/>
          <w:u w:val="single"/>
        </w:rPr>
      </w:pPr>
      <w:r>
        <w:rPr>
          <w:rFonts w:ascii="宋体" w:hAnsi="宋体" w:cs="宋体"/>
          <w:color w:val="000000"/>
          <w:highlight w:val="none"/>
          <w:u w:val="single"/>
        </w:rPr>
        <w:t>b</w:t>
      </w:r>
      <w:r>
        <w:rPr>
          <w:rFonts w:hint="eastAsia" w:ascii="宋体" w:hAnsi="宋体" w:cs="宋体"/>
          <w:color w:val="000000"/>
          <w:highlight w:val="none"/>
          <w:u w:val="single"/>
        </w:rPr>
        <w:t>现场文明施工，施工作业面围挡前需提前征得现有物业管理单位的意见，合理规划，确保客流通畅，承包人应为施工场地（现场）提供和维护符合发包人和市容管理部门规定的临时围墙及其它安全防护。要求采用硬质围挡，经发包人和发包人委托的项目管理单位同意的广告布。</w:t>
      </w:r>
    </w:p>
    <w:p w14:paraId="280CB20B">
      <w:pPr>
        <w:spacing w:line="360" w:lineRule="auto"/>
        <w:ind w:firstLine="420" w:firstLineChars="200"/>
        <w:rPr>
          <w:rFonts w:ascii="宋体"/>
          <w:color w:val="000000"/>
          <w:highlight w:val="none"/>
          <w:u w:val="single"/>
        </w:rPr>
      </w:pPr>
      <w:r>
        <w:rPr>
          <w:rFonts w:ascii="宋体" w:hAnsi="宋体" w:cs="宋体"/>
          <w:color w:val="000000"/>
          <w:highlight w:val="none"/>
          <w:u w:val="single"/>
        </w:rPr>
        <w:t>c</w:t>
      </w:r>
      <w:r>
        <w:rPr>
          <w:rFonts w:hint="eastAsia" w:ascii="宋体" w:hAnsi="宋体" w:cs="宋体"/>
          <w:color w:val="000000"/>
          <w:highlight w:val="none"/>
          <w:u w:val="single"/>
        </w:rPr>
        <w:t>承包人在施工期间（竣工验收合格前），按发包人委托的项目管理单位编制的《项目管理办法》严格执行。</w:t>
      </w:r>
    </w:p>
    <w:p w14:paraId="0A172A70">
      <w:pPr>
        <w:spacing w:line="360" w:lineRule="auto"/>
        <w:ind w:firstLine="420" w:firstLineChars="200"/>
        <w:rPr>
          <w:rFonts w:ascii="宋体"/>
          <w:color w:val="000000"/>
          <w:highlight w:val="none"/>
          <w:u w:val="single"/>
        </w:rPr>
      </w:pPr>
      <w:r>
        <w:rPr>
          <w:rFonts w:hint="eastAsia" w:ascii="宋体" w:hAnsi="宋体" w:cs="宋体"/>
          <w:color w:val="000000"/>
          <w:highlight w:val="none"/>
          <w:u w:val="single"/>
        </w:rPr>
        <w:t>d现场不提供住所，需由业主方提供办公室、工人住宿等房屋条件的，承包人按发包人要求缴纳费用；现场水电单计量收费。</w:t>
      </w:r>
    </w:p>
    <w:p w14:paraId="35C3C761">
      <w:pPr>
        <w:spacing w:line="360" w:lineRule="auto"/>
        <w:ind w:firstLine="420" w:firstLineChars="200"/>
        <w:rPr>
          <w:rFonts w:ascii="宋体"/>
          <w:color w:val="000000"/>
          <w:highlight w:val="none"/>
          <w:u w:val="single"/>
        </w:rPr>
      </w:pPr>
      <w:r>
        <w:rPr>
          <w:rFonts w:hint="eastAsia" w:ascii="宋体" w:hAnsi="宋体" w:cs="宋体"/>
          <w:color w:val="000000"/>
          <w:highlight w:val="none"/>
          <w:u w:val="single"/>
        </w:rPr>
        <w:t>e承包人在进场后，合理安排材料订货、加工计划，在此期间严格按发包人和发包人委托的项目管理单位要求计划时间完成。</w:t>
      </w:r>
    </w:p>
    <w:p w14:paraId="32C4B306">
      <w:pPr>
        <w:spacing w:line="360" w:lineRule="auto"/>
        <w:ind w:firstLine="315" w:firstLineChars="150"/>
        <w:rPr>
          <w:rFonts w:ascii="宋体" w:hAnsi="宋体" w:cs="Arial"/>
          <w:color w:val="000000"/>
          <w:highlight w:val="none"/>
        </w:rPr>
      </w:pPr>
      <w:r>
        <w:rPr>
          <w:rFonts w:hint="eastAsia" w:ascii="宋体" w:hAnsi="宋体" w:cs="Arial"/>
          <w:color w:val="000000"/>
          <w:highlight w:val="none"/>
        </w:rPr>
        <w:t>f</w:t>
      </w:r>
      <w:r>
        <w:rPr>
          <w:rFonts w:hint="eastAsia" w:ascii="宋体" w:hAnsi="宋体" w:cs="Arial"/>
          <w:color w:val="000000"/>
          <w:highlight w:val="none"/>
          <w:u w:val="single"/>
        </w:rPr>
        <w:t>投标人应在措施项目中充分考虑各类重要会议或其他事件（如高考、两会、国庆、春运等）造成的对施工工作时间限制所产生的工期延误及所发生的费用。</w:t>
      </w:r>
    </w:p>
    <w:p w14:paraId="3F14BE67">
      <w:pPr>
        <w:pStyle w:val="6"/>
        <w:spacing w:line="360" w:lineRule="auto"/>
        <w:rPr>
          <w:rFonts w:hAnsi="宋体"/>
          <w:b w:val="0"/>
          <w:color w:val="000000"/>
          <w:szCs w:val="24"/>
          <w:highlight w:val="none"/>
        </w:rPr>
      </w:pPr>
      <w:bookmarkStart w:id="908" w:name="_Toc486580388"/>
      <w:bookmarkStart w:id="909" w:name="_Toc490331679"/>
      <w:bookmarkStart w:id="910" w:name="_Toc492202858"/>
      <w:bookmarkStart w:id="911" w:name="_Toc485323162"/>
      <w:bookmarkStart w:id="912" w:name="_Toc489280194"/>
      <w:bookmarkStart w:id="913" w:name="_Toc480303394"/>
      <w:bookmarkStart w:id="914" w:name="_Toc491149518"/>
      <w:bookmarkStart w:id="915" w:name="_BookMark_16"/>
      <w:r>
        <w:rPr>
          <w:rFonts w:hint="eastAsia" w:hAnsi="宋体"/>
          <w:b w:val="0"/>
          <w:color w:val="000000"/>
          <w:szCs w:val="24"/>
          <w:highlight w:val="none"/>
        </w:rPr>
        <w:t>4.2  履约担保</w:t>
      </w:r>
      <w:bookmarkEnd w:id="908"/>
      <w:bookmarkEnd w:id="909"/>
      <w:bookmarkEnd w:id="910"/>
      <w:bookmarkEnd w:id="911"/>
      <w:bookmarkEnd w:id="912"/>
      <w:bookmarkEnd w:id="913"/>
      <w:bookmarkEnd w:id="914"/>
      <w:r>
        <w:rPr>
          <w:rFonts w:hint="eastAsia" w:hAnsi="宋体"/>
          <w:b w:val="0"/>
          <w:color w:val="000000"/>
          <w:szCs w:val="24"/>
          <w:highlight w:val="none"/>
        </w:rPr>
        <w:t xml:space="preserve"> </w:t>
      </w:r>
    </w:p>
    <w:bookmarkEnd w:id="915"/>
    <w:p w14:paraId="19D94B5D">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4.2.1  承包人履约担保的格式和金额</w:t>
      </w:r>
    </w:p>
    <w:p w14:paraId="402CEF6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发包人</w:t>
      </w:r>
      <w:r>
        <w:rPr>
          <w:rFonts w:hint="eastAsia" w:ascii="宋体" w:hAnsi="宋体"/>
          <w:color w:val="000000"/>
          <w:szCs w:val="21"/>
          <w:highlight w:val="none"/>
          <w:u w:val="single"/>
        </w:rPr>
        <w:t xml:space="preserve">  不要求  </w:t>
      </w:r>
      <w:r>
        <w:rPr>
          <w:rFonts w:hint="eastAsia" w:ascii="宋体" w:hAnsi="宋体"/>
          <w:color w:val="000000"/>
          <w:szCs w:val="21"/>
          <w:highlight w:val="none"/>
        </w:rPr>
        <w:t>（要求/不要求）承包人提供承包人履约担保。</w:t>
      </w:r>
    </w:p>
    <w:p w14:paraId="16E7FF6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承包人履约担保的金额为</w:t>
      </w:r>
      <w:r>
        <w:rPr>
          <w:rFonts w:hint="eastAsia" w:ascii="宋体" w:hAnsi="宋体"/>
          <w:color w:val="000000"/>
          <w:szCs w:val="21"/>
          <w:highlight w:val="none"/>
          <w:u w:val="single"/>
        </w:rPr>
        <w:t>/</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5D3D0D58">
      <w:pPr>
        <w:pStyle w:val="6"/>
        <w:spacing w:line="360" w:lineRule="auto"/>
        <w:rPr>
          <w:rFonts w:hAnsi="宋体"/>
          <w:b w:val="0"/>
          <w:color w:val="000000"/>
          <w:szCs w:val="24"/>
          <w:highlight w:val="none"/>
        </w:rPr>
      </w:pPr>
      <w:bookmarkStart w:id="916" w:name="_Toc492202859"/>
      <w:bookmarkStart w:id="917" w:name="_Toc480303395"/>
      <w:bookmarkStart w:id="918" w:name="_Toc485323163"/>
      <w:bookmarkStart w:id="919" w:name="_Toc490331680"/>
      <w:bookmarkStart w:id="920" w:name="_Toc491149519"/>
      <w:bookmarkStart w:id="921" w:name="_Toc486580389"/>
      <w:bookmarkStart w:id="922" w:name="_Toc489280195"/>
      <w:bookmarkStart w:id="923" w:name="_BookMark_17"/>
      <w:r>
        <w:rPr>
          <w:rFonts w:hint="eastAsia" w:hAnsi="宋体"/>
          <w:b w:val="0"/>
          <w:color w:val="000000"/>
          <w:szCs w:val="24"/>
          <w:highlight w:val="none"/>
        </w:rPr>
        <w:t>4.11  不利物质条件</w:t>
      </w:r>
      <w:bookmarkEnd w:id="916"/>
      <w:bookmarkEnd w:id="917"/>
      <w:bookmarkEnd w:id="918"/>
      <w:bookmarkEnd w:id="919"/>
      <w:bookmarkEnd w:id="920"/>
      <w:bookmarkEnd w:id="921"/>
      <w:bookmarkEnd w:id="922"/>
    </w:p>
    <w:bookmarkEnd w:id="923"/>
    <w:p w14:paraId="0A35D26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4.11.1  不利物质条件的范围：</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p>
    <w:p w14:paraId="4DD535F9">
      <w:pPr>
        <w:pStyle w:val="4"/>
        <w:spacing w:line="360" w:lineRule="auto"/>
        <w:jc w:val="left"/>
        <w:rPr>
          <w:rFonts w:ascii="宋体" w:hAnsi="宋体"/>
          <w:color w:val="000000"/>
          <w:szCs w:val="30"/>
          <w:highlight w:val="none"/>
        </w:rPr>
      </w:pPr>
      <w:bookmarkStart w:id="924" w:name="_Toc480303396"/>
      <w:bookmarkStart w:id="925" w:name="_Toc490331681"/>
      <w:bookmarkStart w:id="926" w:name="_Toc491149520"/>
      <w:bookmarkStart w:id="927" w:name="_Toc489280196"/>
      <w:bookmarkStart w:id="928" w:name="_Toc492202860"/>
      <w:bookmarkStart w:id="929" w:name="_Toc485323164"/>
      <w:bookmarkStart w:id="930" w:name="_Toc486580390"/>
      <w:bookmarkStart w:id="931" w:name="_BookMark_18"/>
      <w:r>
        <w:rPr>
          <w:rFonts w:hint="eastAsia" w:ascii="宋体" w:hAnsi="宋体"/>
          <w:color w:val="000000"/>
          <w:szCs w:val="30"/>
          <w:highlight w:val="none"/>
        </w:rPr>
        <w:t>5.材料和工程设备</w:t>
      </w:r>
      <w:bookmarkEnd w:id="924"/>
      <w:bookmarkEnd w:id="925"/>
      <w:bookmarkEnd w:id="926"/>
      <w:bookmarkEnd w:id="927"/>
      <w:bookmarkEnd w:id="928"/>
      <w:bookmarkEnd w:id="929"/>
      <w:bookmarkEnd w:id="930"/>
    </w:p>
    <w:bookmarkEnd w:id="931"/>
    <w:p w14:paraId="07845DAA">
      <w:pPr>
        <w:pStyle w:val="6"/>
        <w:spacing w:line="360" w:lineRule="auto"/>
        <w:rPr>
          <w:rFonts w:hAnsi="宋体"/>
          <w:b w:val="0"/>
          <w:color w:val="000000"/>
          <w:szCs w:val="24"/>
          <w:highlight w:val="none"/>
        </w:rPr>
      </w:pPr>
      <w:bookmarkStart w:id="932" w:name="_Toc489280197"/>
      <w:bookmarkStart w:id="933" w:name="_Toc492202861"/>
      <w:bookmarkStart w:id="934" w:name="_Toc491149521"/>
      <w:bookmarkStart w:id="935" w:name="_Toc490331682"/>
      <w:bookmarkStart w:id="936" w:name="_Toc486580391"/>
      <w:bookmarkStart w:id="937" w:name="_Toc485323165"/>
      <w:bookmarkStart w:id="938" w:name="_Toc480303397"/>
      <w:bookmarkStart w:id="939" w:name="_BookMark_19"/>
      <w:r>
        <w:rPr>
          <w:rFonts w:hint="eastAsia" w:hAnsi="宋体"/>
          <w:b w:val="0"/>
          <w:color w:val="000000"/>
          <w:szCs w:val="24"/>
          <w:highlight w:val="none"/>
        </w:rPr>
        <w:t>5.1  承包人提供的材料和工程设备</w:t>
      </w:r>
      <w:bookmarkEnd w:id="932"/>
      <w:bookmarkEnd w:id="933"/>
      <w:bookmarkEnd w:id="934"/>
      <w:bookmarkEnd w:id="935"/>
      <w:bookmarkEnd w:id="936"/>
      <w:bookmarkEnd w:id="937"/>
      <w:bookmarkEnd w:id="938"/>
    </w:p>
    <w:bookmarkEnd w:id="939"/>
    <w:p w14:paraId="7C09EBD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5.1.2 承包人将由其提供的材料和工程设备的供货人和品种、规格、数量及供货时间等报送监理人审批的期限：</w:t>
      </w:r>
      <w:r>
        <w:rPr>
          <w:rFonts w:hint="eastAsia" w:ascii="宋体" w:hAnsi="宋体" w:cs="宋体"/>
          <w:color w:val="000000"/>
          <w:highlight w:val="none"/>
          <w:u w:val="single"/>
        </w:rPr>
        <w:t>监理人收到承包人报送文件后</w:t>
      </w:r>
      <w:r>
        <w:rPr>
          <w:rFonts w:ascii="宋体" w:hAnsi="宋体" w:cs="宋体"/>
          <w:color w:val="000000"/>
          <w:highlight w:val="none"/>
          <w:u w:val="single"/>
        </w:rPr>
        <w:t>5</w:t>
      </w:r>
      <w:r>
        <w:rPr>
          <w:rFonts w:hint="eastAsia" w:ascii="宋体" w:hAnsi="宋体" w:cs="宋体"/>
          <w:color w:val="000000"/>
          <w:highlight w:val="none"/>
          <w:u w:val="single"/>
        </w:rPr>
        <w:t>个工作日审批完毕。</w:t>
      </w:r>
      <w:r>
        <w:rPr>
          <w:rFonts w:hint="eastAsia" w:ascii="宋体" w:hAnsi="宋体"/>
          <w:color w:val="000000"/>
          <w:szCs w:val="21"/>
          <w:highlight w:val="none"/>
          <w:u w:val="single"/>
        </w:rPr>
        <w:t xml:space="preserve">  </w:t>
      </w:r>
    </w:p>
    <w:p w14:paraId="23A89F72">
      <w:pPr>
        <w:pStyle w:val="4"/>
        <w:spacing w:line="360" w:lineRule="auto"/>
        <w:jc w:val="left"/>
        <w:rPr>
          <w:rFonts w:ascii="宋体" w:hAnsi="宋体"/>
          <w:color w:val="000000"/>
          <w:szCs w:val="30"/>
          <w:highlight w:val="none"/>
        </w:rPr>
      </w:pPr>
      <w:bookmarkStart w:id="940" w:name="_Toc486580392"/>
      <w:bookmarkStart w:id="941" w:name="_Toc490331683"/>
      <w:bookmarkStart w:id="942" w:name="_Toc485323166"/>
      <w:bookmarkStart w:id="943" w:name="_Toc491149522"/>
      <w:bookmarkStart w:id="944" w:name="_Toc489280198"/>
      <w:bookmarkStart w:id="945" w:name="_Toc480303398"/>
      <w:bookmarkStart w:id="946" w:name="_Toc492202862"/>
      <w:bookmarkStart w:id="947" w:name="_BookMark_20"/>
      <w:r>
        <w:rPr>
          <w:rFonts w:hint="eastAsia" w:ascii="宋体" w:hAnsi="宋体"/>
          <w:color w:val="000000"/>
          <w:szCs w:val="30"/>
          <w:highlight w:val="none"/>
        </w:rPr>
        <w:t>6.施工设备和临时设施</w:t>
      </w:r>
      <w:bookmarkEnd w:id="940"/>
      <w:bookmarkEnd w:id="941"/>
      <w:bookmarkEnd w:id="942"/>
      <w:bookmarkEnd w:id="943"/>
      <w:bookmarkEnd w:id="944"/>
      <w:bookmarkEnd w:id="945"/>
      <w:bookmarkEnd w:id="946"/>
    </w:p>
    <w:bookmarkEnd w:id="947"/>
    <w:p w14:paraId="16F9AF42">
      <w:pPr>
        <w:pStyle w:val="6"/>
        <w:spacing w:line="360" w:lineRule="auto"/>
        <w:rPr>
          <w:rFonts w:hAnsi="宋体"/>
          <w:b w:val="0"/>
          <w:color w:val="000000"/>
          <w:szCs w:val="24"/>
          <w:highlight w:val="none"/>
        </w:rPr>
      </w:pPr>
      <w:bookmarkStart w:id="948" w:name="_Toc480303399"/>
      <w:bookmarkStart w:id="949" w:name="_Toc489280199"/>
      <w:bookmarkStart w:id="950" w:name="_Toc492202863"/>
      <w:bookmarkStart w:id="951" w:name="_Toc491149523"/>
      <w:bookmarkStart w:id="952" w:name="_Toc485323167"/>
      <w:bookmarkStart w:id="953" w:name="_Toc490331684"/>
      <w:bookmarkStart w:id="954" w:name="_Toc486580393"/>
      <w:bookmarkStart w:id="955" w:name="_BookMark_21"/>
      <w:r>
        <w:rPr>
          <w:rFonts w:hint="eastAsia" w:hAnsi="宋体"/>
          <w:b w:val="0"/>
          <w:color w:val="000000"/>
          <w:szCs w:val="24"/>
          <w:highlight w:val="none"/>
        </w:rPr>
        <w:t>6.1  承包人提供的施工设备和临时设施</w:t>
      </w:r>
      <w:bookmarkEnd w:id="948"/>
      <w:bookmarkEnd w:id="949"/>
      <w:bookmarkEnd w:id="950"/>
      <w:bookmarkEnd w:id="951"/>
      <w:bookmarkEnd w:id="952"/>
      <w:bookmarkEnd w:id="953"/>
      <w:bookmarkEnd w:id="954"/>
    </w:p>
    <w:bookmarkEnd w:id="955"/>
    <w:p w14:paraId="03C53E7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6.1.2  发包人承担自行修建临时设施费用的范围：</w:t>
      </w:r>
      <w:r>
        <w:rPr>
          <w:rFonts w:hint="eastAsia" w:ascii="宋体" w:hAnsi="宋体" w:cs="宋体"/>
          <w:color w:val="000000"/>
          <w:highlight w:val="none"/>
          <w:u w:val="single"/>
        </w:rPr>
        <w:t>无</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40F9F348">
      <w:pPr>
        <w:spacing w:line="360" w:lineRule="auto"/>
        <w:ind w:firstLine="420" w:firstLineChars="200"/>
        <w:rPr>
          <w:rFonts w:ascii="宋体" w:hAnsi="宋体" w:cs="Arial"/>
          <w:color w:val="000000"/>
          <w:highlight w:val="none"/>
        </w:rPr>
      </w:pPr>
      <w:r>
        <w:rPr>
          <w:rFonts w:hint="eastAsia" w:ascii="宋体" w:hAnsi="宋体"/>
          <w:color w:val="000000"/>
          <w:highlight w:val="none"/>
        </w:rPr>
        <w:t>发包人办理申请手续并承担相关费用的临时占地：</w:t>
      </w:r>
      <w:r>
        <w:rPr>
          <w:rFonts w:hint="eastAsia" w:ascii="宋体" w:hAnsi="宋体"/>
          <w:color w:val="000000"/>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4FF6F6C2">
      <w:pPr>
        <w:pStyle w:val="6"/>
        <w:spacing w:line="360" w:lineRule="auto"/>
        <w:rPr>
          <w:rFonts w:hAnsi="宋体"/>
          <w:b w:val="0"/>
          <w:color w:val="000000"/>
          <w:szCs w:val="24"/>
          <w:highlight w:val="none"/>
        </w:rPr>
      </w:pPr>
      <w:bookmarkStart w:id="956" w:name="_Toc489280200"/>
      <w:bookmarkStart w:id="957" w:name="_Toc490331685"/>
      <w:bookmarkStart w:id="958" w:name="_Toc480303400"/>
      <w:bookmarkStart w:id="959" w:name="_Toc485323168"/>
      <w:bookmarkStart w:id="960" w:name="_Toc492202864"/>
      <w:bookmarkStart w:id="961" w:name="_Toc491149524"/>
      <w:bookmarkStart w:id="962" w:name="_Toc486580394"/>
      <w:bookmarkStart w:id="963" w:name="_BookMark_22"/>
      <w:r>
        <w:rPr>
          <w:rFonts w:hint="eastAsia" w:hAnsi="宋体"/>
          <w:b w:val="0"/>
          <w:color w:val="000000"/>
          <w:szCs w:val="24"/>
          <w:highlight w:val="none"/>
        </w:rPr>
        <w:t xml:space="preserve">6.2 </w:t>
      </w:r>
      <w:r>
        <w:rPr>
          <w:rFonts w:hAnsi="宋体"/>
          <w:b w:val="0"/>
          <w:color w:val="000000"/>
          <w:szCs w:val="24"/>
          <w:highlight w:val="none"/>
        </w:rPr>
        <w:t xml:space="preserve"> </w:t>
      </w:r>
      <w:r>
        <w:rPr>
          <w:rFonts w:hint="eastAsia" w:hAnsi="宋体"/>
          <w:b w:val="0"/>
          <w:color w:val="000000"/>
          <w:szCs w:val="24"/>
          <w:highlight w:val="none"/>
        </w:rPr>
        <w:t>发包人提供的施工设备和临时设施</w:t>
      </w:r>
      <w:bookmarkEnd w:id="956"/>
      <w:bookmarkEnd w:id="957"/>
      <w:bookmarkEnd w:id="958"/>
      <w:bookmarkEnd w:id="959"/>
      <w:bookmarkEnd w:id="960"/>
      <w:bookmarkEnd w:id="961"/>
      <w:bookmarkEnd w:id="962"/>
    </w:p>
    <w:bookmarkEnd w:id="963"/>
    <w:p w14:paraId="5065560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发包人提供的施工设备和临时设施：</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临时用水接口、临时用电接口。</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5AA142E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发包人提供的施工设备和临时设施的运行、维护、拆除、清运费用的承担人：</w:t>
      </w:r>
      <w:r>
        <w:rPr>
          <w:rFonts w:hint="eastAsia" w:ascii="宋体" w:hAnsi="宋体"/>
          <w:color w:val="000000"/>
          <w:szCs w:val="21"/>
          <w:highlight w:val="none"/>
          <w:u w:val="single"/>
        </w:rPr>
        <w:t>承包人违规操作导致设备损毁而产生的更换和维修费由承包人承担，其他费用由发包人承担</w:t>
      </w:r>
      <w:r>
        <w:rPr>
          <w:rFonts w:hint="eastAsia" w:ascii="宋体" w:hAnsi="宋体"/>
          <w:color w:val="000000"/>
          <w:szCs w:val="21"/>
          <w:highlight w:val="none"/>
        </w:rPr>
        <w:t>。</w:t>
      </w:r>
    </w:p>
    <w:p w14:paraId="77913A69">
      <w:pPr>
        <w:pStyle w:val="4"/>
        <w:spacing w:line="360" w:lineRule="auto"/>
        <w:jc w:val="left"/>
        <w:rPr>
          <w:rFonts w:ascii="宋体" w:hAnsi="宋体"/>
          <w:color w:val="000000"/>
          <w:szCs w:val="30"/>
          <w:highlight w:val="none"/>
        </w:rPr>
      </w:pPr>
      <w:bookmarkStart w:id="964" w:name="_Toc486580395"/>
      <w:bookmarkStart w:id="965" w:name="_Toc489280201"/>
      <w:bookmarkStart w:id="966" w:name="_Toc491149525"/>
      <w:bookmarkStart w:id="967" w:name="_Toc490331686"/>
      <w:bookmarkStart w:id="968" w:name="_Toc485323169"/>
      <w:bookmarkStart w:id="969" w:name="_Toc480303401"/>
      <w:bookmarkStart w:id="970" w:name="_Toc492202865"/>
      <w:bookmarkStart w:id="971" w:name="_BookMark_23"/>
      <w:r>
        <w:rPr>
          <w:rFonts w:hint="eastAsia" w:ascii="宋体" w:hAnsi="宋体"/>
          <w:color w:val="000000"/>
          <w:szCs w:val="30"/>
          <w:highlight w:val="none"/>
        </w:rPr>
        <w:t>7.交通运输</w:t>
      </w:r>
      <w:bookmarkEnd w:id="964"/>
      <w:bookmarkEnd w:id="965"/>
      <w:bookmarkEnd w:id="966"/>
      <w:bookmarkEnd w:id="967"/>
      <w:bookmarkEnd w:id="968"/>
      <w:bookmarkEnd w:id="969"/>
      <w:bookmarkEnd w:id="970"/>
    </w:p>
    <w:bookmarkEnd w:id="971"/>
    <w:p w14:paraId="197AD6D1">
      <w:pPr>
        <w:pStyle w:val="6"/>
        <w:spacing w:line="360" w:lineRule="auto"/>
        <w:rPr>
          <w:rFonts w:hAnsi="宋体"/>
          <w:b w:val="0"/>
          <w:color w:val="000000"/>
          <w:szCs w:val="24"/>
          <w:highlight w:val="none"/>
        </w:rPr>
      </w:pPr>
      <w:bookmarkStart w:id="972" w:name="_Toc485323170"/>
      <w:bookmarkStart w:id="973" w:name="_Toc490331687"/>
      <w:bookmarkStart w:id="974" w:name="_Toc491149526"/>
      <w:bookmarkStart w:id="975" w:name="_Toc489280202"/>
      <w:bookmarkStart w:id="976" w:name="_Toc486580396"/>
      <w:bookmarkStart w:id="977" w:name="_Toc492202866"/>
      <w:bookmarkStart w:id="978" w:name="_Toc480303402"/>
      <w:bookmarkStart w:id="979" w:name="_BookMark_24"/>
      <w:r>
        <w:rPr>
          <w:rFonts w:hint="eastAsia" w:hAnsi="宋体"/>
          <w:b w:val="0"/>
          <w:color w:val="000000"/>
          <w:szCs w:val="24"/>
          <w:highlight w:val="none"/>
        </w:rPr>
        <w:t>7.1  道路通行权和场外设施</w:t>
      </w:r>
      <w:bookmarkEnd w:id="972"/>
      <w:bookmarkEnd w:id="973"/>
      <w:bookmarkEnd w:id="974"/>
      <w:bookmarkEnd w:id="975"/>
      <w:bookmarkEnd w:id="976"/>
      <w:bookmarkEnd w:id="977"/>
      <w:bookmarkEnd w:id="978"/>
    </w:p>
    <w:bookmarkEnd w:id="979"/>
    <w:p w14:paraId="188FCF65">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负责取得道路通行权、场外设施修建权的办理人:</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发包人</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，其相关费用由发包人承担。                       </w:t>
      </w:r>
    </w:p>
    <w:p w14:paraId="60140365">
      <w:pPr>
        <w:pStyle w:val="6"/>
        <w:spacing w:line="360" w:lineRule="auto"/>
        <w:rPr>
          <w:rFonts w:hAnsi="宋体"/>
          <w:b w:val="0"/>
          <w:color w:val="000000"/>
          <w:szCs w:val="24"/>
          <w:highlight w:val="none"/>
        </w:rPr>
      </w:pPr>
      <w:bookmarkStart w:id="980" w:name="_Toc491149527"/>
      <w:bookmarkStart w:id="981" w:name="_Toc489280203"/>
      <w:bookmarkStart w:id="982" w:name="_Toc480303403"/>
      <w:bookmarkStart w:id="983" w:name="_Toc492202867"/>
      <w:bookmarkStart w:id="984" w:name="_Toc490331688"/>
      <w:bookmarkStart w:id="985" w:name="_Toc485323171"/>
      <w:bookmarkStart w:id="986" w:name="_Toc486580397"/>
      <w:bookmarkStart w:id="987" w:name="_BookMark_25"/>
      <w:r>
        <w:rPr>
          <w:rFonts w:hint="eastAsia" w:hAnsi="宋体"/>
          <w:b w:val="0"/>
          <w:color w:val="000000"/>
          <w:szCs w:val="24"/>
          <w:highlight w:val="none"/>
        </w:rPr>
        <w:t>7.2  场内施工道路</w:t>
      </w:r>
      <w:bookmarkEnd w:id="980"/>
      <w:bookmarkEnd w:id="981"/>
      <w:bookmarkEnd w:id="982"/>
      <w:bookmarkEnd w:id="983"/>
      <w:bookmarkEnd w:id="984"/>
      <w:bookmarkEnd w:id="985"/>
      <w:bookmarkEnd w:id="986"/>
    </w:p>
    <w:bookmarkEnd w:id="987"/>
    <w:p w14:paraId="7AD3323F">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7.2.1  施工所需的场内临时道路和交通设施的修建、维护、养护和管理人：</w:t>
      </w:r>
      <w:r>
        <w:rPr>
          <w:rFonts w:hint="eastAsia" w:ascii="宋体" w:hAnsi="宋体" w:cs="宋体"/>
          <w:color w:val="000000"/>
          <w:highlight w:val="none"/>
          <w:u w:val="single"/>
        </w:rPr>
        <w:t>承包人</w:t>
      </w:r>
      <w:r>
        <w:rPr>
          <w:rFonts w:hint="eastAsia" w:ascii="宋体" w:hAnsi="宋体"/>
          <w:color w:val="000000"/>
          <w:szCs w:val="21"/>
          <w:highlight w:val="none"/>
        </w:rPr>
        <w:t>，相关费用由</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承包人</w:t>
      </w:r>
      <w:r>
        <w:rPr>
          <w:rFonts w:hint="eastAsia" w:ascii="宋体" w:hAnsi="宋体"/>
          <w:color w:val="000000"/>
          <w:szCs w:val="21"/>
          <w:highlight w:val="none"/>
          <w:u w:val="single"/>
        </w:rPr>
        <w:t xml:space="preserve"> </w:t>
      </w:r>
      <w:r>
        <w:rPr>
          <w:rFonts w:hint="eastAsia" w:ascii="宋体" w:hAnsi="宋体"/>
          <w:color w:val="000000"/>
          <w:szCs w:val="21"/>
          <w:highlight w:val="none"/>
        </w:rPr>
        <w:t>承担。</w:t>
      </w:r>
    </w:p>
    <w:p w14:paraId="133BA50F">
      <w:pPr>
        <w:pStyle w:val="6"/>
        <w:spacing w:line="360" w:lineRule="auto"/>
        <w:rPr>
          <w:rFonts w:hAnsi="宋体"/>
          <w:b w:val="0"/>
          <w:color w:val="000000"/>
          <w:szCs w:val="24"/>
          <w:highlight w:val="none"/>
        </w:rPr>
      </w:pPr>
      <w:bookmarkStart w:id="988" w:name="_Toc490331689"/>
      <w:bookmarkStart w:id="989" w:name="_Toc489280204"/>
      <w:bookmarkStart w:id="990" w:name="_Toc491149528"/>
      <w:bookmarkStart w:id="991" w:name="_Toc486580398"/>
      <w:bookmarkStart w:id="992" w:name="_Toc485323172"/>
      <w:bookmarkStart w:id="993" w:name="_Toc492202868"/>
      <w:bookmarkStart w:id="994" w:name="_Toc480303404"/>
      <w:bookmarkStart w:id="995" w:name="_BookMark_26"/>
      <w:r>
        <w:rPr>
          <w:rFonts w:hint="eastAsia" w:hAnsi="宋体"/>
          <w:b w:val="0"/>
          <w:color w:val="000000"/>
          <w:szCs w:val="24"/>
          <w:highlight w:val="none"/>
        </w:rPr>
        <w:t>7.4  超大件和超重件的运输</w:t>
      </w:r>
      <w:bookmarkEnd w:id="988"/>
      <w:bookmarkEnd w:id="989"/>
      <w:bookmarkEnd w:id="990"/>
      <w:bookmarkEnd w:id="991"/>
      <w:bookmarkEnd w:id="992"/>
      <w:bookmarkEnd w:id="993"/>
      <w:bookmarkEnd w:id="994"/>
    </w:p>
    <w:bookmarkEnd w:id="995"/>
    <w:p w14:paraId="7237E1D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运输超大件或超重件所需的道路和桥梁临时加固改造等费用的承担人：</w:t>
      </w:r>
      <w:r>
        <w:rPr>
          <w:rFonts w:hint="eastAsia" w:ascii="宋体" w:hAnsi="宋体" w:cs="宋体"/>
          <w:color w:val="000000"/>
          <w:highlight w:val="none"/>
          <w:u w:val="single"/>
        </w:rPr>
        <w:t>承包人，此费用计入投标报价中</w:t>
      </w:r>
      <w:r>
        <w:rPr>
          <w:rFonts w:ascii="宋体" w:hAnsi="宋体" w:cs="宋体"/>
          <w:color w:val="000000"/>
          <w:highlight w:val="none"/>
          <w:u w:val="single"/>
        </w:rPr>
        <w:t xml:space="preserve"> </w:t>
      </w:r>
      <w:r>
        <w:rPr>
          <w:rFonts w:hint="eastAsia" w:ascii="宋体" w:hAnsi="宋体" w:cs="宋体"/>
          <w:color w:val="000000"/>
          <w:highlight w:val="none"/>
          <w:u w:val="single"/>
        </w:rPr>
        <w:t>。</w:t>
      </w:r>
      <w:r>
        <w:rPr>
          <w:rFonts w:hint="eastAsia" w:ascii="宋体" w:hAnsi="宋体"/>
          <w:color w:val="000000"/>
          <w:szCs w:val="21"/>
          <w:highlight w:val="none"/>
          <w:u w:val="single"/>
        </w:rPr>
        <w:t xml:space="preserve">  </w:t>
      </w:r>
    </w:p>
    <w:p w14:paraId="64DF5064">
      <w:pPr>
        <w:pStyle w:val="4"/>
        <w:spacing w:line="360" w:lineRule="auto"/>
        <w:jc w:val="left"/>
        <w:rPr>
          <w:rFonts w:ascii="宋体" w:hAnsi="宋体"/>
          <w:color w:val="000000"/>
          <w:szCs w:val="30"/>
          <w:highlight w:val="none"/>
        </w:rPr>
      </w:pPr>
      <w:bookmarkStart w:id="996" w:name="_Toc492202869"/>
      <w:bookmarkStart w:id="997" w:name="_Toc490331690"/>
      <w:bookmarkStart w:id="998" w:name="_Toc480303405"/>
      <w:bookmarkStart w:id="999" w:name="_Toc491149529"/>
      <w:bookmarkStart w:id="1000" w:name="_Toc489280205"/>
      <w:bookmarkStart w:id="1001" w:name="_Toc485323173"/>
      <w:bookmarkStart w:id="1002" w:name="_Toc486580399"/>
      <w:bookmarkStart w:id="1003" w:name="_BookMark_27"/>
      <w:r>
        <w:rPr>
          <w:rFonts w:hint="eastAsia" w:ascii="宋体" w:hAnsi="宋体"/>
          <w:color w:val="000000"/>
          <w:szCs w:val="30"/>
          <w:highlight w:val="none"/>
        </w:rPr>
        <w:t>8.测量放线</w:t>
      </w:r>
      <w:bookmarkEnd w:id="996"/>
      <w:bookmarkEnd w:id="997"/>
      <w:bookmarkEnd w:id="998"/>
      <w:bookmarkEnd w:id="999"/>
      <w:bookmarkEnd w:id="1000"/>
      <w:bookmarkEnd w:id="1001"/>
      <w:bookmarkEnd w:id="1002"/>
    </w:p>
    <w:bookmarkEnd w:id="1003"/>
    <w:p w14:paraId="661BE62A">
      <w:pPr>
        <w:pStyle w:val="6"/>
        <w:spacing w:line="360" w:lineRule="auto"/>
        <w:rPr>
          <w:rFonts w:hAnsi="宋体"/>
          <w:b w:val="0"/>
          <w:color w:val="000000"/>
          <w:szCs w:val="24"/>
          <w:highlight w:val="none"/>
        </w:rPr>
      </w:pPr>
      <w:bookmarkStart w:id="1004" w:name="_Toc480303406"/>
      <w:bookmarkStart w:id="1005" w:name="_Toc492202870"/>
      <w:bookmarkStart w:id="1006" w:name="_Toc490331691"/>
      <w:bookmarkStart w:id="1007" w:name="_Toc491149530"/>
      <w:bookmarkStart w:id="1008" w:name="_Toc489280206"/>
      <w:bookmarkStart w:id="1009" w:name="_Toc485323174"/>
      <w:bookmarkStart w:id="1010" w:name="_Toc486580400"/>
      <w:bookmarkStart w:id="1011" w:name="_BookMark_28"/>
      <w:r>
        <w:rPr>
          <w:rFonts w:hint="eastAsia" w:hAnsi="宋体"/>
          <w:b w:val="0"/>
          <w:color w:val="000000"/>
          <w:szCs w:val="24"/>
          <w:highlight w:val="none"/>
        </w:rPr>
        <w:t>8.1  施工控制网</w:t>
      </w:r>
      <w:bookmarkEnd w:id="1004"/>
      <w:bookmarkEnd w:id="1005"/>
      <w:bookmarkEnd w:id="1006"/>
      <w:bookmarkEnd w:id="1007"/>
      <w:bookmarkEnd w:id="1008"/>
      <w:bookmarkEnd w:id="1009"/>
      <w:bookmarkEnd w:id="1010"/>
    </w:p>
    <w:bookmarkEnd w:id="1011"/>
    <w:p w14:paraId="5759D14B">
      <w:pPr>
        <w:spacing w:line="360" w:lineRule="auto"/>
        <w:ind w:firstLine="420" w:firstLineChars="200"/>
        <w:rPr>
          <w:rFonts w:ascii="宋体" w:hAnsi="宋体" w:cs="宋体"/>
          <w:color w:val="000000"/>
          <w:highlight w:val="none"/>
        </w:rPr>
      </w:pPr>
      <w:r>
        <w:rPr>
          <w:rFonts w:hint="eastAsia" w:ascii="宋体" w:hAnsi="宋体"/>
          <w:color w:val="000000"/>
          <w:szCs w:val="21"/>
          <w:highlight w:val="none"/>
        </w:rPr>
        <w:t>8.1.1  发包人通过监理人提供测量基准点、基准线和水准点及其书面资料的期限：</w:t>
      </w:r>
      <w:r>
        <w:rPr>
          <w:rFonts w:hint="eastAsia" w:ascii="宋体" w:hAnsi="宋体" w:cs="宋体"/>
          <w:color w:val="000000"/>
          <w:highlight w:val="none"/>
          <w:u w:val="single"/>
        </w:rPr>
        <w:t>合同签订后</w:t>
      </w:r>
      <w:r>
        <w:rPr>
          <w:rFonts w:ascii="宋体" w:hAnsi="宋体" w:cs="宋体"/>
          <w:color w:val="000000"/>
          <w:highlight w:val="none"/>
          <w:u w:val="single"/>
        </w:rPr>
        <w:t>7</w:t>
      </w:r>
      <w:r>
        <w:rPr>
          <w:rFonts w:hint="eastAsia" w:ascii="宋体" w:hAnsi="宋体" w:cs="宋体"/>
          <w:color w:val="000000"/>
          <w:highlight w:val="none"/>
          <w:u w:val="single"/>
        </w:rPr>
        <w:t>天内</w:t>
      </w:r>
      <w:r>
        <w:rPr>
          <w:rFonts w:hint="eastAsia" w:ascii="宋体" w:hAnsi="宋体" w:cs="宋体"/>
          <w:color w:val="000000"/>
          <w:highlight w:val="none"/>
        </w:rPr>
        <w:t>。</w:t>
      </w:r>
    </w:p>
    <w:p w14:paraId="2BBF03A3">
      <w:pPr>
        <w:spacing w:line="360" w:lineRule="auto"/>
        <w:ind w:firstLine="420" w:firstLineChars="200"/>
        <w:rPr>
          <w:rFonts w:ascii="宋体" w:hAnsi="宋体" w:cs="宋体"/>
          <w:color w:val="000000"/>
          <w:highlight w:val="none"/>
        </w:rPr>
      </w:pPr>
      <w:r>
        <w:rPr>
          <w:rFonts w:hint="eastAsia" w:ascii="宋体" w:hAnsi="宋体"/>
          <w:color w:val="000000"/>
          <w:szCs w:val="21"/>
          <w:highlight w:val="none"/>
        </w:rPr>
        <w:t>8.1.2  承包人测设施工控制网的其他要求：</w:t>
      </w:r>
      <w:r>
        <w:rPr>
          <w:rFonts w:hint="eastAsia" w:ascii="宋体" w:hAnsi="宋体" w:cs="宋体"/>
          <w:color w:val="000000"/>
          <w:highlight w:val="none"/>
          <w:u w:val="single"/>
        </w:rPr>
        <w:t>由承包人依据监理人提供的测量基准点、基准线和水准点以及国家的工程测量技术规范和合同要求的工程精度，测设自己的施工控制网</w:t>
      </w:r>
      <w:r>
        <w:rPr>
          <w:rFonts w:hint="eastAsia" w:ascii="宋体" w:hAnsi="宋体" w:cs="宋体"/>
          <w:color w:val="000000"/>
          <w:highlight w:val="none"/>
        </w:rPr>
        <w:t>。</w:t>
      </w:r>
    </w:p>
    <w:p w14:paraId="59FB5270">
      <w:pPr>
        <w:spacing w:line="360" w:lineRule="auto"/>
        <w:ind w:firstLine="420" w:firstLineChars="200"/>
        <w:rPr>
          <w:rFonts w:ascii="宋体"/>
          <w:color w:val="000000"/>
          <w:highlight w:val="none"/>
          <w:u w:val="single"/>
        </w:rPr>
      </w:pPr>
      <w:r>
        <w:rPr>
          <w:rFonts w:hint="eastAsia" w:ascii="宋体" w:hAnsi="宋体"/>
          <w:color w:val="000000"/>
          <w:szCs w:val="21"/>
          <w:highlight w:val="none"/>
        </w:rPr>
        <w:t>承包人将施工控制网资料报送监理人审批的期限：</w:t>
      </w:r>
      <w:r>
        <w:rPr>
          <w:rFonts w:hint="eastAsia" w:ascii="宋体" w:hAnsi="宋体" w:cs="宋体"/>
          <w:color w:val="000000"/>
          <w:highlight w:val="none"/>
          <w:u w:val="single"/>
        </w:rPr>
        <w:t>收到监理人发出的开工通知后</w:t>
      </w:r>
      <w:r>
        <w:rPr>
          <w:rFonts w:ascii="宋体" w:hAnsi="宋体" w:cs="宋体"/>
          <w:color w:val="000000"/>
          <w:highlight w:val="none"/>
          <w:u w:val="single"/>
        </w:rPr>
        <w:t>7</w:t>
      </w:r>
      <w:r>
        <w:rPr>
          <w:rFonts w:hint="eastAsia" w:ascii="宋体" w:hAnsi="宋体" w:cs="宋体"/>
          <w:color w:val="000000"/>
          <w:highlight w:val="none"/>
          <w:u w:val="single"/>
        </w:rPr>
        <w:t>天内</w:t>
      </w:r>
      <w:r>
        <w:rPr>
          <w:rFonts w:hint="eastAsia" w:ascii="宋体" w:hAnsi="宋体" w:cs="宋体"/>
          <w:color w:val="000000"/>
          <w:highlight w:val="none"/>
        </w:rPr>
        <w:t>。</w:t>
      </w:r>
    </w:p>
    <w:p w14:paraId="199684CE">
      <w:pPr>
        <w:spacing w:line="360" w:lineRule="auto"/>
        <w:ind w:firstLine="420" w:firstLineChars="200"/>
        <w:rPr>
          <w:rFonts w:ascii="宋体" w:hAnsi="宋体"/>
          <w:color w:val="000000"/>
          <w:szCs w:val="21"/>
          <w:highlight w:val="none"/>
          <w:u w:val="single"/>
        </w:rPr>
      </w:pPr>
    </w:p>
    <w:p w14:paraId="3E719ED0">
      <w:pPr>
        <w:pStyle w:val="4"/>
        <w:spacing w:line="360" w:lineRule="auto"/>
        <w:jc w:val="left"/>
        <w:rPr>
          <w:rFonts w:ascii="宋体" w:hAnsi="宋体"/>
          <w:color w:val="000000"/>
          <w:szCs w:val="30"/>
          <w:highlight w:val="none"/>
        </w:rPr>
      </w:pPr>
      <w:bookmarkStart w:id="1012" w:name="_Toc480303407"/>
      <w:bookmarkStart w:id="1013" w:name="_Toc485323175"/>
      <w:bookmarkStart w:id="1014" w:name="_Toc492202871"/>
      <w:bookmarkStart w:id="1015" w:name="_Toc486580401"/>
      <w:bookmarkStart w:id="1016" w:name="_Toc489280207"/>
      <w:bookmarkStart w:id="1017" w:name="_Toc490331692"/>
      <w:bookmarkStart w:id="1018" w:name="_Toc491149531"/>
      <w:bookmarkStart w:id="1019" w:name="_BookMark_29"/>
      <w:r>
        <w:rPr>
          <w:rFonts w:hint="eastAsia" w:ascii="宋体" w:hAnsi="宋体"/>
          <w:color w:val="000000"/>
          <w:szCs w:val="30"/>
          <w:highlight w:val="none"/>
        </w:rPr>
        <w:t>9.施工安全、治安保卫和环境保护</w:t>
      </w:r>
      <w:bookmarkEnd w:id="1012"/>
      <w:bookmarkEnd w:id="1013"/>
      <w:bookmarkEnd w:id="1014"/>
      <w:bookmarkEnd w:id="1015"/>
      <w:bookmarkEnd w:id="1016"/>
      <w:bookmarkEnd w:id="1017"/>
      <w:bookmarkEnd w:id="1018"/>
    </w:p>
    <w:bookmarkEnd w:id="1019"/>
    <w:p w14:paraId="27E67272">
      <w:pPr>
        <w:pStyle w:val="6"/>
        <w:spacing w:line="360" w:lineRule="auto"/>
        <w:rPr>
          <w:rFonts w:hAnsi="宋体"/>
          <w:b w:val="0"/>
          <w:color w:val="000000"/>
          <w:szCs w:val="24"/>
          <w:highlight w:val="none"/>
        </w:rPr>
      </w:pPr>
      <w:bookmarkStart w:id="1020" w:name="_Toc492202872"/>
      <w:bookmarkStart w:id="1021" w:name="_Toc485323176"/>
      <w:bookmarkStart w:id="1022" w:name="_Toc480303408"/>
      <w:bookmarkStart w:id="1023" w:name="_Toc489280208"/>
      <w:bookmarkStart w:id="1024" w:name="_Toc486580402"/>
      <w:bookmarkStart w:id="1025" w:name="_Toc491149532"/>
      <w:bookmarkStart w:id="1026" w:name="_Toc490331693"/>
      <w:bookmarkStart w:id="1027" w:name="_BookMark_30"/>
      <w:r>
        <w:rPr>
          <w:rFonts w:hint="eastAsia" w:hAnsi="宋体"/>
          <w:b w:val="0"/>
          <w:color w:val="000000"/>
          <w:szCs w:val="24"/>
          <w:highlight w:val="none"/>
        </w:rPr>
        <w:t>9.2  承包人的施工安全责任</w:t>
      </w:r>
      <w:bookmarkEnd w:id="1020"/>
      <w:bookmarkEnd w:id="1021"/>
      <w:bookmarkEnd w:id="1022"/>
      <w:bookmarkEnd w:id="1023"/>
      <w:bookmarkEnd w:id="1024"/>
      <w:bookmarkEnd w:id="1025"/>
      <w:bookmarkEnd w:id="1026"/>
    </w:p>
    <w:bookmarkEnd w:id="1027"/>
    <w:p w14:paraId="4EC153EF">
      <w:pPr>
        <w:pStyle w:val="51"/>
        <w:spacing w:line="360" w:lineRule="auto"/>
        <w:rPr>
          <w:rFonts w:ascii="宋体" w:hAnsi="宋体" w:eastAsia="宋体" w:cs="宋体"/>
          <w:color w:val="000000"/>
          <w:szCs w:val="21"/>
          <w:highlight w:val="none"/>
        </w:rPr>
      </w:pPr>
      <w:bookmarkStart w:id="1028" w:name="_Toc485323177"/>
      <w:bookmarkStart w:id="1029" w:name="_Toc486580403"/>
      <w:bookmarkStart w:id="1030" w:name="_Toc480303409"/>
      <w:bookmarkStart w:id="1031" w:name="_Toc489280209"/>
      <w:r>
        <w:rPr>
          <w:rFonts w:hint="eastAsia" w:ascii="宋体" w:hAnsi="宋体" w:eastAsia="宋体" w:cs="宋体"/>
          <w:color w:val="000000"/>
          <w:szCs w:val="21"/>
          <w:highlight w:val="none"/>
        </w:rPr>
        <w:t>9.2.1  承包人向监理人报送施工安全措施计划的期限：</w:t>
      </w:r>
      <w:r>
        <w:rPr>
          <w:rFonts w:hint="eastAsia" w:ascii="宋体" w:hAnsi="宋体" w:eastAsia="宋体" w:cs="宋体"/>
          <w:color w:val="000000"/>
          <w:szCs w:val="21"/>
          <w:highlight w:val="none"/>
          <w:u w:val="single"/>
        </w:rPr>
        <w:t xml:space="preserve">监理人发出开工通知后7天内 </w:t>
      </w:r>
      <w:r>
        <w:rPr>
          <w:rFonts w:hint="eastAsia" w:ascii="宋体" w:hAnsi="宋体" w:eastAsia="宋体" w:cs="宋体"/>
          <w:color w:val="000000"/>
          <w:szCs w:val="21"/>
          <w:highlight w:val="none"/>
        </w:rPr>
        <w:t>。</w:t>
      </w:r>
    </w:p>
    <w:p w14:paraId="69BDCD77">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监理人收到承包人报送的施工安全措施计划后应当在</w:t>
      </w:r>
      <w:r>
        <w:rPr>
          <w:rFonts w:hint="eastAsia" w:ascii="宋体" w:hAnsi="宋体" w:eastAsia="宋体" w:cs="宋体"/>
          <w:color w:val="000000"/>
          <w:szCs w:val="21"/>
          <w:highlight w:val="none"/>
          <w:u w:val="single"/>
        </w:rPr>
        <w:t xml:space="preserve">   7  </w:t>
      </w:r>
      <w:r>
        <w:rPr>
          <w:rFonts w:hint="eastAsia" w:ascii="宋体" w:hAnsi="宋体" w:eastAsia="宋体" w:cs="宋体"/>
          <w:color w:val="000000"/>
          <w:szCs w:val="21"/>
          <w:highlight w:val="none"/>
        </w:rPr>
        <w:t>天内给予批复。</w:t>
      </w:r>
    </w:p>
    <w:p w14:paraId="31803FAC">
      <w:pPr>
        <w:pStyle w:val="6"/>
        <w:spacing w:line="360" w:lineRule="auto"/>
        <w:rPr>
          <w:rFonts w:hAnsi="宋体" w:cs="宋体"/>
          <w:b w:val="0"/>
          <w:color w:val="000000"/>
          <w:szCs w:val="24"/>
          <w:highlight w:val="none"/>
        </w:rPr>
      </w:pPr>
      <w:bookmarkStart w:id="1032" w:name="_Toc490331694"/>
      <w:bookmarkStart w:id="1033" w:name="_Toc492202873"/>
      <w:bookmarkStart w:id="1034" w:name="_Toc491149533"/>
      <w:bookmarkStart w:id="1035" w:name="_BookMark_31"/>
      <w:r>
        <w:rPr>
          <w:rFonts w:hint="eastAsia" w:hAnsi="宋体" w:cs="宋体"/>
          <w:b w:val="0"/>
          <w:color w:val="000000"/>
          <w:szCs w:val="24"/>
          <w:highlight w:val="none"/>
        </w:rPr>
        <w:t>9.3  治安保卫</w:t>
      </w:r>
      <w:bookmarkEnd w:id="1028"/>
      <w:bookmarkEnd w:id="1029"/>
      <w:bookmarkEnd w:id="1030"/>
      <w:bookmarkEnd w:id="1031"/>
      <w:bookmarkEnd w:id="1032"/>
      <w:bookmarkEnd w:id="1033"/>
      <w:bookmarkEnd w:id="1034"/>
    </w:p>
    <w:bookmarkEnd w:id="1035"/>
    <w:p w14:paraId="2017837A">
      <w:pPr>
        <w:pStyle w:val="51"/>
        <w:spacing w:line="360" w:lineRule="auto"/>
        <w:rPr>
          <w:rFonts w:ascii="宋体" w:hAnsi="宋体" w:eastAsia="宋体" w:cs="宋体"/>
          <w:color w:val="000000"/>
          <w:szCs w:val="21"/>
          <w:highlight w:val="none"/>
        </w:rPr>
      </w:pPr>
      <w:bookmarkStart w:id="1036" w:name="_Toc485323178"/>
      <w:bookmarkStart w:id="1037" w:name="_Toc489280210"/>
      <w:bookmarkStart w:id="1038" w:name="_Toc486580404"/>
      <w:bookmarkStart w:id="1039" w:name="_Toc480303410"/>
      <w:r>
        <w:rPr>
          <w:rFonts w:hint="eastAsia" w:ascii="宋体" w:hAnsi="宋体" w:eastAsia="宋体" w:cs="宋体"/>
          <w:color w:val="000000"/>
          <w:szCs w:val="21"/>
          <w:highlight w:val="none"/>
        </w:rPr>
        <w:t>9.3.3 制定施工场地治安管理计划和突发治安事件紧急预案的责任人：_</w:t>
      </w:r>
      <w:r>
        <w:rPr>
          <w:rFonts w:hint="eastAsia" w:ascii="宋体" w:hAnsi="宋体" w:eastAsia="宋体" w:cs="宋体"/>
          <w:color w:val="000000"/>
          <w:szCs w:val="21"/>
          <w:highlight w:val="none"/>
          <w:u w:val="single"/>
        </w:rPr>
        <w:t>承包人</w:t>
      </w:r>
      <w:r>
        <w:rPr>
          <w:rFonts w:hint="eastAsia" w:ascii="宋体" w:hAnsi="宋体" w:eastAsia="宋体" w:cs="宋体"/>
          <w:color w:val="000000"/>
          <w:szCs w:val="21"/>
          <w:highlight w:val="none"/>
        </w:rPr>
        <w:t>____</w:t>
      </w:r>
    </w:p>
    <w:p w14:paraId="411B9891">
      <w:pPr>
        <w:pStyle w:val="6"/>
        <w:spacing w:line="360" w:lineRule="auto"/>
        <w:rPr>
          <w:rFonts w:hAnsi="宋体" w:cs="宋体"/>
          <w:b w:val="0"/>
          <w:color w:val="000000"/>
          <w:szCs w:val="24"/>
          <w:highlight w:val="none"/>
        </w:rPr>
      </w:pPr>
      <w:bookmarkStart w:id="1040" w:name="_Toc492202874"/>
      <w:bookmarkStart w:id="1041" w:name="_Toc490331695"/>
      <w:bookmarkStart w:id="1042" w:name="_Toc491149534"/>
      <w:bookmarkStart w:id="1043" w:name="_BookMark_32"/>
      <w:r>
        <w:rPr>
          <w:rFonts w:hint="eastAsia" w:hAnsi="宋体" w:cs="宋体"/>
          <w:b w:val="0"/>
          <w:color w:val="000000"/>
          <w:szCs w:val="24"/>
          <w:highlight w:val="none"/>
        </w:rPr>
        <w:t>9.4  环境保护</w:t>
      </w:r>
      <w:bookmarkEnd w:id="1036"/>
      <w:bookmarkEnd w:id="1037"/>
      <w:bookmarkEnd w:id="1038"/>
      <w:bookmarkEnd w:id="1039"/>
      <w:bookmarkEnd w:id="1040"/>
      <w:bookmarkEnd w:id="1041"/>
      <w:bookmarkEnd w:id="1042"/>
    </w:p>
    <w:bookmarkEnd w:id="1043"/>
    <w:p w14:paraId="5AB8C3D2">
      <w:pPr>
        <w:pStyle w:val="51"/>
        <w:spacing w:line="360" w:lineRule="auto"/>
        <w:rPr>
          <w:rFonts w:ascii="宋体" w:hAnsi="宋体" w:eastAsia="宋体" w:cs="宋体"/>
          <w:color w:val="000000"/>
          <w:szCs w:val="21"/>
          <w:highlight w:val="none"/>
        </w:rPr>
      </w:pPr>
      <w:bookmarkStart w:id="1044" w:name="_Toc486580405"/>
      <w:bookmarkStart w:id="1045" w:name="_Toc485323179"/>
      <w:bookmarkStart w:id="1046" w:name="_Toc480303411"/>
      <w:bookmarkStart w:id="1047" w:name="_Toc489280211"/>
      <w:r>
        <w:rPr>
          <w:rFonts w:hint="eastAsia" w:ascii="宋体" w:hAnsi="宋体" w:eastAsia="宋体" w:cs="宋体"/>
          <w:color w:val="000000"/>
          <w:szCs w:val="21"/>
          <w:highlight w:val="none"/>
        </w:rPr>
        <w:t>9.4.3  施工环保措施计划报送监理人审批的时间：__</w:t>
      </w:r>
      <w:r>
        <w:rPr>
          <w:rFonts w:hint="eastAsia" w:ascii="宋体" w:hAnsi="宋体" w:eastAsia="宋体" w:cs="宋体"/>
          <w:color w:val="000000"/>
          <w:szCs w:val="21"/>
          <w:highlight w:val="none"/>
          <w:u w:val="single"/>
        </w:rPr>
        <w:t xml:space="preserve">签订合同后7天内 </w:t>
      </w:r>
      <w:r>
        <w:rPr>
          <w:rFonts w:hint="eastAsia" w:ascii="宋体" w:hAnsi="宋体" w:eastAsia="宋体" w:cs="宋体"/>
          <w:color w:val="000000"/>
          <w:szCs w:val="21"/>
          <w:highlight w:val="none"/>
        </w:rPr>
        <w:t>。</w:t>
      </w:r>
    </w:p>
    <w:p w14:paraId="7D3D44A0">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监理人收到承包人报送的施工环保措施计划后应当在____</w:t>
      </w:r>
      <w:r>
        <w:rPr>
          <w:rFonts w:hint="eastAsia" w:ascii="宋体" w:hAnsi="宋体" w:eastAsia="宋体" w:cs="宋体"/>
          <w:color w:val="000000"/>
          <w:szCs w:val="21"/>
          <w:highlight w:val="none"/>
          <w:u w:val="single"/>
        </w:rPr>
        <w:t>7</w:t>
      </w:r>
      <w:r>
        <w:rPr>
          <w:rFonts w:hint="eastAsia" w:ascii="宋体" w:hAnsi="宋体" w:eastAsia="宋体" w:cs="宋体"/>
          <w:color w:val="000000"/>
          <w:szCs w:val="21"/>
          <w:highlight w:val="none"/>
        </w:rPr>
        <w:t>__天内给予批复。</w:t>
      </w:r>
    </w:p>
    <w:p w14:paraId="327E9933">
      <w:pPr>
        <w:pStyle w:val="4"/>
        <w:spacing w:line="360" w:lineRule="auto"/>
        <w:jc w:val="left"/>
        <w:rPr>
          <w:rFonts w:ascii="宋体" w:hAnsi="宋体" w:eastAsia="宋体" w:cs="宋体"/>
          <w:color w:val="000000"/>
          <w:szCs w:val="30"/>
          <w:highlight w:val="none"/>
        </w:rPr>
      </w:pPr>
      <w:bookmarkStart w:id="1048" w:name="_Toc492202875"/>
      <w:bookmarkStart w:id="1049" w:name="_Toc490331696"/>
      <w:bookmarkStart w:id="1050" w:name="_Toc491149535"/>
      <w:bookmarkStart w:id="1051" w:name="_BookMark_33"/>
      <w:r>
        <w:rPr>
          <w:rFonts w:hint="eastAsia" w:ascii="宋体" w:hAnsi="宋体" w:eastAsia="宋体" w:cs="宋体"/>
          <w:color w:val="000000"/>
          <w:szCs w:val="30"/>
          <w:highlight w:val="none"/>
        </w:rPr>
        <w:t>10.进度计划</w:t>
      </w:r>
      <w:bookmarkEnd w:id="1044"/>
      <w:bookmarkEnd w:id="1045"/>
      <w:bookmarkEnd w:id="1046"/>
      <w:bookmarkEnd w:id="1047"/>
      <w:bookmarkEnd w:id="1048"/>
      <w:bookmarkEnd w:id="1049"/>
      <w:bookmarkEnd w:id="1050"/>
    </w:p>
    <w:bookmarkEnd w:id="1051"/>
    <w:p w14:paraId="3DC802BC">
      <w:pPr>
        <w:pStyle w:val="6"/>
        <w:spacing w:line="360" w:lineRule="auto"/>
        <w:rPr>
          <w:rFonts w:hAnsi="宋体" w:cs="宋体"/>
          <w:b w:val="0"/>
          <w:color w:val="000000"/>
          <w:szCs w:val="24"/>
          <w:highlight w:val="none"/>
        </w:rPr>
      </w:pPr>
      <w:bookmarkStart w:id="1052" w:name="_Toc489280212"/>
      <w:bookmarkStart w:id="1053" w:name="_Toc491149536"/>
      <w:bookmarkStart w:id="1054" w:name="_Toc486580406"/>
      <w:bookmarkStart w:id="1055" w:name="_Toc490331697"/>
      <w:bookmarkStart w:id="1056" w:name="_Toc485323180"/>
      <w:bookmarkStart w:id="1057" w:name="_Toc480303412"/>
      <w:bookmarkStart w:id="1058" w:name="_Toc492202876"/>
      <w:bookmarkStart w:id="1059" w:name="_BookMark_34"/>
      <w:r>
        <w:rPr>
          <w:rFonts w:hint="eastAsia" w:hAnsi="宋体" w:cs="宋体"/>
          <w:b w:val="0"/>
          <w:color w:val="000000"/>
          <w:szCs w:val="24"/>
          <w:highlight w:val="none"/>
        </w:rPr>
        <w:t>10.1  合同进度计划</w:t>
      </w:r>
      <w:bookmarkEnd w:id="1052"/>
      <w:bookmarkEnd w:id="1053"/>
      <w:bookmarkEnd w:id="1054"/>
      <w:bookmarkEnd w:id="1055"/>
      <w:bookmarkEnd w:id="1056"/>
      <w:bookmarkEnd w:id="1057"/>
      <w:bookmarkEnd w:id="1058"/>
    </w:p>
    <w:bookmarkEnd w:id="1059"/>
    <w:p w14:paraId="3D1DAB88">
      <w:pPr>
        <w:pStyle w:val="51"/>
        <w:spacing w:line="360" w:lineRule="auto"/>
        <w:rPr>
          <w:rFonts w:ascii="宋体" w:hAnsi="宋体" w:eastAsia="宋体" w:cs="宋体"/>
          <w:color w:val="000000"/>
          <w:szCs w:val="21"/>
          <w:highlight w:val="none"/>
        </w:rPr>
      </w:pPr>
      <w:bookmarkStart w:id="1060" w:name="_Toc489280213"/>
      <w:bookmarkStart w:id="1061" w:name="_Toc485323181"/>
      <w:bookmarkStart w:id="1062" w:name="_Toc480303413"/>
      <w:bookmarkStart w:id="1063" w:name="_Toc486580407"/>
      <w:r>
        <w:rPr>
          <w:rFonts w:hint="eastAsia" w:ascii="宋体" w:hAnsi="宋体" w:eastAsia="宋体" w:cs="宋体"/>
          <w:color w:val="000000"/>
          <w:szCs w:val="21"/>
          <w:highlight w:val="none"/>
        </w:rPr>
        <w:t>10.1.1承包人编制施工进度计划和施工方案说明的内容：</w:t>
      </w:r>
      <w:r>
        <w:rPr>
          <w:rFonts w:hint="eastAsia" w:ascii="宋体" w:hAnsi="宋体" w:eastAsia="宋体" w:cs="宋体"/>
          <w:color w:val="000000"/>
          <w:szCs w:val="21"/>
          <w:highlight w:val="none"/>
          <w:u w:val="single"/>
        </w:rPr>
        <w:t>进度计划包括单位工程及分部、分项的进度计划；专业分包的进度计划； 施工方案包括人力安排、机具进场安排等。</w:t>
      </w:r>
    </w:p>
    <w:p w14:paraId="364A53F4">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10.1.2承包人编制分阶段或分项施工进度计划和施工方案说明的内容及时限要求：_</w:t>
      </w:r>
      <w:r>
        <w:rPr>
          <w:rFonts w:hint="eastAsia" w:ascii="宋体" w:hAnsi="宋体" w:eastAsia="宋体" w:cs="宋体"/>
          <w:color w:val="000000"/>
          <w:szCs w:val="21"/>
          <w:highlight w:val="none"/>
          <w:u w:val="single"/>
        </w:rPr>
        <w:t xml:space="preserve">自监理人收到承包人报送的相关进度计划和施工方案说明后14天内。   </w:t>
      </w:r>
    </w:p>
    <w:p w14:paraId="5C837F6C">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10.1.3群体工程中有关编制进度计划和施工方案说明的要求：___</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_____</w:t>
      </w:r>
    </w:p>
    <w:p w14:paraId="3BBC2C86">
      <w:pPr>
        <w:pStyle w:val="6"/>
        <w:spacing w:line="360" w:lineRule="auto"/>
        <w:rPr>
          <w:rFonts w:hAnsi="宋体" w:cs="宋体"/>
          <w:b w:val="0"/>
          <w:color w:val="000000"/>
          <w:szCs w:val="24"/>
          <w:highlight w:val="none"/>
        </w:rPr>
      </w:pPr>
      <w:bookmarkStart w:id="1064" w:name="_Toc490331698"/>
      <w:bookmarkStart w:id="1065" w:name="_Toc492202877"/>
      <w:bookmarkStart w:id="1066" w:name="_Toc491149537"/>
      <w:bookmarkStart w:id="1067" w:name="_BookMark_35"/>
      <w:r>
        <w:rPr>
          <w:rFonts w:hint="eastAsia" w:hAnsi="宋体" w:cs="宋体"/>
          <w:b w:val="0"/>
          <w:color w:val="000000"/>
          <w:szCs w:val="24"/>
          <w:highlight w:val="none"/>
        </w:rPr>
        <w:t>10.2  合同进度计划的修订</w:t>
      </w:r>
      <w:bookmarkEnd w:id="1060"/>
      <w:bookmarkEnd w:id="1061"/>
      <w:bookmarkEnd w:id="1062"/>
      <w:bookmarkEnd w:id="1063"/>
      <w:bookmarkEnd w:id="1064"/>
      <w:bookmarkEnd w:id="1065"/>
      <w:bookmarkEnd w:id="1066"/>
    </w:p>
    <w:bookmarkEnd w:id="1067"/>
    <w:p w14:paraId="3D04E5CC">
      <w:pPr>
        <w:pStyle w:val="51"/>
        <w:spacing w:line="360" w:lineRule="auto"/>
        <w:rPr>
          <w:rFonts w:ascii="宋体" w:hAnsi="宋体" w:eastAsia="宋体" w:cs="宋体"/>
          <w:color w:val="000000"/>
          <w:szCs w:val="21"/>
          <w:highlight w:val="none"/>
        </w:rPr>
      </w:pPr>
      <w:bookmarkStart w:id="1068" w:name="_Toc480303414"/>
      <w:bookmarkStart w:id="1069" w:name="_Toc489280214"/>
      <w:bookmarkStart w:id="1070" w:name="_Toc486580408"/>
      <w:bookmarkStart w:id="1071" w:name="_Toc485323182"/>
      <w:r>
        <w:rPr>
          <w:rFonts w:hint="eastAsia" w:ascii="宋体" w:hAnsi="宋体" w:eastAsia="宋体" w:cs="宋体"/>
          <w:color w:val="000000"/>
          <w:szCs w:val="21"/>
          <w:highlight w:val="none"/>
        </w:rPr>
        <w:t>10.2.1承包人报送修订合同进度计划申请报告和相关资料的期限：</w:t>
      </w:r>
      <w:r>
        <w:rPr>
          <w:rFonts w:hint="eastAsia" w:ascii="宋体" w:hAnsi="宋体" w:eastAsia="宋体" w:cs="宋体"/>
          <w:color w:val="000000"/>
          <w:szCs w:val="21"/>
          <w:highlight w:val="none"/>
          <w:u w:val="single"/>
        </w:rPr>
        <w:t>签订合同7日内</w:t>
      </w:r>
      <w:r>
        <w:rPr>
          <w:rFonts w:hint="eastAsia" w:ascii="宋体" w:hAnsi="宋体" w:eastAsia="宋体" w:cs="宋体"/>
          <w:color w:val="000000"/>
          <w:szCs w:val="21"/>
          <w:highlight w:val="none"/>
        </w:rPr>
        <w:t>。</w:t>
      </w:r>
    </w:p>
    <w:p w14:paraId="7FF0AA22">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监理人批复修订合同进度计划申请报告的期限：_</w:t>
      </w:r>
      <w:r>
        <w:rPr>
          <w:rFonts w:hint="eastAsia" w:ascii="宋体" w:hAnsi="宋体" w:eastAsia="宋体" w:cs="宋体"/>
          <w:color w:val="000000"/>
          <w:szCs w:val="21"/>
          <w:highlight w:val="none"/>
          <w:u w:val="single"/>
        </w:rPr>
        <w:t>收到承包人报送的修订合同进度计划申请报告和相关资料后7天内</w:t>
      </w:r>
      <w:r>
        <w:rPr>
          <w:rFonts w:hint="eastAsia" w:ascii="宋体" w:hAnsi="宋体" w:eastAsia="宋体" w:cs="宋体"/>
          <w:color w:val="000000"/>
          <w:szCs w:val="21"/>
          <w:highlight w:val="none"/>
        </w:rPr>
        <w:t>。</w:t>
      </w:r>
    </w:p>
    <w:p w14:paraId="4EBBD130">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10.2.2监理人批复修订合同进度计划的期限：</w:t>
      </w:r>
      <w:r>
        <w:rPr>
          <w:rFonts w:hint="eastAsia" w:ascii="宋体" w:hAnsi="宋体" w:eastAsia="宋体" w:cs="宋体"/>
          <w:color w:val="000000"/>
          <w:szCs w:val="21"/>
          <w:highlight w:val="none"/>
          <w:u w:val="single"/>
        </w:rPr>
        <w:t xml:space="preserve">收到承包人报送资料后7天内   </w:t>
      </w:r>
      <w:r>
        <w:rPr>
          <w:rFonts w:hint="eastAsia" w:ascii="宋体" w:hAnsi="宋体" w:eastAsia="宋体" w:cs="宋体"/>
          <w:color w:val="000000"/>
          <w:szCs w:val="21"/>
          <w:highlight w:val="none"/>
        </w:rPr>
        <w:t>。</w:t>
      </w:r>
    </w:p>
    <w:p w14:paraId="1654FB94">
      <w:pPr>
        <w:pStyle w:val="4"/>
        <w:spacing w:line="360" w:lineRule="auto"/>
        <w:jc w:val="left"/>
        <w:rPr>
          <w:rFonts w:ascii="宋体" w:hAnsi="宋体"/>
          <w:color w:val="000000"/>
          <w:szCs w:val="30"/>
          <w:highlight w:val="none"/>
        </w:rPr>
      </w:pPr>
      <w:bookmarkStart w:id="1072" w:name="_Toc490331699"/>
      <w:bookmarkStart w:id="1073" w:name="_Toc491149538"/>
      <w:bookmarkStart w:id="1074" w:name="_Toc492202878"/>
      <w:bookmarkStart w:id="1075" w:name="_BookMark_36"/>
      <w:r>
        <w:rPr>
          <w:rFonts w:hint="eastAsia" w:ascii="宋体" w:hAnsi="宋体"/>
          <w:color w:val="000000"/>
          <w:szCs w:val="30"/>
          <w:highlight w:val="none"/>
        </w:rPr>
        <w:t>11.开工和竣工</w:t>
      </w:r>
      <w:bookmarkEnd w:id="1068"/>
      <w:bookmarkEnd w:id="1069"/>
      <w:bookmarkEnd w:id="1070"/>
      <w:bookmarkEnd w:id="1071"/>
      <w:bookmarkEnd w:id="1072"/>
      <w:bookmarkEnd w:id="1073"/>
      <w:bookmarkEnd w:id="1074"/>
    </w:p>
    <w:bookmarkEnd w:id="1075"/>
    <w:p w14:paraId="554407C6">
      <w:pPr>
        <w:pStyle w:val="6"/>
        <w:spacing w:line="360" w:lineRule="auto"/>
        <w:rPr>
          <w:rFonts w:hAnsi="宋体"/>
          <w:b w:val="0"/>
          <w:color w:val="000000"/>
          <w:szCs w:val="24"/>
          <w:highlight w:val="none"/>
        </w:rPr>
      </w:pPr>
      <w:bookmarkStart w:id="1076" w:name="_Toc480303415"/>
      <w:bookmarkStart w:id="1077" w:name="_Toc486580409"/>
      <w:bookmarkStart w:id="1078" w:name="_Toc490331700"/>
      <w:bookmarkStart w:id="1079" w:name="_Toc491149539"/>
      <w:bookmarkStart w:id="1080" w:name="_Toc489280215"/>
      <w:bookmarkStart w:id="1081" w:name="_Toc492202879"/>
      <w:bookmarkStart w:id="1082" w:name="_Toc485323183"/>
      <w:bookmarkStart w:id="1083" w:name="_BookMark_37"/>
      <w:r>
        <w:rPr>
          <w:rFonts w:hint="eastAsia" w:hAnsi="宋体"/>
          <w:b w:val="0"/>
          <w:color w:val="000000"/>
          <w:szCs w:val="24"/>
          <w:highlight w:val="none"/>
        </w:rPr>
        <w:t>11.3  发包人的工期延误</w:t>
      </w:r>
      <w:bookmarkEnd w:id="1076"/>
      <w:bookmarkEnd w:id="1077"/>
      <w:bookmarkEnd w:id="1078"/>
      <w:bookmarkEnd w:id="1079"/>
      <w:bookmarkEnd w:id="1080"/>
      <w:bookmarkEnd w:id="1081"/>
      <w:bookmarkEnd w:id="1082"/>
    </w:p>
    <w:bookmarkEnd w:id="1083"/>
    <w:p w14:paraId="2DEB1ACF">
      <w:pPr>
        <w:spacing w:line="360" w:lineRule="auto"/>
        <w:ind w:left="480"/>
        <w:rPr>
          <w:rFonts w:ascii="宋体"/>
          <w:color w:val="000000"/>
          <w:szCs w:val="21"/>
          <w:highlight w:val="none"/>
        </w:rPr>
      </w:pPr>
      <w:bookmarkStart w:id="1084" w:name="_Toc480303416"/>
      <w:bookmarkStart w:id="1085" w:name="_Toc486580410"/>
      <w:bookmarkStart w:id="1086" w:name="_Toc489280216"/>
      <w:bookmarkStart w:id="1087" w:name="_Toc485323184"/>
      <w:r>
        <w:rPr>
          <w:rFonts w:hint="eastAsia" w:ascii="宋体" w:hAnsi="宋体"/>
          <w:color w:val="000000"/>
          <w:szCs w:val="21"/>
          <w:highlight w:val="none"/>
        </w:rPr>
        <w:t>（</w:t>
      </w:r>
      <w:r>
        <w:rPr>
          <w:rFonts w:ascii="宋体" w:hAnsi="宋体"/>
          <w:color w:val="000000"/>
          <w:szCs w:val="21"/>
          <w:highlight w:val="none"/>
        </w:rPr>
        <w:t>8</w:t>
      </w:r>
      <w:r>
        <w:rPr>
          <w:rFonts w:hint="eastAsia" w:ascii="宋体" w:hAnsi="宋体"/>
          <w:color w:val="000000"/>
          <w:szCs w:val="21"/>
          <w:highlight w:val="none"/>
        </w:rPr>
        <w:t>）发包人造成工期延误的其他原因：</w:t>
      </w:r>
      <w:r>
        <w:rPr>
          <w:rFonts w:hint="eastAsia" w:ascii="宋体" w:hAnsi="宋体" w:cs="宋体"/>
          <w:color w:val="000000"/>
          <w:szCs w:val="21"/>
          <w:highlight w:val="none"/>
        </w:rPr>
        <w:t>有额外或附加的工程量或工程性质、等级上的变更；</w:t>
      </w:r>
    </w:p>
    <w:p w14:paraId="2F7055E9">
      <w:pPr>
        <w:numPr>
          <w:ilvl w:val="0"/>
          <w:numId w:val="83"/>
        </w:numPr>
        <w:spacing w:line="360" w:lineRule="auto"/>
        <w:rPr>
          <w:rFonts w:ascii="宋体"/>
          <w:color w:val="000000"/>
          <w:szCs w:val="21"/>
          <w:highlight w:val="none"/>
        </w:rPr>
      </w:pPr>
      <w:r>
        <w:rPr>
          <w:rFonts w:hint="eastAsia" w:ascii="宋体" w:hAnsi="宋体" w:cs="宋体"/>
          <w:color w:val="000000"/>
          <w:szCs w:val="21"/>
          <w:highlight w:val="none"/>
        </w:rPr>
        <w:t>由于发包人原因足以导致的延误或阻碍；</w:t>
      </w:r>
    </w:p>
    <w:p w14:paraId="039C95E7">
      <w:pPr>
        <w:numPr>
          <w:ilvl w:val="0"/>
          <w:numId w:val="83"/>
        </w:numPr>
        <w:spacing w:line="360" w:lineRule="auto"/>
        <w:rPr>
          <w:rFonts w:ascii="宋体"/>
          <w:color w:val="000000"/>
          <w:szCs w:val="21"/>
          <w:highlight w:val="none"/>
        </w:rPr>
      </w:pPr>
      <w:r>
        <w:rPr>
          <w:rFonts w:hint="eastAsia" w:ascii="宋体" w:hAnsi="宋体" w:cs="宋体"/>
          <w:color w:val="000000"/>
          <w:szCs w:val="21"/>
          <w:highlight w:val="none"/>
        </w:rPr>
        <w:t>设计变更和工程量增加，致使工期拖延</w:t>
      </w:r>
      <w:r>
        <w:rPr>
          <w:rFonts w:ascii="宋体" w:hAnsi="宋体" w:cs="宋体"/>
          <w:color w:val="000000"/>
          <w:szCs w:val="21"/>
          <w:highlight w:val="none"/>
        </w:rPr>
        <w:t>7</w:t>
      </w:r>
      <w:r>
        <w:rPr>
          <w:rFonts w:hint="eastAsia" w:ascii="宋体" w:hAnsi="宋体" w:cs="宋体"/>
          <w:color w:val="000000"/>
          <w:szCs w:val="21"/>
          <w:highlight w:val="none"/>
        </w:rPr>
        <w:t>日以上的（每次发生设计变更和工程量增加，</w:t>
      </w:r>
    </w:p>
    <w:p w14:paraId="292F729F">
      <w:pPr>
        <w:numPr>
          <w:ilvl w:val="0"/>
          <w:numId w:val="83"/>
        </w:numPr>
        <w:spacing w:line="360" w:lineRule="auto"/>
        <w:rPr>
          <w:rFonts w:ascii="宋体"/>
          <w:color w:val="000000"/>
          <w:szCs w:val="21"/>
          <w:highlight w:val="none"/>
        </w:rPr>
      </w:pPr>
      <w:r>
        <w:rPr>
          <w:rFonts w:hint="eastAsia" w:ascii="宋体" w:hAnsi="宋体" w:cs="宋体"/>
          <w:color w:val="000000"/>
          <w:szCs w:val="21"/>
          <w:highlight w:val="none"/>
        </w:rPr>
        <w:t>完成工期未超过</w:t>
      </w:r>
      <w:r>
        <w:rPr>
          <w:rFonts w:ascii="宋体" w:hAnsi="宋体" w:cs="宋体"/>
          <w:color w:val="000000"/>
          <w:szCs w:val="21"/>
          <w:highlight w:val="none"/>
        </w:rPr>
        <w:t>7</w:t>
      </w:r>
      <w:r>
        <w:rPr>
          <w:rFonts w:hint="eastAsia" w:ascii="宋体" w:hAnsi="宋体" w:cs="宋体"/>
          <w:color w:val="000000"/>
          <w:szCs w:val="21"/>
          <w:highlight w:val="none"/>
        </w:rPr>
        <w:t>日，不得签证工期，相应的窝工以及机械闲置费用不得补偿，承包人自行承担。因工程设计变更造成工期延误不得累计计算工期损失和补偿相关费用）。</w:t>
      </w:r>
    </w:p>
    <w:p w14:paraId="1C4CFDFA">
      <w:pPr>
        <w:numPr>
          <w:ilvl w:val="0"/>
          <w:numId w:val="83"/>
        </w:numPr>
        <w:spacing w:line="360" w:lineRule="auto"/>
        <w:rPr>
          <w:rFonts w:ascii="宋体"/>
          <w:color w:val="000000"/>
          <w:szCs w:val="21"/>
          <w:highlight w:val="none"/>
        </w:rPr>
      </w:pPr>
      <w:r>
        <w:rPr>
          <w:rFonts w:hint="eastAsia" w:ascii="宋体" w:hAnsi="宋体" w:cs="宋体"/>
          <w:color w:val="000000"/>
          <w:szCs w:val="21"/>
          <w:highlight w:val="none"/>
        </w:rPr>
        <w:t>非关键线路上满足上述（</w:t>
      </w:r>
      <w:r>
        <w:rPr>
          <w:rFonts w:ascii="宋体" w:hAnsi="宋体" w:cs="宋体"/>
          <w:color w:val="000000"/>
          <w:szCs w:val="21"/>
          <w:highlight w:val="none"/>
        </w:rPr>
        <w:t>a-c</w:t>
      </w:r>
      <w:r>
        <w:rPr>
          <w:rFonts w:hint="eastAsia" w:ascii="宋体" w:hAnsi="宋体" w:cs="宋体"/>
          <w:color w:val="000000"/>
          <w:szCs w:val="21"/>
          <w:highlight w:val="none"/>
        </w:rPr>
        <w:t>）原因，无论工期延长多少，只要不改变关键线路，均</w:t>
      </w:r>
    </w:p>
    <w:p w14:paraId="50B82CD9">
      <w:pPr>
        <w:numPr>
          <w:ilvl w:val="0"/>
          <w:numId w:val="83"/>
        </w:numPr>
        <w:spacing w:line="360" w:lineRule="auto"/>
        <w:rPr>
          <w:rFonts w:ascii="宋体"/>
          <w:color w:val="000000"/>
          <w:szCs w:val="21"/>
          <w:highlight w:val="none"/>
        </w:rPr>
      </w:pPr>
      <w:r>
        <w:rPr>
          <w:rFonts w:hint="eastAsia" w:ascii="宋体" w:hAnsi="宋体" w:cs="宋体"/>
          <w:color w:val="000000"/>
          <w:szCs w:val="21"/>
          <w:highlight w:val="none"/>
        </w:rPr>
        <w:t>不延长工期，同时相应的窝工以及机械闲置费用不得补偿，承包人自行承担。</w:t>
      </w:r>
    </w:p>
    <w:p w14:paraId="449D502E">
      <w:pPr>
        <w:numPr>
          <w:ilvl w:val="0"/>
          <w:numId w:val="83"/>
        </w:numPr>
        <w:spacing w:line="360" w:lineRule="auto"/>
        <w:rPr>
          <w:rFonts w:ascii="宋体"/>
          <w:color w:val="000000"/>
          <w:szCs w:val="21"/>
          <w:highlight w:val="none"/>
        </w:rPr>
      </w:pPr>
      <w:r>
        <w:rPr>
          <w:rFonts w:hint="eastAsia" w:ascii="宋体" w:hAnsi="宋体" w:cs="宋体"/>
          <w:color w:val="000000"/>
          <w:szCs w:val="21"/>
          <w:highlight w:val="none"/>
        </w:rPr>
        <w:t>不是由于承包人的失误或违约而发生的其他特殊情况。等延误承包人关键线路工作的情况。</w:t>
      </w:r>
    </w:p>
    <w:p w14:paraId="6219DC43">
      <w:pPr>
        <w:pStyle w:val="51"/>
        <w:spacing w:line="360" w:lineRule="auto"/>
        <w:ind w:firstLine="600"/>
        <w:jc w:val="left"/>
        <w:rPr>
          <w:rFonts w:ascii="宋体" w:hAnsi="宋体" w:eastAsia="黑体"/>
          <w:color w:val="000000"/>
          <w:kern w:val="0"/>
          <w:sz w:val="30"/>
          <w:szCs w:val="30"/>
          <w:highlight w:val="none"/>
        </w:rPr>
      </w:pPr>
      <w:bookmarkStart w:id="1088" w:name="_Toc492202880"/>
      <w:bookmarkStart w:id="1089" w:name="_Toc490331701"/>
      <w:bookmarkStart w:id="1090" w:name="_Toc491149540"/>
      <w:bookmarkStart w:id="1091" w:name="_BookMark_38"/>
      <w:r>
        <w:rPr>
          <w:rFonts w:hint="eastAsia" w:ascii="宋体" w:hAnsi="宋体" w:eastAsia="黑体"/>
          <w:color w:val="000000"/>
          <w:kern w:val="0"/>
          <w:sz w:val="30"/>
          <w:szCs w:val="30"/>
          <w:highlight w:val="none"/>
        </w:rPr>
        <w:t>11.4  异常恶劣的气候条件</w:t>
      </w:r>
      <w:bookmarkEnd w:id="1084"/>
      <w:bookmarkEnd w:id="1085"/>
      <w:bookmarkEnd w:id="1086"/>
      <w:bookmarkEnd w:id="1087"/>
      <w:bookmarkEnd w:id="1088"/>
      <w:bookmarkEnd w:id="1089"/>
      <w:bookmarkEnd w:id="1090"/>
    </w:p>
    <w:bookmarkEnd w:id="1091"/>
    <w:p w14:paraId="1523D13B">
      <w:pPr>
        <w:pStyle w:val="51"/>
        <w:spacing w:line="360" w:lineRule="auto"/>
        <w:rPr>
          <w:rFonts w:ascii="宋体" w:hAnsi="宋体" w:eastAsia="宋体" w:cs="宋体"/>
          <w:color w:val="000000"/>
          <w:szCs w:val="21"/>
          <w:highlight w:val="none"/>
        </w:rPr>
      </w:pPr>
      <w:bookmarkStart w:id="1092" w:name="_Toc485323185"/>
      <w:bookmarkStart w:id="1093" w:name="_Toc486580411"/>
      <w:bookmarkStart w:id="1094" w:name="_Toc489280217"/>
      <w:bookmarkStart w:id="1095" w:name="_Toc480303417"/>
      <w:r>
        <w:rPr>
          <w:rFonts w:hint="eastAsia" w:ascii="宋体" w:hAnsi="宋体" w:eastAsia="宋体" w:cs="宋体"/>
          <w:color w:val="000000"/>
          <w:szCs w:val="21"/>
          <w:highlight w:val="none"/>
        </w:rPr>
        <w:t>异常恶劣的气候条件的范围和标准：</w:t>
      </w:r>
      <w:r>
        <w:rPr>
          <w:rFonts w:hint="eastAsia" w:ascii="宋体" w:hAnsi="宋体" w:eastAsia="宋体" w:cs="宋体"/>
          <w:color w:val="000000"/>
          <w:szCs w:val="21"/>
          <w:highlight w:val="none"/>
          <w:u w:val="single"/>
        </w:rPr>
        <w:t xml:space="preserve"> 20年一遇的降水、降雪、高温、低温等。 </w:t>
      </w:r>
    </w:p>
    <w:p w14:paraId="1A1E8493">
      <w:pPr>
        <w:pStyle w:val="6"/>
        <w:spacing w:line="360" w:lineRule="auto"/>
        <w:rPr>
          <w:rFonts w:hAnsi="宋体" w:cs="宋体"/>
          <w:b w:val="0"/>
          <w:color w:val="000000"/>
          <w:szCs w:val="24"/>
          <w:highlight w:val="none"/>
        </w:rPr>
      </w:pPr>
      <w:bookmarkStart w:id="1096" w:name="_Toc492202881"/>
      <w:bookmarkStart w:id="1097" w:name="_Toc490331702"/>
      <w:bookmarkStart w:id="1098" w:name="_Toc491149541"/>
      <w:bookmarkStart w:id="1099" w:name="_BookMark_39"/>
      <w:r>
        <w:rPr>
          <w:rFonts w:hint="eastAsia" w:hAnsi="宋体" w:cs="宋体"/>
          <w:b w:val="0"/>
          <w:color w:val="000000"/>
          <w:szCs w:val="24"/>
          <w:highlight w:val="none"/>
        </w:rPr>
        <w:t>11.5  承包人的工期延误</w:t>
      </w:r>
      <w:bookmarkEnd w:id="1092"/>
      <w:bookmarkEnd w:id="1093"/>
      <w:bookmarkEnd w:id="1094"/>
      <w:bookmarkEnd w:id="1095"/>
      <w:bookmarkEnd w:id="1096"/>
      <w:bookmarkEnd w:id="1097"/>
      <w:bookmarkEnd w:id="1098"/>
    </w:p>
    <w:bookmarkEnd w:id="1099"/>
    <w:p w14:paraId="1FD0C176">
      <w:pPr>
        <w:pStyle w:val="51"/>
        <w:spacing w:line="360" w:lineRule="auto"/>
        <w:rPr>
          <w:rFonts w:ascii="宋体" w:hAnsi="宋体" w:eastAsia="宋体" w:cs="宋体"/>
          <w:color w:val="000000"/>
          <w:szCs w:val="21"/>
          <w:highlight w:val="none"/>
        </w:rPr>
      </w:pPr>
      <w:bookmarkStart w:id="1100" w:name="_Toc489280218"/>
      <w:bookmarkStart w:id="1101" w:name="_Toc480303418"/>
      <w:bookmarkStart w:id="1102" w:name="_Toc485323186"/>
      <w:bookmarkStart w:id="1103" w:name="_Toc486580412"/>
      <w:r>
        <w:rPr>
          <w:rFonts w:hint="eastAsia" w:ascii="宋体" w:hAnsi="宋体" w:eastAsia="宋体" w:cs="宋体"/>
          <w:color w:val="000000"/>
          <w:szCs w:val="21"/>
          <w:highlight w:val="none"/>
        </w:rPr>
        <w:t>11.5.1逾期竣工违约金的计算标准和计算方法：_</w:t>
      </w:r>
      <w:r>
        <w:rPr>
          <w:rFonts w:hint="eastAsia" w:ascii="宋体" w:hAnsi="宋体" w:eastAsia="宋体" w:cs="宋体"/>
          <w:color w:val="000000"/>
          <w:szCs w:val="21"/>
          <w:highlight w:val="none"/>
          <w:u w:val="single"/>
        </w:rPr>
        <w:t>工期每延误一天，承包人应当向发包人赔偿签约合同价的0.1‰，不足一天按一天计。</w:t>
      </w:r>
      <w:r>
        <w:rPr>
          <w:rFonts w:hint="eastAsia" w:ascii="宋体" w:hAnsi="宋体" w:eastAsia="宋体" w:cs="宋体"/>
          <w:color w:val="000000"/>
          <w:szCs w:val="21"/>
          <w:highlight w:val="none"/>
        </w:rPr>
        <w:t>___</w:t>
      </w:r>
    </w:p>
    <w:p w14:paraId="269A9F57">
      <w:pPr>
        <w:pStyle w:val="51"/>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逾期竣工违约金最高限额：</w:t>
      </w:r>
      <w:r>
        <w:rPr>
          <w:rFonts w:hint="eastAsia" w:ascii="宋体" w:hAnsi="宋体" w:eastAsia="宋体" w:cs="宋体"/>
          <w:color w:val="000000"/>
          <w:szCs w:val="21"/>
          <w:highlight w:val="none"/>
          <w:u w:val="single"/>
        </w:rPr>
        <w:t>合同价的3%</w:t>
      </w:r>
      <w:r>
        <w:rPr>
          <w:rFonts w:hint="eastAsia" w:ascii="宋体" w:hAnsi="宋体" w:eastAsia="宋体" w:cs="宋体"/>
          <w:color w:val="000000"/>
          <w:szCs w:val="21"/>
          <w:highlight w:val="none"/>
        </w:rPr>
        <w:t>_</w:t>
      </w:r>
    </w:p>
    <w:p w14:paraId="14DF8D6C">
      <w:pPr>
        <w:pStyle w:val="6"/>
        <w:spacing w:line="360" w:lineRule="auto"/>
        <w:rPr>
          <w:rFonts w:hAnsi="宋体" w:cs="宋体"/>
          <w:b w:val="0"/>
          <w:color w:val="000000"/>
          <w:szCs w:val="24"/>
          <w:highlight w:val="none"/>
        </w:rPr>
      </w:pPr>
      <w:bookmarkStart w:id="1104" w:name="_Toc490331703"/>
      <w:bookmarkStart w:id="1105" w:name="_Toc491149542"/>
      <w:bookmarkStart w:id="1106" w:name="_Toc492202882"/>
      <w:bookmarkStart w:id="1107" w:name="_BookMark_40"/>
      <w:r>
        <w:rPr>
          <w:rFonts w:hint="eastAsia" w:hAnsi="宋体" w:cs="宋体"/>
          <w:b w:val="0"/>
          <w:color w:val="000000"/>
          <w:szCs w:val="24"/>
          <w:highlight w:val="none"/>
        </w:rPr>
        <w:t>11.6  工期提前</w:t>
      </w:r>
      <w:bookmarkEnd w:id="1100"/>
      <w:bookmarkEnd w:id="1101"/>
      <w:bookmarkEnd w:id="1102"/>
      <w:bookmarkEnd w:id="1103"/>
      <w:bookmarkEnd w:id="1104"/>
      <w:bookmarkEnd w:id="1105"/>
      <w:bookmarkEnd w:id="1106"/>
    </w:p>
    <w:bookmarkEnd w:id="1107"/>
    <w:p w14:paraId="5F412047">
      <w:pPr>
        <w:pStyle w:val="51"/>
        <w:spacing w:line="360" w:lineRule="auto"/>
        <w:rPr>
          <w:rFonts w:ascii="宋体" w:hAnsi="宋体" w:eastAsia="宋体" w:cs="宋体"/>
          <w:color w:val="000000"/>
          <w:szCs w:val="21"/>
          <w:highlight w:val="none"/>
        </w:rPr>
      </w:pPr>
      <w:bookmarkStart w:id="1108" w:name="_Toc486580413"/>
      <w:bookmarkStart w:id="1109" w:name="_Toc480303419"/>
      <w:bookmarkStart w:id="1110" w:name="_Toc489280219"/>
      <w:bookmarkStart w:id="1111" w:name="_Toc485323187"/>
      <w:r>
        <w:rPr>
          <w:rFonts w:hint="eastAsia" w:ascii="宋体" w:hAnsi="宋体" w:eastAsia="宋体" w:cs="宋体"/>
          <w:color w:val="000000"/>
          <w:szCs w:val="21"/>
          <w:highlight w:val="none"/>
        </w:rPr>
        <w:t>提前竣工的奖励办法：_</w:t>
      </w:r>
      <w:r>
        <w:rPr>
          <w:rFonts w:hint="eastAsia" w:ascii="宋体" w:hAnsi="宋体" w:eastAsia="宋体" w:cs="宋体"/>
          <w:color w:val="000000"/>
          <w:szCs w:val="21"/>
          <w:highlight w:val="none"/>
          <w:u w:val="single"/>
        </w:rPr>
        <w:t xml:space="preserve">/ </w:t>
      </w:r>
    </w:p>
    <w:p w14:paraId="60803EE6">
      <w:pPr>
        <w:pStyle w:val="4"/>
        <w:spacing w:line="360" w:lineRule="auto"/>
        <w:jc w:val="left"/>
        <w:rPr>
          <w:rFonts w:ascii="宋体" w:hAnsi="宋体" w:eastAsia="宋体" w:cs="宋体"/>
          <w:color w:val="000000"/>
          <w:szCs w:val="30"/>
          <w:highlight w:val="none"/>
        </w:rPr>
      </w:pPr>
      <w:bookmarkStart w:id="1112" w:name="_Toc492202883"/>
      <w:bookmarkStart w:id="1113" w:name="_Toc491149543"/>
      <w:bookmarkStart w:id="1114" w:name="_Toc490331704"/>
      <w:bookmarkStart w:id="1115" w:name="_BookMark_41"/>
      <w:r>
        <w:rPr>
          <w:rFonts w:hint="eastAsia" w:ascii="宋体" w:hAnsi="宋体" w:eastAsia="宋体" w:cs="宋体"/>
          <w:color w:val="000000"/>
          <w:szCs w:val="30"/>
          <w:highlight w:val="none"/>
        </w:rPr>
        <w:t>12.暂停施工</w:t>
      </w:r>
      <w:bookmarkEnd w:id="1108"/>
      <w:bookmarkEnd w:id="1109"/>
      <w:bookmarkEnd w:id="1110"/>
      <w:bookmarkEnd w:id="1111"/>
      <w:bookmarkEnd w:id="1112"/>
      <w:bookmarkEnd w:id="1113"/>
      <w:bookmarkEnd w:id="1114"/>
    </w:p>
    <w:bookmarkEnd w:id="1115"/>
    <w:p w14:paraId="32F9E81B">
      <w:pPr>
        <w:pStyle w:val="6"/>
        <w:spacing w:line="360" w:lineRule="auto"/>
        <w:rPr>
          <w:rFonts w:hAnsi="宋体" w:cs="宋体"/>
          <w:b w:val="0"/>
          <w:color w:val="000000"/>
          <w:szCs w:val="24"/>
          <w:highlight w:val="none"/>
        </w:rPr>
      </w:pPr>
      <w:bookmarkStart w:id="1116" w:name="_Toc492202884"/>
      <w:bookmarkStart w:id="1117" w:name="_Toc491149544"/>
      <w:bookmarkStart w:id="1118" w:name="_Toc485323188"/>
      <w:bookmarkStart w:id="1119" w:name="_Toc490331705"/>
      <w:bookmarkStart w:id="1120" w:name="_Toc480303420"/>
      <w:bookmarkStart w:id="1121" w:name="_Toc489280220"/>
      <w:bookmarkStart w:id="1122" w:name="_Toc486580414"/>
      <w:bookmarkStart w:id="1123" w:name="_BookMark_42"/>
      <w:r>
        <w:rPr>
          <w:rFonts w:hint="eastAsia" w:hAnsi="宋体" w:cs="宋体"/>
          <w:b w:val="0"/>
          <w:color w:val="000000"/>
          <w:szCs w:val="24"/>
          <w:highlight w:val="none"/>
        </w:rPr>
        <w:t>12.1  承包人暂停施工的责任</w:t>
      </w:r>
      <w:bookmarkEnd w:id="1116"/>
      <w:bookmarkEnd w:id="1117"/>
      <w:bookmarkEnd w:id="1118"/>
      <w:bookmarkEnd w:id="1119"/>
      <w:bookmarkEnd w:id="1120"/>
      <w:bookmarkEnd w:id="1121"/>
      <w:bookmarkEnd w:id="1122"/>
    </w:p>
    <w:bookmarkEnd w:id="1123"/>
    <w:p w14:paraId="384A1286">
      <w:pPr>
        <w:pStyle w:val="51"/>
        <w:spacing w:line="360" w:lineRule="auto"/>
        <w:rPr>
          <w:rFonts w:ascii="宋体" w:hAnsi="宋体" w:eastAsia="宋体" w:cs="宋体"/>
          <w:color w:val="000000"/>
          <w:szCs w:val="21"/>
          <w:highlight w:val="none"/>
        </w:rPr>
      </w:pPr>
      <w:bookmarkStart w:id="1124" w:name="_Toc489280221"/>
      <w:bookmarkStart w:id="1125" w:name="_Toc485323189"/>
      <w:bookmarkStart w:id="1126" w:name="_Toc480303421"/>
      <w:bookmarkStart w:id="1127" w:name="_Toc486580415"/>
      <w:r>
        <w:rPr>
          <w:rFonts w:hint="eastAsia" w:ascii="宋体" w:hAnsi="宋体" w:eastAsia="宋体" w:cs="宋体"/>
          <w:color w:val="000000"/>
          <w:szCs w:val="21"/>
          <w:highlight w:val="none"/>
        </w:rPr>
        <w:t>（4）承包人承担暂停施工责任的其他情形：</w:t>
      </w:r>
      <w:r>
        <w:rPr>
          <w:rFonts w:hint="eastAsia" w:ascii="宋体" w:hAnsi="宋体" w:eastAsia="宋体" w:cs="宋体"/>
          <w:color w:val="000000"/>
          <w:szCs w:val="21"/>
          <w:highlight w:val="none"/>
          <w:u w:val="single"/>
        </w:rPr>
        <w:t xml:space="preserve">   /  </w:t>
      </w:r>
    </w:p>
    <w:p w14:paraId="0CB579CC">
      <w:pPr>
        <w:pStyle w:val="4"/>
        <w:spacing w:line="360" w:lineRule="auto"/>
        <w:jc w:val="left"/>
        <w:rPr>
          <w:rFonts w:ascii="宋体" w:hAnsi="宋体" w:eastAsia="宋体" w:cs="宋体"/>
          <w:color w:val="000000"/>
          <w:szCs w:val="30"/>
          <w:highlight w:val="none"/>
        </w:rPr>
      </w:pPr>
      <w:bookmarkStart w:id="1128" w:name="_Toc491149545"/>
      <w:bookmarkStart w:id="1129" w:name="_Toc492202885"/>
      <w:bookmarkStart w:id="1130" w:name="_Toc490331706"/>
      <w:bookmarkStart w:id="1131" w:name="_BookMark_43"/>
      <w:r>
        <w:rPr>
          <w:rFonts w:hint="eastAsia" w:ascii="宋体" w:hAnsi="宋体" w:eastAsia="宋体" w:cs="宋体"/>
          <w:color w:val="000000"/>
          <w:szCs w:val="30"/>
          <w:highlight w:val="none"/>
        </w:rPr>
        <w:t>13.工程质量</w:t>
      </w:r>
      <w:bookmarkEnd w:id="1124"/>
      <w:bookmarkEnd w:id="1125"/>
      <w:bookmarkEnd w:id="1126"/>
      <w:bookmarkEnd w:id="1127"/>
      <w:bookmarkEnd w:id="1128"/>
      <w:bookmarkEnd w:id="1129"/>
      <w:bookmarkEnd w:id="1130"/>
    </w:p>
    <w:bookmarkEnd w:id="1131"/>
    <w:p w14:paraId="290E35CB">
      <w:pPr>
        <w:pStyle w:val="6"/>
        <w:spacing w:line="360" w:lineRule="auto"/>
        <w:rPr>
          <w:rFonts w:hAnsi="宋体"/>
          <w:b w:val="0"/>
          <w:color w:val="000000"/>
          <w:szCs w:val="24"/>
          <w:highlight w:val="none"/>
        </w:rPr>
      </w:pPr>
      <w:bookmarkStart w:id="1132" w:name="_Toc480303422"/>
      <w:bookmarkStart w:id="1133" w:name="_Toc490331707"/>
      <w:bookmarkStart w:id="1134" w:name="_Toc491149546"/>
      <w:bookmarkStart w:id="1135" w:name="_Toc489280222"/>
      <w:bookmarkStart w:id="1136" w:name="_Toc492202886"/>
      <w:bookmarkStart w:id="1137" w:name="_Toc486580416"/>
      <w:bookmarkStart w:id="1138" w:name="_Toc485323190"/>
      <w:bookmarkStart w:id="1139" w:name="_BookMark_44"/>
      <w:r>
        <w:rPr>
          <w:rFonts w:hint="eastAsia" w:hAnsi="宋体"/>
          <w:b w:val="0"/>
          <w:color w:val="000000"/>
          <w:szCs w:val="24"/>
          <w:highlight w:val="none"/>
        </w:rPr>
        <w:t>13.2  承包人的质量管理</w:t>
      </w:r>
      <w:bookmarkEnd w:id="1132"/>
      <w:bookmarkEnd w:id="1133"/>
      <w:bookmarkEnd w:id="1134"/>
      <w:bookmarkEnd w:id="1135"/>
      <w:bookmarkEnd w:id="1136"/>
      <w:bookmarkEnd w:id="1137"/>
      <w:bookmarkEnd w:id="1138"/>
    </w:p>
    <w:bookmarkEnd w:id="1139"/>
    <w:p w14:paraId="21326671">
      <w:pPr>
        <w:spacing w:line="360" w:lineRule="auto"/>
        <w:ind w:firstLine="420" w:firstLineChars="200"/>
        <w:rPr>
          <w:rFonts w:ascii="宋体" w:hAnsi="宋体" w:cs="Arial"/>
          <w:color w:val="000000"/>
          <w:highlight w:val="none"/>
        </w:rPr>
      </w:pPr>
      <w:r>
        <w:rPr>
          <w:rFonts w:ascii="宋体" w:hAnsi="宋体"/>
          <w:color w:val="000000"/>
          <w:szCs w:val="21"/>
          <w:highlight w:val="none"/>
        </w:rPr>
        <w:t>1</w:t>
      </w:r>
      <w:r>
        <w:rPr>
          <w:rFonts w:hint="eastAsia" w:ascii="宋体" w:hAnsi="宋体"/>
          <w:color w:val="000000"/>
          <w:szCs w:val="21"/>
          <w:highlight w:val="none"/>
        </w:rPr>
        <w:t>3</w:t>
      </w:r>
      <w:r>
        <w:rPr>
          <w:rFonts w:ascii="宋体" w:hAnsi="宋体"/>
          <w:color w:val="000000"/>
          <w:szCs w:val="21"/>
          <w:highlight w:val="none"/>
        </w:rPr>
        <w:t>.</w:t>
      </w: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olor w:val="000000"/>
          <w:szCs w:val="21"/>
          <w:highlight w:val="none"/>
        </w:rPr>
        <w:t>1  承包人向监理人提交工程质量保证措施文件的期限：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开工前</w:t>
      </w:r>
      <w:r>
        <w:rPr>
          <w:rFonts w:ascii="宋体" w:hAnsi="宋体" w:cs="宋体"/>
          <w:color w:val="000000"/>
          <w:highlight w:val="none"/>
          <w:u w:val="single"/>
        </w:rPr>
        <w:t>7</w:t>
      </w:r>
      <w:r>
        <w:rPr>
          <w:rFonts w:hint="eastAsia" w:ascii="宋体" w:hAnsi="宋体" w:cs="宋体"/>
          <w:color w:val="000000"/>
          <w:highlight w:val="none"/>
          <w:u w:val="single"/>
        </w:rPr>
        <w:t>天</w:t>
      </w:r>
    </w:p>
    <w:p w14:paraId="2590D1A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监理人审批工程质量保证措施文件的期限：</w:t>
      </w:r>
      <w:r>
        <w:rPr>
          <w:rFonts w:hint="eastAsia" w:ascii="宋体" w:hAnsi="宋体"/>
          <w:color w:val="000000"/>
          <w:szCs w:val="21"/>
          <w:highlight w:val="none"/>
          <w:u w:val="single"/>
        </w:rPr>
        <w:t xml:space="preserve">  </w:t>
      </w:r>
      <w:r>
        <w:rPr>
          <w:rFonts w:ascii="宋体" w:hAnsi="宋体" w:cs="宋体"/>
          <w:color w:val="000000"/>
          <w:highlight w:val="none"/>
          <w:u w:val="single"/>
        </w:rPr>
        <w:t>7</w:t>
      </w:r>
      <w:r>
        <w:rPr>
          <w:rFonts w:hint="eastAsia" w:ascii="宋体" w:hAnsi="宋体" w:cs="宋体"/>
          <w:color w:val="000000"/>
          <w:highlight w:val="none"/>
          <w:u w:val="single"/>
        </w:rPr>
        <w:t>天</w:t>
      </w:r>
      <w:r>
        <w:rPr>
          <w:rFonts w:hint="eastAsia" w:ascii="宋体" w:hAnsi="宋体"/>
          <w:color w:val="000000"/>
          <w:szCs w:val="21"/>
          <w:highlight w:val="none"/>
          <w:u w:val="single"/>
        </w:rPr>
        <w:t xml:space="preserve">        </w:t>
      </w:r>
    </w:p>
    <w:p w14:paraId="3FC7838E">
      <w:pPr>
        <w:pStyle w:val="6"/>
        <w:spacing w:line="360" w:lineRule="auto"/>
        <w:rPr>
          <w:rFonts w:hAnsi="宋体"/>
          <w:b w:val="0"/>
          <w:color w:val="000000"/>
          <w:szCs w:val="24"/>
          <w:highlight w:val="none"/>
        </w:rPr>
      </w:pPr>
      <w:bookmarkStart w:id="1140" w:name="_Toc492202887"/>
      <w:bookmarkStart w:id="1141" w:name="_Toc489280223"/>
      <w:bookmarkStart w:id="1142" w:name="_Toc490331708"/>
      <w:bookmarkStart w:id="1143" w:name="_Toc491149547"/>
      <w:bookmarkStart w:id="1144" w:name="_Toc486580417"/>
      <w:bookmarkStart w:id="1145" w:name="_Toc480303423"/>
      <w:bookmarkStart w:id="1146" w:name="_Toc485323191"/>
      <w:bookmarkStart w:id="1147" w:name="_BookMark_45"/>
      <w:r>
        <w:rPr>
          <w:rFonts w:hint="eastAsia" w:hAnsi="宋体"/>
          <w:b w:val="0"/>
          <w:color w:val="000000"/>
          <w:szCs w:val="24"/>
          <w:highlight w:val="none"/>
        </w:rPr>
        <w:t>13.3  承包人的质量检查</w:t>
      </w:r>
      <w:bookmarkEnd w:id="1140"/>
      <w:bookmarkEnd w:id="1141"/>
      <w:bookmarkEnd w:id="1142"/>
      <w:bookmarkEnd w:id="1143"/>
      <w:bookmarkEnd w:id="1144"/>
      <w:bookmarkEnd w:id="1145"/>
      <w:bookmarkEnd w:id="1146"/>
    </w:p>
    <w:bookmarkEnd w:id="1147"/>
    <w:p w14:paraId="640EA58B">
      <w:pPr>
        <w:spacing w:line="360" w:lineRule="auto"/>
        <w:ind w:firstLine="420" w:firstLineChars="200"/>
        <w:rPr>
          <w:rFonts w:ascii="宋体" w:hAnsi="宋体" w:cs="Arial"/>
          <w:color w:val="000000"/>
          <w:highlight w:val="none"/>
        </w:rPr>
      </w:pPr>
      <w:r>
        <w:rPr>
          <w:rFonts w:hint="eastAsia" w:ascii="宋体" w:hAnsi="宋体"/>
          <w:color w:val="000000"/>
          <w:szCs w:val="21"/>
          <w:highlight w:val="none"/>
        </w:rPr>
        <w:t>承包人向监理人报送工程质量报表的期限：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每月</w:t>
      </w:r>
      <w:r>
        <w:rPr>
          <w:rFonts w:ascii="宋体" w:hAnsi="宋体" w:cs="宋体"/>
          <w:color w:val="000000"/>
          <w:highlight w:val="none"/>
          <w:u w:val="single"/>
        </w:rPr>
        <w:t>25</w:t>
      </w:r>
      <w:r>
        <w:rPr>
          <w:rFonts w:hint="eastAsia" w:ascii="宋体" w:hAnsi="宋体" w:cs="宋体"/>
          <w:color w:val="000000"/>
          <w:highlight w:val="none"/>
          <w:u w:val="single"/>
        </w:rPr>
        <w:t>日前</w:t>
      </w:r>
      <w:r>
        <w:rPr>
          <w:rFonts w:hint="eastAsia" w:ascii="宋体" w:hAnsi="宋体"/>
          <w:color w:val="000000"/>
          <w:szCs w:val="21"/>
          <w:highlight w:val="none"/>
          <w:u w:val="single"/>
        </w:rPr>
        <w:t xml:space="preserve">   </w:t>
      </w:r>
    </w:p>
    <w:p w14:paraId="20F19FDD">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承包人向监理人报送工程质量报表的要求：</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按监理规程</w:t>
      </w:r>
      <w:r>
        <w:rPr>
          <w:rFonts w:hint="eastAsia" w:ascii="宋体" w:hAnsi="宋体" w:cs="宋体"/>
          <w:color w:val="000000"/>
          <w:highlight w:val="none"/>
        </w:rPr>
        <w:t>。</w:t>
      </w:r>
    </w:p>
    <w:p w14:paraId="708E970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监理人审查工程质量报表的期限：</w:t>
      </w:r>
      <w:r>
        <w:rPr>
          <w:rFonts w:hint="eastAsia" w:ascii="宋体" w:hAnsi="宋体"/>
          <w:color w:val="000000"/>
          <w:szCs w:val="21"/>
          <w:highlight w:val="none"/>
          <w:u w:val="single"/>
        </w:rPr>
        <w:t xml:space="preserve"> </w:t>
      </w:r>
      <w:r>
        <w:rPr>
          <w:rFonts w:ascii="宋体" w:hAnsi="宋体" w:cs="宋体"/>
          <w:color w:val="000000"/>
          <w:highlight w:val="none"/>
          <w:u w:val="single"/>
        </w:rPr>
        <w:t>7</w:t>
      </w:r>
      <w:r>
        <w:rPr>
          <w:rFonts w:hint="eastAsia" w:ascii="宋体" w:hAnsi="宋体" w:cs="宋体"/>
          <w:color w:val="000000"/>
          <w:highlight w:val="none"/>
          <w:u w:val="single"/>
        </w:rPr>
        <w:t>天</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29440AA2">
      <w:pPr>
        <w:pStyle w:val="6"/>
        <w:spacing w:line="360" w:lineRule="auto"/>
        <w:rPr>
          <w:rFonts w:hAnsi="宋体"/>
          <w:b w:val="0"/>
          <w:color w:val="000000"/>
          <w:szCs w:val="24"/>
          <w:highlight w:val="none"/>
        </w:rPr>
      </w:pPr>
      <w:bookmarkStart w:id="1148" w:name="_Toc492202888"/>
      <w:bookmarkStart w:id="1149" w:name="_Toc491149548"/>
      <w:bookmarkStart w:id="1150" w:name="_Toc490331709"/>
      <w:bookmarkStart w:id="1151" w:name="_Toc480303424"/>
      <w:bookmarkStart w:id="1152" w:name="_Toc486580418"/>
      <w:bookmarkStart w:id="1153" w:name="_Toc485323192"/>
      <w:bookmarkStart w:id="1154" w:name="_Toc489280224"/>
      <w:bookmarkStart w:id="1155" w:name="_BookMark_46"/>
      <w:r>
        <w:rPr>
          <w:rFonts w:hint="eastAsia" w:hAnsi="宋体"/>
          <w:b w:val="0"/>
          <w:color w:val="000000"/>
          <w:szCs w:val="24"/>
          <w:highlight w:val="none"/>
        </w:rPr>
        <w:t>13.4  监理人的质量检查</w:t>
      </w:r>
      <w:bookmarkEnd w:id="1148"/>
      <w:bookmarkEnd w:id="1149"/>
      <w:bookmarkEnd w:id="1150"/>
      <w:bookmarkEnd w:id="1151"/>
      <w:bookmarkEnd w:id="1152"/>
      <w:bookmarkEnd w:id="1153"/>
      <w:bookmarkEnd w:id="1154"/>
    </w:p>
    <w:bookmarkEnd w:id="1155"/>
    <w:p w14:paraId="3258B9B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承包人应当为监理人的检查和检验提供方便，监理人可以进行察看和查阅施工原始记录的其他地方包括：</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按监理要求执行。</w:t>
      </w:r>
      <w:r>
        <w:rPr>
          <w:rFonts w:hint="eastAsia" w:ascii="宋体" w:hAnsi="宋体"/>
          <w:color w:val="000000"/>
          <w:szCs w:val="21"/>
          <w:highlight w:val="none"/>
          <w:u w:val="single"/>
        </w:rPr>
        <w:t xml:space="preserve">          </w:t>
      </w:r>
    </w:p>
    <w:p w14:paraId="10D8E17F">
      <w:pPr>
        <w:pStyle w:val="6"/>
        <w:spacing w:line="360" w:lineRule="auto"/>
        <w:rPr>
          <w:rFonts w:hAnsi="宋体"/>
          <w:b w:val="0"/>
          <w:color w:val="000000"/>
          <w:szCs w:val="24"/>
          <w:highlight w:val="none"/>
        </w:rPr>
      </w:pPr>
      <w:bookmarkStart w:id="1156" w:name="_Toc480303425"/>
      <w:bookmarkStart w:id="1157" w:name="_Toc492202889"/>
      <w:bookmarkStart w:id="1158" w:name="_Toc491149549"/>
      <w:bookmarkStart w:id="1159" w:name="_Toc486580419"/>
      <w:bookmarkStart w:id="1160" w:name="_Toc489280225"/>
      <w:bookmarkStart w:id="1161" w:name="_Toc490331710"/>
      <w:bookmarkStart w:id="1162" w:name="_Toc485323193"/>
      <w:bookmarkStart w:id="1163" w:name="_BookMark_47"/>
      <w:r>
        <w:rPr>
          <w:rFonts w:hint="eastAsia" w:hAnsi="宋体"/>
          <w:b w:val="0"/>
          <w:color w:val="000000"/>
          <w:szCs w:val="24"/>
          <w:highlight w:val="none"/>
        </w:rPr>
        <w:t>13.5  工程隐蔽部位覆盖前的检查</w:t>
      </w:r>
      <w:bookmarkEnd w:id="1156"/>
      <w:bookmarkEnd w:id="1157"/>
      <w:bookmarkEnd w:id="1158"/>
      <w:bookmarkEnd w:id="1159"/>
      <w:bookmarkEnd w:id="1160"/>
      <w:bookmarkEnd w:id="1161"/>
      <w:bookmarkEnd w:id="1162"/>
    </w:p>
    <w:bookmarkEnd w:id="1163"/>
    <w:p w14:paraId="6B4F73F7">
      <w:pPr>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3</w:t>
      </w:r>
      <w:r>
        <w:rPr>
          <w:rFonts w:ascii="宋体" w:hAnsi="宋体"/>
          <w:color w:val="000000"/>
          <w:szCs w:val="21"/>
          <w:highlight w:val="none"/>
        </w:rPr>
        <w:t>.</w:t>
      </w:r>
      <w:r>
        <w:rPr>
          <w:rFonts w:hint="eastAsia" w:ascii="宋体" w:hAnsi="宋体"/>
          <w:color w:val="000000"/>
          <w:szCs w:val="21"/>
          <w:highlight w:val="none"/>
        </w:rPr>
        <w:t>5</w:t>
      </w:r>
      <w:r>
        <w:rPr>
          <w:rFonts w:ascii="宋体" w:hAnsi="宋体"/>
          <w:color w:val="000000"/>
          <w:szCs w:val="21"/>
          <w:highlight w:val="none"/>
        </w:rPr>
        <w:t>.</w:t>
      </w:r>
      <w:r>
        <w:rPr>
          <w:rFonts w:hint="eastAsia" w:ascii="宋体" w:hAnsi="宋体"/>
          <w:color w:val="000000"/>
          <w:szCs w:val="21"/>
          <w:highlight w:val="none"/>
        </w:rPr>
        <w:t>1</w:t>
      </w:r>
      <w:r>
        <w:rPr>
          <w:rFonts w:ascii="宋体" w:hAnsi="宋体"/>
          <w:color w:val="000000"/>
          <w:szCs w:val="21"/>
          <w:highlight w:val="none"/>
        </w:rPr>
        <w:t xml:space="preserve"> </w:t>
      </w:r>
      <w:r>
        <w:rPr>
          <w:rFonts w:hint="eastAsia" w:ascii="宋体" w:hAnsi="宋体"/>
          <w:color w:val="000000"/>
          <w:szCs w:val="21"/>
          <w:highlight w:val="none"/>
        </w:rPr>
        <w:t xml:space="preserve"> 监理人对工程隐蔽部位进行检查的期限：</w:t>
      </w:r>
      <w:r>
        <w:rPr>
          <w:rFonts w:hint="eastAsia" w:ascii="宋体" w:hAnsi="宋体" w:cs="宋体"/>
          <w:color w:val="000000"/>
          <w:highlight w:val="none"/>
          <w:u w:val="single"/>
        </w:rPr>
        <w:t>收到承包人的检查通知后</w:t>
      </w:r>
      <w:r>
        <w:rPr>
          <w:rFonts w:ascii="宋体" w:hAnsi="宋体" w:cs="宋体"/>
          <w:color w:val="000000"/>
          <w:highlight w:val="none"/>
          <w:u w:val="single"/>
        </w:rPr>
        <w:t>12</w:t>
      </w:r>
      <w:r>
        <w:rPr>
          <w:rFonts w:hint="eastAsia" w:ascii="宋体" w:hAnsi="宋体" w:cs="宋体"/>
          <w:color w:val="000000"/>
          <w:highlight w:val="none"/>
          <w:u w:val="single"/>
        </w:rPr>
        <w:t>小时内。</w:t>
      </w:r>
      <w:r>
        <w:rPr>
          <w:rFonts w:hint="eastAsia" w:ascii="宋体" w:hAnsi="宋体"/>
          <w:color w:val="000000"/>
          <w:szCs w:val="21"/>
          <w:highlight w:val="none"/>
          <w:u w:val="single"/>
        </w:rPr>
        <w:t xml:space="preserve">   </w:t>
      </w:r>
    </w:p>
    <w:p w14:paraId="6220B8B9">
      <w:pPr>
        <w:pStyle w:val="4"/>
        <w:spacing w:line="360" w:lineRule="auto"/>
        <w:jc w:val="left"/>
        <w:rPr>
          <w:rFonts w:ascii="宋体" w:hAnsi="宋体"/>
          <w:color w:val="000000"/>
          <w:szCs w:val="30"/>
          <w:highlight w:val="none"/>
        </w:rPr>
      </w:pPr>
      <w:bookmarkStart w:id="1164" w:name="_Toc489280226"/>
      <w:bookmarkStart w:id="1165" w:name="_Toc490331711"/>
      <w:bookmarkStart w:id="1166" w:name="_Toc492202890"/>
      <w:bookmarkStart w:id="1167" w:name="_Toc486580420"/>
      <w:bookmarkStart w:id="1168" w:name="_Toc485323194"/>
      <w:bookmarkStart w:id="1169" w:name="_Toc491149550"/>
      <w:bookmarkStart w:id="1170" w:name="_Toc480303426"/>
      <w:bookmarkStart w:id="1171" w:name="_BookMark_48"/>
      <w:r>
        <w:rPr>
          <w:rFonts w:hint="eastAsia" w:ascii="宋体" w:hAnsi="宋体"/>
          <w:color w:val="000000"/>
          <w:szCs w:val="30"/>
          <w:highlight w:val="none"/>
        </w:rPr>
        <w:t>15.变更</w:t>
      </w:r>
      <w:bookmarkEnd w:id="1164"/>
      <w:bookmarkEnd w:id="1165"/>
      <w:bookmarkEnd w:id="1166"/>
      <w:bookmarkEnd w:id="1167"/>
      <w:bookmarkEnd w:id="1168"/>
      <w:bookmarkEnd w:id="1169"/>
      <w:bookmarkEnd w:id="1170"/>
    </w:p>
    <w:bookmarkEnd w:id="1171"/>
    <w:p w14:paraId="1C5B83ED">
      <w:pPr>
        <w:pStyle w:val="6"/>
        <w:spacing w:line="360" w:lineRule="auto"/>
        <w:rPr>
          <w:rFonts w:hAnsi="宋体"/>
          <w:b w:val="0"/>
          <w:color w:val="000000"/>
          <w:szCs w:val="24"/>
          <w:highlight w:val="none"/>
        </w:rPr>
      </w:pPr>
      <w:bookmarkStart w:id="1172" w:name="_Toc480303427"/>
      <w:bookmarkStart w:id="1173" w:name="_Toc492202891"/>
      <w:bookmarkStart w:id="1174" w:name="_Toc485323195"/>
      <w:bookmarkStart w:id="1175" w:name="_Toc486580421"/>
      <w:bookmarkStart w:id="1176" w:name="_Toc489280227"/>
      <w:bookmarkStart w:id="1177" w:name="_Toc491149551"/>
      <w:bookmarkStart w:id="1178" w:name="_Toc490331712"/>
      <w:bookmarkStart w:id="1179" w:name="_BookMark_49"/>
      <w:r>
        <w:rPr>
          <w:rFonts w:hint="eastAsia" w:hAnsi="宋体"/>
          <w:b w:val="0"/>
          <w:color w:val="000000"/>
          <w:szCs w:val="24"/>
          <w:highlight w:val="none"/>
        </w:rPr>
        <w:t>15.1  变更的范围和内容</w:t>
      </w:r>
      <w:bookmarkEnd w:id="1172"/>
      <w:bookmarkEnd w:id="1173"/>
      <w:bookmarkEnd w:id="1174"/>
      <w:bookmarkEnd w:id="1175"/>
      <w:bookmarkEnd w:id="1176"/>
      <w:bookmarkEnd w:id="1177"/>
      <w:bookmarkEnd w:id="1178"/>
    </w:p>
    <w:bookmarkEnd w:id="1179"/>
    <w:p w14:paraId="7DE0D217">
      <w:pPr>
        <w:spacing w:line="360" w:lineRule="auto"/>
        <w:ind w:firstLine="420" w:firstLineChars="200"/>
        <w:rPr>
          <w:rFonts w:ascii="宋体" w:hAnsi="宋体"/>
          <w:color w:val="000000"/>
          <w:highlight w:val="none"/>
        </w:rPr>
      </w:pPr>
      <w:r>
        <w:rPr>
          <w:rFonts w:hint="eastAsia" w:ascii="宋体" w:hAnsi="宋体"/>
          <w:color w:val="000000"/>
          <w:szCs w:val="21"/>
          <w:highlight w:val="none"/>
        </w:rPr>
        <w:t>15.1.1</w:t>
      </w:r>
      <w:r>
        <w:rPr>
          <w:rFonts w:hint="eastAsia" w:ascii="宋体" w:hAnsi="宋体"/>
          <w:color w:val="000000"/>
          <w:highlight w:val="none"/>
        </w:rPr>
        <w:t>在履行合同中发生以下情形之一，应按照本条规定进行变更。</w:t>
      </w:r>
    </w:p>
    <w:p w14:paraId="34E8C8FF">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（6）变更的其他情形：</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增加或减少本合同中的任何工程的数量</w:t>
      </w:r>
      <w:r>
        <w:rPr>
          <w:rFonts w:ascii="宋体" w:hAnsi="宋体" w:cs="宋体"/>
          <w:color w:val="000000"/>
          <w:highlight w:val="none"/>
          <w:u w:val="single"/>
        </w:rPr>
        <w:t xml:space="preserve"> </w:t>
      </w:r>
      <w:r>
        <w:rPr>
          <w:rFonts w:hint="eastAsia" w:ascii="宋体" w:hAnsi="宋体" w:cs="宋体"/>
          <w:color w:val="000000"/>
          <w:highlight w:val="none"/>
          <w:u w:val="single"/>
        </w:rPr>
        <w:t>。</w:t>
      </w:r>
      <w:r>
        <w:rPr>
          <w:rFonts w:hint="eastAsia" w:ascii="宋体" w:hAnsi="宋体"/>
          <w:color w:val="000000"/>
          <w:szCs w:val="21"/>
          <w:highlight w:val="none"/>
          <w:u w:val="single"/>
        </w:rPr>
        <w:t xml:space="preserve">  </w:t>
      </w:r>
    </w:p>
    <w:p w14:paraId="6173B63A">
      <w:pPr>
        <w:pStyle w:val="6"/>
        <w:spacing w:line="360" w:lineRule="auto"/>
        <w:rPr>
          <w:rFonts w:hAnsi="宋体"/>
          <w:b w:val="0"/>
          <w:color w:val="000000"/>
          <w:szCs w:val="24"/>
          <w:highlight w:val="none"/>
        </w:rPr>
      </w:pPr>
      <w:bookmarkStart w:id="1180" w:name="_Toc480303428"/>
      <w:bookmarkStart w:id="1181" w:name="_Toc486580422"/>
      <w:bookmarkStart w:id="1182" w:name="_Toc492202892"/>
      <w:bookmarkStart w:id="1183" w:name="_Toc485323196"/>
      <w:bookmarkStart w:id="1184" w:name="_Toc490331713"/>
      <w:bookmarkStart w:id="1185" w:name="_Toc491149552"/>
      <w:bookmarkStart w:id="1186" w:name="_Toc489280228"/>
      <w:bookmarkStart w:id="1187" w:name="_BookMark_50"/>
      <w:r>
        <w:rPr>
          <w:rFonts w:hint="eastAsia" w:hAnsi="宋体"/>
          <w:b w:val="0"/>
          <w:color w:val="000000"/>
          <w:szCs w:val="24"/>
          <w:highlight w:val="none"/>
        </w:rPr>
        <w:t>15.3  变更程序</w:t>
      </w:r>
      <w:bookmarkEnd w:id="1180"/>
      <w:bookmarkEnd w:id="1181"/>
      <w:bookmarkEnd w:id="1182"/>
      <w:bookmarkEnd w:id="1183"/>
      <w:bookmarkEnd w:id="1184"/>
      <w:bookmarkEnd w:id="1185"/>
      <w:bookmarkEnd w:id="1186"/>
    </w:p>
    <w:bookmarkEnd w:id="1187"/>
    <w:p w14:paraId="2F22B5E0">
      <w:pPr>
        <w:spacing w:line="360" w:lineRule="auto"/>
        <w:ind w:firstLine="420" w:firstLineChars="200"/>
        <w:rPr>
          <w:rFonts w:ascii="宋体" w:hAnsi="宋体"/>
          <w:color w:val="000000"/>
          <w:highlight w:val="none"/>
        </w:rPr>
      </w:pPr>
      <w:r>
        <w:rPr>
          <w:rFonts w:hint="eastAsia" w:ascii="宋体" w:hAnsi="宋体"/>
          <w:color w:val="000000"/>
          <w:highlight w:val="none"/>
        </w:rPr>
        <w:t>15.3.2  变更估价</w:t>
      </w:r>
    </w:p>
    <w:p w14:paraId="61A80DF1">
      <w:pPr>
        <w:spacing w:line="360" w:lineRule="auto"/>
        <w:ind w:left="315" w:hanging="315" w:hangingChars="150"/>
        <w:rPr>
          <w:rFonts w:ascii="宋体" w:hAnsi="宋体" w:cs="宋体"/>
          <w:color w:val="000000"/>
          <w:highlight w:val="none"/>
        </w:rPr>
      </w:pPr>
      <w:r>
        <w:rPr>
          <w:rFonts w:hint="eastAsia" w:ascii="宋体" w:hAnsi="宋体"/>
          <w:color w:val="000000"/>
          <w:szCs w:val="21"/>
          <w:highlight w:val="none"/>
        </w:rPr>
        <w:t>（1）承包人提交变更报价书的期限：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承包人收到变更指示或变更意向书后的</w:t>
      </w:r>
      <w:r>
        <w:rPr>
          <w:rFonts w:ascii="宋体" w:hAnsi="宋体" w:cs="宋体"/>
          <w:color w:val="000000"/>
          <w:highlight w:val="none"/>
          <w:u w:val="single"/>
        </w:rPr>
        <w:t>14</w:t>
      </w:r>
      <w:r>
        <w:rPr>
          <w:rFonts w:hint="eastAsia" w:ascii="宋体" w:hAnsi="宋体" w:cs="宋体"/>
          <w:color w:val="000000"/>
          <w:highlight w:val="none"/>
          <w:u w:val="single"/>
        </w:rPr>
        <w:t>天内</w:t>
      </w:r>
      <w:r>
        <w:rPr>
          <w:rFonts w:hint="eastAsia" w:ascii="宋体" w:hAnsi="宋体" w:cs="宋体"/>
          <w:color w:val="000000"/>
          <w:highlight w:val="none"/>
        </w:rPr>
        <w:t>。</w:t>
      </w:r>
    </w:p>
    <w:p w14:paraId="072BBFE7">
      <w:pPr>
        <w:spacing w:line="360" w:lineRule="auto"/>
        <w:ind w:left="315" w:hanging="315" w:hangingChars="150"/>
        <w:rPr>
          <w:rFonts w:ascii="宋体" w:hAnsi="宋体" w:cs="宋体"/>
          <w:color w:val="000000"/>
          <w:highlight w:val="none"/>
        </w:rPr>
      </w:pPr>
      <w:r>
        <w:rPr>
          <w:rFonts w:hint="eastAsia" w:ascii="宋体" w:hAnsi="宋体"/>
          <w:color w:val="000000"/>
          <w:szCs w:val="21"/>
          <w:highlight w:val="none"/>
        </w:rPr>
        <w:t>（3）监理人商定或确定变更价格的期限：</w:t>
      </w:r>
      <w:r>
        <w:rPr>
          <w:rFonts w:hint="eastAsia" w:ascii="宋体" w:hAnsi="宋体"/>
          <w:color w:val="000000"/>
          <w:szCs w:val="21"/>
          <w:highlight w:val="none"/>
          <w:u w:val="single"/>
        </w:rPr>
        <w:t xml:space="preserve">  </w:t>
      </w:r>
      <w:bookmarkStart w:id="1188" w:name="_Toc486580423"/>
      <w:bookmarkStart w:id="1189" w:name="_Toc489280229"/>
      <w:bookmarkStart w:id="1190" w:name="_Toc491149553"/>
      <w:bookmarkStart w:id="1191" w:name="_Toc485323197"/>
      <w:bookmarkStart w:id="1192" w:name="_Toc492202893"/>
      <w:bookmarkStart w:id="1193" w:name="_Toc490331714"/>
      <w:bookmarkStart w:id="1194" w:name="_Toc480303429"/>
      <w:bookmarkStart w:id="1195" w:name="_BookMark_51"/>
      <w:r>
        <w:rPr>
          <w:rFonts w:hint="eastAsia" w:ascii="宋体" w:hAnsi="宋体" w:cs="宋体"/>
          <w:color w:val="000000"/>
          <w:highlight w:val="none"/>
          <w:u w:val="single"/>
        </w:rPr>
        <w:t>监理人收到承包人变更报价书后的</w:t>
      </w:r>
      <w:r>
        <w:rPr>
          <w:rFonts w:ascii="宋体" w:hAnsi="宋体" w:cs="宋体"/>
          <w:color w:val="000000"/>
          <w:highlight w:val="none"/>
          <w:u w:val="single"/>
        </w:rPr>
        <w:t>14</w:t>
      </w:r>
      <w:r>
        <w:rPr>
          <w:rFonts w:hint="eastAsia" w:ascii="宋体" w:hAnsi="宋体" w:cs="宋体"/>
          <w:color w:val="000000"/>
          <w:highlight w:val="none"/>
          <w:u w:val="single"/>
        </w:rPr>
        <w:t>天内</w:t>
      </w:r>
      <w:r>
        <w:rPr>
          <w:rFonts w:ascii="宋体" w:hAnsi="宋体" w:cs="宋体"/>
          <w:color w:val="000000"/>
          <w:highlight w:val="none"/>
          <w:u w:val="single"/>
        </w:rPr>
        <w:t xml:space="preserve"> </w:t>
      </w:r>
    </w:p>
    <w:p w14:paraId="346DC33B">
      <w:pPr>
        <w:spacing w:line="360" w:lineRule="auto"/>
        <w:ind w:left="360" w:hanging="360" w:hangingChars="150"/>
        <w:rPr>
          <w:rFonts w:ascii="宋体" w:hAnsi="宋体"/>
          <w:color w:val="000000"/>
          <w:sz w:val="24"/>
          <w:highlight w:val="none"/>
        </w:rPr>
      </w:pPr>
      <w:r>
        <w:rPr>
          <w:rFonts w:hint="eastAsia" w:ascii="宋体" w:hAnsi="宋体"/>
          <w:color w:val="000000"/>
          <w:sz w:val="24"/>
          <w:highlight w:val="none"/>
        </w:rPr>
        <w:t>15.4  变更的估价原则</w:t>
      </w:r>
      <w:bookmarkEnd w:id="1188"/>
      <w:bookmarkEnd w:id="1189"/>
      <w:bookmarkEnd w:id="1190"/>
      <w:bookmarkEnd w:id="1191"/>
      <w:bookmarkEnd w:id="1192"/>
      <w:bookmarkEnd w:id="1193"/>
      <w:bookmarkEnd w:id="1194"/>
    </w:p>
    <w:bookmarkEnd w:id="1195"/>
    <w:p w14:paraId="71E77EC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15.4.5  合同协议书约定采用单价合同形式时，因非承包人原因引起已标价工程量清单中列明的工程量发生增减，且单个子目工程量变化幅度在</w:t>
      </w:r>
      <w:r>
        <w:rPr>
          <w:rFonts w:hint="eastAsia" w:ascii="宋体" w:hAnsi="宋体"/>
          <w:color w:val="000000"/>
          <w:szCs w:val="21"/>
          <w:highlight w:val="none"/>
          <w:u w:val="single"/>
        </w:rPr>
        <w:t xml:space="preserve"> 15   </w:t>
      </w:r>
      <w:r>
        <w:rPr>
          <w:rFonts w:hint="eastAsia" w:ascii="宋体" w:hAnsi="宋体"/>
          <w:color w:val="000000"/>
          <w:szCs w:val="21"/>
          <w:highlight w:val="none"/>
        </w:rPr>
        <w:t>%以内（含）时，应执行已标价工程量清单中列明的该子目的单价；单个子目工程量变化幅度在</w:t>
      </w:r>
      <w:r>
        <w:rPr>
          <w:rFonts w:hint="eastAsia" w:ascii="宋体" w:hAnsi="宋体"/>
          <w:color w:val="000000"/>
          <w:szCs w:val="21"/>
          <w:highlight w:val="none"/>
          <w:u w:val="single"/>
        </w:rPr>
        <w:t xml:space="preserve"> 15   </w:t>
      </w:r>
      <w:r>
        <w:rPr>
          <w:rFonts w:hint="eastAsia" w:ascii="宋体" w:hAnsi="宋体"/>
          <w:color w:val="000000"/>
          <w:szCs w:val="21"/>
          <w:highlight w:val="none"/>
        </w:rPr>
        <w:t>%以外（不含），且导致分部分项工程费总额变化幅度超过</w:t>
      </w:r>
      <w:r>
        <w:rPr>
          <w:rFonts w:hint="eastAsia" w:ascii="宋体" w:hAnsi="宋体"/>
          <w:color w:val="000000"/>
          <w:szCs w:val="21"/>
          <w:highlight w:val="none"/>
          <w:u w:val="single"/>
        </w:rPr>
        <w:t xml:space="preserve">   1     </w:t>
      </w:r>
      <w:r>
        <w:rPr>
          <w:rFonts w:hint="eastAsia" w:ascii="宋体" w:hAnsi="宋体"/>
          <w:color w:val="000000"/>
          <w:szCs w:val="21"/>
          <w:highlight w:val="none"/>
        </w:rPr>
        <w:t>%时，由承包人提出并由监理人按第3.5款商定或确定新的单价，该子目按修正后的新的单价计价。</w:t>
      </w:r>
    </w:p>
    <w:p w14:paraId="58F6A786">
      <w:pPr>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5.4.6  因变更引起价格调整的其他处理方式：</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 </w:t>
      </w:r>
      <w:r>
        <w:rPr>
          <w:rFonts w:hint="eastAsia"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0985B1CD">
      <w:pPr>
        <w:pStyle w:val="6"/>
        <w:spacing w:line="360" w:lineRule="auto"/>
        <w:rPr>
          <w:rFonts w:hAnsi="宋体"/>
          <w:b w:val="0"/>
          <w:color w:val="000000"/>
          <w:szCs w:val="24"/>
          <w:highlight w:val="none"/>
        </w:rPr>
      </w:pPr>
      <w:bookmarkStart w:id="1196" w:name="_Toc489280230"/>
      <w:bookmarkStart w:id="1197" w:name="_Toc480303430"/>
      <w:bookmarkStart w:id="1198" w:name="_Toc491149554"/>
      <w:bookmarkStart w:id="1199" w:name="_Toc490331715"/>
      <w:bookmarkStart w:id="1200" w:name="_Toc486580424"/>
      <w:bookmarkStart w:id="1201" w:name="_Toc485323198"/>
      <w:bookmarkStart w:id="1202" w:name="_Toc492202894"/>
      <w:bookmarkStart w:id="1203" w:name="_BookMark_52"/>
      <w:r>
        <w:rPr>
          <w:rFonts w:hint="eastAsia" w:hAnsi="宋体"/>
          <w:b w:val="0"/>
          <w:color w:val="000000"/>
          <w:szCs w:val="24"/>
          <w:highlight w:val="none"/>
        </w:rPr>
        <w:t>15.5  承包人的合理化建议</w:t>
      </w:r>
      <w:bookmarkEnd w:id="1196"/>
      <w:bookmarkEnd w:id="1197"/>
      <w:bookmarkEnd w:id="1198"/>
      <w:bookmarkEnd w:id="1199"/>
      <w:bookmarkEnd w:id="1200"/>
      <w:bookmarkEnd w:id="1201"/>
      <w:bookmarkEnd w:id="1202"/>
    </w:p>
    <w:bookmarkEnd w:id="1203"/>
    <w:p w14:paraId="6902AB1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15.5.2  对承包人提出合理化建议的奖励方法：</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266A4BE0">
      <w:pPr>
        <w:pStyle w:val="6"/>
        <w:spacing w:line="360" w:lineRule="auto"/>
        <w:rPr>
          <w:rFonts w:hAnsi="宋体"/>
          <w:b w:val="0"/>
          <w:color w:val="000000"/>
          <w:szCs w:val="24"/>
          <w:highlight w:val="none"/>
        </w:rPr>
      </w:pPr>
      <w:bookmarkStart w:id="1204" w:name="_Toc486580425"/>
      <w:bookmarkStart w:id="1205" w:name="_Toc489280231"/>
      <w:bookmarkStart w:id="1206" w:name="_Toc491149555"/>
      <w:bookmarkStart w:id="1207" w:name="_Toc480303431"/>
      <w:bookmarkStart w:id="1208" w:name="_Toc492202895"/>
      <w:bookmarkStart w:id="1209" w:name="_Toc490331716"/>
      <w:bookmarkStart w:id="1210" w:name="_Toc485323199"/>
      <w:bookmarkStart w:id="1211" w:name="_BookMark_53"/>
      <w:r>
        <w:rPr>
          <w:rFonts w:hint="eastAsia" w:hAnsi="宋体"/>
          <w:b w:val="0"/>
          <w:color w:val="000000"/>
          <w:szCs w:val="24"/>
          <w:highlight w:val="none"/>
        </w:rPr>
        <w:t>15.8  暂估价</w:t>
      </w:r>
      <w:bookmarkEnd w:id="1204"/>
      <w:bookmarkEnd w:id="1205"/>
      <w:bookmarkEnd w:id="1206"/>
      <w:bookmarkEnd w:id="1207"/>
      <w:bookmarkEnd w:id="1208"/>
      <w:bookmarkEnd w:id="1209"/>
      <w:bookmarkEnd w:id="1210"/>
    </w:p>
    <w:bookmarkEnd w:id="1211"/>
    <w:p w14:paraId="56EDA4E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15.8.1  按合同约定应当由发包人和承包人采用招标方式选择专项供应商或专业分包人的：</w:t>
      </w:r>
    </w:p>
    <w:p w14:paraId="75DBBAD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（4）承包人报送招标计划期限：</w:t>
      </w:r>
      <w:r>
        <w:rPr>
          <w:rFonts w:ascii="宋体" w:hAnsi="宋体" w:cs="宋体"/>
          <w:color w:val="000000"/>
          <w:highlight w:val="none"/>
          <w:u w:val="single"/>
        </w:rPr>
        <w:t>/</w:t>
      </w:r>
    </w:p>
    <w:p w14:paraId="099B6ED3">
      <w:pPr>
        <w:spacing w:line="360" w:lineRule="auto"/>
        <w:ind w:firstLine="424" w:firstLineChars="202"/>
        <w:rPr>
          <w:rFonts w:ascii="宋体" w:hAnsi="宋体"/>
          <w:color w:val="000000"/>
          <w:szCs w:val="21"/>
          <w:highlight w:val="none"/>
        </w:rPr>
      </w:pPr>
      <w:r>
        <w:rPr>
          <w:rFonts w:hint="eastAsia" w:ascii="宋体" w:hAnsi="宋体"/>
          <w:color w:val="000000"/>
          <w:szCs w:val="21"/>
          <w:highlight w:val="none"/>
        </w:rPr>
        <w:t>发包人审批招标工作计划时限：</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2AF7486E">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（5）承包人报送相关文件时限：</w:t>
      </w:r>
      <w:r>
        <w:rPr>
          <w:rFonts w:ascii="宋体" w:hAnsi="宋体" w:cs="宋体"/>
          <w:color w:val="000000"/>
          <w:highlight w:val="none"/>
          <w:u w:val="single"/>
        </w:rPr>
        <w:t>/</w:t>
      </w:r>
    </w:p>
    <w:p w14:paraId="6BA26B24">
      <w:pPr>
        <w:spacing w:line="360" w:lineRule="auto"/>
        <w:ind w:firstLine="424" w:firstLineChars="202"/>
        <w:rPr>
          <w:rFonts w:ascii="宋体" w:hAnsi="宋体"/>
          <w:color w:val="000000"/>
          <w:szCs w:val="21"/>
          <w:highlight w:val="none"/>
        </w:rPr>
      </w:pPr>
      <w:r>
        <w:rPr>
          <w:rFonts w:hint="eastAsia" w:ascii="宋体" w:hAnsi="宋体"/>
          <w:color w:val="000000"/>
          <w:szCs w:val="21"/>
          <w:highlight w:val="none"/>
        </w:rPr>
        <w:t>发包人审批相关文件时限：</w:t>
      </w:r>
      <w:r>
        <w:rPr>
          <w:rFonts w:hint="eastAsia" w:ascii="宋体" w:hAnsi="宋体"/>
          <w:color w:val="000000"/>
          <w:szCs w:val="21"/>
          <w:highlight w:val="none"/>
          <w:u w:val="single"/>
        </w:rPr>
        <w:t xml:space="preserve">  </w:t>
      </w:r>
      <w:r>
        <w:rPr>
          <w:rFonts w:ascii="宋体" w:hAnsi="宋体" w:cs="宋体"/>
          <w:color w:val="000000"/>
          <w:highlight w:val="none"/>
          <w:u w:val="single"/>
        </w:rPr>
        <w:t>/</w:t>
      </w:r>
    </w:p>
    <w:p w14:paraId="50F53359">
      <w:pPr>
        <w:pStyle w:val="51"/>
        <w:spacing w:line="360" w:lineRule="auto"/>
        <w:rPr>
          <w:rFonts w:ascii="宋体" w:hAnsi="宋体" w:cs="宋体"/>
          <w:color w:val="000000"/>
          <w:szCs w:val="21"/>
          <w:highlight w:val="none"/>
        </w:rPr>
      </w:pPr>
      <w:r>
        <w:rPr>
          <w:rFonts w:hint="eastAsia" w:ascii="宋体" w:hAnsi="宋体"/>
          <w:color w:val="000000"/>
          <w:szCs w:val="21"/>
          <w:highlight w:val="none"/>
        </w:rPr>
        <w:t>（10）</w:t>
      </w:r>
      <w:r>
        <w:rPr>
          <w:rFonts w:hint="eastAsia" w:ascii="宋体" w:hAnsi="宋体" w:cs="宋体"/>
          <w:color w:val="000000"/>
          <w:szCs w:val="21"/>
          <w:highlight w:val="none"/>
        </w:rPr>
        <w:t>承包人申报合同文件时限：</w:t>
      </w:r>
      <w:r>
        <w:rPr>
          <w:rFonts w:hint="eastAsia" w:ascii="宋体" w:hAnsi="宋体" w:cs="宋体"/>
          <w:color w:val="000000"/>
          <w:szCs w:val="21"/>
          <w:highlight w:val="none"/>
          <w:u w:val="single"/>
        </w:rPr>
        <w:t xml:space="preserve">  </w:t>
      </w:r>
      <w:r>
        <w:rPr>
          <w:rFonts w:hint="eastAsia" w:ascii="宋体" w:hAnsi="宋体" w:cs="宋体"/>
          <w:color w:val="000000"/>
          <w:highlight w:val="none"/>
          <w:u w:val="single"/>
        </w:rPr>
        <w:t xml:space="preserve">/ </w:t>
      </w:r>
      <w:r>
        <w:rPr>
          <w:rFonts w:hint="eastAsia" w:ascii="宋体" w:hAnsi="宋体" w:cs="宋体"/>
          <w:color w:val="000000"/>
          <w:szCs w:val="21"/>
          <w:highlight w:val="none"/>
          <w:u w:val="single"/>
        </w:rPr>
        <w:t xml:space="preserve">  </w:t>
      </w:r>
    </w:p>
    <w:p w14:paraId="69BFAD2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发包人审批合同文件时限：</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7961B5F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承包人报送正式签订合同副本时限：</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348F6D1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15.8.3  发包人在工程量清单中给定暂估价的专业工程不属于依法必须招标的范围或者未达到依法必须招标的规模标准的，其最终价格的估价人为：</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发包人</w:t>
      </w:r>
      <w:r>
        <w:rPr>
          <w:rFonts w:hint="eastAsia" w:ascii="宋体" w:hAnsi="宋体"/>
          <w:color w:val="000000"/>
          <w:szCs w:val="21"/>
          <w:highlight w:val="none"/>
          <w:u w:val="single"/>
        </w:rPr>
        <w:t xml:space="preserve">    </w:t>
      </w:r>
      <w:r>
        <w:rPr>
          <w:rFonts w:hint="eastAsia" w:ascii="宋体" w:hAnsi="宋体"/>
          <w:color w:val="000000"/>
          <w:szCs w:val="21"/>
          <w:highlight w:val="none"/>
        </w:rPr>
        <w:t>或者按照下列约定：</w:t>
      </w:r>
      <w:r>
        <w:rPr>
          <w:rFonts w:hint="eastAsia" w:ascii="宋体" w:hAnsi="宋体"/>
          <w:color w:val="000000"/>
          <w:szCs w:val="21"/>
          <w:highlight w:val="none"/>
          <w:u w:val="single"/>
        </w:rPr>
        <w:t xml:space="preserve">    </w:t>
      </w:r>
      <w:r>
        <w:rPr>
          <w:rFonts w:ascii="宋体" w:hAnsi="宋体" w:cs="宋体"/>
          <w:color w:val="000000"/>
          <w:highlight w:val="none"/>
          <w:u w:val="single"/>
        </w:rPr>
        <w:t>/</w:t>
      </w:r>
      <w:r>
        <w:rPr>
          <w:rFonts w:hint="eastAsia" w:ascii="宋体" w:hAnsi="宋体"/>
          <w:color w:val="000000"/>
          <w:szCs w:val="21"/>
          <w:highlight w:val="none"/>
          <w:u w:val="single"/>
        </w:rPr>
        <w:t xml:space="preserve">   </w:t>
      </w:r>
    </w:p>
    <w:p w14:paraId="7D58345C">
      <w:pPr>
        <w:pStyle w:val="4"/>
        <w:spacing w:line="360" w:lineRule="auto"/>
        <w:jc w:val="left"/>
        <w:rPr>
          <w:rFonts w:ascii="宋体" w:hAnsi="宋体"/>
          <w:color w:val="000000"/>
          <w:szCs w:val="30"/>
          <w:highlight w:val="none"/>
        </w:rPr>
      </w:pPr>
      <w:bookmarkStart w:id="1212" w:name="_Toc492202896"/>
      <w:bookmarkStart w:id="1213" w:name="_Toc491149556"/>
      <w:bookmarkStart w:id="1214" w:name="_Toc480303432"/>
      <w:bookmarkStart w:id="1215" w:name="_Toc485323200"/>
      <w:bookmarkStart w:id="1216" w:name="_Toc486580426"/>
      <w:bookmarkStart w:id="1217" w:name="_Toc490331717"/>
      <w:bookmarkStart w:id="1218" w:name="_Toc489280232"/>
      <w:bookmarkStart w:id="1219" w:name="_BookMark_54"/>
      <w:r>
        <w:rPr>
          <w:rFonts w:hint="eastAsia" w:ascii="宋体" w:hAnsi="宋体"/>
          <w:color w:val="000000"/>
          <w:szCs w:val="30"/>
          <w:highlight w:val="none"/>
        </w:rPr>
        <w:t>16.价格调整</w:t>
      </w:r>
      <w:bookmarkEnd w:id="1212"/>
      <w:bookmarkEnd w:id="1213"/>
      <w:bookmarkEnd w:id="1214"/>
      <w:bookmarkEnd w:id="1215"/>
      <w:bookmarkEnd w:id="1216"/>
      <w:bookmarkEnd w:id="1217"/>
      <w:bookmarkEnd w:id="1218"/>
    </w:p>
    <w:bookmarkEnd w:id="1219"/>
    <w:p w14:paraId="3BDDB20C">
      <w:pPr>
        <w:pStyle w:val="6"/>
        <w:spacing w:line="360" w:lineRule="auto"/>
        <w:rPr>
          <w:rFonts w:hAnsi="宋体"/>
          <w:b w:val="0"/>
          <w:color w:val="000000"/>
          <w:szCs w:val="24"/>
          <w:highlight w:val="none"/>
        </w:rPr>
      </w:pPr>
      <w:bookmarkStart w:id="1220" w:name="_Toc491149557"/>
      <w:bookmarkStart w:id="1221" w:name="_Toc480303433"/>
      <w:bookmarkStart w:id="1222" w:name="_Toc485323201"/>
      <w:bookmarkStart w:id="1223" w:name="_Toc490331718"/>
      <w:bookmarkStart w:id="1224" w:name="_Toc489280233"/>
      <w:bookmarkStart w:id="1225" w:name="_Toc486580427"/>
      <w:bookmarkStart w:id="1226" w:name="_Toc492202897"/>
      <w:bookmarkStart w:id="1227" w:name="_BookMark_55"/>
      <w:r>
        <w:rPr>
          <w:rFonts w:hint="eastAsia" w:hAnsi="宋体"/>
          <w:b w:val="0"/>
          <w:color w:val="000000"/>
          <w:szCs w:val="24"/>
          <w:highlight w:val="none"/>
        </w:rPr>
        <w:t>16.1  物价波动引起的价格调整</w:t>
      </w:r>
      <w:bookmarkEnd w:id="1220"/>
      <w:bookmarkEnd w:id="1221"/>
      <w:bookmarkEnd w:id="1222"/>
      <w:bookmarkEnd w:id="1223"/>
      <w:bookmarkEnd w:id="1224"/>
      <w:bookmarkEnd w:id="1225"/>
      <w:bookmarkEnd w:id="1226"/>
    </w:p>
    <w:bookmarkEnd w:id="1227"/>
    <w:p w14:paraId="43043D51">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物价波动引起价格调整方法：</w:t>
      </w:r>
      <w:r>
        <w:rPr>
          <w:rFonts w:hint="eastAsia" w:ascii="宋体" w:hAnsi="宋体" w:cs="宋体"/>
          <w:color w:val="000000"/>
          <w:highlight w:val="none"/>
          <w:u w:val="single"/>
        </w:rPr>
        <w:t>施工期间，人工、材料、机械价格波动幅度超过±</w:t>
      </w:r>
      <w:r>
        <w:rPr>
          <w:rFonts w:ascii="宋体" w:hAnsi="宋体" w:cs="宋体"/>
          <w:color w:val="000000"/>
          <w:highlight w:val="none"/>
          <w:u w:val="single"/>
        </w:rPr>
        <w:t>6%</w:t>
      </w:r>
      <w:r>
        <w:rPr>
          <w:rFonts w:hint="eastAsia" w:ascii="宋体" w:hAnsi="宋体" w:cs="宋体"/>
          <w:color w:val="000000"/>
          <w:highlight w:val="none"/>
          <w:u w:val="single"/>
        </w:rPr>
        <w:t>时，按照京建法【</w:t>
      </w:r>
      <w:r>
        <w:rPr>
          <w:rFonts w:ascii="宋体" w:hAnsi="宋体" w:cs="宋体"/>
          <w:color w:val="000000"/>
          <w:highlight w:val="none"/>
          <w:u w:val="single"/>
        </w:rPr>
        <w:t>2013</w:t>
      </w:r>
      <w:r>
        <w:rPr>
          <w:rFonts w:hint="eastAsia" w:ascii="宋体" w:hAnsi="宋体" w:cs="宋体"/>
          <w:color w:val="000000"/>
          <w:highlight w:val="none"/>
          <w:u w:val="single"/>
        </w:rPr>
        <w:t>】</w:t>
      </w:r>
      <w:r>
        <w:rPr>
          <w:rFonts w:ascii="宋体" w:hAnsi="宋体" w:cs="宋体"/>
          <w:color w:val="000000"/>
          <w:highlight w:val="none"/>
          <w:u w:val="single"/>
        </w:rPr>
        <w:t>7</w:t>
      </w:r>
      <w:r>
        <w:rPr>
          <w:rFonts w:hint="eastAsia" w:ascii="宋体" w:hAnsi="宋体" w:cs="宋体"/>
          <w:color w:val="000000"/>
          <w:highlight w:val="none"/>
          <w:u w:val="single"/>
        </w:rPr>
        <w:t>号文确定的原则及方法，采用造价信息调整价格差额。</w:t>
      </w:r>
      <w:r>
        <w:rPr>
          <w:rFonts w:ascii="宋体" w:hAnsi="宋体"/>
          <w:color w:val="000000"/>
          <w:szCs w:val="21"/>
          <w:highlight w:val="none"/>
          <w:u w:val="single"/>
        </w:rPr>
        <w:t xml:space="preserve">   </w:t>
      </w:r>
    </w:p>
    <w:p w14:paraId="14B126CB">
      <w:pPr>
        <w:spacing w:line="360" w:lineRule="auto"/>
        <w:ind w:firstLine="420" w:firstLineChars="200"/>
        <w:rPr>
          <w:rFonts w:ascii="宋体" w:hAnsi="宋体"/>
          <w:color w:val="000000"/>
          <w:highlight w:val="none"/>
        </w:rPr>
      </w:pPr>
      <w:r>
        <w:rPr>
          <w:rFonts w:hint="eastAsia" w:ascii="宋体" w:hAnsi="宋体"/>
          <w:color w:val="000000"/>
          <w:szCs w:val="21"/>
          <w:highlight w:val="none"/>
        </w:rPr>
        <w:t>16.1.</w:t>
      </w:r>
      <w:r>
        <w:rPr>
          <w:rFonts w:ascii="宋体" w:hAnsi="宋体"/>
          <w:color w:val="000000"/>
          <w:szCs w:val="21"/>
          <w:highlight w:val="none"/>
        </w:rPr>
        <w:t>2</w:t>
      </w:r>
      <w:r>
        <w:rPr>
          <w:rFonts w:hint="eastAsia" w:ascii="宋体" w:hAnsi="宋体"/>
          <w:color w:val="000000"/>
          <w:szCs w:val="21"/>
          <w:highlight w:val="none"/>
        </w:rPr>
        <w:t xml:space="preserve">  </w:t>
      </w:r>
      <w:r>
        <w:rPr>
          <w:rFonts w:hint="eastAsia" w:ascii="宋体" w:hAnsi="宋体"/>
          <w:color w:val="000000"/>
          <w:highlight w:val="none"/>
        </w:rPr>
        <w:t>采用造价信息调整价格差额</w:t>
      </w:r>
    </w:p>
    <w:p w14:paraId="6B29EF78">
      <w:pPr>
        <w:spacing w:line="360" w:lineRule="auto"/>
        <w:ind w:firstLine="424" w:firstLineChars="202"/>
        <w:rPr>
          <w:rFonts w:ascii="宋体" w:hAnsi="宋体"/>
          <w:color w:val="000000"/>
          <w:szCs w:val="21"/>
          <w:highlight w:val="none"/>
        </w:rPr>
      </w:pPr>
      <w:r>
        <w:rPr>
          <w:rFonts w:ascii="宋体" w:hAnsi="宋体"/>
          <w:color w:val="000000"/>
          <w:szCs w:val="21"/>
          <w:highlight w:val="none"/>
        </w:rPr>
        <w:t>16.1.2.1</w:t>
      </w:r>
      <w:r>
        <w:rPr>
          <w:rFonts w:hint="eastAsia" w:ascii="宋体" w:hAnsi="宋体"/>
          <w:color w:val="000000"/>
          <w:szCs w:val="21"/>
          <w:highlight w:val="none"/>
        </w:rPr>
        <w:t xml:space="preserve">  </w:t>
      </w:r>
      <w:r>
        <w:rPr>
          <w:rFonts w:ascii="宋体" w:hAnsi="宋体"/>
          <w:color w:val="000000"/>
          <w:highlight w:val="none"/>
        </w:rPr>
        <w:t>引起价格调整的</w:t>
      </w:r>
      <w:r>
        <w:rPr>
          <w:rFonts w:hint="eastAsia" w:ascii="宋体" w:hAnsi="宋体"/>
          <w:color w:val="000000"/>
          <w:highlight w:val="none"/>
        </w:rPr>
        <w:t>物价</w:t>
      </w:r>
      <w:r>
        <w:rPr>
          <w:rFonts w:ascii="宋体" w:hAnsi="宋体"/>
          <w:color w:val="000000"/>
          <w:highlight w:val="none"/>
        </w:rPr>
        <w:t>波动风险范围及幅度</w:t>
      </w:r>
    </w:p>
    <w:p w14:paraId="42D4B18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引起</w:t>
      </w:r>
      <w:r>
        <w:rPr>
          <w:rFonts w:ascii="宋体" w:hAnsi="宋体"/>
          <w:color w:val="000000"/>
          <w:highlight w:val="none"/>
        </w:rPr>
        <w:t>价格调整的</w:t>
      </w:r>
      <w:r>
        <w:rPr>
          <w:rFonts w:hint="eastAsia" w:ascii="宋体" w:hAnsi="宋体"/>
          <w:color w:val="000000"/>
          <w:szCs w:val="21"/>
          <w:highlight w:val="none"/>
        </w:rPr>
        <w:t>物价波动</w:t>
      </w:r>
      <w:r>
        <w:rPr>
          <w:rFonts w:hint="eastAsia" w:ascii="宋体" w:hAnsi="宋体"/>
          <w:color w:val="000000"/>
          <w:highlight w:val="none"/>
        </w:rPr>
        <w:t>风险范围</w:t>
      </w:r>
      <w:r>
        <w:rPr>
          <w:rFonts w:hint="eastAsia" w:ascii="宋体" w:hAnsi="宋体"/>
          <w:color w:val="000000"/>
          <w:szCs w:val="21"/>
          <w:highlight w:val="none"/>
        </w:rPr>
        <w:t>：</w:t>
      </w:r>
    </w:p>
    <w:p w14:paraId="74AA4C58">
      <w:pPr>
        <w:spacing w:line="360" w:lineRule="auto"/>
        <w:ind w:firstLine="420" w:firstLineChars="200"/>
        <w:rPr>
          <w:rFonts w:ascii="宋体" w:hAnsi="宋体"/>
          <w:b/>
          <w:color w:val="000000"/>
          <w:szCs w:val="21"/>
          <w:highlight w:val="none"/>
          <w:u w:val="single"/>
        </w:rPr>
      </w:pPr>
      <w:r>
        <w:rPr>
          <w:rFonts w:hint="eastAsia" w:ascii="宋体" w:hAnsi="宋体"/>
          <w:color w:val="000000"/>
          <w:szCs w:val="21"/>
          <w:highlight w:val="none"/>
        </w:rPr>
        <w:t>（一）</w:t>
      </w:r>
      <w:r>
        <w:rPr>
          <w:rFonts w:ascii="宋体" w:hAnsi="宋体"/>
          <w:b/>
          <w:color w:val="000000"/>
          <w:szCs w:val="21"/>
          <w:highlight w:val="none"/>
          <w:u w:val="single"/>
        </w:rPr>
        <w:t>合同文件约定的综合单价风险范围如下：</w:t>
      </w:r>
    </w:p>
    <w:p w14:paraId="443FCBCC">
      <w:pPr>
        <w:spacing w:line="360" w:lineRule="auto"/>
        <w:ind w:left="424" w:leftChars="200" w:hanging="4" w:hangingChars="2"/>
        <w:rPr>
          <w:rFonts w:ascii="宋体" w:hAnsi="宋体"/>
          <w:color w:val="000000"/>
          <w:szCs w:val="21"/>
          <w:highlight w:val="none"/>
          <w:u w:val="single"/>
        </w:rPr>
      </w:pPr>
      <w:r>
        <w:rPr>
          <w:rFonts w:ascii="宋体" w:hAnsi="宋体"/>
          <w:color w:val="000000"/>
          <w:szCs w:val="21"/>
          <w:highlight w:val="none"/>
          <w:u w:val="single"/>
        </w:rPr>
        <w:t>a）承包人在编制投标书时对合同文件、施工图纸的任何错误理解或自身的任何疏忽而造成的错误或失误</w:t>
      </w:r>
      <w:r>
        <w:rPr>
          <w:rFonts w:hint="eastAsia" w:ascii="宋体" w:hAnsi="宋体"/>
          <w:color w:val="000000"/>
          <w:szCs w:val="21"/>
          <w:highlight w:val="none"/>
          <w:u w:val="single"/>
        </w:rPr>
        <w:t>不予调整</w:t>
      </w:r>
      <w:r>
        <w:rPr>
          <w:rFonts w:ascii="宋体" w:hAnsi="宋体"/>
          <w:color w:val="000000"/>
          <w:szCs w:val="21"/>
          <w:highlight w:val="none"/>
          <w:u w:val="single"/>
        </w:rPr>
        <w:t>；</w:t>
      </w:r>
    </w:p>
    <w:p w14:paraId="5E7A2673">
      <w:pPr>
        <w:spacing w:line="360" w:lineRule="auto"/>
        <w:ind w:firstLine="420" w:firstLineChars="200"/>
        <w:rPr>
          <w:rFonts w:ascii="宋体" w:hAnsi="宋体"/>
          <w:color w:val="000000"/>
          <w:szCs w:val="21"/>
          <w:highlight w:val="none"/>
          <w:u w:val="single"/>
        </w:rPr>
      </w:pPr>
      <w:r>
        <w:rPr>
          <w:rFonts w:ascii="宋体" w:hAnsi="宋体"/>
          <w:color w:val="000000"/>
          <w:szCs w:val="21"/>
          <w:highlight w:val="none"/>
          <w:u w:val="single"/>
        </w:rPr>
        <w:t>b）本工程主要材料、人工、机械价格的涨落在±6%（含±6%）以内</w:t>
      </w:r>
      <w:r>
        <w:rPr>
          <w:rFonts w:hint="eastAsia" w:ascii="宋体" w:hAnsi="宋体"/>
          <w:color w:val="000000"/>
          <w:szCs w:val="21"/>
          <w:highlight w:val="none"/>
          <w:u w:val="single"/>
        </w:rPr>
        <w:t>不予调整</w:t>
      </w:r>
      <w:r>
        <w:rPr>
          <w:rFonts w:ascii="宋体" w:hAnsi="宋体"/>
          <w:color w:val="000000"/>
          <w:szCs w:val="21"/>
          <w:highlight w:val="none"/>
          <w:u w:val="single"/>
        </w:rPr>
        <w:t>；</w:t>
      </w:r>
    </w:p>
    <w:p w14:paraId="0F2205B6">
      <w:pPr>
        <w:spacing w:line="360" w:lineRule="auto"/>
        <w:ind w:left="424" w:leftChars="200" w:hanging="4" w:hangingChars="2"/>
        <w:rPr>
          <w:rFonts w:ascii="宋体" w:hAnsi="宋体"/>
          <w:color w:val="000000"/>
          <w:szCs w:val="21"/>
          <w:highlight w:val="none"/>
          <w:u w:val="single"/>
        </w:rPr>
      </w:pPr>
      <w:r>
        <w:rPr>
          <w:rFonts w:ascii="宋体" w:hAnsi="宋体"/>
          <w:color w:val="000000"/>
          <w:szCs w:val="21"/>
          <w:highlight w:val="none"/>
          <w:u w:val="single"/>
        </w:rPr>
        <w:t>c）对本工程工作内容理解的偏差、工料机消耗量水平的确定、生产要素市场价格的判断及取费等</w:t>
      </w:r>
      <w:r>
        <w:rPr>
          <w:rFonts w:hint="eastAsia" w:ascii="宋体" w:hAnsi="宋体"/>
          <w:color w:val="000000"/>
          <w:szCs w:val="21"/>
          <w:highlight w:val="none"/>
          <w:u w:val="single"/>
        </w:rPr>
        <w:t>不予调整</w:t>
      </w:r>
      <w:r>
        <w:rPr>
          <w:rFonts w:ascii="宋体" w:hAnsi="宋体"/>
          <w:color w:val="000000"/>
          <w:szCs w:val="21"/>
          <w:highlight w:val="none"/>
          <w:u w:val="single"/>
        </w:rPr>
        <w:t>；</w:t>
      </w:r>
    </w:p>
    <w:p w14:paraId="2741DB3B">
      <w:pPr>
        <w:spacing w:line="360" w:lineRule="auto"/>
        <w:ind w:firstLine="420" w:firstLineChars="200"/>
        <w:rPr>
          <w:rFonts w:ascii="宋体" w:hAnsi="宋体"/>
          <w:color w:val="000000"/>
          <w:szCs w:val="21"/>
          <w:highlight w:val="none"/>
          <w:u w:val="single"/>
        </w:rPr>
      </w:pPr>
      <w:r>
        <w:rPr>
          <w:rFonts w:ascii="宋体" w:hAnsi="宋体"/>
          <w:color w:val="000000"/>
          <w:szCs w:val="21"/>
          <w:highlight w:val="none"/>
          <w:u w:val="single"/>
        </w:rPr>
        <w:t>d）因季节性施工引起的费用增加</w:t>
      </w:r>
      <w:r>
        <w:rPr>
          <w:rFonts w:hint="eastAsia" w:ascii="宋体" w:hAnsi="宋体"/>
          <w:color w:val="000000"/>
          <w:szCs w:val="21"/>
          <w:highlight w:val="none"/>
          <w:u w:val="single"/>
        </w:rPr>
        <w:t>不予调整</w:t>
      </w:r>
      <w:r>
        <w:rPr>
          <w:rFonts w:ascii="宋体" w:hAnsi="宋体"/>
          <w:color w:val="000000"/>
          <w:szCs w:val="21"/>
          <w:highlight w:val="none"/>
          <w:u w:val="single"/>
        </w:rPr>
        <w:t>；</w:t>
      </w:r>
    </w:p>
    <w:p w14:paraId="24841E2F">
      <w:pPr>
        <w:spacing w:line="360" w:lineRule="auto"/>
        <w:ind w:firstLine="422" w:firstLineChars="200"/>
        <w:rPr>
          <w:rFonts w:ascii="宋体" w:hAnsi="宋体"/>
          <w:b/>
          <w:color w:val="000000"/>
          <w:szCs w:val="21"/>
          <w:highlight w:val="none"/>
          <w:u w:val="single"/>
        </w:rPr>
      </w:pPr>
      <w:r>
        <w:rPr>
          <w:rFonts w:hint="eastAsia" w:ascii="宋体" w:hAnsi="宋体"/>
          <w:b/>
          <w:color w:val="000000"/>
          <w:szCs w:val="21"/>
          <w:highlight w:val="none"/>
          <w:u w:val="single"/>
        </w:rPr>
        <w:t>（二）</w:t>
      </w:r>
      <w:r>
        <w:rPr>
          <w:rFonts w:ascii="宋体" w:hAnsi="宋体"/>
          <w:b/>
          <w:color w:val="000000"/>
          <w:szCs w:val="21"/>
          <w:highlight w:val="none"/>
          <w:u w:val="single"/>
        </w:rPr>
        <w:t xml:space="preserve">合同文件约定的措施项目费、其他项目清单中的总承包服务费风险范围： </w:t>
      </w:r>
    </w:p>
    <w:p w14:paraId="7B86A9F1">
      <w:pPr>
        <w:spacing w:line="360" w:lineRule="auto"/>
        <w:ind w:firstLine="420" w:firstLineChars="200"/>
        <w:rPr>
          <w:rFonts w:ascii="宋体" w:hAnsi="宋体"/>
          <w:color w:val="000000"/>
          <w:szCs w:val="21"/>
          <w:highlight w:val="none"/>
          <w:u w:val="single"/>
        </w:rPr>
      </w:pPr>
      <w:r>
        <w:rPr>
          <w:rFonts w:ascii="宋体" w:hAnsi="宋体"/>
          <w:color w:val="000000"/>
          <w:szCs w:val="21"/>
          <w:highlight w:val="none"/>
          <w:u w:val="single"/>
        </w:rPr>
        <w:t>a)措施项目费： 因承包人原因导致的工程量增减，</w:t>
      </w:r>
      <w:r>
        <w:rPr>
          <w:rFonts w:ascii="宋体" w:hAnsi="宋体"/>
          <w:bCs/>
          <w:color w:val="000000"/>
          <w:szCs w:val="21"/>
          <w:highlight w:val="none"/>
          <w:u w:val="single"/>
        </w:rPr>
        <w:t>措施项目费</w:t>
      </w:r>
      <w:r>
        <w:rPr>
          <w:rFonts w:ascii="宋体" w:hAnsi="宋体"/>
          <w:color w:val="000000"/>
          <w:szCs w:val="21"/>
          <w:highlight w:val="none"/>
          <w:u w:val="single"/>
        </w:rPr>
        <w:t>不予以调整。</w:t>
      </w:r>
    </w:p>
    <w:p w14:paraId="78327D94">
      <w:pPr>
        <w:spacing w:line="360" w:lineRule="auto"/>
        <w:ind w:left="424" w:leftChars="202"/>
        <w:rPr>
          <w:rFonts w:ascii="宋体" w:hAnsi="宋体"/>
          <w:color w:val="000000"/>
          <w:szCs w:val="21"/>
          <w:highlight w:val="none"/>
        </w:rPr>
      </w:pPr>
      <w:r>
        <w:rPr>
          <w:rFonts w:ascii="宋体" w:hAnsi="宋体"/>
          <w:color w:val="000000"/>
          <w:szCs w:val="21"/>
          <w:highlight w:val="none"/>
          <w:u w:val="single"/>
        </w:rPr>
        <w:t xml:space="preserve">b)总包服务费：总包服务费费率固定不变（发包人发包的专业工程转化为承包人自行施工时，其相应总承包服务费及税金扣除。） </w:t>
      </w:r>
    </w:p>
    <w:p w14:paraId="4408A0DC">
      <w:pPr>
        <w:spacing w:line="360" w:lineRule="auto"/>
        <w:ind w:firstLine="424" w:firstLineChars="202"/>
        <w:rPr>
          <w:rFonts w:ascii="宋体" w:hAnsi="宋体"/>
          <w:color w:val="000000"/>
          <w:szCs w:val="21"/>
          <w:highlight w:val="none"/>
        </w:rPr>
      </w:pPr>
      <w:r>
        <w:rPr>
          <w:rFonts w:hint="eastAsia" w:ascii="宋体" w:hAnsi="宋体"/>
          <w:color w:val="000000"/>
          <w:szCs w:val="21"/>
          <w:highlight w:val="none"/>
        </w:rPr>
        <w:t>引起</w:t>
      </w:r>
      <w:r>
        <w:rPr>
          <w:rFonts w:ascii="宋体" w:hAnsi="宋体"/>
          <w:color w:val="000000"/>
          <w:highlight w:val="none"/>
        </w:rPr>
        <w:t>价格调整的</w:t>
      </w:r>
      <w:r>
        <w:rPr>
          <w:rFonts w:hint="eastAsia" w:ascii="宋体" w:hAnsi="宋体"/>
          <w:color w:val="000000"/>
          <w:szCs w:val="21"/>
          <w:highlight w:val="none"/>
        </w:rPr>
        <w:t>物价波动</w:t>
      </w:r>
      <w:r>
        <w:rPr>
          <w:rFonts w:ascii="宋体" w:hAnsi="宋体"/>
          <w:color w:val="000000"/>
          <w:highlight w:val="none"/>
        </w:rPr>
        <w:t>风险幅度</w:t>
      </w:r>
      <w:r>
        <w:rPr>
          <w:rFonts w:hint="eastAsia" w:ascii="宋体" w:hAnsi="宋体"/>
          <w:color w:val="000000"/>
          <w:highlight w:val="none"/>
        </w:rPr>
        <w:t>：</w:t>
      </w:r>
      <w:r>
        <w:rPr>
          <w:rFonts w:hint="eastAsia" w:ascii="宋体" w:hAnsi="宋体"/>
          <w:color w:val="000000"/>
          <w:szCs w:val="21"/>
          <w:highlight w:val="none"/>
          <w:u w:val="single"/>
        </w:rPr>
        <w:t xml:space="preserve"> ±6 </w:t>
      </w:r>
      <w:r>
        <w:rPr>
          <w:rFonts w:hint="eastAsia" w:ascii="宋体" w:hAnsi="宋体"/>
          <w:color w:val="000000"/>
          <w:szCs w:val="21"/>
          <w:highlight w:val="none"/>
        </w:rPr>
        <w:t xml:space="preserve"> %</w:t>
      </w:r>
    </w:p>
    <w:p w14:paraId="1A0FE8C6">
      <w:pPr>
        <w:spacing w:line="360" w:lineRule="auto"/>
        <w:ind w:firstLine="424" w:firstLineChars="202"/>
        <w:rPr>
          <w:rFonts w:ascii="宋体" w:hAnsi="宋体"/>
          <w:color w:val="000000"/>
          <w:szCs w:val="21"/>
          <w:highlight w:val="none"/>
        </w:rPr>
      </w:pPr>
      <w:r>
        <w:rPr>
          <w:rFonts w:hint="eastAsia" w:ascii="宋体" w:hAnsi="宋体"/>
          <w:color w:val="000000"/>
          <w:szCs w:val="21"/>
          <w:highlight w:val="none"/>
        </w:rPr>
        <w:t>16.1.</w:t>
      </w:r>
      <w:r>
        <w:rPr>
          <w:rFonts w:ascii="宋体" w:hAnsi="宋体"/>
          <w:color w:val="000000"/>
          <w:szCs w:val="21"/>
          <w:highlight w:val="none"/>
        </w:rPr>
        <w:t>2</w:t>
      </w:r>
      <w:r>
        <w:rPr>
          <w:rFonts w:hint="eastAsia" w:ascii="宋体" w:hAnsi="宋体"/>
          <w:color w:val="000000"/>
          <w:szCs w:val="21"/>
          <w:highlight w:val="none"/>
        </w:rPr>
        <w:t>.</w:t>
      </w:r>
      <w:r>
        <w:rPr>
          <w:rFonts w:ascii="宋体" w:hAnsi="宋体"/>
          <w:color w:val="000000"/>
          <w:szCs w:val="21"/>
          <w:highlight w:val="none"/>
        </w:rPr>
        <w:t xml:space="preserve">2 </w:t>
      </w:r>
      <w:r>
        <w:rPr>
          <w:rFonts w:hint="eastAsia" w:ascii="宋体" w:hAnsi="宋体"/>
          <w:color w:val="000000"/>
          <w:szCs w:val="21"/>
          <w:highlight w:val="none"/>
        </w:rPr>
        <w:t xml:space="preserve">  </w:t>
      </w:r>
      <w:r>
        <w:rPr>
          <w:rFonts w:ascii="宋体" w:hAnsi="宋体"/>
          <w:color w:val="000000"/>
          <w:szCs w:val="21"/>
          <w:highlight w:val="none"/>
        </w:rPr>
        <w:t>物价波动引起价格调整的</w:t>
      </w:r>
      <w:r>
        <w:rPr>
          <w:rFonts w:hint="eastAsia" w:ascii="宋体" w:hAnsi="宋体"/>
          <w:color w:val="000000"/>
          <w:szCs w:val="21"/>
          <w:highlight w:val="none"/>
        </w:rPr>
        <w:t>风险</w:t>
      </w:r>
      <w:r>
        <w:rPr>
          <w:rFonts w:ascii="宋体" w:hAnsi="宋体"/>
          <w:color w:val="000000"/>
          <w:szCs w:val="21"/>
          <w:highlight w:val="none"/>
        </w:rPr>
        <w:t>幅度的计算方法</w:t>
      </w:r>
    </w:p>
    <w:p w14:paraId="6F61A707">
      <w:pPr>
        <w:spacing w:line="360" w:lineRule="auto"/>
        <w:ind w:left="424" w:leftChars="202"/>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投标报价基准期</w:t>
      </w:r>
      <w:r>
        <w:rPr>
          <w:rFonts w:hint="eastAsia" w:ascii="宋体" w:hAnsi="宋体"/>
          <w:color w:val="000000"/>
          <w:szCs w:val="21"/>
          <w:highlight w:val="none"/>
        </w:rPr>
        <w:t>：</w:t>
      </w:r>
      <w:r>
        <w:rPr>
          <w:rFonts w:hint="eastAsia" w:ascii="宋体" w:hAnsi="宋体" w:cs="宋体"/>
          <w:color w:val="000000"/>
          <w:highlight w:val="none"/>
          <w:u w:val="single"/>
        </w:rPr>
        <w:t>投标报价应以《北京工程造价信息》为基准期，与基准期对应的主要材料和机械以及人工市场价格为基准价。</w:t>
      </w:r>
    </w:p>
    <w:p w14:paraId="1051B31A">
      <w:pPr>
        <w:spacing w:line="360" w:lineRule="auto"/>
        <w:ind w:left="424" w:leftChars="202"/>
        <w:rPr>
          <w:rFonts w:ascii="宋体"/>
          <w:color w:val="000000"/>
          <w:highlight w:val="none"/>
          <w:u w:val="single"/>
        </w:rPr>
      </w:pPr>
      <w:r>
        <w:rPr>
          <w:rFonts w:hint="eastAsia" w:ascii="宋体" w:hAnsi="宋体"/>
          <w:color w:val="000000"/>
          <w:highlight w:val="none"/>
        </w:rPr>
        <w:t>《北京工程造价信息》市场价格</w:t>
      </w:r>
      <w:r>
        <w:rPr>
          <w:rFonts w:hint="eastAsia" w:ascii="宋体" w:hAnsi="宋体"/>
          <w:color w:val="000000"/>
          <w:szCs w:val="21"/>
          <w:highlight w:val="none"/>
        </w:rPr>
        <w:t>信息中没有的，基准价的确定方法：</w:t>
      </w:r>
      <w:r>
        <w:rPr>
          <w:rFonts w:hint="eastAsia" w:ascii="宋体" w:hAnsi="宋体" w:cs="宋体"/>
          <w:color w:val="000000"/>
          <w:highlight w:val="none"/>
          <w:u w:val="single"/>
        </w:rPr>
        <w:t>基准价以《北京工程造价信息》（以下简称造价信息）中的市场信息价格为依据确定。造价信息价格中有上、下限的，以下限为准；造价信息价格缺项时，应以发包人、承包人共同确认的市场价格为依据确定。</w:t>
      </w:r>
    </w:p>
    <w:p w14:paraId="2950B427">
      <w:pPr>
        <w:spacing w:line="360" w:lineRule="auto"/>
        <w:ind w:left="424" w:leftChars="202"/>
        <w:rPr>
          <w:rFonts w:ascii="宋体"/>
          <w:color w:val="000000"/>
          <w:highlight w:val="none"/>
          <w:u w:val="single"/>
        </w:rPr>
      </w:pPr>
      <w:r>
        <w:rPr>
          <w:rFonts w:hint="eastAsia" w:ascii="宋体" w:hAnsi="宋体"/>
          <w:color w:val="000000"/>
          <w:szCs w:val="21"/>
          <w:highlight w:val="none"/>
        </w:rPr>
        <w:t>（2）</w:t>
      </w:r>
      <w:r>
        <w:rPr>
          <w:rFonts w:hint="eastAsia" w:ascii="宋体" w:hAnsi="宋体" w:cs="宋体"/>
          <w:color w:val="000000"/>
          <w:highlight w:val="none"/>
          <w:u w:val="single"/>
        </w:rPr>
        <w:t>物价波动幅度的计算：</w:t>
      </w:r>
    </w:p>
    <w:p w14:paraId="181C0F7E">
      <w:pPr>
        <w:spacing w:line="360" w:lineRule="auto"/>
        <w:ind w:left="424" w:leftChars="202"/>
        <w:rPr>
          <w:rFonts w:ascii="宋体"/>
          <w:color w:val="000000"/>
          <w:highlight w:val="none"/>
          <w:u w:val="single"/>
        </w:rPr>
      </w:pPr>
      <w:r>
        <w:rPr>
          <w:rFonts w:ascii="宋体" w:hAnsi="宋体" w:cs="宋体"/>
          <w:color w:val="000000"/>
          <w:highlight w:val="none"/>
          <w:u w:val="single"/>
        </w:rPr>
        <w:t xml:space="preserve">A. </w:t>
      </w:r>
      <w:r>
        <w:rPr>
          <w:rFonts w:hint="eastAsia" w:ascii="宋体" w:hAnsi="宋体" w:cs="宋体"/>
          <w:color w:val="000000"/>
          <w:highlight w:val="none"/>
          <w:u w:val="single"/>
        </w:rPr>
        <w:t>当承包人投标报价中的主要材料和机械以及人工单价低于基准价时，施工期市场价的涨幅以基准价格为基础确定，跌幅以投标报价为基础确定。</w:t>
      </w:r>
    </w:p>
    <w:p w14:paraId="078B07A7">
      <w:pPr>
        <w:spacing w:line="360" w:lineRule="auto"/>
        <w:ind w:left="424" w:leftChars="202"/>
        <w:rPr>
          <w:rFonts w:ascii="宋体"/>
          <w:color w:val="000000"/>
          <w:highlight w:val="none"/>
          <w:u w:val="single"/>
        </w:rPr>
      </w:pPr>
      <w:r>
        <w:rPr>
          <w:rFonts w:ascii="宋体" w:hAnsi="宋体" w:cs="宋体"/>
          <w:color w:val="000000"/>
          <w:highlight w:val="none"/>
          <w:u w:val="single"/>
        </w:rPr>
        <w:t xml:space="preserve">B. </w:t>
      </w:r>
      <w:r>
        <w:rPr>
          <w:rFonts w:hint="eastAsia" w:ascii="宋体" w:hAnsi="宋体" w:cs="宋体"/>
          <w:color w:val="000000"/>
          <w:highlight w:val="none"/>
          <w:u w:val="single"/>
        </w:rPr>
        <w:t>当承包人投标报价中的主要材料和机械以及人工单价高于基准价时，施工期市场价跌幅以基准价格为基础确定，涨幅以投标报价为基础确定。</w:t>
      </w:r>
    </w:p>
    <w:p w14:paraId="7BB151F4">
      <w:pPr>
        <w:spacing w:line="360" w:lineRule="auto"/>
        <w:ind w:left="424" w:leftChars="202"/>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）合同施工期市场价格的确定方法：</w:t>
      </w:r>
      <w:r>
        <w:rPr>
          <w:rFonts w:hint="eastAsia" w:ascii="宋体" w:hAnsi="宋体" w:cs="宋体"/>
          <w:color w:val="000000"/>
          <w:highlight w:val="none"/>
          <w:u w:val="single"/>
        </w:rPr>
        <w:t>施工期市场价以发包人、承包人共同确认的价格为准。若发包人、承包人未能就施工期市场价格达成一致，可以参考施工期的造价信息价格。</w:t>
      </w:r>
      <w:r>
        <w:rPr>
          <w:rFonts w:hint="eastAsia" w:ascii="宋体" w:hAnsi="宋体"/>
          <w:color w:val="000000"/>
          <w:szCs w:val="21"/>
          <w:highlight w:val="none"/>
          <w:u w:val="single"/>
        </w:rPr>
        <w:t xml:space="preserve">  </w:t>
      </w:r>
    </w:p>
    <w:p w14:paraId="5CA1F7FF">
      <w:pPr>
        <w:spacing w:line="360" w:lineRule="auto"/>
        <w:ind w:left="424" w:leftChars="202"/>
        <w:rPr>
          <w:rFonts w:ascii="宋体" w:hAnsi="宋体"/>
          <w:color w:val="000000"/>
          <w:szCs w:val="21"/>
          <w:highlight w:val="none"/>
        </w:rPr>
      </w:pPr>
      <w:r>
        <w:rPr>
          <w:rFonts w:hint="eastAsia" w:ascii="宋体" w:hAnsi="宋体"/>
          <w:color w:val="000000"/>
          <w:szCs w:val="21"/>
          <w:highlight w:val="none"/>
        </w:rPr>
        <w:t>16.1.</w:t>
      </w:r>
      <w:r>
        <w:rPr>
          <w:rFonts w:ascii="宋体" w:hAnsi="宋体"/>
          <w:color w:val="000000"/>
          <w:szCs w:val="21"/>
          <w:highlight w:val="none"/>
        </w:rPr>
        <w:t>2</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物价</w:t>
      </w:r>
      <w:r>
        <w:rPr>
          <w:rFonts w:ascii="宋体" w:hAnsi="宋体"/>
          <w:color w:val="000000"/>
          <w:szCs w:val="21"/>
          <w:highlight w:val="none"/>
        </w:rPr>
        <w:t>波动引起价格调整的</w:t>
      </w:r>
      <w:r>
        <w:rPr>
          <w:rFonts w:hint="eastAsia" w:ascii="宋体" w:hAnsi="宋体"/>
          <w:color w:val="000000"/>
          <w:szCs w:val="21"/>
          <w:highlight w:val="none"/>
        </w:rPr>
        <w:t>方法</w:t>
      </w:r>
    </w:p>
    <w:p w14:paraId="4CB3E34D">
      <w:pPr>
        <w:spacing w:line="360" w:lineRule="auto"/>
        <w:ind w:left="424" w:leftChars="202"/>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）本工程单价调整方法采用</w:t>
      </w:r>
      <w:r>
        <w:rPr>
          <w:rFonts w:hint="eastAsia" w:ascii="宋体" w:hAnsi="宋体" w:cs="宋体"/>
          <w:color w:val="000000"/>
          <w:highlight w:val="none"/>
          <w:u w:val="single"/>
        </w:rPr>
        <w:t>算数平均法</w:t>
      </w:r>
      <w:r>
        <w:rPr>
          <w:rFonts w:hint="eastAsia" w:ascii="宋体" w:hAnsi="宋体"/>
          <w:color w:val="000000"/>
          <w:szCs w:val="21"/>
          <w:highlight w:val="none"/>
        </w:rPr>
        <w:t>（加权平均法/算数平均法/其他计算方法）。</w:t>
      </w:r>
    </w:p>
    <w:p w14:paraId="2C23EFDE">
      <w:pPr>
        <w:spacing w:line="360" w:lineRule="auto"/>
        <w:ind w:left="424" w:leftChars="202"/>
        <w:rPr>
          <w:rFonts w:ascii="宋体" w:hAnsi="宋体"/>
          <w:color w:val="000000"/>
          <w:szCs w:val="21"/>
          <w:highlight w:val="none"/>
        </w:rPr>
      </w:pPr>
      <w:r>
        <w:rPr>
          <w:rFonts w:hint="eastAsia" w:ascii="宋体" w:hAnsi="宋体"/>
          <w:color w:val="000000"/>
          <w:szCs w:val="21"/>
          <w:highlight w:val="none"/>
        </w:rPr>
        <w:t>采用加权平均法：</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p>
    <w:p w14:paraId="79B5EAE4">
      <w:pPr>
        <w:spacing w:line="360" w:lineRule="auto"/>
        <w:ind w:left="424" w:leftChars="202"/>
        <w:rPr>
          <w:rFonts w:ascii="宋体" w:hAnsi="宋体"/>
          <w:color w:val="000000"/>
          <w:szCs w:val="21"/>
          <w:highlight w:val="none"/>
        </w:rPr>
      </w:pPr>
      <w:r>
        <w:rPr>
          <w:rFonts w:hint="eastAsia" w:ascii="宋体" w:hAnsi="宋体"/>
          <w:color w:val="000000"/>
          <w:szCs w:val="21"/>
          <w:highlight w:val="none"/>
        </w:rPr>
        <w:t>采用算数平均法：</w:t>
      </w:r>
      <w:r>
        <w:rPr>
          <w:rFonts w:hint="eastAsia" w:ascii="宋体" w:hAnsi="宋体"/>
          <w:color w:val="000000"/>
          <w:szCs w:val="21"/>
          <w:highlight w:val="none"/>
          <w:u w:val="single"/>
        </w:rPr>
        <w:t>（1）主要材料和机械市场的变化幅度小于或等于合同约定的价格变化幅度时，不做调整；变化幅度大于合同中约定的价格变化幅度时，应该计算超过部分的价格差额，其价格差额由发包人承担或收益。（2）人工市场价格的变化幅度小于或等于合同中约定的价格变化幅度时，不做调整；变化幅度大于合同中约定的价格变化幅度时，应计算全部价格差额，其价格差额由发包人承担或受益。（3）人工费价格差额不计取规费；人工、材料、机械计算后的价格差额只计取税金。</w:t>
      </w:r>
    </w:p>
    <w:p w14:paraId="53012576">
      <w:pPr>
        <w:spacing w:line="360" w:lineRule="auto"/>
        <w:ind w:left="424" w:leftChars="202"/>
        <w:rPr>
          <w:rFonts w:ascii="宋体"/>
          <w:color w:val="000000"/>
          <w:highlight w:val="none"/>
          <w:u w:val="single"/>
        </w:rPr>
      </w:pPr>
      <w:r>
        <w:rPr>
          <w:rFonts w:hint="eastAsia" w:ascii="宋体" w:hAnsi="宋体"/>
          <w:color w:val="000000"/>
          <w:szCs w:val="21"/>
          <w:highlight w:val="none"/>
        </w:rPr>
        <w:t>采用其他计算方法</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 xml:space="preserve">  </w:t>
      </w:r>
    </w:p>
    <w:p w14:paraId="6E070ACA">
      <w:pPr>
        <w:spacing w:line="360" w:lineRule="auto"/>
        <w:ind w:left="420" w:leftChars="200"/>
        <w:rPr>
          <w:rFonts w:ascii="宋体"/>
          <w:color w:val="000000"/>
          <w:highlight w:val="none"/>
          <w:u w:val="single"/>
        </w:rPr>
      </w:pPr>
      <w:r>
        <w:rPr>
          <w:rFonts w:hint="eastAsia" w:ascii="宋体" w:hAnsi="宋体"/>
          <w:color w:val="000000"/>
          <w:szCs w:val="21"/>
          <w:highlight w:val="none"/>
        </w:rPr>
        <w:t>16.1.</w:t>
      </w:r>
      <w:r>
        <w:rPr>
          <w:rFonts w:ascii="宋体" w:hAnsi="宋体"/>
          <w:color w:val="000000"/>
          <w:szCs w:val="21"/>
          <w:highlight w:val="none"/>
        </w:rPr>
        <w:t>2</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 xml:space="preserve">  其他约定：</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w:t>
      </w:r>
      <w:r>
        <w:rPr>
          <w:rFonts w:ascii="宋体" w:hAnsi="宋体" w:cs="宋体"/>
          <w:color w:val="000000"/>
          <w:highlight w:val="none"/>
          <w:u w:val="single"/>
        </w:rPr>
        <w:t>1</w:t>
      </w:r>
      <w:r>
        <w:rPr>
          <w:rFonts w:hint="eastAsia" w:ascii="宋体" w:hAnsi="宋体" w:cs="宋体"/>
          <w:color w:val="000000"/>
          <w:highlight w:val="none"/>
          <w:u w:val="single"/>
        </w:rPr>
        <w:t>）主要材料和机械市场价格的变化幅度大于合同中约定的价格变化幅度时，计算超过部分的价格差额。</w:t>
      </w:r>
    </w:p>
    <w:p w14:paraId="1F35C8F1">
      <w:pPr>
        <w:spacing w:line="360" w:lineRule="auto"/>
        <w:rPr>
          <w:rFonts w:ascii="宋体"/>
          <w:color w:val="000000"/>
          <w:highlight w:val="none"/>
          <w:u w:val="single"/>
        </w:rPr>
      </w:pPr>
      <w:r>
        <w:rPr>
          <w:rFonts w:ascii="宋体" w:hAnsi="宋体" w:cs="宋体"/>
          <w:color w:val="000000"/>
          <w:highlight w:val="none"/>
        </w:rPr>
        <w:t xml:space="preserve">    </w:t>
      </w:r>
      <w:r>
        <w:rPr>
          <w:rFonts w:hint="eastAsia" w:ascii="宋体" w:hAnsi="宋体" w:cs="宋体"/>
          <w:color w:val="000000"/>
          <w:highlight w:val="none"/>
          <w:u w:val="single"/>
        </w:rPr>
        <w:t>（</w:t>
      </w:r>
      <w:r>
        <w:rPr>
          <w:rFonts w:ascii="宋体" w:hAnsi="宋体" w:cs="宋体"/>
          <w:color w:val="000000"/>
          <w:highlight w:val="none"/>
          <w:u w:val="single"/>
        </w:rPr>
        <w:t>2</w:t>
      </w:r>
      <w:r>
        <w:rPr>
          <w:rFonts w:hint="eastAsia" w:ascii="宋体" w:hAnsi="宋体" w:cs="宋体"/>
          <w:color w:val="000000"/>
          <w:highlight w:val="none"/>
          <w:u w:val="single"/>
        </w:rPr>
        <w:t>）人工市场价格的变化幅度大于合同中约定的价格变化幅度时，计算全部价格差额。</w:t>
      </w:r>
    </w:p>
    <w:p w14:paraId="6D6A8C3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16.1.</w:t>
      </w:r>
      <w:r>
        <w:rPr>
          <w:rFonts w:ascii="宋体" w:hAnsi="宋体"/>
          <w:color w:val="000000"/>
          <w:szCs w:val="21"/>
          <w:highlight w:val="none"/>
        </w:rPr>
        <w:t>3</w:t>
      </w:r>
      <w:r>
        <w:rPr>
          <w:rFonts w:hint="eastAsia" w:ascii="宋体" w:hAnsi="宋体"/>
          <w:color w:val="000000"/>
          <w:szCs w:val="21"/>
          <w:highlight w:val="none"/>
        </w:rPr>
        <w:t xml:space="preserve">  其他价格调整方法</w:t>
      </w:r>
    </w:p>
    <w:p w14:paraId="2B91B21C">
      <w:pPr>
        <w:spacing w:line="360" w:lineRule="auto"/>
        <w:ind w:left="424" w:leftChars="202"/>
        <w:rPr>
          <w:rFonts w:ascii="宋体" w:hAnsi="宋体"/>
          <w:color w:val="000000"/>
          <w:szCs w:val="21"/>
          <w:highlight w:val="none"/>
        </w:rPr>
      </w:pP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0F6AA288">
      <w:pPr>
        <w:pStyle w:val="4"/>
        <w:spacing w:line="360" w:lineRule="auto"/>
        <w:jc w:val="left"/>
        <w:rPr>
          <w:rFonts w:ascii="宋体" w:hAnsi="宋体"/>
          <w:color w:val="000000"/>
          <w:szCs w:val="30"/>
          <w:highlight w:val="none"/>
        </w:rPr>
      </w:pPr>
      <w:bookmarkStart w:id="1228" w:name="_Toc480303434"/>
      <w:bookmarkStart w:id="1229" w:name="_Toc489280234"/>
      <w:bookmarkStart w:id="1230" w:name="_Toc490331719"/>
      <w:bookmarkStart w:id="1231" w:name="_Toc492202898"/>
      <w:bookmarkStart w:id="1232" w:name="_Toc485323202"/>
      <w:bookmarkStart w:id="1233" w:name="_Toc491149558"/>
      <w:bookmarkStart w:id="1234" w:name="_Toc486580428"/>
      <w:bookmarkStart w:id="1235" w:name="_BookMark_56"/>
      <w:r>
        <w:rPr>
          <w:rFonts w:hint="eastAsia" w:ascii="宋体" w:hAnsi="宋体"/>
          <w:color w:val="000000"/>
          <w:szCs w:val="30"/>
          <w:highlight w:val="none"/>
        </w:rPr>
        <w:t>17.计量与支付</w:t>
      </w:r>
      <w:bookmarkEnd w:id="1228"/>
      <w:bookmarkEnd w:id="1229"/>
      <w:bookmarkEnd w:id="1230"/>
      <w:bookmarkEnd w:id="1231"/>
      <w:bookmarkEnd w:id="1232"/>
      <w:bookmarkEnd w:id="1233"/>
      <w:bookmarkEnd w:id="1234"/>
    </w:p>
    <w:bookmarkEnd w:id="1235"/>
    <w:p w14:paraId="08EA0464">
      <w:pPr>
        <w:pStyle w:val="6"/>
        <w:spacing w:line="360" w:lineRule="auto"/>
        <w:rPr>
          <w:rFonts w:hAnsi="宋体"/>
          <w:b w:val="0"/>
          <w:color w:val="000000"/>
          <w:szCs w:val="24"/>
          <w:highlight w:val="none"/>
        </w:rPr>
      </w:pPr>
      <w:bookmarkStart w:id="1236" w:name="_Toc485323203"/>
      <w:bookmarkStart w:id="1237" w:name="_Toc491149559"/>
      <w:bookmarkStart w:id="1238" w:name="_Toc486580429"/>
      <w:bookmarkStart w:id="1239" w:name="_Toc480303435"/>
      <w:bookmarkStart w:id="1240" w:name="_Toc489280235"/>
      <w:bookmarkStart w:id="1241" w:name="_Toc492202899"/>
      <w:bookmarkStart w:id="1242" w:name="_Toc490331720"/>
      <w:bookmarkStart w:id="1243" w:name="_BookMark_57"/>
      <w:r>
        <w:rPr>
          <w:rFonts w:hint="eastAsia" w:hAnsi="宋体"/>
          <w:b w:val="0"/>
          <w:color w:val="000000"/>
          <w:szCs w:val="24"/>
          <w:highlight w:val="none"/>
        </w:rPr>
        <w:t>17.1  计量</w:t>
      </w:r>
      <w:bookmarkEnd w:id="1236"/>
      <w:bookmarkEnd w:id="1237"/>
      <w:bookmarkEnd w:id="1238"/>
      <w:bookmarkEnd w:id="1239"/>
      <w:bookmarkEnd w:id="1240"/>
      <w:bookmarkEnd w:id="1241"/>
      <w:bookmarkEnd w:id="1242"/>
    </w:p>
    <w:bookmarkEnd w:id="1243"/>
    <w:p w14:paraId="14B720A9">
      <w:pPr>
        <w:spacing w:line="360" w:lineRule="auto"/>
        <w:ind w:firstLine="420" w:firstLineChars="200"/>
        <w:rPr>
          <w:rFonts w:ascii="宋体" w:hAnsi="宋体" w:cs="Arial"/>
          <w:color w:val="000000"/>
          <w:highlight w:val="none"/>
        </w:rPr>
      </w:pPr>
      <w:r>
        <w:rPr>
          <w:rFonts w:hint="eastAsia" w:ascii="宋体" w:hAnsi="宋体" w:cs="Arial"/>
          <w:color w:val="000000"/>
          <w:highlight w:val="none"/>
        </w:rPr>
        <w:t>17.1.3  计量周期</w:t>
      </w:r>
    </w:p>
    <w:p w14:paraId="506CACF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（1）每月</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25 </w:t>
      </w:r>
      <w:r>
        <w:rPr>
          <w:rFonts w:hint="eastAsia" w:ascii="宋体" w:hAnsi="宋体"/>
          <w:color w:val="000000"/>
          <w:szCs w:val="21"/>
          <w:highlight w:val="none"/>
          <w:u w:val="single"/>
        </w:rPr>
        <w:t xml:space="preserve">   </w:t>
      </w:r>
      <w:r>
        <w:rPr>
          <w:rFonts w:hint="eastAsia" w:ascii="宋体" w:hAnsi="宋体"/>
          <w:color w:val="000000"/>
          <w:szCs w:val="21"/>
          <w:highlight w:val="none"/>
        </w:rPr>
        <w:t>日为当月计量截止日期（不含当日）和下月计量起始日期（含当日）。</w:t>
      </w:r>
    </w:p>
    <w:p w14:paraId="74336035">
      <w:pPr>
        <w:spacing w:line="360" w:lineRule="auto"/>
        <w:ind w:left="105" w:leftChars="50" w:firstLine="315" w:firstLineChars="150"/>
        <w:rPr>
          <w:rFonts w:ascii="宋体" w:hAnsi="宋体" w:cs="Arial"/>
          <w:color w:val="000000"/>
          <w:highlight w:val="none"/>
        </w:rPr>
      </w:pPr>
      <w:r>
        <w:rPr>
          <w:rFonts w:hint="eastAsia" w:ascii="宋体" w:hAnsi="宋体" w:cs="Arial"/>
          <w:color w:val="000000"/>
          <w:highlight w:val="none"/>
        </w:rPr>
        <w:t>（2）本合同</w:t>
      </w:r>
      <w:r>
        <w:rPr>
          <w:rFonts w:hint="eastAsia" w:ascii="宋体" w:hAnsi="宋体" w:cs="Arial"/>
          <w:color w:val="000000"/>
          <w:highlight w:val="none"/>
          <w:u w:val="single"/>
        </w:rPr>
        <w:t xml:space="preserve">   </w:t>
      </w:r>
      <w:r>
        <w:rPr>
          <w:rFonts w:hint="eastAsia" w:ascii="宋体" w:hAnsi="宋体" w:cs="宋体"/>
          <w:color w:val="000000"/>
          <w:highlight w:val="none"/>
          <w:u w:val="single"/>
        </w:rPr>
        <w:t>执行</w:t>
      </w:r>
      <w:r>
        <w:rPr>
          <w:rFonts w:hint="eastAsia" w:ascii="宋体" w:hAnsi="宋体" w:cs="Arial"/>
          <w:color w:val="000000"/>
          <w:highlight w:val="none"/>
          <w:u w:val="single"/>
        </w:rPr>
        <w:t xml:space="preserve">    </w:t>
      </w:r>
      <w:r>
        <w:rPr>
          <w:rFonts w:hint="eastAsia" w:ascii="宋体" w:hAnsi="宋体" w:cs="Arial"/>
          <w:color w:val="000000"/>
          <w:highlight w:val="none"/>
        </w:rPr>
        <w:t>（执行（采用单价合同形式时）/不执行（采用总价合同形式时））</w:t>
      </w:r>
      <w:r>
        <w:rPr>
          <w:rFonts w:hint="eastAsia"/>
          <w:color w:val="000000"/>
          <w:highlight w:val="none"/>
        </w:rPr>
        <w:t>单价子目已完成工程量按月计量</w:t>
      </w:r>
      <w:r>
        <w:rPr>
          <w:rFonts w:hint="eastAsia" w:ascii="宋体" w:hAnsi="宋体" w:cs="Arial"/>
          <w:color w:val="000000"/>
          <w:highlight w:val="none"/>
        </w:rPr>
        <w:t>。</w:t>
      </w:r>
    </w:p>
    <w:p w14:paraId="71FEB61B">
      <w:pPr>
        <w:spacing w:line="360" w:lineRule="auto"/>
        <w:ind w:left="105" w:leftChars="50" w:firstLine="315" w:firstLineChars="150"/>
        <w:rPr>
          <w:rFonts w:ascii="宋体" w:hAnsi="宋体" w:cs="Arial"/>
          <w:color w:val="000000"/>
          <w:highlight w:val="none"/>
        </w:rPr>
      </w:pPr>
      <w:r>
        <w:rPr>
          <w:rFonts w:hint="eastAsia" w:ascii="宋体" w:hAnsi="宋体" w:cs="Arial"/>
          <w:color w:val="000000"/>
          <w:highlight w:val="none"/>
        </w:rPr>
        <w:t>（3）</w:t>
      </w:r>
      <w:r>
        <w:rPr>
          <w:rFonts w:hint="eastAsia" w:ascii="宋体" w:hAnsi="宋体"/>
          <w:color w:val="000000"/>
          <w:szCs w:val="21"/>
          <w:highlight w:val="none"/>
        </w:rPr>
        <w:t>总价子目计量方式采用</w:t>
      </w:r>
      <w:r>
        <w:rPr>
          <w:rFonts w:hint="eastAsia" w:ascii="宋体" w:hAnsi="宋体" w:cs="Arial"/>
          <w:color w:val="000000"/>
          <w:szCs w:val="21"/>
          <w:highlight w:val="none"/>
          <w:u w:val="single"/>
        </w:rPr>
        <w:t>按实际完成工程量计量</w:t>
      </w:r>
      <w:r>
        <w:rPr>
          <w:rFonts w:hint="eastAsia" w:ascii="宋体" w:hAnsi="宋体" w:cs="Arial"/>
          <w:color w:val="000000"/>
          <w:szCs w:val="21"/>
          <w:highlight w:val="none"/>
        </w:rPr>
        <w:t>（支付分解报告/按实际完成工程量计量）</w:t>
      </w:r>
      <w:r>
        <w:rPr>
          <w:rFonts w:hint="eastAsia" w:ascii="宋体" w:hAnsi="宋体" w:cs="Arial"/>
          <w:color w:val="000000"/>
          <w:highlight w:val="none"/>
        </w:rPr>
        <w:t>。</w:t>
      </w:r>
    </w:p>
    <w:p w14:paraId="539D1687">
      <w:pPr>
        <w:spacing w:line="360" w:lineRule="auto"/>
        <w:ind w:firstLine="420" w:firstLineChars="200"/>
        <w:rPr>
          <w:rFonts w:ascii="宋体" w:hAnsi="宋体"/>
          <w:color w:val="000000"/>
          <w:highlight w:val="none"/>
        </w:rPr>
      </w:pPr>
      <w:r>
        <w:rPr>
          <w:rFonts w:hint="eastAsia" w:ascii="宋体" w:hAnsi="宋体" w:cs="Arial"/>
          <w:color w:val="000000"/>
          <w:highlight w:val="none"/>
        </w:rPr>
        <w:t>17.1.5  总价子目的计量</w:t>
      </w:r>
      <w:r>
        <w:rPr>
          <w:rFonts w:hint="eastAsia" w:ascii="宋体" w:hAnsi="宋体"/>
          <w:color w:val="000000"/>
          <w:highlight w:val="none"/>
        </w:rPr>
        <w:t>（适用于采用支付分解报告）</w:t>
      </w:r>
    </w:p>
    <w:p w14:paraId="4C762876">
      <w:pPr>
        <w:spacing w:line="360" w:lineRule="auto"/>
        <w:ind w:firstLine="420" w:firstLineChars="200"/>
        <w:rPr>
          <w:rFonts w:ascii="宋体" w:hAnsi="宋体" w:cs="Arial"/>
          <w:color w:val="000000"/>
          <w:highlight w:val="none"/>
        </w:rPr>
      </w:pPr>
      <w:r>
        <w:rPr>
          <w:rFonts w:hint="eastAsia" w:ascii="宋体" w:hAnsi="宋体" w:cs="Arial"/>
          <w:color w:val="000000"/>
          <w:highlight w:val="none"/>
        </w:rPr>
        <w:t>（</w:t>
      </w:r>
      <w:r>
        <w:rPr>
          <w:rFonts w:ascii="宋体" w:hAnsi="宋体" w:cs="Arial"/>
          <w:color w:val="000000"/>
          <w:highlight w:val="none"/>
        </w:rPr>
        <w:t>1</w:t>
      </w:r>
      <w:r>
        <w:rPr>
          <w:rFonts w:hint="eastAsia" w:ascii="宋体" w:hAnsi="宋体" w:cs="Arial"/>
          <w:color w:val="000000"/>
          <w:highlight w:val="none"/>
        </w:rPr>
        <w:t>）</w:t>
      </w:r>
      <w:r>
        <w:rPr>
          <w:rFonts w:hint="eastAsia" w:ascii="宋体" w:hAnsi="宋体"/>
          <w:color w:val="000000"/>
          <w:highlight w:val="none"/>
        </w:rPr>
        <w:t>采用支付分解报告计量方式的，</w:t>
      </w:r>
      <w:r>
        <w:rPr>
          <w:rFonts w:hint="eastAsia" w:ascii="宋体" w:hAnsi="宋体" w:cs="Arial"/>
          <w:color w:val="000000"/>
          <w:highlight w:val="none"/>
        </w:rPr>
        <w:t>总价</w:t>
      </w:r>
      <w:r>
        <w:rPr>
          <w:rFonts w:hint="eastAsia" w:ascii="宋体" w:hAnsi="宋体"/>
          <w:color w:val="000000"/>
          <w:szCs w:val="21"/>
          <w:highlight w:val="none"/>
        </w:rPr>
        <w:t>子目</w:t>
      </w:r>
      <w:r>
        <w:rPr>
          <w:rFonts w:hint="eastAsia" w:ascii="宋体" w:hAnsi="宋体" w:cs="Arial"/>
          <w:color w:val="000000"/>
          <w:highlight w:val="none"/>
        </w:rPr>
        <w:t>的价格调整方法：</w:t>
      </w:r>
      <w:r>
        <w:rPr>
          <w:rFonts w:hint="eastAsia" w:ascii="宋体" w:hAnsi="宋体" w:cs="Arial"/>
          <w:color w:val="000000"/>
          <w:highlight w:val="none"/>
          <w:u w:val="single"/>
        </w:rPr>
        <w:t xml:space="preserve">   </w:t>
      </w:r>
      <w:r>
        <w:rPr>
          <w:rFonts w:ascii="宋体" w:hAnsi="宋体" w:cs="宋体"/>
          <w:color w:val="000000"/>
          <w:highlight w:val="none"/>
          <w:u w:val="single"/>
        </w:rPr>
        <w:t xml:space="preserve">/  </w:t>
      </w:r>
      <w:r>
        <w:rPr>
          <w:rFonts w:hint="eastAsia" w:ascii="宋体" w:hAnsi="宋体" w:cs="Arial"/>
          <w:color w:val="000000"/>
          <w:highlight w:val="none"/>
          <w:u w:val="single"/>
        </w:rPr>
        <w:t xml:space="preserve">        </w:t>
      </w:r>
    </w:p>
    <w:p w14:paraId="6BFB1486">
      <w:pPr>
        <w:spacing w:line="360" w:lineRule="auto"/>
        <w:ind w:firstLine="420" w:firstLineChars="200"/>
        <w:rPr>
          <w:rFonts w:ascii="宋体" w:hAnsi="宋体" w:cs="Arial"/>
          <w:color w:val="000000"/>
          <w:highlight w:val="none"/>
        </w:rPr>
      </w:pPr>
      <w:r>
        <w:rPr>
          <w:rFonts w:hint="eastAsia" w:ascii="宋体" w:hAnsi="宋体" w:cs="Arial"/>
          <w:color w:val="000000"/>
          <w:highlight w:val="none"/>
        </w:rPr>
        <w:t>17.1.5  总价</w:t>
      </w:r>
      <w:r>
        <w:rPr>
          <w:rFonts w:hint="eastAsia" w:ascii="宋体" w:hAnsi="宋体"/>
          <w:color w:val="000000"/>
          <w:szCs w:val="21"/>
          <w:highlight w:val="none"/>
        </w:rPr>
        <w:t>子目</w:t>
      </w:r>
      <w:r>
        <w:rPr>
          <w:rFonts w:hint="eastAsia" w:ascii="宋体" w:hAnsi="宋体" w:cs="Arial"/>
          <w:color w:val="000000"/>
          <w:highlight w:val="none"/>
        </w:rPr>
        <w:t>的计量（适用于采用按实际完成工程量计量）</w:t>
      </w:r>
    </w:p>
    <w:p w14:paraId="1A4F5AD5">
      <w:pPr>
        <w:spacing w:line="360" w:lineRule="auto"/>
        <w:ind w:firstLine="420" w:firstLineChars="200"/>
        <w:rPr>
          <w:rFonts w:ascii="宋体" w:hAnsi="宋体" w:cs="Arial"/>
          <w:color w:val="000000"/>
          <w:highlight w:val="none"/>
        </w:rPr>
      </w:pPr>
      <w:r>
        <w:rPr>
          <w:rFonts w:hint="eastAsia" w:ascii="宋体" w:hAnsi="宋体" w:cs="Arial"/>
          <w:color w:val="000000"/>
          <w:highlight w:val="none"/>
        </w:rPr>
        <w:t>（1）采用按实际完成工程量计量方式的,总价</w:t>
      </w:r>
      <w:r>
        <w:rPr>
          <w:rFonts w:hint="eastAsia" w:ascii="宋体" w:hAnsi="宋体"/>
          <w:color w:val="000000"/>
          <w:szCs w:val="21"/>
          <w:highlight w:val="none"/>
        </w:rPr>
        <w:t>子目</w:t>
      </w:r>
      <w:r>
        <w:rPr>
          <w:rFonts w:hint="eastAsia" w:ascii="宋体" w:hAnsi="宋体" w:cs="Arial"/>
          <w:color w:val="000000"/>
          <w:highlight w:val="none"/>
        </w:rPr>
        <w:t>的价格调整方法：</w:t>
      </w:r>
      <w:r>
        <w:rPr>
          <w:rFonts w:hint="eastAsia" w:ascii="宋体" w:hAnsi="宋体" w:cs="Arial"/>
          <w:color w:val="000000"/>
          <w:highlight w:val="none"/>
          <w:u w:val="single"/>
        </w:rPr>
        <w:t xml:space="preserve">  </w:t>
      </w:r>
      <w:r>
        <w:rPr>
          <w:rFonts w:ascii="宋体" w:hAnsi="宋体" w:cs="宋体"/>
          <w:color w:val="000000"/>
          <w:highlight w:val="none"/>
          <w:u w:val="single"/>
        </w:rPr>
        <w:t xml:space="preserve">/ </w:t>
      </w:r>
      <w:r>
        <w:rPr>
          <w:rFonts w:hint="eastAsia" w:ascii="宋体" w:hAnsi="宋体" w:cs="Arial"/>
          <w:color w:val="000000"/>
          <w:highlight w:val="none"/>
          <w:u w:val="single"/>
        </w:rPr>
        <w:t xml:space="preserve">        </w:t>
      </w:r>
    </w:p>
    <w:p w14:paraId="715C647C">
      <w:pPr>
        <w:pStyle w:val="6"/>
        <w:spacing w:line="360" w:lineRule="auto"/>
        <w:rPr>
          <w:rFonts w:hAnsi="宋体"/>
          <w:b w:val="0"/>
          <w:color w:val="000000"/>
          <w:szCs w:val="24"/>
          <w:highlight w:val="none"/>
        </w:rPr>
      </w:pPr>
      <w:bookmarkStart w:id="1244" w:name="_Toc480303436"/>
      <w:bookmarkStart w:id="1245" w:name="_Toc489280236"/>
      <w:bookmarkStart w:id="1246" w:name="_Toc485323204"/>
      <w:bookmarkStart w:id="1247" w:name="_Toc492202900"/>
      <w:bookmarkStart w:id="1248" w:name="_Toc490331721"/>
      <w:bookmarkStart w:id="1249" w:name="_Toc486580430"/>
      <w:bookmarkStart w:id="1250" w:name="_Toc491149560"/>
      <w:bookmarkStart w:id="1251" w:name="_BookMark_58"/>
      <w:r>
        <w:rPr>
          <w:rFonts w:hint="eastAsia" w:hAnsi="宋体"/>
          <w:b w:val="0"/>
          <w:color w:val="000000"/>
          <w:szCs w:val="24"/>
          <w:highlight w:val="none"/>
        </w:rPr>
        <w:t>17.2  预付款</w:t>
      </w:r>
      <w:bookmarkEnd w:id="1244"/>
      <w:bookmarkEnd w:id="1245"/>
      <w:bookmarkEnd w:id="1246"/>
      <w:bookmarkEnd w:id="1247"/>
      <w:bookmarkEnd w:id="1248"/>
      <w:bookmarkEnd w:id="1249"/>
      <w:bookmarkEnd w:id="1250"/>
    </w:p>
    <w:bookmarkEnd w:id="1251"/>
    <w:p w14:paraId="0087D15A">
      <w:pPr>
        <w:spacing w:line="360" w:lineRule="auto"/>
        <w:ind w:firstLine="420" w:firstLineChars="200"/>
        <w:rPr>
          <w:rFonts w:ascii="宋体" w:hAnsi="宋体" w:cs="Arial"/>
          <w:color w:val="000000"/>
          <w:highlight w:val="none"/>
        </w:rPr>
      </w:pPr>
      <w:r>
        <w:rPr>
          <w:rFonts w:hint="eastAsia" w:ascii="宋体" w:hAnsi="宋体" w:cs="Arial"/>
          <w:color w:val="000000"/>
          <w:highlight w:val="none"/>
        </w:rPr>
        <w:t>17.2.1  预付款</w:t>
      </w:r>
    </w:p>
    <w:p w14:paraId="7577172D">
      <w:pPr>
        <w:spacing w:line="360" w:lineRule="auto"/>
        <w:ind w:firstLine="420" w:firstLineChars="200"/>
        <w:rPr>
          <w:rFonts w:ascii="宋体"/>
          <w:szCs w:val="21"/>
          <w:highlight w:val="none"/>
        </w:rPr>
      </w:pPr>
      <w:bookmarkStart w:id="1252" w:name="_Toc489280237"/>
      <w:bookmarkStart w:id="1253" w:name="_Toc492202901"/>
      <w:bookmarkStart w:id="1254" w:name="_Toc486580431"/>
      <w:bookmarkStart w:id="1255" w:name="_Toc485323205"/>
      <w:bookmarkStart w:id="1256" w:name="_Toc480303437"/>
      <w:bookmarkStart w:id="1257" w:name="_Toc491149561"/>
      <w:bookmarkStart w:id="1258" w:name="_Toc490331722"/>
      <w:bookmarkStart w:id="1259" w:name="_BookMark_59"/>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）预付款额度</w:t>
      </w:r>
    </w:p>
    <w:p w14:paraId="74C0FD00">
      <w:pPr>
        <w:spacing w:line="360" w:lineRule="auto"/>
        <w:ind w:firstLine="630" w:firstLineChars="300"/>
        <w:rPr>
          <w:rFonts w:ascii="宋体"/>
          <w:szCs w:val="21"/>
          <w:highlight w:val="none"/>
        </w:rPr>
      </w:pPr>
      <w:r>
        <w:rPr>
          <w:rFonts w:hint="eastAsia" w:ascii="宋体" w:hAnsi="宋体"/>
          <w:szCs w:val="21"/>
          <w:highlight w:val="none"/>
        </w:rPr>
        <w:t>预付款额度：</w:t>
      </w:r>
      <w:r>
        <w:rPr>
          <w:rFonts w:ascii="宋体" w:hAnsi="宋体"/>
          <w:szCs w:val="21"/>
          <w:highlight w:val="none"/>
          <w:u w:val="single"/>
        </w:rPr>
        <w:t xml:space="preserve"> </w:t>
      </w:r>
      <w:r>
        <w:rPr>
          <w:rFonts w:hint="eastAsia"/>
          <w:szCs w:val="21"/>
          <w:highlight w:val="none"/>
          <w:u w:val="single"/>
        </w:rPr>
        <w:t>合同签定且财政资金到位后，发包人向承包人支付合同总价扣除安全文明施工措施费及暂估价后的30%作为工程预付款</w:t>
      </w:r>
      <w:r>
        <w:rPr>
          <w:rFonts w:hint="eastAsia" w:ascii="宋体" w:hAnsi="宋体"/>
          <w:szCs w:val="21"/>
          <w:highlight w:val="none"/>
          <w:u w:val="single"/>
        </w:rPr>
        <w:t>，</w:t>
      </w:r>
      <w:r>
        <w:rPr>
          <w:rFonts w:hint="eastAsia" w:ascii="宋体" w:hAnsi="宋体"/>
          <w:bCs/>
          <w:szCs w:val="21"/>
          <w:highlight w:val="none"/>
        </w:rPr>
        <w:t>即</w:t>
      </w:r>
      <w:r>
        <w:rPr>
          <w:rFonts w:hint="eastAsia"/>
          <w:szCs w:val="21"/>
          <w:highlight w:val="none"/>
          <w:u w:val="single"/>
        </w:rPr>
        <w:t>***********</w:t>
      </w:r>
      <w:r>
        <w:rPr>
          <w:rFonts w:hint="eastAsia" w:ascii="宋体" w:hAnsi="宋体"/>
          <w:bCs/>
          <w:szCs w:val="21"/>
          <w:highlight w:val="none"/>
        </w:rPr>
        <w:t>元*30%=</w:t>
      </w:r>
      <w:r>
        <w:rPr>
          <w:rFonts w:hint="eastAsia" w:ascii="宋体" w:hAnsi="宋体"/>
          <w:bCs/>
          <w:szCs w:val="21"/>
          <w:highlight w:val="none"/>
          <w:u w:val="single"/>
        </w:rPr>
        <w:t>XXXXXX</w:t>
      </w:r>
      <w:r>
        <w:rPr>
          <w:rFonts w:ascii="宋体" w:hAnsi="宋体"/>
          <w:szCs w:val="21"/>
          <w:highlight w:val="none"/>
          <w:u w:val="single"/>
        </w:rPr>
        <w:t xml:space="preserve"> </w:t>
      </w:r>
      <w:r>
        <w:rPr>
          <w:rFonts w:hint="eastAsia" w:ascii="宋体" w:hAnsi="宋体"/>
          <w:szCs w:val="21"/>
          <w:highlight w:val="none"/>
          <w:u w:val="single"/>
        </w:rPr>
        <w:t>元作为工程预付款（其中：农民工工伤保险费一次性付清）</w:t>
      </w:r>
      <w:r>
        <w:rPr>
          <w:rFonts w:ascii="宋体" w:hAnsi="宋体"/>
          <w:szCs w:val="21"/>
          <w:highlight w:val="none"/>
          <w:u w:val="single"/>
        </w:rPr>
        <w:t xml:space="preserve"> </w:t>
      </w:r>
    </w:p>
    <w:p w14:paraId="2AB6E4B5">
      <w:pPr>
        <w:spacing w:line="360" w:lineRule="auto"/>
        <w:ind w:firstLine="420" w:firstLineChars="200"/>
        <w:rPr>
          <w:rFonts w:ascii="宋体"/>
          <w:szCs w:val="21"/>
          <w:highlight w:val="none"/>
        </w:rPr>
      </w:pPr>
      <w:bookmarkStart w:id="1260" w:name="_Hlk8723579"/>
      <w:r>
        <w:rPr>
          <w:rFonts w:hint="eastAsia" w:ascii="宋体" w:hAnsi="宋体"/>
          <w:szCs w:val="21"/>
          <w:highlight w:val="none"/>
        </w:rPr>
        <w:t>（2）预付办法</w:t>
      </w:r>
    </w:p>
    <w:p w14:paraId="4570C966">
      <w:pPr>
        <w:spacing w:line="360" w:lineRule="auto"/>
        <w:ind w:firstLine="630" w:firstLineChars="300"/>
        <w:rPr>
          <w:rFonts w:ascii="宋体"/>
          <w:szCs w:val="21"/>
          <w:highlight w:val="none"/>
        </w:rPr>
      </w:pPr>
      <w:r>
        <w:rPr>
          <w:rFonts w:hint="eastAsia" w:ascii="宋体" w:hAnsi="宋体"/>
          <w:szCs w:val="21"/>
          <w:highlight w:val="none"/>
        </w:rPr>
        <w:t>预付款预付办法：</w:t>
      </w:r>
      <w:r>
        <w:rPr>
          <w:rFonts w:hint="eastAsia" w:ascii="宋体" w:hAnsi="宋体"/>
          <w:szCs w:val="21"/>
          <w:highlight w:val="none"/>
          <w:u w:val="single"/>
        </w:rPr>
        <w:t xml:space="preserve"> 在收到承包人提交正式发票后，发包人一次性向承包人支付预付款。 </w:t>
      </w:r>
    </w:p>
    <w:p w14:paraId="12EB1923">
      <w:pPr>
        <w:spacing w:line="360" w:lineRule="auto"/>
        <w:ind w:firstLine="630" w:firstLineChars="300"/>
        <w:rPr>
          <w:rFonts w:ascii="宋体" w:hAnsi="宋体"/>
          <w:szCs w:val="21"/>
          <w:highlight w:val="none"/>
          <w:u w:val="single"/>
        </w:rPr>
      </w:pPr>
      <w:r>
        <w:rPr>
          <w:rFonts w:hint="eastAsia" w:ascii="宋体" w:hAnsi="宋体"/>
          <w:szCs w:val="21"/>
          <w:highlight w:val="none"/>
        </w:rPr>
        <w:t>预付款的支付时间：</w:t>
      </w:r>
      <w:r>
        <w:rPr>
          <w:rFonts w:hint="eastAsia" w:ascii="宋体" w:hAnsi="宋体"/>
          <w:szCs w:val="21"/>
          <w:highlight w:val="none"/>
          <w:u w:val="single"/>
        </w:rPr>
        <w:t xml:space="preserve"> </w:t>
      </w:r>
      <w:r>
        <w:rPr>
          <w:rFonts w:hint="eastAsia"/>
          <w:szCs w:val="21"/>
          <w:highlight w:val="none"/>
          <w:u w:val="single"/>
        </w:rPr>
        <w:t>发包人可根据政府资金到位情况向承包人支付预付款</w:t>
      </w:r>
      <w:r>
        <w:rPr>
          <w:rFonts w:hint="eastAsia" w:ascii="宋体" w:hAnsi="宋体"/>
          <w:szCs w:val="21"/>
          <w:highlight w:val="none"/>
          <w:u w:val="single"/>
        </w:rPr>
        <w:t xml:space="preserve">。 </w:t>
      </w:r>
    </w:p>
    <w:bookmarkEnd w:id="1260"/>
    <w:p w14:paraId="60300757">
      <w:pPr>
        <w:spacing w:line="360" w:lineRule="auto"/>
        <w:ind w:firstLine="420" w:firstLineChars="200"/>
        <w:rPr>
          <w:rFonts w:ascii="宋体" w:hAnsi="宋体"/>
          <w:szCs w:val="21"/>
          <w:highlight w:val="none"/>
        </w:rPr>
      </w:pPr>
      <w:bookmarkStart w:id="1261" w:name="_Hlk8723637"/>
      <w:r>
        <w:rPr>
          <w:rFonts w:hint="eastAsia" w:ascii="宋体" w:hAnsi="宋体"/>
          <w:szCs w:val="21"/>
          <w:highlight w:val="none"/>
        </w:rPr>
        <w:t>（</w:t>
      </w:r>
      <w:r>
        <w:rPr>
          <w:rFonts w:ascii="宋体" w:hAnsi="宋体"/>
          <w:szCs w:val="21"/>
          <w:highlight w:val="none"/>
        </w:rPr>
        <w:t>3）安全文明施工费用预付额度及方式：</w:t>
      </w:r>
    </w:p>
    <w:p w14:paraId="2D967437">
      <w:pPr>
        <w:spacing w:line="360" w:lineRule="auto"/>
        <w:ind w:firstLine="630" w:firstLineChars="300"/>
        <w:rPr>
          <w:rFonts w:ascii="宋体" w:hAnsi="宋体"/>
          <w:szCs w:val="21"/>
          <w:highlight w:val="none"/>
          <w:u w:val="single"/>
        </w:rPr>
      </w:pPr>
      <w:r>
        <w:rPr>
          <w:rFonts w:hint="eastAsia" w:ascii="宋体" w:hAnsi="宋体"/>
          <w:szCs w:val="21"/>
          <w:highlight w:val="none"/>
          <w:u w:val="single"/>
        </w:rPr>
        <w:t>安全文明施工费用按以下时间节点和金额进行预付：</w:t>
      </w:r>
    </w:p>
    <w:p w14:paraId="7FF53320">
      <w:pPr>
        <w:spacing w:line="360" w:lineRule="auto"/>
        <w:ind w:firstLine="630" w:firstLineChars="300"/>
        <w:rPr>
          <w:rFonts w:ascii="宋体" w:hAnsi="宋体"/>
          <w:szCs w:val="21"/>
          <w:highlight w:val="none"/>
          <w:u w:val="single"/>
        </w:rPr>
      </w:pPr>
      <w:r>
        <w:rPr>
          <w:rFonts w:hint="eastAsia" w:ascii="宋体" w:hAnsi="宋体"/>
          <w:szCs w:val="21"/>
          <w:highlight w:val="none"/>
          <w:u w:val="single"/>
        </w:rPr>
        <w:t>合将签约合同价中载明的安全文明施工费用总额的</w:t>
      </w:r>
      <w:r>
        <w:rPr>
          <w:rFonts w:ascii="宋体" w:hAnsi="宋体"/>
          <w:szCs w:val="21"/>
          <w:highlight w:val="none"/>
          <w:u w:val="single"/>
        </w:rPr>
        <w:t>50%一次性预付给承包人。</w:t>
      </w:r>
      <w:r>
        <w:rPr>
          <w:rFonts w:hint="eastAsia" w:ascii="宋体" w:hAnsi="宋体"/>
          <w:szCs w:val="21"/>
          <w:highlight w:val="none"/>
          <w:u w:val="single"/>
        </w:rPr>
        <w:t>同签订后，施工开工前</w:t>
      </w:r>
      <w:r>
        <w:rPr>
          <w:rFonts w:ascii="宋体" w:hAnsi="宋体"/>
          <w:szCs w:val="21"/>
          <w:highlight w:val="none"/>
          <w:u w:val="single"/>
        </w:rPr>
        <w:t>7</w:t>
      </w:r>
      <w:r>
        <w:rPr>
          <w:rFonts w:hint="eastAsia" w:ascii="宋体" w:hAnsi="宋体"/>
          <w:szCs w:val="21"/>
          <w:highlight w:val="none"/>
          <w:u w:val="single"/>
        </w:rPr>
        <w:t>天内，</w:t>
      </w:r>
    </w:p>
    <w:p w14:paraId="7CB747F6">
      <w:pPr>
        <w:spacing w:line="360" w:lineRule="auto"/>
        <w:ind w:firstLine="630" w:firstLineChars="300"/>
        <w:rPr>
          <w:rFonts w:ascii="宋体" w:hAnsi="宋体"/>
          <w:szCs w:val="21"/>
          <w:highlight w:val="none"/>
          <w:u w:val="single"/>
        </w:rPr>
      </w:pPr>
      <w:r>
        <w:rPr>
          <w:rFonts w:hint="eastAsia"/>
          <w:kern w:val="0"/>
          <w:highlight w:val="none"/>
          <w:u w:val="single"/>
        </w:rPr>
        <w:t>审核确认累计已完工程产值达到</w:t>
      </w:r>
      <w:r>
        <w:rPr>
          <w:rFonts w:hint="eastAsia" w:ascii="宋体" w:hAnsi="宋体"/>
          <w:szCs w:val="21"/>
          <w:highlight w:val="none"/>
          <w:u w:val="single"/>
        </w:rPr>
        <w:t>8</w:t>
      </w:r>
      <w:r>
        <w:rPr>
          <w:rFonts w:ascii="宋体" w:hAnsi="宋体"/>
          <w:szCs w:val="21"/>
          <w:highlight w:val="none"/>
          <w:u w:val="single"/>
        </w:rPr>
        <w:t>0%</w:t>
      </w:r>
      <w:r>
        <w:rPr>
          <w:rFonts w:hint="eastAsia" w:ascii="宋体" w:hAnsi="宋体"/>
          <w:szCs w:val="21"/>
          <w:highlight w:val="none"/>
          <w:u w:val="single"/>
        </w:rPr>
        <w:t>时，预付至签约合同价中载明的安全文明施工费用总额的8</w:t>
      </w:r>
      <w:r>
        <w:rPr>
          <w:rFonts w:ascii="宋体" w:hAnsi="宋体"/>
          <w:szCs w:val="21"/>
          <w:highlight w:val="none"/>
          <w:u w:val="single"/>
        </w:rPr>
        <w:t>0%。</w:t>
      </w:r>
    </w:p>
    <w:p w14:paraId="1E509398">
      <w:pPr>
        <w:spacing w:line="360" w:lineRule="auto"/>
        <w:ind w:firstLine="630" w:firstLineChars="300"/>
        <w:rPr>
          <w:rFonts w:ascii="宋体" w:hAnsi="宋体"/>
          <w:szCs w:val="21"/>
          <w:highlight w:val="none"/>
          <w:u w:val="single"/>
        </w:rPr>
      </w:pPr>
      <w:r>
        <w:rPr>
          <w:rFonts w:hint="eastAsia"/>
          <w:kern w:val="0"/>
          <w:highlight w:val="none"/>
          <w:u w:val="single"/>
        </w:rPr>
        <w:t>安全文明施工经发包人考评达到</w:t>
      </w:r>
      <w:r>
        <w:rPr>
          <w:rFonts w:hint="eastAsia" w:ascii="宋体" w:hAnsi="宋体"/>
          <w:szCs w:val="21"/>
          <w:highlight w:val="none"/>
          <w:u w:val="single"/>
        </w:rPr>
        <w:t>合同协议书中约定的安全生产标准化管理目标等级</w:t>
      </w:r>
      <w:r>
        <w:rPr>
          <w:rFonts w:hint="eastAsia"/>
          <w:kern w:val="0"/>
          <w:highlight w:val="none"/>
          <w:u w:val="single"/>
        </w:rPr>
        <w:t>，竣工验收且财政结算评审后，根据财政评审安全文明施工费用支付剩余安全文明施工费。</w:t>
      </w:r>
    </w:p>
    <w:p w14:paraId="143ADF00">
      <w:pPr>
        <w:spacing w:line="360" w:lineRule="auto"/>
        <w:ind w:firstLine="630" w:firstLineChars="300"/>
        <w:rPr>
          <w:rFonts w:ascii="宋体" w:hAnsi="宋体"/>
          <w:szCs w:val="21"/>
          <w:highlight w:val="none"/>
          <w:u w:val="single"/>
        </w:rPr>
      </w:pPr>
      <w:r>
        <w:rPr>
          <w:rFonts w:hint="eastAsia"/>
          <w:szCs w:val="21"/>
          <w:highlight w:val="none"/>
          <w:u w:val="single"/>
        </w:rPr>
        <w:t>发包人可根据政府资金到位情况向承包人支付安全文明施工费，</w:t>
      </w:r>
      <w:r>
        <w:rPr>
          <w:rFonts w:hint="eastAsia" w:ascii="宋体" w:hAnsi="宋体"/>
          <w:szCs w:val="21"/>
          <w:highlight w:val="none"/>
          <w:u w:val="single"/>
        </w:rPr>
        <w:t>安全文明施工的预付不抵扣。</w:t>
      </w:r>
    </w:p>
    <w:bookmarkEnd w:id="1261"/>
    <w:p w14:paraId="3189BFFE">
      <w:pPr>
        <w:spacing w:line="360" w:lineRule="auto"/>
        <w:ind w:firstLine="420" w:firstLineChars="200"/>
        <w:rPr>
          <w:rFonts w:ascii="宋体" w:cs="Arial"/>
          <w:highlight w:val="none"/>
        </w:rPr>
      </w:pPr>
      <w:r>
        <w:rPr>
          <w:rFonts w:ascii="宋体" w:hAnsi="宋体" w:cs="Arial"/>
          <w:highlight w:val="none"/>
        </w:rPr>
        <w:t xml:space="preserve">17.2.2  </w:t>
      </w:r>
      <w:r>
        <w:rPr>
          <w:rFonts w:hint="eastAsia" w:ascii="宋体" w:hAnsi="宋体" w:cs="Arial"/>
          <w:highlight w:val="none"/>
        </w:rPr>
        <w:t>预付款的扣回与还清</w:t>
      </w:r>
    </w:p>
    <w:p w14:paraId="0C974792">
      <w:pPr>
        <w:spacing w:line="360" w:lineRule="auto"/>
        <w:ind w:firstLine="420" w:firstLineChars="200"/>
        <w:rPr>
          <w:rFonts w:ascii="宋体" w:cs="Arial"/>
          <w:highlight w:val="none"/>
        </w:rPr>
      </w:pPr>
      <w:r>
        <w:rPr>
          <w:rFonts w:hint="eastAsia" w:ascii="宋体" w:hAnsi="宋体"/>
          <w:szCs w:val="21"/>
          <w:highlight w:val="none"/>
        </w:rPr>
        <w:t>预付款的扣回办法：</w:t>
      </w:r>
      <w:r>
        <w:rPr>
          <w:rFonts w:ascii="宋体" w:hAnsi="宋体"/>
          <w:szCs w:val="21"/>
          <w:highlight w:val="none"/>
          <w:u w:val="single"/>
        </w:rPr>
        <w:t xml:space="preserve"> </w:t>
      </w:r>
      <w:r>
        <w:rPr>
          <w:rFonts w:hint="eastAsia" w:ascii="宋体" w:hAnsi="宋体"/>
          <w:szCs w:val="21"/>
          <w:highlight w:val="none"/>
          <w:u w:val="single"/>
        </w:rPr>
        <w:t>工程预付款分期抵扣，直接抵做工程进度款。</w:t>
      </w:r>
      <w:r>
        <w:rPr>
          <w:rFonts w:ascii="宋体" w:hAnsi="宋体"/>
          <w:szCs w:val="21"/>
          <w:highlight w:val="none"/>
          <w:u w:val="single"/>
        </w:rPr>
        <w:t xml:space="preserve">  </w:t>
      </w:r>
      <w:r>
        <w:rPr>
          <w:rFonts w:ascii="宋体" w:hAnsi="宋体"/>
          <w:szCs w:val="21"/>
          <w:highlight w:val="none"/>
        </w:rPr>
        <w:t xml:space="preserve"> </w:t>
      </w:r>
    </w:p>
    <w:p w14:paraId="22A16CC7">
      <w:pPr>
        <w:pStyle w:val="6"/>
        <w:spacing w:line="360" w:lineRule="auto"/>
        <w:rPr>
          <w:rFonts w:hAnsi="宋体"/>
          <w:b w:val="0"/>
          <w:color w:val="000000"/>
          <w:szCs w:val="24"/>
          <w:highlight w:val="none"/>
        </w:rPr>
      </w:pPr>
      <w:r>
        <w:rPr>
          <w:rFonts w:hint="eastAsia" w:hAnsi="宋体"/>
          <w:b w:val="0"/>
          <w:color w:val="000000"/>
          <w:szCs w:val="24"/>
          <w:highlight w:val="none"/>
        </w:rPr>
        <w:t>17.3  工程进度付款</w:t>
      </w:r>
      <w:bookmarkEnd w:id="1252"/>
      <w:bookmarkEnd w:id="1253"/>
      <w:bookmarkEnd w:id="1254"/>
      <w:bookmarkEnd w:id="1255"/>
      <w:bookmarkEnd w:id="1256"/>
      <w:bookmarkEnd w:id="1257"/>
      <w:bookmarkEnd w:id="1258"/>
    </w:p>
    <w:bookmarkEnd w:id="1259"/>
    <w:p w14:paraId="25D6E5B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17.3.2  进度付款申请单</w:t>
      </w:r>
    </w:p>
    <w:p w14:paraId="4038362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进度付款申请单的份数：</w:t>
      </w:r>
      <w:r>
        <w:rPr>
          <w:rFonts w:hint="eastAsia" w:ascii="宋体" w:hAnsi="宋体"/>
          <w:color w:val="000000"/>
          <w:szCs w:val="21"/>
          <w:highlight w:val="none"/>
          <w:u w:val="single"/>
        </w:rPr>
        <w:t xml:space="preserve">   3     </w:t>
      </w:r>
    </w:p>
    <w:p w14:paraId="4782AD11">
      <w:pPr>
        <w:spacing w:line="360" w:lineRule="auto"/>
        <w:ind w:firstLine="420" w:firstLineChars="200"/>
        <w:rPr>
          <w:rFonts w:ascii="宋体"/>
          <w:color w:val="000000"/>
          <w:highlight w:val="none"/>
          <w:u w:val="single"/>
        </w:rPr>
      </w:pPr>
      <w:r>
        <w:rPr>
          <w:rFonts w:hint="eastAsia" w:ascii="宋体" w:hAnsi="宋体"/>
          <w:color w:val="000000"/>
          <w:highlight w:val="none"/>
        </w:rPr>
        <w:t>承包人报送监理人的进度付款申请单应包括下列内容</w:t>
      </w:r>
      <w:r>
        <w:rPr>
          <w:rFonts w:hint="eastAsia" w:ascii="宋体" w:hAnsi="宋体"/>
          <w:color w:val="000000"/>
          <w:highlight w:val="none"/>
        </w:rPr>
        <w:t>：</w:t>
      </w:r>
      <w:r>
        <w:rPr>
          <w:rFonts w:hint="eastAsia" w:ascii="宋体" w:hAnsi="宋体" w:cs="宋体"/>
          <w:color w:val="000000"/>
          <w:highlight w:val="none"/>
          <w:u w:val="single"/>
        </w:rPr>
        <w:t>按</w:t>
      </w:r>
      <w:r>
        <w:rPr>
          <w:rFonts w:ascii="宋体" w:hAnsi="宋体" w:cs="宋体"/>
          <w:color w:val="000000"/>
          <w:highlight w:val="none"/>
          <w:u w:val="single"/>
        </w:rPr>
        <w:t>20</w:t>
      </w:r>
      <w:r>
        <w:rPr>
          <w:rFonts w:hint="eastAsia" w:ascii="宋体" w:hAnsi="宋体" w:cs="宋体"/>
          <w:color w:val="000000"/>
          <w:highlight w:val="none"/>
          <w:u w:val="single"/>
          <w:lang w:val="en-US" w:eastAsia="zh-CN"/>
        </w:rPr>
        <w:t>24</w:t>
      </w:r>
      <w:r>
        <w:rPr>
          <w:rFonts w:hint="eastAsia" w:ascii="宋体" w:hAnsi="宋体" w:cs="宋体"/>
          <w:color w:val="000000"/>
          <w:highlight w:val="none"/>
          <w:u w:val="single"/>
        </w:rPr>
        <w:t>版清单计价规范进度款支付申请（核准）表中内容填报；</w:t>
      </w:r>
    </w:p>
    <w:p w14:paraId="7B364DC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6</w:t>
      </w:r>
      <w:r>
        <w:rPr>
          <w:rFonts w:hint="eastAsia" w:ascii="宋体" w:hAnsi="宋体"/>
          <w:color w:val="000000"/>
          <w:szCs w:val="21"/>
          <w:highlight w:val="none"/>
        </w:rPr>
        <w:t>）</w:t>
      </w:r>
      <w:r>
        <w:rPr>
          <w:rFonts w:hint="eastAsia" w:ascii="宋体" w:hAnsi="宋体"/>
          <w:color w:val="000000"/>
          <w:highlight w:val="none"/>
        </w:rPr>
        <w:t>根据合同应增加和（或）扣减的其他内容金额</w:t>
      </w:r>
      <w:r>
        <w:rPr>
          <w:rFonts w:hint="eastAsia" w:ascii="宋体" w:hAnsi="宋体"/>
          <w:color w:val="000000"/>
          <w:szCs w:val="21"/>
          <w:highlight w:val="none"/>
        </w:rPr>
        <w:t>：</w:t>
      </w:r>
      <w:r>
        <w:rPr>
          <w:rFonts w:ascii="宋体" w:hAnsi="宋体" w:cs="宋体"/>
          <w:color w:val="000000"/>
          <w:highlight w:val="none"/>
          <w:u w:val="single"/>
        </w:rPr>
        <w:t>/</w:t>
      </w:r>
      <w:r>
        <w:rPr>
          <w:rFonts w:hint="eastAsia" w:ascii="宋体" w:hAnsi="宋体"/>
          <w:color w:val="000000"/>
          <w:szCs w:val="21"/>
          <w:highlight w:val="none"/>
          <w:u w:val="single"/>
        </w:rPr>
        <w:t xml:space="preserve"> </w:t>
      </w:r>
    </w:p>
    <w:p w14:paraId="6D5294A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17.3.3  进度付款证书和支付时间</w:t>
      </w:r>
    </w:p>
    <w:p w14:paraId="141D778E">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（2）逾期付款违约金的计算标准：</w:t>
      </w:r>
      <w:r>
        <w:rPr>
          <w:rFonts w:hint="eastAsia" w:ascii="宋体" w:hAnsi="宋体"/>
          <w:color w:val="000000"/>
          <w:szCs w:val="21"/>
          <w:highlight w:val="none"/>
          <w:u w:val="single"/>
        </w:rPr>
        <w:t xml:space="preserve"> </w:t>
      </w:r>
      <w:r>
        <w:rPr>
          <w:rFonts w:ascii="Segoe UI" w:hAnsi="Segoe UI" w:eastAsia="Segoe UI" w:cs="Segoe UI"/>
          <w:i w:val="0"/>
          <w:iCs w:val="0"/>
          <w:caps w:val="0"/>
          <w:color w:val="242424"/>
          <w:spacing w:val="0"/>
          <w:sz w:val="20"/>
          <w:szCs w:val="20"/>
          <w:highlight w:val="none"/>
          <w:u w:val="single"/>
          <w:shd w:val="clear" w:fill="FFFFFF"/>
        </w:rPr>
        <w:t>按照中国人民银行发布的同期同类贷款利率计算。</w:t>
      </w:r>
      <w:r>
        <w:rPr>
          <w:rFonts w:hint="eastAsia" w:ascii="宋体" w:hAnsi="宋体"/>
          <w:color w:val="000000"/>
          <w:szCs w:val="21"/>
          <w:highlight w:val="none"/>
          <w:u w:val="single"/>
        </w:rPr>
        <w:t xml:space="preserve"> </w:t>
      </w:r>
    </w:p>
    <w:p w14:paraId="49802E92">
      <w:pPr>
        <w:spacing w:line="360" w:lineRule="auto"/>
        <w:ind w:firstLine="567" w:firstLineChars="270"/>
        <w:rPr>
          <w:rFonts w:ascii="宋体" w:hAnsi="宋体"/>
          <w:color w:val="000000"/>
          <w:szCs w:val="21"/>
          <w:highlight w:val="none"/>
        </w:rPr>
      </w:pPr>
      <w:r>
        <w:rPr>
          <w:rFonts w:hint="eastAsia" w:ascii="宋体" w:hAnsi="宋体"/>
          <w:color w:val="000000"/>
          <w:szCs w:val="21"/>
          <w:highlight w:val="none"/>
        </w:rPr>
        <w:t>逾期付款违约金的计算方法：</w:t>
      </w:r>
      <w:r>
        <w:rPr>
          <w:rFonts w:hint="eastAsia" w:ascii="宋体" w:hAnsi="宋体"/>
          <w:color w:val="000000"/>
          <w:szCs w:val="21"/>
          <w:highlight w:val="none"/>
          <w:u w:val="single"/>
        </w:rPr>
        <w:t xml:space="preserve">  </w:t>
      </w:r>
      <w:r>
        <w:rPr>
          <w:rFonts w:ascii="Segoe UI" w:hAnsi="Segoe UI" w:eastAsia="Segoe UI" w:cs="Segoe UI"/>
          <w:i w:val="0"/>
          <w:iCs w:val="0"/>
          <w:caps w:val="0"/>
          <w:color w:val="242424"/>
          <w:spacing w:val="0"/>
          <w:sz w:val="20"/>
          <w:szCs w:val="20"/>
          <w:highlight w:val="none"/>
          <w:u w:val="single"/>
          <w:shd w:val="clear" w:fill="FFFFFF"/>
        </w:rPr>
        <w:t>逾期付款时间×中国人民银行发布的同期同类贷款利率。</w:t>
      </w:r>
      <w:r>
        <w:rPr>
          <w:rFonts w:hint="eastAsia" w:ascii="宋体" w:hAnsi="宋体"/>
          <w:color w:val="000000"/>
          <w:szCs w:val="21"/>
          <w:highlight w:val="none"/>
          <w:u w:val="single"/>
        </w:rPr>
        <w:t xml:space="preserve">    </w:t>
      </w:r>
    </w:p>
    <w:p w14:paraId="5587626A">
      <w:pPr>
        <w:numPr>
          <w:ilvl w:val="0"/>
          <w:numId w:val="84"/>
        </w:numPr>
        <w:spacing w:line="360" w:lineRule="auto"/>
        <w:ind w:left="420" w:firstLine="420" w:firstLineChars="200"/>
        <w:rPr>
          <w:rFonts w:ascii="宋体" w:hAnsi="宋体"/>
          <w:color w:val="000000"/>
          <w:szCs w:val="21"/>
          <w:highlight w:val="none"/>
        </w:rPr>
      </w:pPr>
      <w:r>
        <w:rPr>
          <w:rFonts w:hint="eastAsia" w:ascii="宋体" w:hAnsi="宋体"/>
          <w:color w:val="000000"/>
          <w:szCs w:val="21"/>
          <w:highlight w:val="none"/>
        </w:rPr>
        <w:t>进度付款涉及政府性资金的支付方法：</w:t>
      </w:r>
    </w:p>
    <w:p w14:paraId="4C72CB85">
      <w:pPr>
        <w:spacing w:line="360" w:lineRule="auto"/>
        <w:rPr>
          <w:rFonts w:hint="eastAsia" w:ascii="宋体" w:hAnsi="宋体" w:cs="宋体"/>
          <w:color w:val="000000"/>
          <w:highlight w:val="none"/>
          <w:u w:val="single"/>
        </w:rPr>
      </w:pPr>
      <w:bookmarkStart w:id="1262" w:name="_Toc491149562"/>
      <w:bookmarkStart w:id="1263" w:name="_Toc485323206"/>
      <w:bookmarkStart w:id="1264" w:name="_Toc489280238"/>
      <w:bookmarkStart w:id="1265" w:name="_Toc480303439"/>
      <w:bookmarkStart w:id="1266" w:name="_Toc492202902"/>
      <w:bookmarkStart w:id="1267" w:name="_Toc486580432"/>
      <w:bookmarkStart w:id="1268" w:name="_Toc490331723"/>
      <w:bookmarkStart w:id="1269" w:name="_BookMark_60"/>
      <w:r>
        <w:rPr>
          <w:rFonts w:hint="eastAsia" w:ascii="宋体" w:hAnsi="宋体" w:cs="宋体"/>
          <w:color w:val="000000"/>
          <w:highlight w:val="none"/>
          <w:u w:val="single"/>
        </w:rPr>
        <w:t xml:space="preserve">  工程进度款支付时间及比例：本项目资金分四次完成支付，</w:t>
      </w:r>
    </w:p>
    <w:p w14:paraId="36DDE5DE">
      <w:pPr>
        <w:spacing w:line="360" w:lineRule="auto"/>
        <w:rPr>
          <w:rFonts w:hint="eastAsia" w:ascii="宋体" w:hAnsi="宋体" w:cs="宋体"/>
          <w:color w:val="000000"/>
          <w:highlight w:val="none"/>
          <w:u w:val="single"/>
        </w:rPr>
      </w:pPr>
      <w:r>
        <w:rPr>
          <w:rFonts w:hint="eastAsia" w:ascii="宋体" w:hAnsi="宋体" w:cs="宋体"/>
          <w:color w:val="000000"/>
          <w:highlight w:val="none"/>
          <w:u w:val="single"/>
        </w:rPr>
        <w:t>第一次为工程合同签订后，拨付签订合同金额30%的工程预付款；</w:t>
      </w:r>
    </w:p>
    <w:p w14:paraId="7F877C70">
      <w:pPr>
        <w:spacing w:line="360" w:lineRule="auto"/>
        <w:rPr>
          <w:rFonts w:hint="eastAsia" w:ascii="宋体" w:hAnsi="宋体" w:cs="宋体"/>
          <w:color w:val="000000"/>
          <w:highlight w:val="none"/>
          <w:u w:val="single"/>
        </w:rPr>
      </w:pPr>
      <w:r>
        <w:rPr>
          <w:rFonts w:hint="eastAsia" w:ascii="宋体" w:hAnsi="宋体" w:cs="宋体"/>
          <w:color w:val="000000"/>
          <w:highlight w:val="none"/>
          <w:u w:val="single"/>
        </w:rPr>
        <w:t>第二次为工程进度完成到总工程量的80%后，拨付签订合同金额40%的进度款；</w:t>
      </w:r>
    </w:p>
    <w:p w14:paraId="61440F31">
      <w:pPr>
        <w:spacing w:line="360" w:lineRule="auto"/>
        <w:rPr>
          <w:rFonts w:hint="eastAsia" w:ascii="宋体" w:hAnsi="宋体" w:cs="宋体"/>
          <w:color w:val="000000"/>
          <w:highlight w:val="none"/>
          <w:u w:val="single"/>
        </w:rPr>
      </w:pPr>
      <w:r>
        <w:rPr>
          <w:rFonts w:hint="eastAsia" w:ascii="宋体" w:hAnsi="宋体" w:cs="宋体"/>
          <w:color w:val="000000"/>
          <w:highlight w:val="none"/>
          <w:u w:val="single"/>
        </w:rPr>
        <w:t>第三次为工程竣工验收后，根据结算评审/审计结果拨付剩余资金；项目预留合同金额的3%作为质保金。</w:t>
      </w:r>
    </w:p>
    <w:p w14:paraId="41D1F030">
      <w:pPr>
        <w:spacing w:line="360" w:lineRule="auto"/>
        <w:rPr>
          <w:rFonts w:hint="eastAsia" w:ascii="宋体" w:hAnsi="宋体" w:cs="宋体"/>
          <w:color w:val="000000"/>
          <w:highlight w:val="none"/>
          <w:u w:val="single"/>
        </w:rPr>
      </w:pPr>
      <w:r>
        <w:rPr>
          <w:rFonts w:hint="eastAsia" w:ascii="宋体" w:hAnsi="宋体" w:cs="宋体"/>
          <w:color w:val="000000"/>
          <w:highlight w:val="none"/>
          <w:u w:val="single"/>
        </w:rPr>
        <w:t>第四次为</w:t>
      </w:r>
      <w:r>
        <w:rPr>
          <w:rFonts w:hint="eastAsia" w:ascii="宋体" w:hAnsi="宋体" w:cs="宋体"/>
          <w:color w:val="000000"/>
          <w:szCs w:val="24"/>
          <w:highlight w:val="none"/>
          <w:u w:val="single"/>
          <w:lang w:val="en-US" w:eastAsia="zh-CN"/>
        </w:rPr>
        <w:t>责任缺陷期满后，承包人在一个月内提供书面申请，发包人申请资金到位后予以</w:t>
      </w:r>
      <w:r>
        <w:rPr>
          <w:rFonts w:hint="eastAsia" w:ascii="宋体" w:hAnsi="宋体" w:cs="宋体"/>
          <w:color w:val="000000"/>
          <w:highlight w:val="none"/>
          <w:u w:val="single"/>
        </w:rPr>
        <w:t>支付合同签订金额3%的质保金。</w:t>
      </w:r>
    </w:p>
    <w:p w14:paraId="5977EF2C">
      <w:pPr>
        <w:spacing w:line="360" w:lineRule="auto"/>
        <w:rPr>
          <w:rFonts w:ascii="宋体" w:hAnsi="宋体" w:cs="宋体"/>
          <w:color w:val="000000"/>
          <w:highlight w:val="none"/>
          <w:u w:val="single"/>
        </w:rPr>
      </w:pPr>
    </w:p>
    <w:p w14:paraId="4451A235">
      <w:pPr>
        <w:spacing w:line="360" w:lineRule="auto"/>
        <w:rPr>
          <w:rFonts w:hint="eastAsia" w:ascii="宋体" w:hAnsi="宋体" w:cs="宋体"/>
          <w:color w:val="000000"/>
          <w:highlight w:val="none"/>
          <w:u w:val="single"/>
        </w:rPr>
      </w:pPr>
      <w:r>
        <w:rPr>
          <w:rFonts w:hint="eastAsia" w:ascii="宋体" w:hAnsi="宋体" w:cs="宋体"/>
          <w:color w:val="000000"/>
          <w:highlight w:val="none"/>
          <w:u w:val="single"/>
        </w:rPr>
        <w:t>本项目的资金来源于政府投资,甲乙双方对本合同的付款条件达成共识并做出如下约定:</w:t>
      </w:r>
    </w:p>
    <w:p w14:paraId="754B75A2">
      <w:pPr>
        <w:spacing w:line="360" w:lineRule="auto"/>
        <w:rPr>
          <w:rFonts w:ascii="宋体" w:hAnsi="宋体" w:cs="宋体"/>
          <w:color w:val="000000"/>
          <w:highlight w:val="none"/>
          <w:u w:val="single"/>
        </w:rPr>
      </w:pPr>
      <w:r>
        <w:rPr>
          <w:rFonts w:hint="eastAsia" w:ascii="宋体" w:hAnsi="宋体" w:cs="宋体"/>
          <w:color w:val="000000"/>
          <w:highlight w:val="none"/>
          <w:u w:val="single"/>
        </w:rPr>
        <w:t>甲方在收到政府拨款后应及时按照合同的约定向乙方支付合同价款,但因政府资金拨付延迟而导致甲方不能按照合同的约定及时向乙方支付合同价款时，不构成甲方的违约行为，乙方得因此追究甲方违约责任，乙方仍应正常履行本合同项下的义务。</w:t>
      </w:r>
    </w:p>
    <w:p w14:paraId="6AECC0DC">
      <w:pPr>
        <w:spacing w:line="360" w:lineRule="auto"/>
        <w:rPr>
          <w:rFonts w:hAnsi="宋体"/>
          <w:b/>
          <w:color w:val="000000"/>
          <w:highlight w:val="none"/>
        </w:rPr>
      </w:pPr>
      <w:r>
        <w:rPr>
          <w:rFonts w:hint="eastAsia" w:ascii="宋体" w:hAnsi="宋体"/>
          <w:color w:val="000000"/>
          <w:sz w:val="24"/>
          <w:highlight w:val="none"/>
        </w:rPr>
        <w:t>17.</w:t>
      </w:r>
      <w:r>
        <w:rPr>
          <w:rFonts w:ascii="宋体" w:hAnsi="宋体"/>
          <w:color w:val="000000"/>
          <w:sz w:val="24"/>
          <w:highlight w:val="none"/>
        </w:rPr>
        <w:t>4</w:t>
      </w:r>
      <w:r>
        <w:rPr>
          <w:rFonts w:hint="eastAsia" w:ascii="宋体" w:hAnsi="宋体"/>
          <w:color w:val="000000"/>
          <w:sz w:val="24"/>
          <w:highlight w:val="none"/>
        </w:rPr>
        <w:t xml:space="preserve">  质量保证金</w:t>
      </w:r>
      <w:bookmarkEnd w:id="1262"/>
      <w:bookmarkEnd w:id="1263"/>
      <w:bookmarkEnd w:id="1264"/>
      <w:bookmarkEnd w:id="1265"/>
      <w:bookmarkEnd w:id="1266"/>
      <w:bookmarkEnd w:id="1267"/>
      <w:bookmarkEnd w:id="1268"/>
    </w:p>
    <w:bookmarkEnd w:id="1269"/>
    <w:p w14:paraId="17AF9F40">
      <w:pPr>
        <w:spacing w:line="360" w:lineRule="auto"/>
        <w:ind w:firstLine="420" w:firstLineChars="200"/>
        <w:rPr>
          <w:rFonts w:ascii="宋体" w:hAnsi="宋体"/>
          <w:color w:val="000000"/>
          <w:szCs w:val="21"/>
          <w:highlight w:val="none"/>
        </w:rPr>
      </w:pPr>
      <w:bookmarkStart w:id="1270" w:name="_Toc485323207"/>
      <w:bookmarkStart w:id="1271" w:name="_Toc492202903"/>
      <w:bookmarkStart w:id="1272" w:name="_Toc486580433"/>
      <w:bookmarkStart w:id="1273" w:name="_Toc491149563"/>
      <w:bookmarkStart w:id="1274" w:name="_Toc490331724"/>
      <w:bookmarkStart w:id="1275" w:name="_Toc489280239"/>
      <w:bookmarkStart w:id="1276" w:name="_Toc480303440"/>
      <w:r>
        <w:rPr>
          <w:rFonts w:hint="eastAsia" w:ascii="宋体" w:hAnsi="宋体"/>
          <w:color w:val="000000"/>
          <w:szCs w:val="21"/>
          <w:highlight w:val="none"/>
        </w:rPr>
        <w:t>17.</w:t>
      </w: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 xml:space="preserve">  质量保证金处理</w:t>
      </w:r>
    </w:p>
    <w:p w14:paraId="477D204F">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（1）质量保证金形式：</w:t>
      </w:r>
      <w:r>
        <w:rPr>
          <w:rFonts w:hint="eastAsia" w:ascii="宋体" w:hAnsi="宋体"/>
          <w:color w:val="000000"/>
          <w:szCs w:val="21"/>
          <w:highlight w:val="none"/>
          <w:u w:val="single"/>
          <w:lang w:val="en-US" w:eastAsia="zh-CN"/>
        </w:rPr>
        <w:t>扣留质量保证金</w:t>
      </w:r>
      <w:r>
        <w:rPr>
          <w:rFonts w:hint="eastAsia" w:ascii="宋体" w:hAnsi="宋体"/>
          <w:color w:val="000000"/>
          <w:szCs w:val="21"/>
          <w:highlight w:val="none"/>
          <w:u w:val="single"/>
        </w:rPr>
        <w:t xml:space="preserve"> （采用银行保函担保或其他保函担保形式╱采用扣留质量保证金）。</w:t>
      </w:r>
    </w:p>
    <w:p w14:paraId="17D99D5D">
      <w:pPr>
        <w:spacing w:line="360" w:lineRule="auto"/>
        <w:ind w:firstLine="945" w:firstLineChars="450"/>
        <w:rPr>
          <w:rFonts w:ascii="宋体" w:hAnsi="宋体"/>
          <w:color w:val="000000"/>
          <w:szCs w:val="21"/>
          <w:highlight w:val="none"/>
        </w:rPr>
      </w:pPr>
      <w:r>
        <w:rPr>
          <w:rFonts w:hint="eastAsia" w:ascii="宋体" w:hAnsi="宋体"/>
          <w:color w:val="000000"/>
          <w:szCs w:val="21"/>
          <w:highlight w:val="none"/>
        </w:rPr>
        <w:t>质量保证金约定比例：</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3</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szCs w:val="21"/>
          <w:highlight w:val="none"/>
        </w:rPr>
        <w:t>即</w:t>
      </w:r>
      <w:r>
        <w:rPr>
          <w:rFonts w:hint="eastAsia"/>
          <w:szCs w:val="21"/>
          <w:highlight w:val="none"/>
          <w:u w:val="single"/>
        </w:rPr>
        <w:t>***********</w:t>
      </w:r>
      <w:r>
        <w:rPr>
          <w:rFonts w:hint="eastAsia" w:ascii="宋体" w:hAnsi="宋体"/>
          <w:szCs w:val="21"/>
          <w:highlight w:val="none"/>
        </w:rPr>
        <w:t>元*</w:t>
      </w:r>
      <w:r>
        <w:rPr>
          <w:rFonts w:hint="eastAsia" w:ascii="宋体" w:hAnsi="宋体"/>
          <w:szCs w:val="21"/>
          <w:highlight w:val="none"/>
          <w:lang w:val="en-US" w:eastAsia="zh-CN"/>
        </w:rPr>
        <w:t>3</w:t>
      </w:r>
      <w:r>
        <w:rPr>
          <w:rFonts w:hint="eastAsia" w:ascii="宋体" w:hAnsi="宋体"/>
          <w:szCs w:val="21"/>
          <w:highlight w:val="none"/>
        </w:rPr>
        <w:t>%=XXXXXX元，支付时间</w:t>
      </w:r>
      <w:r>
        <w:rPr>
          <w:rFonts w:hint="eastAsia" w:ascii="宋体" w:hAnsi="宋体" w:cs="宋体"/>
          <w:color w:val="000000"/>
          <w:szCs w:val="24"/>
          <w:highlight w:val="none"/>
          <w:u w:val="single"/>
          <w:lang w:val="en-US" w:eastAsia="zh-CN"/>
        </w:rPr>
        <w:t>责任缺陷期满后，承包人在一个月内提供书面申请，发包人申请资金到位后予以</w:t>
      </w:r>
      <w:r>
        <w:rPr>
          <w:rFonts w:hint="eastAsia" w:ascii="宋体" w:hAnsi="宋体" w:cs="宋体"/>
          <w:color w:val="000000"/>
          <w:highlight w:val="none"/>
          <w:u w:val="single"/>
        </w:rPr>
        <w:t>支付</w:t>
      </w:r>
      <w:r>
        <w:rPr>
          <w:rFonts w:hint="eastAsia" w:ascii="宋体" w:hAnsi="宋体"/>
          <w:szCs w:val="21"/>
          <w:highlight w:val="none"/>
        </w:rPr>
        <w:t>。 </w:t>
      </w:r>
    </w:p>
    <w:p w14:paraId="28938285">
      <w:pPr>
        <w:pStyle w:val="6"/>
        <w:spacing w:line="360" w:lineRule="auto"/>
        <w:rPr>
          <w:rFonts w:hAnsi="宋体"/>
          <w:b w:val="0"/>
          <w:color w:val="000000"/>
          <w:szCs w:val="24"/>
          <w:highlight w:val="none"/>
        </w:rPr>
      </w:pPr>
      <w:bookmarkStart w:id="1277" w:name="_BookMark_61"/>
      <w:r>
        <w:rPr>
          <w:rFonts w:hint="eastAsia" w:hAnsi="宋体"/>
          <w:b w:val="0"/>
          <w:color w:val="000000"/>
          <w:szCs w:val="24"/>
          <w:highlight w:val="none"/>
        </w:rPr>
        <w:t>17.</w:t>
      </w:r>
      <w:r>
        <w:rPr>
          <w:rFonts w:hAnsi="宋体"/>
          <w:b w:val="0"/>
          <w:color w:val="000000"/>
          <w:szCs w:val="24"/>
          <w:highlight w:val="none"/>
        </w:rPr>
        <w:t>5</w:t>
      </w:r>
      <w:r>
        <w:rPr>
          <w:rFonts w:hint="eastAsia" w:hAnsi="宋体"/>
          <w:b w:val="0"/>
          <w:color w:val="000000"/>
          <w:szCs w:val="24"/>
          <w:highlight w:val="none"/>
        </w:rPr>
        <w:t xml:space="preserve">  竣工结算</w:t>
      </w:r>
      <w:bookmarkEnd w:id="1270"/>
      <w:bookmarkEnd w:id="1271"/>
      <w:bookmarkEnd w:id="1272"/>
      <w:bookmarkEnd w:id="1273"/>
      <w:bookmarkEnd w:id="1274"/>
      <w:bookmarkEnd w:id="1275"/>
      <w:bookmarkEnd w:id="1276"/>
    </w:p>
    <w:bookmarkEnd w:id="1277"/>
    <w:p w14:paraId="3E02FD1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17.</w:t>
      </w:r>
      <w:r>
        <w:rPr>
          <w:rFonts w:ascii="宋体" w:hAnsi="宋体"/>
          <w:color w:val="000000"/>
          <w:szCs w:val="21"/>
          <w:highlight w:val="none"/>
        </w:rPr>
        <w:t>5</w:t>
      </w:r>
      <w:r>
        <w:rPr>
          <w:rFonts w:hint="eastAsia" w:ascii="宋体" w:hAnsi="宋体"/>
          <w:color w:val="000000"/>
          <w:szCs w:val="21"/>
          <w:highlight w:val="none"/>
        </w:rPr>
        <w:t>.1  竣工付款申请单</w:t>
      </w:r>
    </w:p>
    <w:p w14:paraId="13B3130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（1）承包人提交竣工付款申请单的份数：</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提交</w:t>
      </w:r>
      <w:r>
        <w:rPr>
          <w:rFonts w:ascii="宋体" w:hAnsi="宋体" w:cs="宋体"/>
          <w:color w:val="000000"/>
          <w:highlight w:val="none"/>
          <w:u w:val="single"/>
        </w:rPr>
        <w:t>5</w:t>
      </w:r>
      <w:r>
        <w:rPr>
          <w:rFonts w:hint="eastAsia" w:ascii="宋体" w:hAnsi="宋体" w:cs="宋体"/>
          <w:color w:val="000000"/>
          <w:highlight w:val="none"/>
          <w:u w:val="single"/>
        </w:rPr>
        <w:t>份竣工付款申请单</w:t>
      </w:r>
    </w:p>
    <w:p w14:paraId="57ECA5B7">
      <w:pPr>
        <w:spacing w:line="360" w:lineRule="auto"/>
        <w:ind w:firstLine="840" w:firstLineChars="400"/>
        <w:rPr>
          <w:rFonts w:ascii="宋体" w:hAnsi="宋体"/>
          <w:color w:val="000000"/>
          <w:szCs w:val="21"/>
          <w:highlight w:val="none"/>
        </w:rPr>
      </w:pPr>
      <w:r>
        <w:rPr>
          <w:rFonts w:hint="eastAsia" w:ascii="宋体" w:hAnsi="宋体"/>
          <w:color w:val="000000"/>
          <w:szCs w:val="21"/>
          <w:highlight w:val="none"/>
        </w:rPr>
        <w:t>承包人提交竣工付款申请单的期限：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工程竣工结算审计完成后</w:t>
      </w:r>
      <w:r>
        <w:rPr>
          <w:rFonts w:ascii="宋体" w:hAnsi="宋体" w:cs="宋体"/>
          <w:color w:val="000000"/>
          <w:highlight w:val="none"/>
          <w:u w:val="single"/>
        </w:rPr>
        <w:t>15</w:t>
      </w:r>
      <w:r>
        <w:rPr>
          <w:rFonts w:hint="eastAsia" w:ascii="宋体" w:hAnsi="宋体" w:cs="宋体"/>
          <w:color w:val="000000"/>
          <w:highlight w:val="none"/>
          <w:u w:val="single"/>
        </w:rPr>
        <w:t>天内</w:t>
      </w:r>
      <w:r>
        <w:rPr>
          <w:rFonts w:hint="eastAsia" w:ascii="宋体" w:hAnsi="宋体"/>
          <w:color w:val="000000"/>
          <w:szCs w:val="21"/>
          <w:highlight w:val="none"/>
          <w:u w:val="single"/>
        </w:rPr>
        <w:t xml:space="preserve">        </w:t>
      </w:r>
    </w:p>
    <w:p w14:paraId="2C9E3898">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（2）竣工付款申请单的其他内容：</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竣工结算合同价款、已支付的工程价款、应支付的竣工付款金额等</w:t>
      </w:r>
      <w:r>
        <w:rPr>
          <w:rFonts w:hint="eastAsia" w:ascii="宋体" w:hAnsi="宋体" w:cs="宋体"/>
          <w:color w:val="000000"/>
          <w:highlight w:val="none"/>
        </w:rPr>
        <w:t>。</w:t>
      </w:r>
    </w:p>
    <w:p w14:paraId="4CEDF443">
      <w:pPr>
        <w:pStyle w:val="6"/>
        <w:spacing w:line="360" w:lineRule="auto"/>
        <w:rPr>
          <w:rFonts w:hAnsi="宋体"/>
          <w:b w:val="0"/>
          <w:color w:val="000000"/>
          <w:szCs w:val="24"/>
          <w:highlight w:val="none"/>
        </w:rPr>
      </w:pPr>
      <w:bookmarkStart w:id="1278" w:name="_Toc492202904"/>
      <w:bookmarkStart w:id="1279" w:name="_Toc485323208"/>
      <w:bookmarkStart w:id="1280" w:name="_Toc490331725"/>
      <w:bookmarkStart w:id="1281" w:name="_Toc480303441"/>
      <w:bookmarkStart w:id="1282" w:name="_Toc489280240"/>
      <w:bookmarkStart w:id="1283" w:name="_Toc486580434"/>
      <w:bookmarkStart w:id="1284" w:name="_Toc491149564"/>
      <w:bookmarkStart w:id="1285" w:name="_BookMark_62"/>
      <w:r>
        <w:rPr>
          <w:rFonts w:hint="eastAsia" w:hAnsi="宋体"/>
          <w:b w:val="0"/>
          <w:color w:val="000000"/>
          <w:szCs w:val="24"/>
          <w:highlight w:val="none"/>
        </w:rPr>
        <w:t>17.</w:t>
      </w:r>
      <w:r>
        <w:rPr>
          <w:rFonts w:hAnsi="宋体"/>
          <w:b w:val="0"/>
          <w:color w:val="000000"/>
          <w:szCs w:val="24"/>
          <w:highlight w:val="none"/>
        </w:rPr>
        <w:t>6</w:t>
      </w:r>
      <w:r>
        <w:rPr>
          <w:rFonts w:hint="eastAsia" w:hAnsi="宋体"/>
          <w:b w:val="0"/>
          <w:color w:val="000000"/>
          <w:szCs w:val="24"/>
          <w:highlight w:val="none"/>
        </w:rPr>
        <w:t xml:space="preserve">  最终结清</w:t>
      </w:r>
      <w:bookmarkEnd w:id="1278"/>
      <w:bookmarkEnd w:id="1279"/>
      <w:bookmarkEnd w:id="1280"/>
      <w:bookmarkEnd w:id="1281"/>
      <w:bookmarkEnd w:id="1282"/>
      <w:bookmarkEnd w:id="1283"/>
      <w:bookmarkEnd w:id="1284"/>
    </w:p>
    <w:bookmarkEnd w:id="1285"/>
    <w:p w14:paraId="5FC08E6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17.</w:t>
      </w:r>
      <w:r>
        <w:rPr>
          <w:rFonts w:ascii="宋体" w:hAnsi="宋体"/>
          <w:color w:val="000000"/>
          <w:szCs w:val="21"/>
          <w:highlight w:val="none"/>
        </w:rPr>
        <w:t>6</w:t>
      </w:r>
      <w:r>
        <w:rPr>
          <w:rFonts w:hint="eastAsia" w:ascii="宋体" w:hAnsi="宋体"/>
          <w:color w:val="000000"/>
          <w:szCs w:val="21"/>
          <w:highlight w:val="none"/>
        </w:rPr>
        <w:t>.1最终结清申请单</w:t>
      </w:r>
    </w:p>
    <w:p w14:paraId="7923B3A5">
      <w:pPr>
        <w:spacing w:line="360" w:lineRule="auto"/>
        <w:ind w:firstLine="420" w:firstLineChars="200"/>
        <w:rPr>
          <w:rFonts w:ascii="宋体" w:hAnsi="宋体" w:cs="宋体"/>
          <w:color w:val="000000"/>
          <w:highlight w:val="none"/>
        </w:rPr>
      </w:pPr>
      <w:r>
        <w:rPr>
          <w:rFonts w:hint="eastAsia" w:ascii="宋体" w:hAnsi="宋体"/>
          <w:color w:val="000000"/>
          <w:szCs w:val="21"/>
          <w:highlight w:val="none"/>
        </w:rPr>
        <w:t>（1）承包人提交最终结清申请单的份数：</w:t>
      </w:r>
      <w:r>
        <w:rPr>
          <w:rFonts w:hint="eastAsia" w:ascii="宋体" w:hAnsi="宋体" w:cs="宋体"/>
          <w:color w:val="000000"/>
          <w:highlight w:val="none"/>
          <w:u w:val="single"/>
        </w:rPr>
        <w:t>提交</w:t>
      </w:r>
      <w:r>
        <w:rPr>
          <w:rFonts w:ascii="宋体" w:hAnsi="宋体" w:cs="宋体"/>
          <w:color w:val="000000"/>
          <w:highlight w:val="none"/>
          <w:u w:val="single"/>
        </w:rPr>
        <w:t>5</w:t>
      </w:r>
      <w:r>
        <w:rPr>
          <w:rFonts w:hint="eastAsia" w:ascii="宋体" w:hAnsi="宋体" w:cs="宋体"/>
          <w:color w:val="000000"/>
          <w:highlight w:val="none"/>
          <w:u w:val="single"/>
        </w:rPr>
        <w:t>份最终结清申请单</w:t>
      </w:r>
      <w:r>
        <w:rPr>
          <w:rFonts w:hint="eastAsia" w:ascii="宋体" w:hAnsi="宋体" w:cs="宋体"/>
          <w:color w:val="000000"/>
          <w:highlight w:val="none"/>
        </w:rPr>
        <w:t>。</w:t>
      </w:r>
    </w:p>
    <w:p w14:paraId="69AFC3EA">
      <w:pPr>
        <w:spacing w:line="360" w:lineRule="auto"/>
        <w:ind w:left="420" w:leftChars="200"/>
        <w:rPr>
          <w:rFonts w:ascii="宋体"/>
          <w:color w:val="000000"/>
          <w:highlight w:val="none"/>
        </w:rPr>
      </w:pPr>
      <w:r>
        <w:rPr>
          <w:rFonts w:hint="eastAsia" w:ascii="宋体" w:hAnsi="宋体"/>
          <w:color w:val="000000"/>
          <w:szCs w:val="21"/>
          <w:highlight w:val="none"/>
        </w:rPr>
        <w:t>承包人提交最终结清申请单的期限：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在缺陷责任期终止、工程接收证书颁发后</w:t>
      </w:r>
      <w:r>
        <w:rPr>
          <w:rFonts w:ascii="宋体" w:hAnsi="宋体" w:cs="宋体"/>
          <w:color w:val="000000"/>
          <w:highlight w:val="none"/>
          <w:u w:val="single"/>
        </w:rPr>
        <w:t>28</w:t>
      </w:r>
      <w:r>
        <w:rPr>
          <w:rFonts w:hint="eastAsia" w:ascii="宋体" w:hAnsi="宋体" w:cs="宋体"/>
          <w:color w:val="000000"/>
          <w:highlight w:val="none"/>
          <w:u w:val="single"/>
        </w:rPr>
        <w:t>天内</w:t>
      </w:r>
      <w:r>
        <w:rPr>
          <w:rFonts w:ascii="宋体" w:hAnsi="宋体" w:cs="宋体"/>
          <w:color w:val="000000"/>
          <w:highlight w:val="none"/>
          <w:u w:val="single"/>
        </w:rPr>
        <w:t xml:space="preserve">  </w:t>
      </w:r>
      <w:r>
        <w:rPr>
          <w:rFonts w:hint="eastAsia" w:ascii="宋体" w:hAnsi="宋体" w:cs="宋体"/>
          <w:color w:val="000000"/>
          <w:highlight w:val="none"/>
        </w:rPr>
        <w:t>。</w:t>
      </w:r>
    </w:p>
    <w:p w14:paraId="16FBD555">
      <w:pPr>
        <w:tabs>
          <w:tab w:val="left" w:pos="7568"/>
        </w:tabs>
        <w:spacing w:line="360" w:lineRule="auto"/>
        <w:ind w:firstLine="949" w:firstLineChars="452"/>
        <w:rPr>
          <w:rFonts w:ascii="宋体" w:hAnsi="宋体"/>
          <w:color w:val="000000"/>
          <w:highlight w:val="none"/>
        </w:rPr>
      </w:pPr>
      <w:r>
        <w:rPr>
          <w:rFonts w:hint="eastAsia" w:ascii="宋体" w:hAnsi="宋体"/>
          <w:color w:val="000000"/>
          <w:highlight w:val="none"/>
        </w:rPr>
        <w:t>发包人向承包人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不支付</w:t>
      </w:r>
      <w:r>
        <w:rPr>
          <w:rFonts w:ascii="宋体" w:hAnsi="宋体"/>
          <w:color w:val="000000"/>
          <w:highlight w:val="none"/>
          <w:u w:val="single"/>
        </w:rPr>
        <w:t xml:space="preserve">  </w:t>
      </w:r>
      <w:r>
        <w:rPr>
          <w:rFonts w:hint="eastAsia" w:ascii="宋体" w:hAnsi="宋体"/>
          <w:color w:val="000000"/>
          <w:highlight w:val="none"/>
        </w:rPr>
        <w:t>（支付</w:t>
      </w:r>
      <w:r>
        <w:rPr>
          <w:rFonts w:ascii="宋体" w:hAnsi="宋体"/>
          <w:color w:val="000000"/>
          <w:highlight w:val="none"/>
        </w:rPr>
        <w:t xml:space="preserve"> </w:t>
      </w:r>
      <w:r>
        <w:rPr>
          <w:rFonts w:hint="eastAsia" w:ascii="宋体" w:hAnsi="宋体"/>
          <w:color w:val="000000"/>
          <w:highlight w:val="none"/>
        </w:rPr>
        <w:t>/ 不支付）质量保证金利息。</w:t>
      </w:r>
      <w:r>
        <w:rPr>
          <w:rFonts w:ascii="宋体" w:hAnsi="宋体"/>
          <w:color w:val="000000"/>
          <w:highlight w:val="none"/>
        </w:rPr>
        <w:tab/>
      </w:r>
    </w:p>
    <w:p w14:paraId="5633D1E1">
      <w:pPr>
        <w:spacing w:line="360" w:lineRule="auto"/>
        <w:ind w:firstLine="949" w:firstLineChars="452"/>
        <w:rPr>
          <w:rFonts w:ascii="宋体" w:hAnsi="宋体"/>
          <w:color w:val="000000"/>
          <w:szCs w:val="21"/>
          <w:highlight w:val="none"/>
        </w:rPr>
      </w:pPr>
      <w:r>
        <w:rPr>
          <w:rFonts w:hint="eastAsia" w:ascii="宋体" w:hAnsi="宋体"/>
          <w:color w:val="000000"/>
          <w:highlight w:val="none"/>
        </w:rPr>
        <w:t>发包人向承包人支付质量保证金利息的，利息计算方法：</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D0780D4">
      <w:pPr>
        <w:pStyle w:val="4"/>
        <w:spacing w:line="360" w:lineRule="auto"/>
        <w:jc w:val="left"/>
        <w:rPr>
          <w:rFonts w:ascii="宋体" w:hAnsi="宋体"/>
          <w:color w:val="000000"/>
          <w:szCs w:val="30"/>
          <w:highlight w:val="none"/>
        </w:rPr>
      </w:pPr>
      <w:bookmarkStart w:id="1286" w:name="_Toc492202905"/>
      <w:bookmarkStart w:id="1287" w:name="_Toc491149565"/>
      <w:bookmarkStart w:id="1288" w:name="_Toc480303442"/>
      <w:bookmarkStart w:id="1289" w:name="_Toc489280241"/>
      <w:bookmarkStart w:id="1290" w:name="_Toc486580435"/>
      <w:bookmarkStart w:id="1291" w:name="_Toc485323209"/>
      <w:bookmarkStart w:id="1292" w:name="_Toc490331726"/>
      <w:bookmarkStart w:id="1293" w:name="_BookMark_63"/>
      <w:r>
        <w:rPr>
          <w:rFonts w:hint="eastAsia" w:ascii="宋体" w:hAnsi="宋体"/>
          <w:color w:val="000000"/>
          <w:szCs w:val="30"/>
          <w:highlight w:val="none"/>
        </w:rPr>
        <w:t>18.竣工验收</w:t>
      </w:r>
      <w:bookmarkEnd w:id="1286"/>
      <w:bookmarkEnd w:id="1287"/>
      <w:bookmarkEnd w:id="1288"/>
      <w:bookmarkEnd w:id="1289"/>
      <w:bookmarkEnd w:id="1290"/>
      <w:bookmarkEnd w:id="1291"/>
      <w:bookmarkEnd w:id="1292"/>
    </w:p>
    <w:bookmarkEnd w:id="1293"/>
    <w:p w14:paraId="43E6018F">
      <w:pPr>
        <w:pStyle w:val="6"/>
        <w:spacing w:line="360" w:lineRule="auto"/>
        <w:rPr>
          <w:rFonts w:hAnsi="宋体"/>
          <w:b w:val="0"/>
          <w:color w:val="000000"/>
          <w:szCs w:val="24"/>
          <w:highlight w:val="none"/>
        </w:rPr>
      </w:pPr>
      <w:bookmarkStart w:id="1294" w:name="_Toc489280242"/>
      <w:bookmarkStart w:id="1295" w:name="_Toc490331727"/>
      <w:bookmarkStart w:id="1296" w:name="_Toc491149566"/>
      <w:bookmarkStart w:id="1297" w:name="_Toc485323210"/>
      <w:bookmarkStart w:id="1298" w:name="_Toc492202906"/>
      <w:bookmarkStart w:id="1299" w:name="_Toc480303443"/>
      <w:bookmarkStart w:id="1300" w:name="_Toc486580436"/>
      <w:bookmarkStart w:id="1301" w:name="_BookMark_64"/>
      <w:r>
        <w:rPr>
          <w:rFonts w:hint="eastAsia" w:hAnsi="宋体"/>
          <w:b w:val="0"/>
          <w:color w:val="000000"/>
          <w:szCs w:val="24"/>
          <w:highlight w:val="none"/>
        </w:rPr>
        <w:t>18.2  竣工验收申请报告</w:t>
      </w:r>
      <w:bookmarkEnd w:id="1294"/>
      <w:bookmarkEnd w:id="1295"/>
      <w:bookmarkEnd w:id="1296"/>
      <w:bookmarkEnd w:id="1297"/>
      <w:bookmarkEnd w:id="1298"/>
      <w:bookmarkEnd w:id="1299"/>
      <w:bookmarkEnd w:id="1300"/>
    </w:p>
    <w:bookmarkEnd w:id="1301"/>
    <w:p w14:paraId="69D69BCB">
      <w:pPr>
        <w:spacing w:line="360" w:lineRule="auto"/>
        <w:ind w:firstLine="420" w:firstLineChars="200"/>
        <w:rPr>
          <w:rFonts w:ascii="宋体" w:hAnsi="宋体" w:cs="宋体"/>
          <w:color w:val="000000"/>
          <w:highlight w:val="none"/>
        </w:rPr>
      </w:pPr>
      <w:r>
        <w:rPr>
          <w:rFonts w:hint="eastAsia" w:ascii="宋体" w:hAnsi="宋体"/>
          <w:color w:val="000000"/>
          <w:szCs w:val="21"/>
          <w:highlight w:val="none"/>
        </w:rPr>
        <w:t>（2）承包人负责整理和提交的竣工验收资料具体内容：</w:t>
      </w:r>
      <w:r>
        <w:rPr>
          <w:rFonts w:hint="eastAsia" w:ascii="宋体" w:hAnsi="宋体" w:cs="宋体"/>
          <w:color w:val="000000"/>
          <w:highlight w:val="none"/>
          <w:u w:val="single"/>
        </w:rPr>
        <w:t xml:space="preserve"> 工程竣工验收后15天内，向发包人提供符合国家及北京市资料管理规程要求的全部资料及发包人要求的其他资料，分类整理装订成册，经监理工程师审核后交发包人4套归档，并根据财政结算评审资料清单上报竣工结算资料。  </w:t>
      </w:r>
      <w:r>
        <w:rPr>
          <w:rFonts w:hint="eastAsia" w:ascii="宋体" w:hAnsi="宋体" w:cs="宋体"/>
          <w:color w:val="000000"/>
          <w:highlight w:val="none"/>
        </w:rPr>
        <w:t>。</w:t>
      </w:r>
    </w:p>
    <w:p w14:paraId="6923BA9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竣工验收资料的份数：</w:t>
      </w:r>
      <w:r>
        <w:rPr>
          <w:rFonts w:hint="eastAsia" w:ascii="宋体" w:hAnsi="宋体" w:cs="宋体"/>
          <w:color w:val="000000"/>
          <w:highlight w:val="none"/>
          <w:u w:val="single"/>
        </w:rPr>
        <w:t>三套（费用由承包人承担）和竣工图电子光盘三套</w:t>
      </w:r>
      <w:r>
        <w:rPr>
          <w:rFonts w:hint="eastAsia" w:ascii="宋体" w:hAnsi="宋体"/>
          <w:color w:val="000000"/>
          <w:szCs w:val="21"/>
          <w:highlight w:val="none"/>
          <w:u w:val="single"/>
        </w:rPr>
        <w:t xml:space="preserve">  </w:t>
      </w:r>
    </w:p>
    <w:p w14:paraId="1AB96E9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竣工验收资料的费用支付方式：</w:t>
      </w:r>
      <w:r>
        <w:rPr>
          <w:rFonts w:hint="eastAsia" w:ascii="宋体" w:hAnsi="宋体" w:cs="宋体"/>
          <w:color w:val="000000"/>
          <w:highlight w:val="none"/>
          <w:u w:val="single"/>
        </w:rPr>
        <w:t>已含在合同总价中</w:t>
      </w:r>
      <w:r>
        <w:rPr>
          <w:rFonts w:hint="eastAsia" w:ascii="宋体" w:hAnsi="宋体"/>
          <w:color w:val="000000"/>
          <w:szCs w:val="21"/>
          <w:highlight w:val="none"/>
          <w:u w:val="single"/>
        </w:rPr>
        <w:t xml:space="preserve">   </w:t>
      </w:r>
    </w:p>
    <w:p w14:paraId="56D4AB36">
      <w:pPr>
        <w:pStyle w:val="6"/>
        <w:spacing w:line="360" w:lineRule="auto"/>
        <w:rPr>
          <w:rFonts w:hAnsi="宋体"/>
          <w:b w:val="0"/>
          <w:color w:val="000000"/>
          <w:szCs w:val="24"/>
          <w:highlight w:val="none"/>
        </w:rPr>
      </w:pPr>
      <w:bookmarkStart w:id="1302" w:name="_Toc486580437"/>
      <w:bookmarkStart w:id="1303" w:name="_Toc485323211"/>
      <w:bookmarkStart w:id="1304" w:name="_Toc490331728"/>
      <w:bookmarkStart w:id="1305" w:name="_Toc480303444"/>
      <w:bookmarkStart w:id="1306" w:name="_Toc491149567"/>
      <w:bookmarkStart w:id="1307" w:name="_Toc489280243"/>
      <w:bookmarkStart w:id="1308" w:name="_Toc492202907"/>
      <w:bookmarkStart w:id="1309" w:name="_BookMark_65"/>
      <w:r>
        <w:rPr>
          <w:rFonts w:hint="eastAsia" w:hAnsi="宋体"/>
          <w:b w:val="0"/>
          <w:color w:val="000000"/>
          <w:szCs w:val="24"/>
          <w:highlight w:val="none"/>
        </w:rPr>
        <w:t>18.5  施工期运行</w:t>
      </w:r>
      <w:bookmarkEnd w:id="1302"/>
      <w:bookmarkEnd w:id="1303"/>
      <w:bookmarkEnd w:id="1304"/>
      <w:bookmarkEnd w:id="1305"/>
      <w:bookmarkEnd w:id="1306"/>
      <w:bookmarkEnd w:id="1307"/>
      <w:bookmarkEnd w:id="1308"/>
    </w:p>
    <w:bookmarkEnd w:id="1309"/>
    <w:p w14:paraId="37B92955">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18.5.1  需要施工期运行的单位工程或设备安装工程：</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设备、管线安装及单机调试</w:t>
      </w:r>
      <w:r>
        <w:rPr>
          <w:rFonts w:hint="eastAsia" w:ascii="宋体" w:hAnsi="宋体"/>
          <w:color w:val="000000"/>
          <w:szCs w:val="21"/>
          <w:highlight w:val="none"/>
          <w:u w:val="single"/>
        </w:rPr>
        <w:t xml:space="preserve">  </w:t>
      </w:r>
    </w:p>
    <w:p w14:paraId="55737F3D">
      <w:pPr>
        <w:pStyle w:val="6"/>
        <w:spacing w:line="360" w:lineRule="auto"/>
        <w:rPr>
          <w:rFonts w:hAnsi="宋体"/>
          <w:b w:val="0"/>
          <w:color w:val="000000"/>
          <w:szCs w:val="24"/>
          <w:highlight w:val="none"/>
        </w:rPr>
      </w:pPr>
      <w:bookmarkStart w:id="1310" w:name="_Toc492202908"/>
      <w:bookmarkStart w:id="1311" w:name="_Toc490331729"/>
      <w:bookmarkStart w:id="1312" w:name="_Toc489280244"/>
      <w:bookmarkStart w:id="1313" w:name="_Toc486580438"/>
      <w:bookmarkStart w:id="1314" w:name="_Toc491149568"/>
      <w:bookmarkStart w:id="1315" w:name="_Toc480303445"/>
      <w:bookmarkStart w:id="1316" w:name="_Toc485323212"/>
      <w:bookmarkStart w:id="1317" w:name="_BookMark_66"/>
      <w:r>
        <w:rPr>
          <w:rFonts w:hint="eastAsia" w:hAnsi="宋体"/>
          <w:b w:val="0"/>
          <w:color w:val="000000"/>
          <w:szCs w:val="24"/>
          <w:highlight w:val="none"/>
        </w:rPr>
        <w:t>18.8  施工队伍的撤离</w:t>
      </w:r>
      <w:bookmarkEnd w:id="1310"/>
      <w:bookmarkEnd w:id="1311"/>
      <w:bookmarkEnd w:id="1312"/>
      <w:bookmarkEnd w:id="1313"/>
      <w:bookmarkEnd w:id="1314"/>
      <w:bookmarkEnd w:id="1315"/>
      <w:bookmarkEnd w:id="1316"/>
    </w:p>
    <w:bookmarkEnd w:id="1317"/>
    <w:p w14:paraId="4AE52D7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18.8.3缺陷责任期满时，承包人在施工场地保留的人员和施工设备最终撤离的期限：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缺陷责任期满</w:t>
      </w:r>
      <w:r>
        <w:rPr>
          <w:rFonts w:ascii="宋体" w:hAnsi="宋体" w:cs="宋体"/>
          <w:color w:val="000000"/>
          <w:highlight w:val="none"/>
          <w:u w:val="single"/>
        </w:rPr>
        <w:t>28</w:t>
      </w:r>
      <w:r>
        <w:rPr>
          <w:rFonts w:hint="eastAsia" w:ascii="宋体" w:hAnsi="宋体" w:cs="宋体"/>
          <w:color w:val="000000"/>
          <w:highlight w:val="none"/>
          <w:u w:val="single"/>
        </w:rPr>
        <w:t>日内</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550CF934">
      <w:pPr>
        <w:pStyle w:val="6"/>
        <w:spacing w:line="360" w:lineRule="auto"/>
        <w:rPr>
          <w:rFonts w:hAnsi="宋体"/>
          <w:b w:val="0"/>
          <w:color w:val="000000"/>
          <w:szCs w:val="24"/>
          <w:highlight w:val="none"/>
        </w:rPr>
      </w:pPr>
      <w:bookmarkStart w:id="1318" w:name="_Toc485323213"/>
      <w:bookmarkStart w:id="1319" w:name="_Toc491149569"/>
      <w:bookmarkStart w:id="1320" w:name="_Toc489280245"/>
      <w:bookmarkStart w:id="1321" w:name="_Toc486580439"/>
      <w:bookmarkStart w:id="1322" w:name="_Toc490331730"/>
      <w:bookmarkStart w:id="1323" w:name="_Toc492202909"/>
      <w:bookmarkStart w:id="1324" w:name="_Toc480303446"/>
      <w:bookmarkStart w:id="1325" w:name="_BookMark_67"/>
      <w:r>
        <w:rPr>
          <w:rFonts w:hint="eastAsia" w:hAnsi="宋体"/>
          <w:b w:val="0"/>
          <w:color w:val="000000"/>
          <w:szCs w:val="24"/>
          <w:highlight w:val="none"/>
        </w:rPr>
        <w:t>18.9  中间验收</w:t>
      </w:r>
      <w:bookmarkEnd w:id="1318"/>
      <w:bookmarkEnd w:id="1319"/>
      <w:bookmarkEnd w:id="1320"/>
      <w:bookmarkEnd w:id="1321"/>
      <w:bookmarkEnd w:id="1322"/>
      <w:bookmarkEnd w:id="1323"/>
      <w:bookmarkEnd w:id="1324"/>
    </w:p>
    <w:bookmarkEnd w:id="1325"/>
    <w:p w14:paraId="6DC11FB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18.9.1本工程需要进行中间验收的部位：</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24EAE24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18.9.2验收不合格的，承包人在</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发包人规定的</w:t>
      </w:r>
      <w:r>
        <w:rPr>
          <w:rFonts w:hint="eastAsia" w:ascii="宋体" w:hAnsi="宋体"/>
          <w:color w:val="000000"/>
          <w:szCs w:val="21"/>
          <w:highlight w:val="none"/>
          <w:u w:val="single"/>
        </w:rPr>
        <w:t xml:space="preserve">   </w:t>
      </w:r>
      <w:r>
        <w:rPr>
          <w:rFonts w:hint="eastAsia" w:ascii="宋体" w:hAnsi="宋体"/>
          <w:color w:val="000000"/>
          <w:szCs w:val="21"/>
          <w:highlight w:val="none"/>
        </w:rPr>
        <w:t>期限内进行修改后重新验收。</w:t>
      </w:r>
    </w:p>
    <w:p w14:paraId="61F6E719">
      <w:pPr>
        <w:pStyle w:val="4"/>
        <w:spacing w:line="360" w:lineRule="auto"/>
        <w:jc w:val="left"/>
        <w:rPr>
          <w:rFonts w:ascii="宋体" w:hAnsi="宋体"/>
          <w:color w:val="000000"/>
          <w:szCs w:val="30"/>
          <w:highlight w:val="none"/>
        </w:rPr>
      </w:pPr>
      <w:bookmarkStart w:id="1326" w:name="_Toc489280246"/>
      <w:bookmarkStart w:id="1327" w:name="_Toc490331731"/>
      <w:bookmarkStart w:id="1328" w:name="_Toc486580440"/>
      <w:bookmarkStart w:id="1329" w:name="_Toc480303447"/>
      <w:bookmarkStart w:id="1330" w:name="_Toc485323214"/>
      <w:bookmarkStart w:id="1331" w:name="_Toc492202910"/>
      <w:bookmarkStart w:id="1332" w:name="_Toc491149570"/>
      <w:bookmarkStart w:id="1333" w:name="_BookMark_68"/>
      <w:r>
        <w:rPr>
          <w:rFonts w:hint="eastAsia" w:ascii="宋体" w:hAnsi="宋体"/>
          <w:color w:val="000000"/>
          <w:szCs w:val="30"/>
          <w:highlight w:val="none"/>
        </w:rPr>
        <w:t>19.缺陷责任与保修责任</w:t>
      </w:r>
      <w:bookmarkEnd w:id="1326"/>
      <w:bookmarkEnd w:id="1327"/>
      <w:bookmarkEnd w:id="1328"/>
      <w:bookmarkEnd w:id="1329"/>
      <w:bookmarkEnd w:id="1330"/>
      <w:bookmarkEnd w:id="1331"/>
      <w:bookmarkEnd w:id="1332"/>
    </w:p>
    <w:bookmarkEnd w:id="1333"/>
    <w:p w14:paraId="580CA437">
      <w:pPr>
        <w:pStyle w:val="6"/>
        <w:spacing w:line="360" w:lineRule="auto"/>
        <w:rPr>
          <w:rFonts w:hAnsi="宋体"/>
          <w:b w:val="0"/>
          <w:color w:val="000000"/>
          <w:szCs w:val="24"/>
          <w:highlight w:val="none"/>
        </w:rPr>
      </w:pPr>
      <w:bookmarkStart w:id="1334" w:name="_Toc480303448"/>
      <w:bookmarkStart w:id="1335" w:name="_Toc492202911"/>
      <w:bookmarkStart w:id="1336" w:name="_Toc490331732"/>
      <w:bookmarkStart w:id="1337" w:name="_Toc485323215"/>
      <w:bookmarkStart w:id="1338" w:name="_Toc489280247"/>
      <w:bookmarkStart w:id="1339" w:name="_Toc491149571"/>
      <w:bookmarkStart w:id="1340" w:name="_Toc486580441"/>
      <w:bookmarkStart w:id="1341" w:name="_BookMark_69"/>
      <w:r>
        <w:rPr>
          <w:rFonts w:hint="eastAsia" w:hAnsi="宋体"/>
          <w:b w:val="0"/>
          <w:color w:val="000000"/>
          <w:szCs w:val="24"/>
          <w:highlight w:val="none"/>
        </w:rPr>
        <w:t>19.7  保修责任</w:t>
      </w:r>
      <w:bookmarkEnd w:id="1334"/>
      <w:bookmarkEnd w:id="1335"/>
      <w:bookmarkEnd w:id="1336"/>
      <w:bookmarkEnd w:id="1337"/>
      <w:bookmarkEnd w:id="1338"/>
      <w:bookmarkEnd w:id="1339"/>
      <w:bookmarkEnd w:id="1340"/>
    </w:p>
    <w:bookmarkEnd w:id="1341"/>
    <w:p w14:paraId="7804AEA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19.7.1工程质量保修范围：</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详见附件</w:t>
      </w:r>
      <w:r>
        <w:rPr>
          <w:rFonts w:hint="eastAsia" w:ascii="宋体" w:hAnsi="宋体" w:cs="宋体"/>
          <w:color w:val="000000"/>
          <w:highlight w:val="none"/>
          <w:u w:val="single"/>
          <w:lang w:val="en-US" w:eastAsia="zh-CN"/>
        </w:rPr>
        <w:t>五</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建筑</w:t>
      </w:r>
      <w:r>
        <w:rPr>
          <w:rFonts w:hint="eastAsia" w:ascii="宋体" w:hAnsi="宋体" w:cs="宋体"/>
          <w:color w:val="000000"/>
          <w:highlight w:val="none"/>
          <w:u w:val="single"/>
        </w:rPr>
        <w:t>工程质量保修书》</w:t>
      </w:r>
      <w:r>
        <w:rPr>
          <w:rFonts w:ascii="宋体" w:hAnsi="宋体"/>
          <w:color w:val="000000"/>
          <w:szCs w:val="21"/>
          <w:highlight w:val="none"/>
          <w:u w:val="single"/>
        </w:rPr>
        <w:t xml:space="preserve">  </w:t>
      </w:r>
    </w:p>
    <w:p w14:paraId="66ADA40B">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工程质量保修期限：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详见附件</w:t>
      </w:r>
      <w:r>
        <w:rPr>
          <w:rFonts w:hint="eastAsia" w:ascii="宋体" w:hAnsi="宋体" w:cs="宋体"/>
          <w:color w:val="000000"/>
          <w:highlight w:val="none"/>
          <w:u w:val="single"/>
          <w:lang w:val="en-US" w:eastAsia="zh-CN"/>
        </w:rPr>
        <w:t>五</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建筑</w:t>
      </w:r>
      <w:r>
        <w:rPr>
          <w:rFonts w:hint="eastAsia" w:ascii="宋体" w:hAnsi="宋体" w:cs="宋体"/>
          <w:color w:val="000000"/>
          <w:highlight w:val="none"/>
          <w:u w:val="single"/>
        </w:rPr>
        <w:t>工程质量保修书》</w:t>
      </w:r>
    </w:p>
    <w:p w14:paraId="2E7B369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工程质量保修责任：</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详见附件</w:t>
      </w:r>
      <w:r>
        <w:rPr>
          <w:rFonts w:hint="eastAsia" w:ascii="宋体" w:hAnsi="宋体" w:cs="宋体"/>
          <w:color w:val="000000"/>
          <w:highlight w:val="none"/>
          <w:u w:val="single"/>
          <w:lang w:val="en-US" w:eastAsia="zh-CN"/>
        </w:rPr>
        <w:t>五</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建筑</w:t>
      </w:r>
      <w:r>
        <w:rPr>
          <w:rFonts w:hint="eastAsia" w:ascii="宋体" w:hAnsi="宋体" w:cs="宋体"/>
          <w:color w:val="000000"/>
          <w:highlight w:val="none"/>
          <w:u w:val="single"/>
        </w:rPr>
        <w:t>工程质量保修书》</w:t>
      </w:r>
      <w:r>
        <w:rPr>
          <w:rFonts w:hint="eastAsia" w:ascii="宋体" w:hAnsi="宋体"/>
          <w:color w:val="000000"/>
          <w:szCs w:val="21"/>
          <w:highlight w:val="none"/>
          <w:u w:val="single"/>
        </w:rPr>
        <w:t xml:space="preserve"> </w:t>
      </w:r>
    </w:p>
    <w:p w14:paraId="47EA8E68">
      <w:pPr>
        <w:pStyle w:val="4"/>
        <w:spacing w:line="360" w:lineRule="auto"/>
        <w:jc w:val="left"/>
        <w:rPr>
          <w:rFonts w:ascii="宋体" w:hAnsi="宋体"/>
          <w:color w:val="000000"/>
          <w:szCs w:val="30"/>
          <w:highlight w:val="none"/>
        </w:rPr>
      </w:pPr>
      <w:bookmarkStart w:id="1342" w:name="_Toc490331733"/>
      <w:bookmarkStart w:id="1343" w:name="_Toc489280248"/>
      <w:bookmarkStart w:id="1344" w:name="_Toc491149572"/>
      <w:bookmarkStart w:id="1345" w:name="_Toc486580442"/>
      <w:bookmarkStart w:id="1346" w:name="_Toc485323216"/>
      <w:bookmarkStart w:id="1347" w:name="_Toc480303449"/>
      <w:bookmarkStart w:id="1348" w:name="_Toc492202912"/>
      <w:bookmarkStart w:id="1349" w:name="_BookMark_70"/>
      <w:r>
        <w:rPr>
          <w:rFonts w:hint="eastAsia" w:ascii="宋体" w:hAnsi="宋体"/>
          <w:color w:val="000000"/>
          <w:szCs w:val="30"/>
          <w:highlight w:val="none"/>
        </w:rPr>
        <w:t>20.保险</w:t>
      </w:r>
      <w:bookmarkEnd w:id="1342"/>
      <w:bookmarkEnd w:id="1343"/>
      <w:bookmarkEnd w:id="1344"/>
      <w:bookmarkEnd w:id="1345"/>
      <w:bookmarkEnd w:id="1346"/>
      <w:bookmarkEnd w:id="1347"/>
      <w:bookmarkEnd w:id="1348"/>
    </w:p>
    <w:bookmarkEnd w:id="1349"/>
    <w:p w14:paraId="0C660B2B">
      <w:pPr>
        <w:pStyle w:val="6"/>
        <w:spacing w:line="360" w:lineRule="auto"/>
        <w:rPr>
          <w:rFonts w:hAnsi="宋体"/>
          <w:b w:val="0"/>
          <w:color w:val="000000"/>
          <w:szCs w:val="24"/>
          <w:highlight w:val="none"/>
        </w:rPr>
      </w:pPr>
      <w:bookmarkStart w:id="1350" w:name="_Toc480303450"/>
      <w:bookmarkStart w:id="1351" w:name="_Toc486580443"/>
      <w:bookmarkStart w:id="1352" w:name="_Toc489280249"/>
      <w:bookmarkStart w:id="1353" w:name="_Toc490331734"/>
      <w:bookmarkStart w:id="1354" w:name="_Toc492202913"/>
      <w:bookmarkStart w:id="1355" w:name="_Toc491149573"/>
      <w:bookmarkStart w:id="1356" w:name="_Toc485323217"/>
      <w:bookmarkStart w:id="1357" w:name="_BookMark_71"/>
      <w:r>
        <w:rPr>
          <w:rFonts w:hint="eastAsia" w:hAnsi="宋体"/>
          <w:b w:val="0"/>
          <w:color w:val="000000"/>
          <w:szCs w:val="24"/>
          <w:highlight w:val="none"/>
        </w:rPr>
        <w:t>20.1  工程保险</w:t>
      </w:r>
      <w:bookmarkEnd w:id="1350"/>
      <w:bookmarkEnd w:id="1351"/>
      <w:bookmarkEnd w:id="1352"/>
      <w:bookmarkEnd w:id="1353"/>
      <w:bookmarkEnd w:id="1354"/>
      <w:bookmarkEnd w:id="1355"/>
      <w:bookmarkEnd w:id="1356"/>
    </w:p>
    <w:bookmarkEnd w:id="1357"/>
    <w:p w14:paraId="41C72CDD">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本工程</w:t>
      </w:r>
      <w:r>
        <w:rPr>
          <w:rFonts w:hint="eastAsia" w:ascii="宋体" w:hAnsi="宋体" w:cs="宋体"/>
          <w:color w:val="000000"/>
          <w:highlight w:val="none"/>
          <w:u w:val="single"/>
        </w:rPr>
        <w:t>不投保</w:t>
      </w:r>
      <w:r>
        <w:rPr>
          <w:rFonts w:hint="eastAsia" w:ascii="宋体" w:hAnsi="宋体"/>
          <w:color w:val="000000"/>
          <w:szCs w:val="21"/>
          <w:highlight w:val="none"/>
        </w:rPr>
        <w:t>(投保/不投保)工程保险。投保工程保险时，险种为：</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，并符合以下约定：</w:t>
      </w:r>
    </w:p>
    <w:p w14:paraId="1110F5A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（1）投保人：</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52ABBEB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（2）投保内容：</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21C01FD0">
      <w:pPr>
        <w:spacing w:line="360" w:lineRule="auto"/>
        <w:ind w:firstLine="420" w:firstLineChars="200"/>
        <w:rPr>
          <w:rFonts w:ascii="宋体" w:hAnsi="宋体" w:cs="Arial"/>
          <w:color w:val="000000"/>
          <w:highlight w:val="none"/>
        </w:rPr>
      </w:pPr>
      <w:r>
        <w:rPr>
          <w:rFonts w:hint="eastAsia" w:ascii="宋体" w:hAnsi="宋体"/>
          <w:color w:val="000000"/>
          <w:szCs w:val="21"/>
          <w:highlight w:val="none"/>
        </w:rPr>
        <w:t>（3）保险费率：由投保人与合同双方同意的保险人商定</w:t>
      </w:r>
      <w:r>
        <w:rPr>
          <w:rFonts w:hint="eastAsia" w:ascii="宋体" w:hAnsi="宋体" w:cs="Arial"/>
          <w:color w:val="000000"/>
          <w:highlight w:val="none"/>
        </w:rPr>
        <w:t>。</w:t>
      </w:r>
    </w:p>
    <w:p w14:paraId="62914447">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（4）保险金额：</w:t>
      </w:r>
      <w:r>
        <w:rPr>
          <w:rFonts w:hint="eastAsia" w:ascii="宋体" w:hAnsi="宋体"/>
          <w:color w:val="000000"/>
          <w:szCs w:val="21"/>
          <w:highlight w:val="none"/>
          <w:u w:val="single"/>
        </w:rPr>
        <w:t xml:space="preserve">  </w:t>
      </w:r>
      <w:r>
        <w:rPr>
          <w:rFonts w:hint="eastAsia" w:ascii="宋体" w:hAnsi="宋体" w:cs="Arial"/>
          <w:color w:val="000000"/>
          <w:highlight w:val="none"/>
          <w:u w:val="single"/>
        </w:rPr>
        <w:t xml:space="preserve">  </w:t>
      </w:r>
      <w:r>
        <w:rPr>
          <w:rFonts w:ascii="宋体" w:hAnsi="宋体" w:cs="宋体"/>
          <w:color w:val="000000"/>
          <w:highlight w:val="none"/>
          <w:u w:val="single"/>
        </w:rPr>
        <w:t xml:space="preserve">/ </w:t>
      </w:r>
      <w:r>
        <w:rPr>
          <w:rFonts w:hint="eastAsia" w:ascii="宋体" w:hAnsi="宋体" w:cs="Arial"/>
          <w:color w:val="000000"/>
          <w:highlight w:val="none"/>
          <w:u w:val="single"/>
        </w:rPr>
        <w:t xml:space="preserve">                         </w:t>
      </w:r>
    </w:p>
    <w:p w14:paraId="79F55033">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（5）保险期限：</w:t>
      </w:r>
      <w:r>
        <w:rPr>
          <w:rFonts w:hint="eastAsia" w:ascii="宋体" w:hAnsi="宋体"/>
          <w:color w:val="000000"/>
          <w:szCs w:val="21"/>
          <w:highlight w:val="none"/>
          <w:u w:val="single"/>
        </w:rPr>
        <w:t xml:space="preserve">  </w:t>
      </w:r>
      <w:r>
        <w:rPr>
          <w:rFonts w:hint="eastAsia" w:ascii="宋体" w:hAnsi="宋体" w:cs="Arial"/>
          <w:color w:val="000000"/>
          <w:highlight w:val="none"/>
          <w:u w:val="single"/>
        </w:rPr>
        <w:t xml:space="preserve">   </w:t>
      </w:r>
      <w:r>
        <w:rPr>
          <w:rFonts w:ascii="宋体" w:hAnsi="宋体" w:cs="宋体"/>
          <w:color w:val="000000"/>
          <w:highlight w:val="none"/>
          <w:u w:val="single"/>
        </w:rPr>
        <w:t xml:space="preserve">/ </w:t>
      </w:r>
      <w:r>
        <w:rPr>
          <w:rFonts w:hint="eastAsia" w:ascii="宋体" w:hAnsi="宋体" w:cs="Arial"/>
          <w:color w:val="000000"/>
          <w:highlight w:val="none"/>
          <w:u w:val="single"/>
        </w:rPr>
        <w:t xml:space="preserve">                               </w:t>
      </w:r>
    </w:p>
    <w:p w14:paraId="5312B0C2">
      <w:pPr>
        <w:pStyle w:val="6"/>
        <w:spacing w:line="360" w:lineRule="auto"/>
        <w:rPr>
          <w:rFonts w:hAnsi="宋体"/>
          <w:b w:val="0"/>
          <w:color w:val="000000"/>
          <w:szCs w:val="24"/>
          <w:highlight w:val="none"/>
        </w:rPr>
      </w:pPr>
      <w:bookmarkStart w:id="1358" w:name="_Toc489280250"/>
      <w:bookmarkStart w:id="1359" w:name="_Toc485323218"/>
      <w:bookmarkStart w:id="1360" w:name="_Toc486580444"/>
      <w:bookmarkStart w:id="1361" w:name="_Toc480303451"/>
      <w:bookmarkStart w:id="1362" w:name="_Toc490331735"/>
      <w:bookmarkStart w:id="1363" w:name="_Toc491149574"/>
      <w:bookmarkStart w:id="1364" w:name="_Toc492202914"/>
      <w:bookmarkStart w:id="1365" w:name="_BookMark_72"/>
      <w:r>
        <w:rPr>
          <w:rFonts w:hint="eastAsia" w:hAnsi="宋体"/>
          <w:b w:val="0"/>
          <w:color w:val="000000"/>
          <w:szCs w:val="24"/>
          <w:highlight w:val="none"/>
        </w:rPr>
        <w:t>20.4  第三者责任险</w:t>
      </w:r>
      <w:bookmarkEnd w:id="1358"/>
      <w:bookmarkEnd w:id="1359"/>
      <w:bookmarkEnd w:id="1360"/>
      <w:bookmarkEnd w:id="1361"/>
      <w:bookmarkEnd w:id="1362"/>
      <w:bookmarkEnd w:id="1363"/>
      <w:bookmarkEnd w:id="1364"/>
    </w:p>
    <w:bookmarkEnd w:id="1365"/>
    <w:p w14:paraId="0F13E29D">
      <w:pPr>
        <w:spacing w:line="360" w:lineRule="auto"/>
        <w:ind w:firstLine="420" w:firstLineChars="200"/>
        <w:rPr>
          <w:rFonts w:ascii="宋体" w:hAnsi="宋体" w:cs="Arial"/>
          <w:color w:val="000000"/>
          <w:highlight w:val="none"/>
        </w:rPr>
      </w:pPr>
      <w:r>
        <w:rPr>
          <w:rFonts w:hint="eastAsia" w:ascii="宋体" w:hAnsi="宋体"/>
          <w:color w:val="000000"/>
          <w:szCs w:val="21"/>
          <w:highlight w:val="none"/>
        </w:rPr>
        <w:t>20.4.2</w:t>
      </w:r>
      <w:r>
        <w:rPr>
          <w:rFonts w:ascii="宋体" w:hAnsi="宋体"/>
          <w:color w:val="000000"/>
          <w:szCs w:val="21"/>
          <w:highlight w:val="none"/>
        </w:rPr>
        <w:t xml:space="preserve">  </w:t>
      </w:r>
      <w:r>
        <w:rPr>
          <w:rFonts w:hint="eastAsia" w:ascii="宋体" w:hAnsi="宋体"/>
          <w:color w:val="000000"/>
          <w:szCs w:val="21"/>
          <w:highlight w:val="none"/>
        </w:rPr>
        <w:t>保险金额：</w:t>
      </w:r>
      <w:r>
        <w:rPr>
          <w:rFonts w:hint="eastAsia" w:ascii="宋体" w:hAnsi="宋体" w:cs="宋体"/>
          <w:color w:val="000000"/>
          <w:highlight w:val="none"/>
          <w:u w:val="single"/>
        </w:rPr>
        <w:t>由双方商定</w:t>
      </w:r>
      <w:r>
        <w:rPr>
          <w:rFonts w:hint="eastAsia" w:ascii="宋体" w:hAnsi="宋体" w:cs="Arial"/>
          <w:color w:val="000000"/>
          <w:highlight w:val="none"/>
          <w:u w:val="single"/>
        </w:rPr>
        <w:t xml:space="preserve">  </w:t>
      </w:r>
      <w:r>
        <w:rPr>
          <w:rFonts w:hint="eastAsia" w:ascii="宋体" w:hAnsi="宋体" w:cs="Arial"/>
          <w:color w:val="000000"/>
          <w:highlight w:val="none"/>
        </w:rPr>
        <w:t>，</w:t>
      </w:r>
      <w:r>
        <w:rPr>
          <w:rFonts w:hint="eastAsia" w:ascii="宋体" w:hAnsi="宋体"/>
          <w:color w:val="000000"/>
          <w:szCs w:val="21"/>
          <w:highlight w:val="none"/>
        </w:rPr>
        <w:t>保险费率由承包人与发包人同意的保险人商定，相关保险费由</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承包人</w:t>
      </w:r>
      <w:r>
        <w:rPr>
          <w:rFonts w:hint="eastAsia" w:ascii="宋体" w:hAnsi="宋体"/>
          <w:color w:val="000000"/>
          <w:szCs w:val="21"/>
          <w:highlight w:val="none"/>
          <w:u w:val="single"/>
        </w:rPr>
        <w:t xml:space="preserve"> </w:t>
      </w:r>
      <w:r>
        <w:rPr>
          <w:rFonts w:hint="eastAsia" w:ascii="宋体" w:hAnsi="宋体"/>
          <w:color w:val="000000"/>
          <w:szCs w:val="21"/>
          <w:highlight w:val="none"/>
        </w:rPr>
        <w:t>承担</w:t>
      </w:r>
      <w:r>
        <w:rPr>
          <w:rFonts w:hint="eastAsia" w:ascii="宋体" w:hAnsi="宋体" w:cs="Arial"/>
          <w:color w:val="000000"/>
          <w:highlight w:val="none"/>
        </w:rPr>
        <w:t xml:space="preserve">。                               </w:t>
      </w:r>
    </w:p>
    <w:p w14:paraId="08E9563D">
      <w:pPr>
        <w:pStyle w:val="6"/>
        <w:spacing w:line="360" w:lineRule="auto"/>
        <w:rPr>
          <w:rFonts w:hAnsi="宋体"/>
          <w:b w:val="0"/>
          <w:color w:val="000000"/>
          <w:szCs w:val="24"/>
          <w:highlight w:val="none"/>
        </w:rPr>
      </w:pPr>
      <w:bookmarkStart w:id="1366" w:name="_Toc489280251"/>
      <w:bookmarkStart w:id="1367" w:name="_Toc486580445"/>
      <w:bookmarkStart w:id="1368" w:name="_Toc480303452"/>
      <w:bookmarkStart w:id="1369" w:name="_Toc485323219"/>
      <w:bookmarkStart w:id="1370" w:name="_Toc492202915"/>
      <w:bookmarkStart w:id="1371" w:name="_Toc491149575"/>
      <w:bookmarkStart w:id="1372" w:name="_Toc490331736"/>
      <w:bookmarkStart w:id="1373" w:name="_BookMark_73"/>
      <w:r>
        <w:rPr>
          <w:rFonts w:hint="eastAsia" w:hAnsi="宋体"/>
          <w:b w:val="0"/>
          <w:color w:val="000000"/>
          <w:szCs w:val="24"/>
          <w:highlight w:val="none"/>
        </w:rPr>
        <w:t>20.5  其他保险</w:t>
      </w:r>
      <w:bookmarkEnd w:id="1366"/>
      <w:bookmarkEnd w:id="1367"/>
      <w:bookmarkEnd w:id="1368"/>
      <w:bookmarkEnd w:id="1369"/>
      <w:bookmarkEnd w:id="1370"/>
      <w:bookmarkEnd w:id="1371"/>
      <w:bookmarkEnd w:id="1372"/>
    </w:p>
    <w:bookmarkEnd w:id="1373"/>
    <w:p w14:paraId="7A9E1449">
      <w:pPr>
        <w:spacing w:line="360" w:lineRule="auto"/>
        <w:ind w:firstLine="420" w:firstLineChars="200"/>
        <w:rPr>
          <w:rFonts w:ascii="宋体" w:hAnsi="宋体" w:cs="Arial"/>
          <w:color w:val="000000"/>
          <w:highlight w:val="none"/>
        </w:rPr>
      </w:pPr>
      <w:r>
        <w:rPr>
          <w:rFonts w:hint="eastAsia" w:ascii="宋体" w:hAnsi="宋体"/>
          <w:color w:val="000000"/>
          <w:szCs w:val="21"/>
          <w:highlight w:val="none"/>
        </w:rPr>
        <w:t>承包人应为其施工设备、进场材料和工程设备等办理的保险：</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  </w:t>
      </w:r>
      <w:r>
        <w:rPr>
          <w:rFonts w:hint="eastAsia" w:ascii="宋体" w:hAnsi="宋体" w:cs="Arial"/>
          <w:color w:val="000000"/>
          <w:highlight w:val="none"/>
          <w:u w:val="single"/>
        </w:rPr>
        <w:t xml:space="preserve">          </w:t>
      </w:r>
    </w:p>
    <w:p w14:paraId="1D7D2238">
      <w:pPr>
        <w:pStyle w:val="6"/>
        <w:spacing w:line="360" w:lineRule="auto"/>
        <w:rPr>
          <w:rFonts w:hAnsi="宋体"/>
          <w:b w:val="0"/>
          <w:color w:val="000000"/>
          <w:szCs w:val="24"/>
          <w:highlight w:val="none"/>
        </w:rPr>
      </w:pPr>
      <w:bookmarkStart w:id="1374" w:name="_Toc480303453"/>
      <w:bookmarkStart w:id="1375" w:name="_Toc490331737"/>
      <w:bookmarkStart w:id="1376" w:name="_Toc491149576"/>
      <w:bookmarkStart w:id="1377" w:name="_Toc492202916"/>
      <w:bookmarkStart w:id="1378" w:name="_Toc489280252"/>
      <w:bookmarkStart w:id="1379" w:name="_Toc486580446"/>
      <w:bookmarkStart w:id="1380" w:name="_Toc485323220"/>
      <w:bookmarkStart w:id="1381" w:name="_BookMark_74"/>
      <w:r>
        <w:rPr>
          <w:rFonts w:hint="eastAsia" w:hAnsi="宋体"/>
          <w:b w:val="0"/>
          <w:color w:val="000000"/>
          <w:szCs w:val="24"/>
          <w:highlight w:val="none"/>
        </w:rPr>
        <w:t>20.6  对各项保险的一般要求</w:t>
      </w:r>
      <w:bookmarkEnd w:id="1374"/>
      <w:bookmarkEnd w:id="1375"/>
      <w:bookmarkEnd w:id="1376"/>
      <w:bookmarkEnd w:id="1377"/>
      <w:bookmarkEnd w:id="1378"/>
      <w:bookmarkEnd w:id="1379"/>
      <w:bookmarkEnd w:id="1380"/>
    </w:p>
    <w:bookmarkEnd w:id="1381"/>
    <w:p w14:paraId="64966ED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20.6.1  保险凭证</w:t>
      </w:r>
    </w:p>
    <w:p w14:paraId="7A265C21">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承包人向发包人提交各项保险生效的证据和保险单副本的期限：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开工后</w:t>
      </w:r>
      <w:r>
        <w:rPr>
          <w:rFonts w:ascii="宋体" w:hAnsi="宋体" w:cs="宋体"/>
          <w:color w:val="000000"/>
          <w:highlight w:val="none"/>
          <w:u w:val="single"/>
        </w:rPr>
        <w:t>1</w:t>
      </w:r>
      <w:r>
        <w:rPr>
          <w:rFonts w:hint="eastAsia" w:ascii="宋体" w:hAnsi="宋体" w:cs="宋体"/>
          <w:color w:val="000000"/>
          <w:highlight w:val="none"/>
          <w:u w:val="single"/>
        </w:rPr>
        <w:t>个月内</w:t>
      </w:r>
      <w:r>
        <w:rPr>
          <w:rFonts w:ascii="宋体" w:hAnsi="宋体" w:cs="宋体"/>
          <w:color w:val="000000"/>
          <w:highlight w:val="none"/>
          <w:u w:val="single"/>
        </w:rPr>
        <w:t xml:space="preserve"> </w:t>
      </w:r>
      <w:r>
        <w:rPr>
          <w:rFonts w:hint="eastAsia" w:ascii="宋体" w:hAnsi="宋体"/>
          <w:color w:val="000000"/>
          <w:szCs w:val="21"/>
          <w:highlight w:val="none"/>
          <w:u w:val="single"/>
        </w:rPr>
        <w:t xml:space="preserve">   </w:t>
      </w:r>
    </w:p>
    <w:p w14:paraId="2CA9692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20.6.4  保险金不足的补偿</w:t>
      </w:r>
    </w:p>
    <w:p w14:paraId="7A32FCAA">
      <w:pPr>
        <w:spacing w:line="360" w:lineRule="auto"/>
        <w:ind w:firstLine="420" w:firstLineChars="200"/>
        <w:rPr>
          <w:rFonts w:ascii="宋体" w:hAnsi="宋体" w:cs="Arial"/>
          <w:color w:val="000000"/>
          <w:highlight w:val="none"/>
        </w:rPr>
      </w:pPr>
      <w:r>
        <w:rPr>
          <w:rFonts w:hint="eastAsia" w:ascii="宋体" w:hAnsi="宋体"/>
          <w:color w:val="000000"/>
          <w:szCs w:val="21"/>
          <w:highlight w:val="none"/>
        </w:rPr>
        <w:t>保险金不足以补偿损失时，承包人和发包人负责补偿的责任分摊：</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由承包人自行承担</w:t>
      </w:r>
      <w:r>
        <w:rPr>
          <w:rFonts w:hint="eastAsia" w:ascii="宋体" w:hAnsi="宋体" w:cs="Arial"/>
          <w:color w:val="000000"/>
          <w:highlight w:val="none"/>
          <w:u w:val="single"/>
        </w:rPr>
        <w:t xml:space="preserve">          </w:t>
      </w:r>
    </w:p>
    <w:p w14:paraId="1113F242">
      <w:pPr>
        <w:pStyle w:val="4"/>
        <w:spacing w:line="360" w:lineRule="auto"/>
        <w:jc w:val="left"/>
        <w:rPr>
          <w:rFonts w:ascii="宋体" w:hAnsi="宋体"/>
          <w:color w:val="000000"/>
          <w:szCs w:val="30"/>
          <w:highlight w:val="none"/>
        </w:rPr>
      </w:pPr>
      <w:bookmarkStart w:id="1382" w:name="_Toc480303454"/>
      <w:bookmarkStart w:id="1383" w:name="_Toc485323221"/>
      <w:bookmarkStart w:id="1384" w:name="_Toc490331738"/>
      <w:bookmarkStart w:id="1385" w:name="_Toc489280253"/>
      <w:bookmarkStart w:id="1386" w:name="_Toc486580447"/>
      <w:bookmarkStart w:id="1387" w:name="_Toc491149577"/>
      <w:bookmarkStart w:id="1388" w:name="_Toc492202917"/>
      <w:bookmarkStart w:id="1389" w:name="_BookMark_75"/>
      <w:r>
        <w:rPr>
          <w:rFonts w:hint="eastAsia" w:ascii="宋体" w:hAnsi="宋体"/>
          <w:color w:val="000000"/>
          <w:szCs w:val="30"/>
          <w:highlight w:val="none"/>
        </w:rPr>
        <w:t>21.不可抗力</w:t>
      </w:r>
      <w:bookmarkEnd w:id="1382"/>
      <w:bookmarkEnd w:id="1383"/>
      <w:bookmarkEnd w:id="1384"/>
      <w:bookmarkEnd w:id="1385"/>
      <w:bookmarkEnd w:id="1386"/>
      <w:bookmarkEnd w:id="1387"/>
      <w:bookmarkEnd w:id="1388"/>
    </w:p>
    <w:bookmarkEnd w:id="1389"/>
    <w:p w14:paraId="4541820D">
      <w:pPr>
        <w:pStyle w:val="6"/>
        <w:spacing w:line="360" w:lineRule="auto"/>
        <w:rPr>
          <w:rFonts w:hAnsi="宋体"/>
          <w:b w:val="0"/>
          <w:color w:val="000000"/>
          <w:szCs w:val="24"/>
          <w:highlight w:val="none"/>
        </w:rPr>
      </w:pPr>
      <w:bookmarkStart w:id="1390" w:name="_Toc490331739"/>
      <w:bookmarkStart w:id="1391" w:name="_Toc491149578"/>
      <w:bookmarkStart w:id="1392" w:name="_Toc480303455"/>
      <w:bookmarkStart w:id="1393" w:name="_Toc486580448"/>
      <w:bookmarkStart w:id="1394" w:name="_Toc489280254"/>
      <w:bookmarkStart w:id="1395" w:name="_Toc492202918"/>
      <w:bookmarkStart w:id="1396" w:name="_Toc485323222"/>
      <w:bookmarkStart w:id="1397" w:name="_BookMark_76"/>
      <w:r>
        <w:rPr>
          <w:rFonts w:hint="eastAsia" w:hAnsi="宋体"/>
          <w:b w:val="0"/>
          <w:color w:val="000000"/>
          <w:szCs w:val="24"/>
          <w:highlight w:val="none"/>
        </w:rPr>
        <w:t>21.1  不可抗力的确认</w:t>
      </w:r>
      <w:bookmarkEnd w:id="1390"/>
      <w:bookmarkEnd w:id="1391"/>
      <w:bookmarkEnd w:id="1392"/>
      <w:bookmarkEnd w:id="1393"/>
      <w:bookmarkEnd w:id="1394"/>
      <w:bookmarkEnd w:id="1395"/>
      <w:bookmarkEnd w:id="1396"/>
    </w:p>
    <w:bookmarkEnd w:id="1397"/>
    <w:p w14:paraId="7D270FC6">
      <w:pPr>
        <w:spacing w:line="360" w:lineRule="auto"/>
        <w:rPr>
          <w:rFonts w:ascii="宋体"/>
          <w:color w:val="000000"/>
          <w:highlight w:val="none"/>
        </w:rPr>
      </w:pPr>
      <w:r>
        <w:rPr>
          <w:rFonts w:hint="eastAsia" w:ascii="宋体" w:hAnsi="宋体"/>
          <w:color w:val="000000"/>
          <w:szCs w:val="21"/>
          <w:highlight w:val="none"/>
        </w:rPr>
        <w:t>21.1.1  合同条款通用部分第21.1.1项约定的不可抗力以外的其他情形：</w:t>
      </w:r>
      <w:r>
        <w:rPr>
          <w:rFonts w:hint="eastAsia" w:ascii="宋体" w:hAnsi="宋体"/>
          <w:color w:val="000000"/>
          <w:szCs w:val="21"/>
          <w:highlight w:val="none"/>
          <w:u w:val="single"/>
        </w:rPr>
        <w:t xml:space="preserve">  </w:t>
      </w:r>
      <w:r>
        <w:rPr>
          <w:rFonts w:ascii="宋体" w:hAnsi="宋体" w:cs="宋体"/>
          <w:color w:val="000000"/>
          <w:highlight w:val="none"/>
          <w:u w:val="single"/>
        </w:rPr>
        <w:t xml:space="preserve">(1) </w:t>
      </w:r>
      <w:r>
        <w:rPr>
          <w:rFonts w:hint="eastAsia" w:ascii="宋体" w:hAnsi="宋体" w:cs="宋体"/>
          <w:color w:val="000000"/>
          <w:highlight w:val="none"/>
          <w:u w:val="single"/>
        </w:rPr>
        <w:t>因战争、动乱、空中飞行物体坠落或其他非发包人承包人责任造成的爆炸、火灾；</w:t>
      </w:r>
      <w:r>
        <w:rPr>
          <w:rFonts w:ascii="宋体" w:hAnsi="宋体" w:cs="宋体"/>
          <w:color w:val="000000"/>
          <w:highlight w:val="none"/>
          <w:u w:val="single"/>
        </w:rPr>
        <w:t xml:space="preserve">(2) </w:t>
      </w:r>
      <w:r>
        <w:rPr>
          <w:rFonts w:hint="eastAsia" w:ascii="宋体" w:hAnsi="宋体" w:cs="宋体"/>
          <w:color w:val="000000"/>
          <w:highlight w:val="none"/>
          <w:u w:val="single"/>
        </w:rPr>
        <w:t>风、雨、雪、洪等造成的自然灾害界定位为：</w:t>
      </w:r>
      <w:r>
        <w:rPr>
          <w:rFonts w:ascii="宋体" w:hAnsi="宋体" w:cs="宋体"/>
          <w:color w:val="000000"/>
          <w:highlight w:val="none"/>
          <w:u w:val="single"/>
        </w:rPr>
        <w:t xml:space="preserve"> (3) </w:t>
      </w:r>
      <w:r>
        <w:rPr>
          <w:rFonts w:hint="eastAsia" w:ascii="宋体" w:hAnsi="宋体" w:cs="宋体"/>
          <w:color w:val="000000"/>
          <w:highlight w:val="none"/>
          <w:u w:val="single"/>
        </w:rPr>
        <w:t>地震造成的自然灾害界定为：主体结构为设计抗震等级以上，其余为地震烈度</w:t>
      </w:r>
      <w:r>
        <w:rPr>
          <w:rFonts w:ascii="宋体" w:hAnsi="宋体" w:cs="宋体"/>
          <w:color w:val="000000"/>
          <w:highlight w:val="none"/>
          <w:u w:val="single"/>
        </w:rPr>
        <w:t>7</w:t>
      </w:r>
      <w:r>
        <w:rPr>
          <w:rFonts w:hint="eastAsia" w:ascii="宋体" w:hAnsi="宋体" w:cs="宋体"/>
          <w:color w:val="000000"/>
          <w:highlight w:val="none"/>
          <w:u w:val="single"/>
        </w:rPr>
        <w:t>度及以上。</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5E952413">
      <w:pPr>
        <w:spacing w:line="360" w:lineRule="auto"/>
        <w:ind w:firstLine="420" w:firstLineChars="200"/>
        <w:rPr>
          <w:rFonts w:ascii="宋体" w:hAnsi="宋体" w:cs="Arial"/>
          <w:color w:val="000000"/>
          <w:highlight w:val="none"/>
        </w:rPr>
      </w:pPr>
      <w:r>
        <w:rPr>
          <w:rFonts w:hint="eastAsia" w:ascii="宋体" w:hAnsi="宋体"/>
          <w:color w:val="000000"/>
          <w:szCs w:val="21"/>
          <w:highlight w:val="none"/>
        </w:rPr>
        <w:t>不可抗力的等级范围约定：</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雨量</w:t>
      </w:r>
      <w:r>
        <w:rPr>
          <w:rFonts w:ascii="宋体" w:hAnsi="宋体" w:cs="宋体"/>
          <w:color w:val="000000"/>
          <w:highlight w:val="none"/>
          <w:u w:val="single"/>
        </w:rPr>
        <w:t>20</w:t>
      </w:r>
      <w:r>
        <w:rPr>
          <w:rFonts w:hint="eastAsia" w:ascii="宋体" w:hAnsi="宋体" w:cs="宋体"/>
          <w:color w:val="000000"/>
          <w:highlight w:val="none"/>
          <w:u w:val="single"/>
        </w:rPr>
        <w:t>年及以上一遇，以当地气象部门分布的相关证明文件为准。主体结构为设计抗震等级以上，其余为地震烈度</w:t>
      </w:r>
      <w:r>
        <w:rPr>
          <w:rFonts w:ascii="宋体" w:hAnsi="宋体" w:cs="宋体"/>
          <w:color w:val="000000"/>
          <w:highlight w:val="none"/>
          <w:u w:val="single"/>
        </w:rPr>
        <w:t>7</w:t>
      </w:r>
      <w:r>
        <w:rPr>
          <w:rFonts w:hint="eastAsia" w:ascii="宋体" w:hAnsi="宋体" w:cs="宋体"/>
          <w:color w:val="000000"/>
          <w:highlight w:val="none"/>
          <w:u w:val="single"/>
        </w:rPr>
        <w:t>度及以上。</w:t>
      </w:r>
      <w:r>
        <w:rPr>
          <w:rFonts w:hint="eastAsia" w:ascii="宋体" w:hAnsi="宋体" w:cs="Arial"/>
          <w:color w:val="000000"/>
          <w:highlight w:val="none"/>
          <w:u w:val="single"/>
        </w:rPr>
        <w:t xml:space="preserve"> </w:t>
      </w:r>
    </w:p>
    <w:p w14:paraId="1A95E491">
      <w:pPr>
        <w:pStyle w:val="4"/>
        <w:spacing w:line="360" w:lineRule="auto"/>
        <w:jc w:val="left"/>
        <w:rPr>
          <w:rFonts w:ascii="宋体" w:hAnsi="宋体"/>
          <w:color w:val="000000"/>
          <w:szCs w:val="30"/>
          <w:highlight w:val="none"/>
        </w:rPr>
      </w:pPr>
      <w:bookmarkStart w:id="1398" w:name="_Toc485323224"/>
      <w:bookmarkStart w:id="1399" w:name="_Toc480303457"/>
      <w:bookmarkStart w:id="1400" w:name="_Toc491149580"/>
      <w:bookmarkStart w:id="1401" w:name="_Toc490331741"/>
      <w:bookmarkStart w:id="1402" w:name="_Toc489280256"/>
      <w:bookmarkStart w:id="1403" w:name="_Toc492202919"/>
      <w:bookmarkStart w:id="1404" w:name="_Toc486580450"/>
      <w:bookmarkStart w:id="1405" w:name="_BookMark_77"/>
      <w:r>
        <w:rPr>
          <w:rFonts w:hint="eastAsia" w:ascii="宋体" w:hAnsi="宋体"/>
          <w:color w:val="000000"/>
          <w:szCs w:val="30"/>
          <w:highlight w:val="none"/>
        </w:rPr>
        <w:t>24.争议的解决</w:t>
      </w:r>
      <w:bookmarkEnd w:id="1398"/>
      <w:bookmarkEnd w:id="1399"/>
      <w:bookmarkEnd w:id="1400"/>
      <w:bookmarkEnd w:id="1401"/>
      <w:bookmarkEnd w:id="1402"/>
      <w:bookmarkEnd w:id="1403"/>
      <w:bookmarkEnd w:id="1404"/>
    </w:p>
    <w:bookmarkEnd w:id="1405"/>
    <w:p w14:paraId="036E453A">
      <w:pPr>
        <w:pStyle w:val="6"/>
        <w:spacing w:line="360" w:lineRule="auto"/>
        <w:rPr>
          <w:rFonts w:hAnsi="宋体"/>
          <w:b w:val="0"/>
          <w:color w:val="000000"/>
          <w:szCs w:val="24"/>
          <w:highlight w:val="none"/>
        </w:rPr>
      </w:pPr>
      <w:bookmarkStart w:id="1406" w:name="_Toc486580451"/>
      <w:bookmarkStart w:id="1407" w:name="_Toc492202920"/>
      <w:bookmarkStart w:id="1408" w:name="_Toc490331742"/>
      <w:bookmarkStart w:id="1409" w:name="_Toc491149581"/>
      <w:bookmarkStart w:id="1410" w:name="_Toc480303458"/>
      <w:bookmarkStart w:id="1411" w:name="_Toc489280257"/>
      <w:bookmarkStart w:id="1412" w:name="_Toc485323225"/>
      <w:bookmarkStart w:id="1413" w:name="_BookMark_78"/>
      <w:r>
        <w:rPr>
          <w:rFonts w:hint="eastAsia" w:hAnsi="宋体"/>
          <w:b w:val="0"/>
          <w:color w:val="000000"/>
          <w:szCs w:val="24"/>
          <w:highlight w:val="none"/>
        </w:rPr>
        <w:t>24.1  争议的解决方式</w:t>
      </w:r>
      <w:bookmarkEnd w:id="1406"/>
      <w:bookmarkEnd w:id="1407"/>
      <w:bookmarkEnd w:id="1408"/>
      <w:bookmarkEnd w:id="1409"/>
      <w:bookmarkEnd w:id="1410"/>
      <w:bookmarkEnd w:id="1411"/>
      <w:bookmarkEnd w:id="1412"/>
    </w:p>
    <w:bookmarkEnd w:id="1413"/>
    <w:p w14:paraId="38627E8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因本合同引起的或与本合同有关的任何争议，合同双方友好协商不成、不愿提请争议组评审或者不愿接受争议评审组意见的，选择下列第</w:t>
      </w:r>
      <w:r>
        <w:rPr>
          <w:rFonts w:hint="eastAsia" w:ascii="宋体" w:hAnsi="宋体"/>
          <w:color w:val="000000"/>
          <w:szCs w:val="21"/>
          <w:highlight w:val="none"/>
          <w:u w:val="single"/>
        </w:rPr>
        <w:t xml:space="preserve">   </w:t>
      </w:r>
      <w:r>
        <w:rPr>
          <w:rFonts w:hint="eastAsia" w:ascii="宋体" w:hAnsi="宋体" w:cs="宋体"/>
          <w:color w:val="000000"/>
          <w:highlight w:val="none"/>
          <w:u w:val="single"/>
        </w:rPr>
        <w:t>（贰）</w:t>
      </w:r>
      <w:r>
        <w:rPr>
          <w:rFonts w:hint="eastAsia" w:ascii="宋体" w:hAnsi="宋体"/>
          <w:color w:val="000000"/>
          <w:szCs w:val="21"/>
          <w:highlight w:val="none"/>
          <w:u w:val="single"/>
        </w:rPr>
        <w:t xml:space="preserve">   </w:t>
      </w:r>
      <w:r>
        <w:rPr>
          <w:rFonts w:hint="eastAsia" w:ascii="宋体" w:hAnsi="宋体"/>
          <w:color w:val="000000"/>
          <w:szCs w:val="21"/>
          <w:highlight w:val="none"/>
        </w:rPr>
        <w:t>种方式解决：</w:t>
      </w:r>
    </w:p>
    <w:p w14:paraId="359D3E03">
      <w:pPr>
        <w:spacing w:line="360" w:lineRule="auto"/>
        <w:ind w:firstLine="420" w:firstLineChars="200"/>
        <w:rPr>
          <w:rFonts w:ascii="宋体" w:hAnsi="宋体"/>
          <w:color w:val="000000"/>
          <w:highlight w:val="none"/>
        </w:rPr>
      </w:pPr>
      <w:r>
        <w:rPr>
          <w:rFonts w:hint="eastAsia" w:ascii="宋体" w:hAnsi="宋体"/>
          <w:color w:val="000000"/>
          <w:highlight w:val="none"/>
          <w:u w:val="single"/>
        </w:rPr>
        <w:t>（壹）</w:t>
      </w:r>
      <w:r>
        <w:rPr>
          <w:rFonts w:hint="eastAsia" w:ascii="宋体" w:hAnsi="宋体"/>
          <w:color w:val="000000"/>
          <w:highlight w:val="none"/>
        </w:rPr>
        <w:t>提请</w:t>
      </w:r>
      <w:r>
        <w:rPr>
          <w:rFonts w:hint="eastAsia" w:ascii="宋体" w:hAnsi="宋体"/>
          <w:color w:val="000000"/>
          <w:highlight w:val="none"/>
          <w:u w:val="single"/>
        </w:rPr>
        <w:t xml:space="preserve">   </w:t>
      </w:r>
      <w:r>
        <w:rPr>
          <w:rFonts w:hint="eastAsia" w:ascii="宋体" w:hAnsi="宋体" w:cs="宋体"/>
          <w:color w:val="000000"/>
          <w:highlight w:val="none"/>
          <w:u w:val="single"/>
        </w:rPr>
        <w:t>北京</w:t>
      </w:r>
      <w:r>
        <w:rPr>
          <w:rFonts w:hint="eastAsia" w:ascii="宋体" w:hAnsi="宋体"/>
          <w:color w:val="000000"/>
          <w:highlight w:val="none"/>
          <w:u w:val="single"/>
        </w:rPr>
        <w:t xml:space="preserve">   </w:t>
      </w:r>
      <w:r>
        <w:rPr>
          <w:rFonts w:hint="eastAsia" w:ascii="宋体" w:hAnsi="宋体"/>
          <w:color w:val="000000"/>
          <w:highlight w:val="none"/>
        </w:rPr>
        <w:t>仲裁委员会按照该会仲裁规则进行仲裁，仲裁裁决是终局的，对合同双方均有约束力。</w:t>
      </w:r>
    </w:p>
    <w:p w14:paraId="6C60D6A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（贰）</w:t>
      </w:r>
      <w:r>
        <w:rPr>
          <w:rFonts w:hint="eastAsia" w:ascii="宋体" w:hAnsi="宋体"/>
          <w:color w:val="000000"/>
          <w:szCs w:val="21"/>
          <w:highlight w:val="none"/>
        </w:rPr>
        <w:t>向</w:t>
      </w:r>
      <w:r>
        <w:rPr>
          <w:rFonts w:hint="eastAsia" w:ascii="宋体" w:hAnsi="宋体"/>
          <w:color w:val="000000"/>
          <w:szCs w:val="21"/>
          <w:highlight w:val="none"/>
          <w:u w:val="single"/>
        </w:rPr>
        <w:t>甲方所在地</w:t>
      </w:r>
      <w:r>
        <w:rPr>
          <w:rFonts w:hint="eastAsia" w:ascii="宋体" w:hAnsi="宋体"/>
          <w:color w:val="000000"/>
          <w:szCs w:val="21"/>
          <w:highlight w:val="none"/>
        </w:rPr>
        <w:t>的人民法院提起诉讼。</w:t>
      </w:r>
    </w:p>
    <w:p w14:paraId="5A187FAA">
      <w:pPr>
        <w:pStyle w:val="6"/>
        <w:spacing w:line="360" w:lineRule="auto"/>
        <w:rPr>
          <w:rFonts w:hAnsi="宋体"/>
          <w:b w:val="0"/>
          <w:color w:val="000000"/>
          <w:szCs w:val="24"/>
          <w:highlight w:val="none"/>
        </w:rPr>
      </w:pPr>
      <w:bookmarkStart w:id="1414" w:name="_Toc492202921"/>
      <w:bookmarkStart w:id="1415" w:name="_Toc486580452"/>
      <w:bookmarkStart w:id="1416" w:name="_Toc489280258"/>
      <w:bookmarkStart w:id="1417" w:name="_Toc485323226"/>
      <w:bookmarkStart w:id="1418" w:name="_Toc480303459"/>
      <w:bookmarkStart w:id="1419" w:name="_Toc490331743"/>
      <w:bookmarkStart w:id="1420" w:name="_Toc491149582"/>
      <w:bookmarkStart w:id="1421" w:name="_BookMark_79"/>
      <w:r>
        <w:rPr>
          <w:rFonts w:hint="eastAsia" w:hAnsi="宋体"/>
          <w:b w:val="0"/>
          <w:color w:val="000000"/>
          <w:szCs w:val="24"/>
          <w:highlight w:val="none"/>
        </w:rPr>
        <w:t>24.3  争议评审</w:t>
      </w:r>
      <w:bookmarkEnd w:id="1414"/>
      <w:bookmarkEnd w:id="1415"/>
      <w:bookmarkEnd w:id="1416"/>
      <w:bookmarkEnd w:id="1417"/>
      <w:bookmarkEnd w:id="1418"/>
      <w:bookmarkEnd w:id="1419"/>
      <w:bookmarkEnd w:id="1420"/>
    </w:p>
    <w:bookmarkEnd w:id="1421"/>
    <w:p w14:paraId="78E68E4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24.3.4  争议评审组邀请合同双方代表人和有关人员举行调查会的期限：</w:t>
      </w:r>
      <w:r>
        <w:rPr>
          <w:rFonts w:hint="eastAsia" w:ascii="宋体" w:hAnsi="宋体" w:cs="宋体"/>
          <w:color w:val="000000"/>
          <w:highlight w:val="none"/>
          <w:u w:val="single"/>
          <w:lang w:val="zh-CN"/>
        </w:rPr>
        <w:t>争议评审组在收到合同双方报告后的</w:t>
      </w:r>
      <w:r>
        <w:rPr>
          <w:rFonts w:ascii="宋体" w:hAnsi="宋体" w:cs="宋体"/>
          <w:color w:val="000000"/>
          <w:highlight w:val="none"/>
          <w:u w:val="single"/>
          <w:lang w:val="zh-CN"/>
        </w:rPr>
        <w:t>14</w:t>
      </w:r>
      <w:r>
        <w:rPr>
          <w:rFonts w:hint="eastAsia" w:ascii="宋体" w:hAnsi="宋体" w:cs="宋体"/>
          <w:color w:val="000000"/>
          <w:highlight w:val="none"/>
          <w:u w:val="single"/>
          <w:lang w:val="zh-CN"/>
        </w:rPr>
        <w:t>天内</w:t>
      </w:r>
      <w:r>
        <w:rPr>
          <w:rFonts w:hint="eastAsia" w:ascii="宋体" w:hAnsi="宋体" w:cs="宋体"/>
          <w:color w:val="000000"/>
          <w:highlight w:val="none"/>
          <w:u w:val="single"/>
        </w:rPr>
        <w:t>。</w:t>
      </w:r>
      <w:r>
        <w:rPr>
          <w:rFonts w:hint="eastAsia" w:ascii="宋体" w:hAnsi="宋体"/>
          <w:color w:val="000000"/>
          <w:szCs w:val="21"/>
          <w:highlight w:val="none"/>
          <w:u w:val="single"/>
        </w:rPr>
        <w:t xml:space="preserve"> </w:t>
      </w:r>
    </w:p>
    <w:p w14:paraId="3FECF463">
      <w:pPr>
        <w:spacing w:line="360" w:lineRule="auto"/>
        <w:ind w:firstLine="420" w:firstLineChars="200"/>
        <w:rPr>
          <w:rFonts w:ascii="宋体" w:hAnsi="宋体" w:cs="宋体"/>
          <w:color w:val="000000"/>
          <w:szCs w:val="21"/>
          <w:highlight w:val="none"/>
        </w:rPr>
      </w:pPr>
      <w:r>
        <w:rPr>
          <w:rFonts w:hint="eastAsia" w:ascii="宋体" w:hAnsi="宋体"/>
          <w:color w:val="000000"/>
          <w:szCs w:val="21"/>
          <w:highlight w:val="none"/>
        </w:rPr>
        <w:t>24.3.5  争议评审组在调查会后作出争议评审意见的期限：</w:t>
      </w:r>
      <w:r>
        <w:rPr>
          <w:rFonts w:hint="eastAsia" w:ascii="宋体" w:hAnsi="宋体"/>
          <w:color w:val="000000"/>
          <w:szCs w:val="21"/>
          <w:highlight w:val="none"/>
          <w:u w:val="single"/>
        </w:rPr>
        <w:t xml:space="preserve">  </w:t>
      </w:r>
      <w:r>
        <w:rPr>
          <w:rFonts w:hint="eastAsia" w:ascii="宋体" w:hAnsi="宋体" w:cs="宋体"/>
          <w:color w:val="000000"/>
          <w:highlight w:val="none"/>
          <w:u w:val="single"/>
          <w:lang w:val="zh-CN"/>
        </w:rPr>
        <w:t>在调查会结束后的</w:t>
      </w:r>
      <w:r>
        <w:rPr>
          <w:rFonts w:ascii="宋体" w:hAnsi="宋体" w:cs="宋体"/>
          <w:color w:val="000000"/>
          <w:highlight w:val="none"/>
          <w:u w:val="single"/>
          <w:lang w:val="zh-CN"/>
        </w:rPr>
        <w:t>14</w:t>
      </w:r>
      <w:r>
        <w:rPr>
          <w:rFonts w:hint="eastAsia" w:ascii="宋体" w:hAnsi="宋体" w:cs="宋体"/>
          <w:color w:val="000000"/>
          <w:highlight w:val="none"/>
          <w:u w:val="single"/>
          <w:lang w:val="zh-CN"/>
        </w:rPr>
        <w:t>天内</w:t>
      </w:r>
      <w:r>
        <w:rPr>
          <w:rFonts w:hint="eastAsia" w:ascii="宋体" w:hAnsi="宋体" w:cs="宋体"/>
          <w:color w:val="000000"/>
          <w:highlight w:val="none"/>
        </w:rPr>
        <w:t>。</w:t>
      </w:r>
    </w:p>
    <w:p w14:paraId="0068559B">
      <w:pPr>
        <w:pStyle w:val="458"/>
        <w:spacing w:before="120"/>
        <w:outlineLvl w:val="3"/>
        <w:rPr>
          <w:rFonts w:hAnsi="宋体"/>
          <w:color w:val="000000"/>
          <w:highlight w:val="none"/>
        </w:rPr>
      </w:pPr>
      <w:bookmarkStart w:id="1422" w:name="_Toc472200123"/>
      <w:bookmarkStart w:id="1423" w:name="_Toc451292346"/>
      <w:r>
        <w:rPr>
          <w:rFonts w:hint="eastAsia" w:hAnsi="宋体"/>
          <w:color w:val="000000"/>
          <w:highlight w:val="none"/>
        </w:rPr>
        <w:t>合同补充条款</w:t>
      </w:r>
      <w:bookmarkEnd w:id="1422"/>
      <w:bookmarkEnd w:id="1423"/>
    </w:p>
    <w:p w14:paraId="3DA8D468">
      <w:pPr>
        <w:numPr>
          <w:ilvl w:val="0"/>
          <w:numId w:val="85"/>
        </w:numPr>
        <w:spacing w:line="360" w:lineRule="auto"/>
        <w:rPr>
          <w:rFonts w:ascii="宋体"/>
          <w:color w:val="000000"/>
          <w:highlight w:val="none"/>
        </w:rPr>
      </w:pPr>
      <w:r>
        <w:rPr>
          <w:rFonts w:hint="eastAsia" w:ascii="宋体" w:hAnsi="宋体" w:cs="宋体"/>
          <w:color w:val="000000"/>
          <w:highlight w:val="none"/>
        </w:rPr>
        <w:t>合同附件中需包含暂估价的专业分包工程及其暂估价、暂估价的材料和工程设备、施工总承包范围内的其他拟分包情况、需具备工程建设类执业资格和持证上岗的人员情况及合同履约施工现在备查材料清单。</w:t>
      </w:r>
    </w:p>
    <w:p w14:paraId="10E95CFF">
      <w:pPr>
        <w:numPr>
          <w:ilvl w:val="0"/>
          <w:numId w:val="85"/>
        </w:numPr>
        <w:spacing w:line="360" w:lineRule="auto"/>
        <w:ind w:hanging="357"/>
        <w:rPr>
          <w:rFonts w:ascii="宋体"/>
          <w:color w:val="000000"/>
          <w:highlight w:val="none"/>
        </w:rPr>
      </w:pPr>
      <w:r>
        <w:rPr>
          <w:rFonts w:hint="eastAsia" w:ascii="宋体" w:hAnsi="宋体" w:cs="宋体"/>
          <w:color w:val="000000"/>
          <w:highlight w:val="none"/>
        </w:rPr>
        <w:t>本项目为政府投资的建设项目，建设项目已纳入审计项目计划，中标单位应当配合、接受审计，审计结论作为双方工程结算的依据。</w:t>
      </w:r>
    </w:p>
    <w:p w14:paraId="63A161E0">
      <w:pPr>
        <w:rPr>
          <w:sz w:val="28"/>
          <w:szCs w:val="28"/>
          <w:highlight w:val="none"/>
        </w:rPr>
      </w:pPr>
      <w:r>
        <w:rPr>
          <w:rFonts w:hint="eastAsia" w:ascii="宋体" w:hAnsi="宋体" w:cs="宋体"/>
          <w:color w:val="000000"/>
          <w:highlight w:val="none"/>
        </w:rPr>
        <w:t>承包人不得以任何理由拖欠农民工资，必须按时、足额发放农民工工资。</w:t>
      </w:r>
    </w:p>
    <w:p w14:paraId="4134B3E7">
      <w:pPr>
        <w:rPr>
          <w:sz w:val="28"/>
          <w:szCs w:val="28"/>
          <w:highlight w:val="none"/>
        </w:rPr>
      </w:pPr>
    </w:p>
    <w:p w14:paraId="1DE6837B">
      <w:pPr>
        <w:rPr>
          <w:sz w:val="28"/>
          <w:szCs w:val="28"/>
          <w:highlight w:val="none"/>
        </w:rPr>
      </w:pPr>
    </w:p>
    <w:p w14:paraId="2F4EC201">
      <w:pPr>
        <w:rPr>
          <w:sz w:val="28"/>
          <w:szCs w:val="28"/>
          <w:highlight w:val="none"/>
        </w:rPr>
      </w:pPr>
    </w:p>
    <w:p w14:paraId="7B755C4D">
      <w:pPr>
        <w:pStyle w:val="55"/>
        <w:rPr>
          <w:sz w:val="28"/>
          <w:szCs w:val="28"/>
          <w:highlight w:val="none"/>
        </w:rPr>
      </w:pPr>
    </w:p>
    <w:p w14:paraId="60630229">
      <w:pPr>
        <w:pStyle w:val="55"/>
        <w:rPr>
          <w:sz w:val="28"/>
          <w:szCs w:val="28"/>
          <w:highlight w:val="none"/>
        </w:rPr>
      </w:pPr>
    </w:p>
    <w:p w14:paraId="5156D967">
      <w:pPr>
        <w:pStyle w:val="55"/>
        <w:rPr>
          <w:sz w:val="28"/>
          <w:szCs w:val="28"/>
          <w:highlight w:val="none"/>
        </w:rPr>
      </w:pPr>
    </w:p>
    <w:p w14:paraId="0BDF1D96">
      <w:pPr>
        <w:pStyle w:val="55"/>
        <w:rPr>
          <w:sz w:val="28"/>
          <w:szCs w:val="28"/>
          <w:highlight w:val="none"/>
        </w:rPr>
      </w:pPr>
    </w:p>
    <w:p w14:paraId="097EBCD1">
      <w:pPr>
        <w:pStyle w:val="55"/>
        <w:rPr>
          <w:sz w:val="28"/>
          <w:szCs w:val="28"/>
          <w:highlight w:val="none"/>
        </w:rPr>
      </w:pPr>
    </w:p>
    <w:p w14:paraId="48DC07C9">
      <w:pPr>
        <w:pStyle w:val="55"/>
        <w:rPr>
          <w:sz w:val="28"/>
          <w:szCs w:val="28"/>
          <w:highlight w:val="none"/>
        </w:rPr>
      </w:pPr>
    </w:p>
    <w:p w14:paraId="510E6696">
      <w:pPr>
        <w:pStyle w:val="55"/>
        <w:rPr>
          <w:sz w:val="28"/>
          <w:szCs w:val="28"/>
          <w:highlight w:val="none"/>
        </w:rPr>
      </w:pPr>
    </w:p>
    <w:p w14:paraId="5E1E4FAD">
      <w:pPr>
        <w:pStyle w:val="55"/>
        <w:rPr>
          <w:sz w:val="28"/>
          <w:szCs w:val="28"/>
          <w:highlight w:val="none"/>
        </w:rPr>
      </w:pPr>
    </w:p>
    <w:p w14:paraId="4BE39110">
      <w:pPr>
        <w:pStyle w:val="55"/>
        <w:rPr>
          <w:sz w:val="28"/>
          <w:szCs w:val="28"/>
          <w:highlight w:val="none"/>
        </w:rPr>
      </w:pPr>
    </w:p>
    <w:p w14:paraId="7440FE42">
      <w:pPr>
        <w:rPr>
          <w:sz w:val="28"/>
          <w:szCs w:val="28"/>
          <w:highlight w:val="none"/>
        </w:rPr>
      </w:pPr>
    </w:p>
    <w:p w14:paraId="7C6715F2">
      <w:pPr>
        <w:pStyle w:val="5"/>
        <w:rPr>
          <w:highlight w:val="none"/>
        </w:rPr>
      </w:pPr>
    </w:p>
    <w:p w14:paraId="19C1DB61">
      <w:pPr>
        <w:widowControl/>
        <w:jc w:val="left"/>
        <w:rPr>
          <w:rFonts w:ascii="宋体" w:hAnsi="宋体"/>
          <w:b/>
          <w:color w:val="000000"/>
          <w:sz w:val="28"/>
          <w:szCs w:val="28"/>
          <w:highlight w:val="none"/>
        </w:rPr>
      </w:pPr>
      <w:bookmarkStart w:id="1424" w:name="_Toc491149583"/>
      <w:bookmarkStart w:id="1425" w:name="_Toc489280259"/>
      <w:bookmarkStart w:id="1426" w:name="_Toc480303460"/>
      <w:bookmarkStart w:id="1427" w:name="_Toc485323227"/>
      <w:bookmarkStart w:id="1428" w:name="_Toc486580453"/>
      <w:bookmarkStart w:id="1429" w:name="_BookMark_80"/>
      <w:r>
        <w:rPr>
          <w:rFonts w:hint="eastAsia" w:ascii="宋体" w:hAnsi="宋体"/>
          <w:b/>
          <w:color w:val="000000"/>
          <w:sz w:val="28"/>
          <w:szCs w:val="28"/>
          <w:highlight w:val="none"/>
        </w:rPr>
        <w:t>附件一：合同协议书</w:t>
      </w:r>
      <w:bookmarkEnd w:id="1424"/>
      <w:bookmarkEnd w:id="1425"/>
      <w:bookmarkEnd w:id="1426"/>
      <w:bookmarkEnd w:id="1427"/>
      <w:bookmarkEnd w:id="1428"/>
    </w:p>
    <w:bookmarkEnd w:id="1429"/>
    <w:p w14:paraId="3D09D275">
      <w:pPr>
        <w:spacing w:line="420" w:lineRule="auto"/>
        <w:jc w:val="center"/>
        <w:rPr>
          <w:rFonts w:ascii="宋体" w:hAnsi="宋体"/>
          <w:b/>
          <w:color w:val="000000"/>
          <w:sz w:val="28"/>
          <w:szCs w:val="28"/>
          <w:highlight w:val="none"/>
        </w:rPr>
      </w:pPr>
      <w:r>
        <w:rPr>
          <w:rFonts w:hint="eastAsia" w:ascii="宋体" w:hAnsi="宋体"/>
          <w:b/>
          <w:color w:val="000000"/>
          <w:sz w:val="28"/>
          <w:szCs w:val="28"/>
          <w:highlight w:val="none"/>
        </w:rPr>
        <w:t>合同协议书</w:t>
      </w:r>
    </w:p>
    <w:p w14:paraId="3CDBB183">
      <w:pPr>
        <w:pStyle w:val="293"/>
        <w:spacing w:line="420" w:lineRule="auto"/>
        <w:ind w:left="1680" w:hanging="420"/>
        <w:rPr>
          <w:rFonts w:ascii="宋体" w:hAnsi="宋体"/>
          <w:color w:val="000000"/>
          <w:szCs w:val="21"/>
          <w:highlight w:val="none"/>
        </w:rPr>
      </w:pPr>
      <w:r>
        <w:rPr>
          <w:rFonts w:hint="eastAsia" w:ascii="宋体" w:hAnsi="宋体"/>
          <w:color w:val="000000"/>
          <w:szCs w:val="21"/>
          <w:highlight w:val="none"/>
        </w:rPr>
        <w:t xml:space="preserve">                                                    编号：</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5335D4B7">
      <w:pPr>
        <w:spacing w:line="420" w:lineRule="auto"/>
        <w:rPr>
          <w:rFonts w:ascii="宋体" w:hAnsi="宋体" w:cs="Arial"/>
          <w:color w:val="000000"/>
          <w:szCs w:val="21"/>
          <w:highlight w:val="none"/>
        </w:rPr>
      </w:pPr>
      <w:r>
        <w:rPr>
          <w:rFonts w:ascii="宋体" w:hAnsi="宋体" w:cs="Arial"/>
          <w:color w:val="000000"/>
          <w:szCs w:val="21"/>
          <w:highlight w:val="none"/>
        </w:rPr>
        <w:t>发包人</w:t>
      </w:r>
      <w:r>
        <w:rPr>
          <w:rFonts w:hint="eastAsia" w:ascii="宋体" w:hAnsi="宋体" w:cs="Arial"/>
          <w:color w:val="000000"/>
          <w:szCs w:val="21"/>
          <w:highlight w:val="none"/>
        </w:rPr>
        <w:t>（全称）</w:t>
      </w:r>
      <w:r>
        <w:rPr>
          <w:rFonts w:ascii="宋体" w:hAnsi="宋体" w:cs="Arial"/>
          <w:color w:val="000000"/>
          <w:szCs w:val="21"/>
          <w:highlight w:val="none"/>
        </w:rPr>
        <w:t>：</w:t>
      </w:r>
      <w:r>
        <w:rPr>
          <w:rFonts w:ascii="宋体" w:hAnsi="宋体" w:cs="Arial"/>
          <w:color w:val="000000"/>
          <w:szCs w:val="21"/>
          <w:highlight w:val="none"/>
          <w:u w:val="single"/>
        </w:rPr>
        <w:t xml:space="preserve">                                            </w:t>
      </w:r>
      <w:r>
        <w:rPr>
          <w:rFonts w:hint="eastAsia" w:ascii="宋体" w:hAnsi="宋体" w:cs="Arial"/>
          <w:color w:val="000000"/>
          <w:szCs w:val="21"/>
          <w:highlight w:val="none"/>
          <w:u w:val="single"/>
        </w:rPr>
        <w:t xml:space="preserve">            </w:t>
      </w:r>
      <w:r>
        <w:rPr>
          <w:rFonts w:ascii="宋体" w:hAnsi="宋体" w:cs="Arial"/>
          <w:color w:val="000000"/>
          <w:szCs w:val="21"/>
          <w:highlight w:val="none"/>
          <w:u w:val="single"/>
        </w:rPr>
        <w:t xml:space="preserve">  </w:t>
      </w:r>
      <w:r>
        <w:rPr>
          <w:rFonts w:hint="eastAsia" w:ascii="宋体" w:hAnsi="宋体" w:cs="Arial"/>
          <w:color w:val="000000"/>
          <w:szCs w:val="21"/>
          <w:highlight w:val="none"/>
          <w:u w:val="single"/>
        </w:rPr>
        <w:t xml:space="preserve"> </w:t>
      </w:r>
      <w:r>
        <w:rPr>
          <w:rFonts w:ascii="宋体" w:hAnsi="宋体" w:cs="Arial"/>
          <w:color w:val="000000"/>
          <w:szCs w:val="21"/>
          <w:highlight w:val="none"/>
          <w:u w:val="single"/>
        </w:rPr>
        <w:t xml:space="preserve">   </w:t>
      </w:r>
    </w:p>
    <w:p w14:paraId="532E606C">
      <w:pPr>
        <w:spacing w:line="420" w:lineRule="auto"/>
        <w:rPr>
          <w:rFonts w:ascii="宋体" w:hAnsi="宋体"/>
          <w:color w:val="000000"/>
          <w:szCs w:val="21"/>
          <w:highlight w:val="none"/>
        </w:rPr>
      </w:pPr>
      <w:r>
        <w:rPr>
          <w:rFonts w:hint="eastAsia" w:ascii="宋体" w:hAnsi="宋体"/>
          <w:color w:val="000000"/>
          <w:szCs w:val="21"/>
          <w:highlight w:val="none"/>
        </w:rPr>
        <w:t>法</w:t>
      </w:r>
      <w:r>
        <w:rPr>
          <w:rFonts w:hint="eastAsia" w:ascii="宋体" w:hAnsi="宋体"/>
          <w:color w:val="000000"/>
          <w:sz w:val="18"/>
          <w:szCs w:val="21"/>
          <w:highlight w:val="none"/>
        </w:rPr>
        <w:t xml:space="preserve"> </w:t>
      </w:r>
      <w:r>
        <w:rPr>
          <w:rFonts w:hint="eastAsia" w:ascii="宋体" w:hAnsi="宋体"/>
          <w:color w:val="000000"/>
          <w:szCs w:val="21"/>
          <w:highlight w:val="none"/>
        </w:rPr>
        <w:t>定</w:t>
      </w:r>
      <w:r>
        <w:rPr>
          <w:rFonts w:hint="eastAsia" w:ascii="宋体" w:hAnsi="宋体"/>
          <w:color w:val="000000"/>
          <w:sz w:val="13"/>
          <w:szCs w:val="21"/>
          <w:highlight w:val="none"/>
        </w:rPr>
        <w:t xml:space="preserve"> </w:t>
      </w:r>
      <w:r>
        <w:rPr>
          <w:rFonts w:hint="eastAsia" w:ascii="宋体" w:hAnsi="宋体"/>
          <w:color w:val="000000"/>
          <w:szCs w:val="21"/>
          <w:highlight w:val="none"/>
        </w:rPr>
        <w:t>代</w:t>
      </w:r>
      <w:r>
        <w:rPr>
          <w:rFonts w:hint="eastAsia" w:ascii="宋体" w:hAnsi="宋体"/>
          <w:color w:val="000000"/>
          <w:sz w:val="13"/>
          <w:szCs w:val="21"/>
          <w:highlight w:val="none"/>
        </w:rPr>
        <w:t xml:space="preserve"> </w:t>
      </w:r>
      <w:r>
        <w:rPr>
          <w:rFonts w:hint="eastAsia" w:ascii="宋体" w:hAnsi="宋体"/>
          <w:color w:val="000000"/>
          <w:szCs w:val="21"/>
          <w:highlight w:val="none"/>
        </w:rPr>
        <w:t>表</w:t>
      </w:r>
      <w:r>
        <w:rPr>
          <w:rFonts w:hint="eastAsia" w:ascii="宋体" w:hAnsi="宋体"/>
          <w:color w:val="000000"/>
          <w:sz w:val="13"/>
          <w:szCs w:val="21"/>
          <w:highlight w:val="none"/>
        </w:rPr>
        <w:t xml:space="preserve"> </w:t>
      </w:r>
      <w:r>
        <w:rPr>
          <w:rFonts w:hint="eastAsia" w:ascii="宋体" w:hAnsi="宋体"/>
          <w:color w:val="000000"/>
          <w:szCs w:val="21"/>
          <w:highlight w:val="none"/>
        </w:rPr>
        <w:t>人：</w:t>
      </w:r>
      <w:r>
        <w:rPr>
          <w:rFonts w:ascii="宋体" w:hAnsi="宋体" w:cs="Arial"/>
          <w:color w:val="000000"/>
          <w:szCs w:val="21"/>
          <w:highlight w:val="none"/>
          <w:u w:val="single"/>
        </w:rPr>
        <w:t xml:space="preserve">                                             </w:t>
      </w:r>
      <w:r>
        <w:rPr>
          <w:rFonts w:hint="eastAsia" w:ascii="宋体" w:hAnsi="宋体" w:cs="Arial"/>
          <w:color w:val="000000"/>
          <w:szCs w:val="21"/>
          <w:highlight w:val="none"/>
          <w:u w:val="single"/>
        </w:rPr>
        <w:t xml:space="preserve">            </w:t>
      </w:r>
      <w:r>
        <w:rPr>
          <w:rFonts w:ascii="宋体" w:hAnsi="宋体" w:cs="Arial"/>
          <w:color w:val="000000"/>
          <w:szCs w:val="21"/>
          <w:highlight w:val="none"/>
          <w:u w:val="single"/>
        </w:rPr>
        <w:t xml:space="preserve">   </w:t>
      </w:r>
      <w:r>
        <w:rPr>
          <w:rFonts w:hint="eastAsia" w:ascii="宋体" w:hAnsi="宋体" w:cs="Arial"/>
          <w:color w:val="000000"/>
          <w:szCs w:val="21"/>
          <w:highlight w:val="none"/>
          <w:u w:val="single"/>
        </w:rPr>
        <w:t xml:space="preserve"> </w:t>
      </w:r>
      <w:r>
        <w:rPr>
          <w:rFonts w:ascii="宋体" w:hAnsi="宋体" w:cs="Arial"/>
          <w:color w:val="000000"/>
          <w:szCs w:val="21"/>
          <w:highlight w:val="none"/>
          <w:u w:val="single"/>
        </w:rPr>
        <w:t xml:space="preserve"> </w:t>
      </w:r>
    </w:p>
    <w:p w14:paraId="3535F750">
      <w:pPr>
        <w:spacing w:line="420" w:lineRule="auto"/>
        <w:rPr>
          <w:rFonts w:ascii="宋体" w:hAnsi="宋体"/>
          <w:color w:val="000000"/>
          <w:szCs w:val="21"/>
          <w:highlight w:val="none"/>
          <w:u w:val="single"/>
        </w:rPr>
      </w:pPr>
      <w:r>
        <w:rPr>
          <w:rFonts w:hint="eastAsia" w:ascii="宋体" w:hAnsi="宋体"/>
          <w:color w:val="000000"/>
          <w:szCs w:val="21"/>
          <w:highlight w:val="none"/>
        </w:rPr>
        <w:t>法定注册地址：</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725D7700">
      <w:pPr>
        <w:spacing w:line="420" w:lineRule="auto"/>
        <w:rPr>
          <w:rFonts w:ascii="宋体" w:hAnsi="宋体"/>
          <w:color w:val="000000"/>
          <w:szCs w:val="21"/>
          <w:highlight w:val="none"/>
        </w:rPr>
      </w:pPr>
      <w:r>
        <w:rPr>
          <w:rFonts w:hint="eastAsia" w:ascii="宋体" w:hAnsi="宋体"/>
          <w:color w:val="000000"/>
          <w:szCs w:val="21"/>
          <w:highlight w:val="none"/>
        </w:rPr>
        <w:t>承包人（全称）：</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06AB2B06">
      <w:pPr>
        <w:spacing w:line="420" w:lineRule="auto"/>
        <w:rPr>
          <w:rFonts w:ascii="宋体" w:hAnsi="宋体"/>
          <w:color w:val="000000"/>
          <w:szCs w:val="21"/>
          <w:highlight w:val="none"/>
        </w:rPr>
      </w:pPr>
      <w:r>
        <w:rPr>
          <w:rFonts w:hint="eastAsia" w:ascii="宋体" w:hAnsi="宋体"/>
          <w:color w:val="000000"/>
          <w:szCs w:val="21"/>
          <w:highlight w:val="none"/>
        </w:rPr>
        <w:t>法</w:t>
      </w:r>
      <w:r>
        <w:rPr>
          <w:rFonts w:hint="eastAsia" w:ascii="宋体" w:hAnsi="宋体"/>
          <w:color w:val="000000"/>
          <w:sz w:val="18"/>
          <w:szCs w:val="21"/>
          <w:highlight w:val="none"/>
        </w:rPr>
        <w:t xml:space="preserve"> </w:t>
      </w:r>
      <w:r>
        <w:rPr>
          <w:rFonts w:hint="eastAsia" w:ascii="宋体" w:hAnsi="宋体"/>
          <w:color w:val="000000"/>
          <w:szCs w:val="21"/>
          <w:highlight w:val="none"/>
        </w:rPr>
        <w:t>定</w:t>
      </w:r>
      <w:r>
        <w:rPr>
          <w:rFonts w:hint="eastAsia" w:ascii="宋体" w:hAnsi="宋体"/>
          <w:color w:val="000000"/>
          <w:sz w:val="13"/>
          <w:szCs w:val="21"/>
          <w:highlight w:val="none"/>
        </w:rPr>
        <w:t xml:space="preserve"> </w:t>
      </w:r>
      <w:r>
        <w:rPr>
          <w:rFonts w:hint="eastAsia" w:ascii="宋体" w:hAnsi="宋体"/>
          <w:color w:val="000000"/>
          <w:szCs w:val="21"/>
          <w:highlight w:val="none"/>
        </w:rPr>
        <w:t>代</w:t>
      </w:r>
      <w:r>
        <w:rPr>
          <w:rFonts w:hint="eastAsia" w:ascii="宋体" w:hAnsi="宋体"/>
          <w:color w:val="000000"/>
          <w:sz w:val="13"/>
          <w:szCs w:val="21"/>
          <w:highlight w:val="none"/>
        </w:rPr>
        <w:t xml:space="preserve"> </w:t>
      </w:r>
      <w:r>
        <w:rPr>
          <w:rFonts w:hint="eastAsia" w:ascii="宋体" w:hAnsi="宋体"/>
          <w:color w:val="000000"/>
          <w:szCs w:val="21"/>
          <w:highlight w:val="none"/>
        </w:rPr>
        <w:t>表</w:t>
      </w:r>
      <w:r>
        <w:rPr>
          <w:rFonts w:hint="eastAsia" w:ascii="宋体" w:hAnsi="宋体"/>
          <w:color w:val="000000"/>
          <w:sz w:val="13"/>
          <w:szCs w:val="21"/>
          <w:highlight w:val="none"/>
        </w:rPr>
        <w:t xml:space="preserve"> </w:t>
      </w:r>
      <w:r>
        <w:rPr>
          <w:rFonts w:hint="eastAsia" w:ascii="宋体" w:hAnsi="宋体"/>
          <w:color w:val="000000"/>
          <w:szCs w:val="21"/>
          <w:highlight w:val="none"/>
        </w:rPr>
        <w:t>人：</w:t>
      </w:r>
      <w:r>
        <w:rPr>
          <w:rFonts w:ascii="宋体" w:hAnsi="宋体" w:cs="Arial"/>
          <w:color w:val="000000"/>
          <w:szCs w:val="21"/>
          <w:highlight w:val="none"/>
          <w:u w:val="single"/>
        </w:rPr>
        <w:t xml:space="preserve">                                            </w:t>
      </w:r>
      <w:r>
        <w:rPr>
          <w:rFonts w:hint="eastAsia" w:ascii="宋体" w:hAnsi="宋体" w:cs="Arial"/>
          <w:color w:val="000000"/>
          <w:szCs w:val="21"/>
          <w:highlight w:val="none"/>
          <w:u w:val="single"/>
        </w:rPr>
        <w:t xml:space="preserve">             </w:t>
      </w:r>
      <w:r>
        <w:rPr>
          <w:rFonts w:ascii="宋体" w:hAnsi="宋体" w:cs="Arial"/>
          <w:color w:val="000000"/>
          <w:szCs w:val="21"/>
          <w:highlight w:val="none"/>
          <w:u w:val="single"/>
        </w:rPr>
        <w:t xml:space="preserve">     </w:t>
      </w:r>
    </w:p>
    <w:p w14:paraId="6F9E2792">
      <w:pPr>
        <w:spacing w:line="420" w:lineRule="auto"/>
        <w:rPr>
          <w:rFonts w:ascii="宋体" w:hAnsi="宋体"/>
          <w:b/>
          <w:color w:val="000000"/>
          <w:highlight w:val="none"/>
        </w:rPr>
      </w:pPr>
      <w:r>
        <w:rPr>
          <w:rFonts w:hint="eastAsia" w:ascii="宋体" w:hAnsi="宋体"/>
          <w:color w:val="000000"/>
          <w:szCs w:val="21"/>
          <w:highlight w:val="none"/>
        </w:rPr>
        <w:t>法定注册地址</w:t>
      </w:r>
      <w:r>
        <w:rPr>
          <w:rFonts w:hint="eastAsia" w:ascii="宋体" w:hAnsi="宋体"/>
          <w:b/>
          <w:color w:val="000000"/>
          <w:szCs w:val="21"/>
          <w:highlight w:val="none"/>
        </w:rPr>
        <w:t>：</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p>
    <w:p w14:paraId="2160F431">
      <w:pPr>
        <w:spacing w:line="420" w:lineRule="auto"/>
        <w:ind w:firstLine="490"/>
        <w:rPr>
          <w:rFonts w:ascii="宋体" w:hAnsi="宋体"/>
          <w:color w:val="000000"/>
          <w:highlight w:val="none"/>
        </w:rPr>
      </w:pPr>
    </w:p>
    <w:p w14:paraId="1F84C1DC">
      <w:pPr>
        <w:spacing w:line="420" w:lineRule="auto"/>
        <w:ind w:firstLine="420" w:firstLineChars="200"/>
        <w:rPr>
          <w:rFonts w:ascii="宋体" w:hAnsi="宋体"/>
          <w:color w:val="000000"/>
          <w:highlight w:val="none"/>
        </w:rPr>
      </w:pPr>
      <w:r>
        <w:rPr>
          <w:rFonts w:hint="eastAsia" w:ascii="宋体" w:hAnsi="宋体"/>
          <w:color w:val="000000"/>
          <w:szCs w:val="21"/>
          <w:highlight w:val="none"/>
        </w:rPr>
        <w:t>发包人为建设</w:t>
      </w:r>
      <w:r>
        <w:rPr>
          <w:rFonts w:hint="eastAsia" w:ascii="宋体" w:hAnsi="宋体"/>
          <w:color w:val="000000"/>
          <w:highlight w:val="none"/>
          <w:u w:val="single"/>
        </w:rPr>
        <w:t xml:space="preserve">                               </w:t>
      </w:r>
      <w:r>
        <w:rPr>
          <w:rFonts w:hint="eastAsia" w:ascii="宋体" w:hAnsi="宋体"/>
          <w:color w:val="000000"/>
          <w:szCs w:val="21"/>
          <w:highlight w:val="none"/>
        </w:rPr>
        <w:t>（以下简称“本工程”），已接受承包人提出的承担本工程的施工、竣工、交付并维修其任何缺陷的投标。</w:t>
      </w:r>
      <w:r>
        <w:rPr>
          <w:rFonts w:hint="eastAsia" w:ascii="宋体" w:hAnsi="宋体"/>
          <w:color w:val="000000"/>
          <w:highlight w:val="none"/>
        </w:rPr>
        <w:t>依照《中华人民共和国招标投标法》、《中华人民共和国民法典》、《中华人民共和国建筑法》、及其他有关法律、行政法规，遵循平等、自愿、公平和诚实信用的原则，双方共同达成并订立如下协议。</w:t>
      </w:r>
    </w:p>
    <w:p w14:paraId="430DE864">
      <w:pPr>
        <w:spacing w:line="420" w:lineRule="auto"/>
        <w:ind w:firstLine="420" w:firstLineChars="200"/>
        <w:rPr>
          <w:rFonts w:ascii="宋体" w:hAnsi="宋体"/>
          <w:color w:val="000000"/>
          <w:highlight w:val="none"/>
        </w:rPr>
      </w:pPr>
      <w:bookmarkStart w:id="1430" w:name="_Toc480303461"/>
      <w:bookmarkStart w:id="1431" w:name="_Toc479505734"/>
      <w:r>
        <w:rPr>
          <w:rFonts w:hint="eastAsia" w:ascii="宋体" w:hAnsi="宋体"/>
          <w:color w:val="000000"/>
          <w:highlight w:val="none"/>
        </w:rPr>
        <w:t>一、工程概况</w:t>
      </w:r>
      <w:bookmarkEnd w:id="1430"/>
      <w:bookmarkEnd w:id="1431"/>
    </w:p>
    <w:p w14:paraId="07992B82">
      <w:pPr>
        <w:spacing w:line="420" w:lineRule="auto"/>
        <w:ind w:firstLine="420" w:firstLineChars="200"/>
        <w:rPr>
          <w:rFonts w:ascii="宋体" w:hAnsi="宋体"/>
          <w:color w:val="000000"/>
          <w:highlight w:val="none"/>
          <w:u w:val="single"/>
        </w:rPr>
      </w:pPr>
      <w:r>
        <w:rPr>
          <w:rFonts w:hint="eastAsia" w:ascii="宋体" w:hAnsi="宋体"/>
          <w:color w:val="000000"/>
          <w:highlight w:val="none"/>
        </w:rPr>
        <w:t>工程名称：</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A26D247">
      <w:pPr>
        <w:spacing w:line="420" w:lineRule="auto"/>
        <w:ind w:firstLine="420" w:firstLineChars="200"/>
        <w:rPr>
          <w:rFonts w:ascii="宋体" w:hAnsi="宋体"/>
          <w:color w:val="000000"/>
          <w:highlight w:val="none"/>
          <w:u w:val="single"/>
        </w:rPr>
      </w:pPr>
      <w:r>
        <w:rPr>
          <w:rFonts w:hint="eastAsia" w:ascii="宋体" w:hAnsi="宋体"/>
          <w:color w:val="000000"/>
          <w:highlight w:val="none"/>
        </w:rPr>
        <w:t>工程地点：</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5E5D9C2C">
      <w:pPr>
        <w:spacing w:line="420" w:lineRule="auto"/>
        <w:ind w:firstLine="420" w:firstLineChars="200"/>
        <w:rPr>
          <w:rFonts w:ascii="宋体" w:hAnsi="宋体"/>
          <w:color w:val="000000"/>
          <w:highlight w:val="none"/>
          <w:u w:val="single"/>
        </w:rPr>
      </w:pPr>
      <w:r>
        <w:rPr>
          <w:rFonts w:hint="eastAsia" w:ascii="宋体" w:hAnsi="宋体"/>
          <w:color w:val="000000"/>
          <w:highlight w:val="none"/>
        </w:rPr>
        <w:t>工程内容：</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483D2E88">
      <w:pPr>
        <w:spacing w:line="420" w:lineRule="auto"/>
        <w:ind w:firstLine="420" w:firstLineChars="200"/>
        <w:rPr>
          <w:rFonts w:ascii="宋体" w:hAnsi="宋体"/>
          <w:color w:val="000000"/>
          <w:highlight w:val="none"/>
        </w:rPr>
      </w:pPr>
      <w:r>
        <w:rPr>
          <w:rFonts w:hint="eastAsia" w:ascii="宋体" w:hAnsi="宋体"/>
          <w:color w:val="000000"/>
          <w:highlight w:val="none"/>
        </w:rPr>
        <w:t>群体工程应附“承包人承揽工程项目一览表”（附件二）</w:t>
      </w:r>
    </w:p>
    <w:p w14:paraId="6E2EFC7B">
      <w:pPr>
        <w:spacing w:line="420" w:lineRule="auto"/>
        <w:ind w:firstLine="420" w:firstLineChars="200"/>
        <w:rPr>
          <w:rFonts w:ascii="宋体" w:hAnsi="宋体"/>
          <w:color w:val="000000"/>
          <w:highlight w:val="none"/>
          <w:u w:val="single"/>
        </w:rPr>
      </w:pPr>
      <w:r>
        <w:rPr>
          <w:rFonts w:hint="eastAsia" w:ascii="宋体" w:hAnsi="宋体"/>
          <w:color w:val="000000"/>
          <w:highlight w:val="none"/>
        </w:rPr>
        <w:t>工程立项批准文号：</w:t>
      </w:r>
      <w:r>
        <w:rPr>
          <w:rFonts w:hint="eastAsia" w:ascii="宋体" w:hAnsi="宋体"/>
          <w:color w:val="000000"/>
          <w:highlight w:val="none"/>
          <w:u w:val="single"/>
        </w:rPr>
        <w:t xml:space="preserve">                                     </w:t>
      </w:r>
      <w:r>
        <w:rPr>
          <w:rFonts w:ascii="宋体" w:hAnsi="宋体"/>
          <w:color w:val="000000"/>
          <w:highlight w:val="none"/>
          <w:u w:val="single"/>
        </w:rPr>
        <w:t xml:space="preserve">                    </w:t>
      </w:r>
    </w:p>
    <w:p w14:paraId="1B98FC2A">
      <w:pPr>
        <w:spacing w:line="420" w:lineRule="auto"/>
        <w:ind w:firstLine="420" w:firstLineChars="200"/>
        <w:rPr>
          <w:rFonts w:ascii="宋体" w:hAnsi="宋体"/>
          <w:color w:val="000000"/>
          <w:highlight w:val="none"/>
          <w:u w:val="single"/>
        </w:rPr>
      </w:pPr>
      <w:r>
        <w:rPr>
          <w:rFonts w:hint="eastAsia" w:ascii="宋体" w:hAnsi="宋体"/>
          <w:color w:val="000000"/>
          <w:highlight w:val="none"/>
        </w:rPr>
        <w:t>资金来源：</w:t>
      </w:r>
      <w:r>
        <w:rPr>
          <w:rFonts w:hint="eastAsia" w:ascii="宋体" w:hAnsi="宋体"/>
          <w:color w:val="000000"/>
          <w:highlight w:val="none"/>
          <w:u w:val="single"/>
        </w:rPr>
        <w:t xml:space="preserve">                                            </w:t>
      </w:r>
      <w:r>
        <w:rPr>
          <w:rFonts w:ascii="宋体" w:hAnsi="宋体"/>
          <w:color w:val="000000"/>
          <w:highlight w:val="none"/>
          <w:u w:val="single"/>
        </w:rPr>
        <w:t xml:space="preserve">                     </w:t>
      </w:r>
    </w:p>
    <w:p w14:paraId="570E85F0">
      <w:pPr>
        <w:spacing w:line="420" w:lineRule="auto"/>
        <w:ind w:firstLine="420" w:firstLineChars="200"/>
        <w:rPr>
          <w:rFonts w:ascii="宋体" w:hAnsi="宋体"/>
          <w:color w:val="000000"/>
          <w:highlight w:val="none"/>
        </w:rPr>
      </w:pPr>
      <w:bookmarkStart w:id="1432" w:name="_Toc479505735"/>
      <w:bookmarkStart w:id="1433" w:name="_Toc480303462"/>
      <w:r>
        <w:rPr>
          <w:rFonts w:hint="eastAsia" w:ascii="宋体" w:hAnsi="宋体"/>
          <w:color w:val="000000"/>
          <w:highlight w:val="none"/>
        </w:rPr>
        <w:t>二、工程承包范围</w:t>
      </w:r>
      <w:bookmarkEnd w:id="1432"/>
      <w:bookmarkEnd w:id="1433"/>
    </w:p>
    <w:p w14:paraId="6335283E">
      <w:pPr>
        <w:spacing w:line="420" w:lineRule="auto"/>
        <w:ind w:firstLine="420" w:firstLineChars="200"/>
        <w:rPr>
          <w:rFonts w:ascii="宋体" w:hAnsi="宋体"/>
          <w:color w:val="000000"/>
          <w:highlight w:val="none"/>
        </w:rPr>
      </w:pPr>
      <w:r>
        <w:rPr>
          <w:rFonts w:hint="eastAsia" w:ascii="宋体" w:hAnsi="宋体"/>
          <w:color w:val="000000"/>
          <w:highlight w:val="none"/>
        </w:rPr>
        <w:t>承包范围：</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0955CD7C">
      <w:pPr>
        <w:spacing w:line="420" w:lineRule="auto"/>
        <w:ind w:firstLine="420" w:firstLineChars="200"/>
        <w:rPr>
          <w:rFonts w:ascii="宋体" w:hAnsi="宋体"/>
          <w:b/>
          <w:color w:val="000000"/>
          <w:highlight w:val="none"/>
          <w:u w:val="single"/>
        </w:rPr>
      </w:pPr>
      <w:r>
        <w:rPr>
          <w:rFonts w:hint="eastAsia" w:ascii="宋体" w:hAnsi="宋体"/>
          <w:color w:val="000000"/>
          <w:highlight w:val="none"/>
        </w:rPr>
        <w:t>详细承包范围见第五章“技术标准和要求”。</w:t>
      </w:r>
    </w:p>
    <w:p w14:paraId="3BB8C44C">
      <w:pPr>
        <w:spacing w:line="420" w:lineRule="auto"/>
        <w:ind w:firstLine="420" w:firstLineChars="200"/>
        <w:rPr>
          <w:rFonts w:ascii="宋体" w:hAnsi="宋体"/>
          <w:color w:val="000000"/>
          <w:highlight w:val="none"/>
        </w:rPr>
      </w:pPr>
      <w:bookmarkStart w:id="1434" w:name="_Toc479505736"/>
      <w:bookmarkStart w:id="1435" w:name="_Toc480303463"/>
      <w:r>
        <w:rPr>
          <w:rFonts w:hint="eastAsia" w:ascii="宋体" w:hAnsi="宋体"/>
          <w:color w:val="000000"/>
          <w:highlight w:val="none"/>
        </w:rPr>
        <w:t>三、合同工期</w:t>
      </w:r>
      <w:bookmarkEnd w:id="1434"/>
      <w:bookmarkEnd w:id="1435"/>
    </w:p>
    <w:p w14:paraId="3A4F5E91">
      <w:pPr>
        <w:spacing w:line="420" w:lineRule="auto"/>
        <w:ind w:firstLine="420" w:firstLineChars="200"/>
        <w:rPr>
          <w:rFonts w:ascii="宋体" w:hAnsi="宋体"/>
          <w:color w:val="000000"/>
          <w:highlight w:val="none"/>
          <w:u w:val="single"/>
        </w:rPr>
      </w:pPr>
      <w:r>
        <w:rPr>
          <w:rFonts w:hint="eastAsia" w:ascii="宋体" w:hAnsi="宋体"/>
          <w:color w:val="000000"/>
          <w:highlight w:val="none"/>
        </w:rPr>
        <w:t>计划开工日期：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11EBBB0B">
      <w:pPr>
        <w:spacing w:line="420" w:lineRule="auto"/>
        <w:ind w:firstLine="420" w:firstLineChars="200"/>
        <w:rPr>
          <w:rFonts w:ascii="宋体" w:hAnsi="宋体"/>
          <w:color w:val="000000"/>
          <w:highlight w:val="none"/>
          <w:u w:val="single"/>
        </w:rPr>
      </w:pPr>
      <w:r>
        <w:rPr>
          <w:rFonts w:hint="eastAsia" w:ascii="宋体" w:hAnsi="宋体"/>
          <w:color w:val="000000"/>
          <w:highlight w:val="none"/>
        </w:rPr>
        <w:t>计划竣工日期：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1B734AB9">
      <w:pPr>
        <w:spacing w:line="420" w:lineRule="auto"/>
        <w:ind w:firstLine="420" w:firstLineChars="200"/>
        <w:rPr>
          <w:rFonts w:ascii="宋体" w:hAnsi="宋体"/>
          <w:color w:val="000000"/>
          <w:highlight w:val="none"/>
        </w:rPr>
      </w:pPr>
      <w:r>
        <w:rPr>
          <w:rFonts w:hint="eastAsia" w:ascii="宋体" w:hAnsi="宋体"/>
          <w:color w:val="000000"/>
          <w:highlight w:val="none"/>
        </w:rPr>
        <w:t>工期总日历天数</w:t>
      </w:r>
      <w:r>
        <w:rPr>
          <w:rFonts w:hint="eastAsia" w:ascii="宋体" w:hAnsi="宋体"/>
          <w:color w:val="000000"/>
          <w:highlight w:val="none"/>
          <w:u w:val="single"/>
        </w:rPr>
        <w:t xml:space="preserve">                        </w:t>
      </w:r>
      <w:r>
        <w:rPr>
          <w:rFonts w:hint="eastAsia" w:ascii="宋体" w:hAnsi="宋体"/>
          <w:color w:val="000000"/>
          <w:highlight w:val="none"/>
        </w:rPr>
        <w:t>天，自监理人发出的开工通知中载明的开工日期起算。</w:t>
      </w:r>
    </w:p>
    <w:p w14:paraId="310657C0">
      <w:pPr>
        <w:spacing w:line="420" w:lineRule="auto"/>
        <w:ind w:firstLine="420" w:firstLineChars="200"/>
        <w:rPr>
          <w:rFonts w:ascii="宋体" w:hAnsi="宋体"/>
          <w:color w:val="000000"/>
          <w:highlight w:val="none"/>
        </w:rPr>
      </w:pPr>
      <w:bookmarkStart w:id="1436" w:name="_Toc479505737"/>
      <w:bookmarkStart w:id="1437" w:name="_Toc480303464"/>
      <w:r>
        <w:rPr>
          <w:rFonts w:hint="eastAsia" w:ascii="宋体" w:hAnsi="宋体"/>
          <w:color w:val="000000"/>
          <w:highlight w:val="none"/>
        </w:rPr>
        <w:t>四、质量标准</w:t>
      </w:r>
      <w:bookmarkEnd w:id="1436"/>
      <w:bookmarkEnd w:id="1437"/>
    </w:p>
    <w:p w14:paraId="5B613199">
      <w:pPr>
        <w:spacing w:line="420" w:lineRule="auto"/>
        <w:ind w:firstLine="420" w:firstLineChars="200"/>
        <w:rPr>
          <w:rFonts w:ascii="宋体" w:hAnsi="宋体"/>
          <w:color w:val="000000"/>
          <w:highlight w:val="none"/>
          <w:u w:val="single"/>
        </w:rPr>
      </w:pPr>
      <w:r>
        <w:rPr>
          <w:rFonts w:hint="eastAsia" w:ascii="宋体" w:hAnsi="宋体"/>
          <w:color w:val="000000"/>
          <w:highlight w:val="none"/>
        </w:rPr>
        <w:t>工程质量标准：</w:t>
      </w:r>
      <w:r>
        <w:rPr>
          <w:rFonts w:hint="eastAsia" w:ascii="宋体" w:hAnsi="宋体"/>
          <w:color w:val="000000"/>
          <w:highlight w:val="none"/>
          <w:u w:val="single"/>
        </w:rPr>
        <w:t xml:space="preserve">                                             </w:t>
      </w:r>
      <w:r>
        <w:rPr>
          <w:rFonts w:ascii="宋体" w:hAnsi="宋体"/>
          <w:color w:val="000000"/>
          <w:highlight w:val="none"/>
          <w:u w:val="single"/>
        </w:rPr>
        <w:t xml:space="preserve">                </w:t>
      </w:r>
    </w:p>
    <w:p w14:paraId="3AB8940C">
      <w:pPr>
        <w:spacing w:line="420" w:lineRule="auto"/>
        <w:ind w:firstLine="420" w:firstLineChars="200"/>
        <w:rPr>
          <w:rFonts w:ascii="宋体" w:hAnsi="宋体"/>
          <w:color w:val="000000"/>
          <w:highlight w:val="none"/>
        </w:rPr>
      </w:pPr>
      <w:bookmarkStart w:id="1438" w:name="_Toc479505738"/>
      <w:bookmarkStart w:id="1439" w:name="_Toc480303465"/>
      <w:r>
        <w:rPr>
          <w:rFonts w:hint="eastAsia" w:ascii="宋体" w:hAnsi="宋体"/>
          <w:color w:val="000000"/>
          <w:highlight w:val="none"/>
        </w:rPr>
        <w:t>五、合同形式</w:t>
      </w:r>
      <w:bookmarkEnd w:id="1438"/>
      <w:bookmarkEnd w:id="1439"/>
    </w:p>
    <w:p w14:paraId="5614658D">
      <w:pPr>
        <w:spacing w:line="420" w:lineRule="auto"/>
        <w:ind w:firstLine="420" w:firstLineChars="200"/>
        <w:rPr>
          <w:rFonts w:ascii="宋体" w:hAnsi="宋体"/>
          <w:b/>
          <w:color w:val="000000"/>
          <w:highlight w:val="none"/>
          <w:u w:val="single"/>
        </w:rPr>
      </w:pPr>
      <w:r>
        <w:rPr>
          <w:rFonts w:hint="eastAsia" w:ascii="宋体" w:hAnsi="宋体"/>
          <w:color w:val="000000"/>
          <w:highlight w:val="none"/>
        </w:rPr>
        <w:t xml:space="preserve">本合同采用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rPr>
        <w:t>合同形式</w:t>
      </w:r>
      <w:r>
        <w:rPr>
          <w:rFonts w:ascii="宋体" w:hAnsi="宋体"/>
          <w:color w:val="000000"/>
          <w:highlight w:val="none"/>
        </w:rPr>
        <w:t>。</w:t>
      </w:r>
    </w:p>
    <w:p w14:paraId="6788C037">
      <w:pPr>
        <w:spacing w:line="420" w:lineRule="auto"/>
        <w:ind w:firstLine="420" w:firstLineChars="200"/>
        <w:rPr>
          <w:rFonts w:ascii="宋体" w:hAnsi="宋体"/>
          <w:color w:val="000000"/>
          <w:highlight w:val="none"/>
        </w:rPr>
      </w:pPr>
      <w:bookmarkStart w:id="1440" w:name="_Toc480303466"/>
      <w:bookmarkStart w:id="1441" w:name="_Toc479505739"/>
      <w:r>
        <w:rPr>
          <w:rFonts w:hint="eastAsia" w:ascii="宋体" w:hAnsi="宋体"/>
          <w:color w:val="000000"/>
          <w:highlight w:val="none"/>
        </w:rPr>
        <w:t>六、签约合同价</w:t>
      </w:r>
      <w:bookmarkEnd w:id="1440"/>
      <w:bookmarkEnd w:id="1441"/>
    </w:p>
    <w:p w14:paraId="0442F0B3">
      <w:pPr>
        <w:spacing w:line="420" w:lineRule="auto"/>
        <w:ind w:firstLine="420" w:firstLineChars="200"/>
        <w:rPr>
          <w:rFonts w:ascii="宋体" w:hAnsi="宋体"/>
          <w:color w:val="000000"/>
          <w:highlight w:val="none"/>
        </w:rPr>
      </w:pPr>
      <w:r>
        <w:rPr>
          <w:rFonts w:hint="eastAsia" w:ascii="宋体" w:hAnsi="宋体"/>
          <w:color w:val="000000"/>
          <w:highlight w:val="none"/>
        </w:rPr>
        <w:t>金额（大写）：</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rPr>
        <w:t>（人民币）</w:t>
      </w:r>
    </w:p>
    <w:p w14:paraId="1718BA07">
      <w:pPr>
        <w:spacing w:line="420" w:lineRule="auto"/>
        <w:ind w:firstLine="420" w:firstLineChars="200"/>
        <w:rPr>
          <w:rFonts w:ascii="宋体" w:hAnsi="宋体"/>
          <w:color w:val="000000"/>
          <w:highlight w:val="none"/>
        </w:rPr>
      </w:pPr>
      <w:r>
        <w:rPr>
          <w:rFonts w:hint="eastAsia" w:ascii="宋体" w:hAnsi="宋体"/>
          <w:color w:val="000000"/>
          <w:highlight w:val="none"/>
        </w:rPr>
        <w:t>（小写）￥：</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元</w:t>
      </w:r>
    </w:p>
    <w:p w14:paraId="2AA55E75">
      <w:pPr>
        <w:spacing w:line="420" w:lineRule="auto"/>
        <w:ind w:firstLine="630" w:firstLineChars="300"/>
        <w:rPr>
          <w:rFonts w:ascii="宋体" w:hAnsi="宋体"/>
          <w:color w:val="000000"/>
          <w:highlight w:val="none"/>
        </w:rPr>
      </w:pPr>
      <w:r>
        <w:rPr>
          <w:rFonts w:hint="eastAsia" w:ascii="宋体" w:hAnsi="宋体"/>
          <w:color w:val="000000"/>
          <w:highlight w:val="none"/>
        </w:rPr>
        <w:t>其中：安全文明施工费：</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元</w:t>
      </w:r>
    </w:p>
    <w:p w14:paraId="25258606">
      <w:pPr>
        <w:spacing w:line="420" w:lineRule="auto"/>
        <w:ind w:firstLine="1260" w:firstLineChars="600"/>
        <w:rPr>
          <w:rFonts w:ascii="宋体" w:hAnsi="宋体"/>
          <w:color w:val="000000"/>
          <w:highlight w:val="none"/>
        </w:rPr>
      </w:pPr>
      <w:r>
        <w:rPr>
          <w:rFonts w:hint="eastAsia" w:ascii="宋体" w:hAnsi="宋体"/>
          <w:color w:val="000000"/>
          <w:highlight w:val="none"/>
        </w:rPr>
        <w:t>暂列金额（含税）：</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元</w:t>
      </w:r>
    </w:p>
    <w:p w14:paraId="2B934DA7">
      <w:pPr>
        <w:spacing w:line="420" w:lineRule="auto"/>
        <w:ind w:firstLine="1260" w:firstLineChars="600"/>
        <w:jc w:val="left"/>
        <w:rPr>
          <w:rFonts w:ascii="宋体" w:hAnsi="宋体"/>
          <w:color w:val="000000"/>
          <w:highlight w:val="none"/>
        </w:rPr>
      </w:pPr>
      <w:r>
        <w:rPr>
          <w:rFonts w:hint="eastAsia" w:ascii="宋体" w:hAnsi="宋体"/>
          <w:bCs/>
          <w:color w:val="000000"/>
          <w:highlight w:val="none"/>
        </w:rPr>
        <w:t>专业工程暂估价</w:t>
      </w:r>
      <w:r>
        <w:rPr>
          <w:rFonts w:hint="eastAsia" w:ascii="宋体" w:hAnsi="宋体"/>
          <w:color w:val="000000"/>
          <w:highlight w:val="none"/>
        </w:rPr>
        <w:t>（含税）</w:t>
      </w:r>
      <w:r>
        <w:rPr>
          <w:rFonts w:hint="eastAsia" w:ascii="宋体" w:hAnsi="宋体"/>
          <w:bCs/>
          <w:color w:val="000000"/>
          <w:highlight w:val="none"/>
        </w:rPr>
        <w:t>：</w:t>
      </w:r>
      <w:r>
        <w:rPr>
          <w:rFonts w:hint="eastAsia" w:ascii="宋体" w:hAnsi="宋体"/>
          <w:color w:val="000000"/>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元</w:t>
      </w:r>
    </w:p>
    <w:p w14:paraId="4D16BF5B">
      <w:pPr>
        <w:spacing w:line="420" w:lineRule="auto"/>
        <w:ind w:firstLine="1274" w:firstLineChars="607"/>
        <w:rPr>
          <w:rFonts w:ascii="宋体" w:hAnsi="宋体"/>
          <w:b/>
          <w:color w:val="000000"/>
          <w:highlight w:val="none"/>
        </w:rPr>
      </w:pPr>
      <w:r>
        <w:rPr>
          <w:rFonts w:ascii="宋体" w:hAnsi="宋体"/>
          <w:color w:val="000000"/>
          <w:highlight w:val="none"/>
        </w:rPr>
        <w:t>……</w:t>
      </w:r>
    </w:p>
    <w:p w14:paraId="7CB7EF08">
      <w:pPr>
        <w:spacing w:line="420" w:lineRule="auto"/>
        <w:ind w:firstLine="420" w:firstLineChars="200"/>
        <w:rPr>
          <w:rFonts w:ascii="宋体" w:hAnsi="宋体"/>
          <w:color w:val="000000"/>
          <w:highlight w:val="none"/>
        </w:rPr>
      </w:pPr>
      <w:bookmarkStart w:id="1442" w:name="_Toc480303467"/>
      <w:bookmarkStart w:id="1443" w:name="_Toc479505740"/>
      <w:r>
        <w:rPr>
          <w:rFonts w:hint="eastAsia" w:ascii="宋体" w:hAnsi="宋体"/>
          <w:color w:val="000000"/>
          <w:highlight w:val="none"/>
        </w:rPr>
        <w:t>七、承包人项目经理：</w:t>
      </w:r>
      <w:bookmarkEnd w:id="1442"/>
      <w:bookmarkEnd w:id="1443"/>
    </w:p>
    <w:p w14:paraId="3759F21B">
      <w:pPr>
        <w:spacing w:line="420" w:lineRule="auto"/>
        <w:ind w:firstLine="420" w:firstLineChars="200"/>
        <w:rPr>
          <w:rFonts w:ascii="宋体" w:hAnsi="宋体"/>
          <w:color w:val="000000"/>
          <w:szCs w:val="21"/>
          <w:highlight w:val="none"/>
        </w:rPr>
      </w:pPr>
      <w:r>
        <w:rPr>
          <w:rFonts w:hint="eastAsia" w:ascii="宋体" w:hAnsi="宋体"/>
          <w:color w:val="000000"/>
          <w:szCs w:val="21"/>
          <w:highlight w:val="none"/>
        </w:rPr>
        <w:t>姓名：</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      职称：</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10A9B460">
      <w:pPr>
        <w:spacing w:line="42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      建造师执业资格证书号：</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5979940D">
      <w:pPr>
        <w:spacing w:line="420" w:lineRule="auto"/>
        <w:ind w:firstLine="420" w:firstLineChars="200"/>
        <w:rPr>
          <w:rFonts w:ascii="宋体" w:hAnsi="宋体"/>
          <w:color w:val="000000"/>
          <w:szCs w:val="21"/>
          <w:highlight w:val="none"/>
        </w:rPr>
      </w:pPr>
      <w:r>
        <w:rPr>
          <w:rFonts w:hint="eastAsia" w:ascii="宋体" w:hAnsi="宋体"/>
          <w:color w:val="000000"/>
          <w:szCs w:val="21"/>
          <w:highlight w:val="none"/>
        </w:rPr>
        <w:t>建造师注册证书号：</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28319403">
      <w:pPr>
        <w:spacing w:line="420" w:lineRule="auto"/>
        <w:ind w:firstLine="420" w:firstLineChars="200"/>
        <w:rPr>
          <w:rFonts w:ascii="宋体" w:hAnsi="宋体"/>
          <w:color w:val="000000"/>
          <w:szCs w:val="21"/>
          <w:highlight w:val="none"/>
        </w:rPr>
      </w:pPr>
      <w:r>
        <w:rPr>
          <w:rFonts w:hint="eastAsia" w:ascii="宋体" w:hAnsi="宋体"/>
          <w:color w:val="000000"/>
          <w:szCs w:val="21"/>
          <w:highlight w:val="none"/>
        </w:rPr>
        <w:t>建造师执业印章号：</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1107F00A">
      <w:pPr>
        <w:spacing w:line="420" w:lineRule="auto"/>
        <w:ind w:firstLine="420" w:firstLineChars="200"/>
        <w:rPr>
          <w:rFonts w:ascii="宋体" w:hAnsi="宋体"/>
          <w:color w:val="000000"/>
          <w:szCs w:val="21"/>
          <w:highlight w:val="none"/>
        </w:rPr>
      </w:pPr>
      <w:r>
        <w:rPr>
          <w:rFonts w:hint="eastAsia" w:ascii="宋体" w:hAnsi="宋体"/>
          <w:color w:val="000000"/>
          <w:szCs w:val="21"/>
          <w:highlight w:val="none"/>
        </w:rPr>
        <w:t>安全生产考核合格证书号：</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789064E7">
      <w:pPr>
        <w:spacing w:line="420" w:lineRule="auto"/>
        <w:ind w:firstLine="420" w:firstLineChars="200"/>
        <w:rPr>
          <w:rFonts w:ascii="宋体" w:hAnsi="宋体"/>
          <w:color w:val="000000"/>
          <w:highlight w:val="none"/>
        </w:rPr>
      </w:pPr>
      <w:bookmarkStart w:id="1444" w:name="_Toc480303468"/>
      <w:bookmarkStart w:id="1445" w:name="_Toc479505741"/>
      <w:r>
        <w:rPr>
          <w:rFonts w:hint="eastAsia" w:ascii="宋体" w:hAnsi="宋体"/>
          <w:color w:val="000000"/>
          <w:highlight w:val="none"/>
        </w:rPr>
        <w:t>八、合同文件的组成</w:t>
      </w:r>
      <w:bookmarkEnd w:id="1444"/>
      <w:bookmarkEnd w:id="1445"/>
    </w:p>
    <w:p w14:paraId="567BF7BD">
      <w:pPr>
        <w:spacing w:line="420" w:lineRule="auto"/>
        <w:ind w:firstLine="420" w:firstLineChars="200"/>
        <w:rPr>
          <w:rFonts w:ascii="宋体" w:hAnsi="宋体"/>
          <w:color w:val="000000"/>
          <w:szCs w:val="21"/>
          <w:highlight w:val="none"/>
        </w:rPr>
      </w:pPr>
      <w:r>
        <w:rPr>
          <w:rFonts w:hint="eastAsia" w:ascii="宋体" w:hAnsi="宋体"/>
          <w:color w:val="000000"/>
          <w:szCs w:val="21"/>
          <w:highlight w:val="none"/>
        </w:rPr>
        <w:t>下列文件共同构成合同文件：</w:t>
      </w:r>
    </w:p>
    <w:p w14:paraId="6CDBF762">
      <w:pPr>
        <w:spacing w:line="420" w:lineRule="auto"/>
        <w:ind w:firstLine="420" w:firstLineChars="200"/>
        <w:rPr>
          <w:rFonts w:ascii="宋体" w:hAnsi="宋体"/>
          <w:color w:val="000000"/>
          <w:highlight w:val="none"/>
        </w:rPr>
      </w:pPr>
      <w:r>
        <w:rPr>
          <w:rFonts w:hint="eastAsia" w:ascii="宋体" w:hAnsi="宋体"/>
          <w:color w:val="000000"/>
          <w:highlight w:val="none"/>
        </w:rPr>
        <w:t>1、本协议书；</w:t>
      </w:r>
    </w:p>
    <w:p w14:paraId="4DAE4FC1">
      <w:pPr>
        <w:spacing w:line="420" w:lineRule="auto"/>
        <w:ind w:firstLine="420" w:firstLineChars="200"/>
        <w:rPr>
          <w:rFonts w:ascii="宋体" w:hAnsi="宋体"/>
          <w:color w:val="000000"/>
          <w:highlight w:val="none"/>
        </w:rPr>
      </w:pPr>
      <w:r>
        <w:rPr>
          <w:rFonts w:hint="eastAsia" w:ascii="宋体" w:hAnsi="宋体"/>
          <w:color w:val="000000"/>
          <w:highlight w:val="none"/>
        </w:rPr>
        <w:t>2、中标通知书；</w:t>
      </w:r>
    </w:p>
    <w:p w14:paraId="33368158">
      <w:pPr>
        <w:spacing w:line="420" w:lineRule="auto"/>
        <w:ind w:firstLine="420" w:firstLineChars="200"/>
        <w:rPr>
          <w:rFonts w:ascii="宋体" w:hAnsi="宋体"/>
          <w:color w:val="000000"/>
          <w:highlight w:val="none"/>
        </w:rPr>
      </w:pPr>
      <w:r>
        <w:rPr>
          <w:rFonts w:hint="eastAsia" w:ascii="宋体" w:hAnsi="宋体"/>
          <w:color w:val="000000"/>
          <w:highlight w:val="none"/>
        </w:rPr>
        <w:t>3、</w:t>
      </w:r>
      <w:r>
        <w:rPr>
          <w:rFonts w:hint="eastAsia" w:ascii="宋体" w:hAnsi="宋体"/>
          <w:color w:val="000000"/>
          <w:szCs w:val="21"/>
          <w:highlight w:val="none"/>
        </w:rPr>
        <w:t>投标函及投标函附录</w:t>
      </w:r>
      <w:r>
        <w:rPr>
          <w:rFonts w:hint="eastAsia" w:ascii="宋体" w:hAnsi="宋体"/>
          <w:color w:val="000000"/>
          <w:highlight w:val="none"/>
        </w:rPr>
        <w:t>；</w:t>
      </w:r>
    </w:p>
    <w:p w14:paraId="4D0CEBD4">
      <w:pPr>
        <w:spacing w:line="420" w:lineRule="auto"/>
        <w:ind w:firstLine="420" w:firstLineChars="200"/>
        <w:rPr>
          <w:rFonts w:ascii="宋体" w:hAnsi="宋体"/>
          <w:color w:val="000000"/>
          <w:highlight w:val="none"/>
        </w:rPr>
      </w:pPr>
      <w:r>
        <w:rPr>
          <w:rFonts w:hint="eastAsia" w:ascii="宋体" w:hAnsi="宋体"/>
          <w:color w:val="000000"/>
          <w:highlight w:val="none"/>
        </w:rPr>
        <w:t>4、合同条款专用部分；</w:t>
      </w:r>
    </w:p>
    <w:p w14:paraId="03BFFC36">
      <w:pPr>
        <w:spacing w:line="420" w:lineRule="auto"/>
        <w:ind w:firstLine="420" w:firstLineChars="200"/>
        <w:rPr>
          <w:rFonts w:ascii="宋体" w:hAnsi="宋体"/>
          <w:color w:val="000000"/>
          <w:highlight w:val="none"/>
        </w:rPr>
      </w:pPr>
      <w:r>
        <w:rPr>
          <w:rFonts w:hint="eastAsia" w:ascii="宋体" w:hAnsi="宋体"/>
          <w:color w:val="000000"/>
          <w:highlight w:val="none"/>
        </w:rPr>
        <w:t>5、合同条款通用部分；</w:t>
      </w:r>
    </w:p>
    <w:p w14:paraId="773B4F13">
      <w:pPr>
        <w:spacing w:line="420" w:lineRule="auto"/>
        <w:ind w:firstLine="420" w:firstLineChars="200"/>
        <w:rPr>
          <w:rFonts w:ascii="宋体" w:hAnsi="宋体"/>
          <w:color w:val="000000"/>
          <w:highlight w:val="none"/>
        </w:rPr>
      </w:pPr>
      <w:r>
        <w:rPr>
          <w:rFonts w:hint="eastAsia" w:ascii="宋体" w:hAnsi="宋体"/>
          <w:color w:val="000000"/>
          <w:highlight w:val="none"/>
        </w:rPr>
        <w:t>6、</w:t>
      </w:r>
      <w:r>
        <w:rPr>
          <w:rFonts w:hint="eastAsia" w:ascii="宋体" w:hAnsi="宋体"/>
          <w:color w:val="000000"/>
          <w:szCs w:val="21"/>
          <w:highlight w:val="none"/>
        </w:rPr>
        <w:t>技术标准和要求；</w:t>
      </w:r>
    </w:p>
    <w:p w14:paraId="3955733B">
      <w:pPr>
        <w:spacing w:line="420" w:lineRule="auto"/>
        <w:ind w:firstLine="420" w:firstLineChars="200"/>
        <w:rPr>
          <w:rFonts w:ascii="宋体" w:hAnsi="宋体"/>
          <w:color w:val="000000"/>
          <w:highlight w:val="none"/>
        </w:rPr>
      </w:pPr>
      <w:r>
        <w:rPr>
          <w:rFonts w:hint="eastAsia" w:ascii="宋体" w:hAnsi="宋体"/>
          <w:color w:val="000000"/>
          <w:highlight w:val="none"/>
        </w:rPr>
        <w:t>7、图纸；</w:t>
      </w:r>
    </w:p>
    <w:p w14:paraId="1E32647E">
      <w:pPr>
        <w:spacing w:line="420" w:lineRule="auto"/>
        <w:ind w:firstLine="420" w:firstLineChars="200"/>
        <w:rPr>
          <w:rFonts w:ascii="宋体" w:hAnsi="宋体"/>
          <w:color w:val="000000"/>
          <w:highlight w:val="none"/>
        </w:rPr>
      </w:pPr>
      <w:r>
        <w:rPr>
          <w:rFonts w:hint="eastAsia" w:ascii="宋体" w:hAnsi="宋体"/>
          <w:color w:val="000000"/>
          <w:highlight w:val="none"/>
        </w:rPr>
        <w:t>8、已标价工程量清单；</w:t>
      </w:r>
    </w:p>
    <w:p w14:paraId="0E46093F">
      <w:pPr>
        <w:spacing w:line="420" w:lineRule="auto"/>
        <w:ind w:firstLine="420" w:firstLineChars="200"/>
        <w:rPr>
          <w:rFonts w:ascii="宋体" w:hAnsi="宋体"/>
          <w:color w:val="000000"/>
          <w:highlight w:val="none"/>
        </w:rPr>
      </w:pPr>
      <w:r>
        <w:rPr>
          <w:rFonts w:hint="eastAsia" w:ascii="宋体" w:hAnsi="宋体"/>
          <w:color w:val="000000"/>
          <w:highlight w:val="none"/>
        </w:rPr>
        <w:t>9、其他合同文件。</w:t>
      </w:r>
    </w:p>
    <w:p w14:paraId="2FDD76B3">
      <w:pPr>
        <w:spacing w:line="420" w:lineRule="auto"/>
        <w:ind w:firstLine="420" w:firstLineChars="200"/>
        <w:rPr>
          <w:rFonts w:ascii="宋体" w:hAnsi="宋体"/>
          <w:color w:val="000000"/>
          <w:szCs w:val="21"/>
          <w:highlight w:val="none"/>
        </w:rPr>
      </w:pPr>
      <w:r>
        <w:rPr>
          <w:rFonts w:ascii="宋体" w:hAnsi="宋体"/>
          <w:color w:val="000000"/>
          <w:szCs w:val="21"/>
          <w:highlight w:val="none"/>
        </w:rPr>
        <w:t>上述文件互相补充和解释，如有不明确或不一致之处，以合同约定次序在先者为准。</w:t>
      </w:r>
    </w:p>
    <w:p w14:paraId="5E1F8F6F">
      <w:pPr>
        <w:spacing w:line="420" w:lineRule="auto"/>
        <w:ind w:firstLine="420" w:firstLineChars="200"/>
        <w:rPr>
          <w:rFonts w:ascii="宋体" w:hAnsi="宋体"/>
          <w:color w:val="000000"/>
          <w:highlight w:val="none"/>
        </w:rPr>
      </w:pPr>
      <w:bookmarkStart w:id="1446" w:name="_Toc479505742"/>
      <w:bookmarkStart w:id="1447" w:name="_Toc480303469"/>
      <w:r>
        <w:rPr>
          <w:rFonts w:hint="eastAsia" w:ascii="宋体" w:hAnsi="宋体"/>
          <w:color w:val="000000"/>
          <w:highlight w:val="none"/>
        </w:rPr>
        <w:t>九、本协议书中有关词语定义与合同条款中的定义相同。</w:t>
      </w:r>
      <w:bookmarkEnd w:id="1446"/>
      <w:bookmarkEnd w:id="1447"/>
    </w:p>
    <w:p w14:paraId="7BCE906E">
      <w:pPr>
        <w:spacing w:line="420" w:lineRule="auto"/>
        <w:ind w:firstLine="420" w:firstLineChars="200"/>
        <w:rPr>
          <w:rFonts w:ascii="宋体" w:hAnsi="宋体"/>
          <w:color w:val="000000"/>
          <w:highlight w:val="none"/>
        </w:rPr>
      </w:pPr>
      <w:bookmarkStart w:id="1448" w:name="_Toc480303470"/>
      <w:bookmarkStart w:id="1449" w:name="_Toc479505743"/>
      <w:r>
        <w:rPr>
          <w:rFonts w:hint="eastAsia" w:ascii="宋体" w:hAnsi="宋体"/>
          <w:color w:val="000000"/>
          <w:highlight w:val="none"/>
        </w:rPr>
        <w:t>十、承包人承诺按照合同约定进行施工、竣工、交付并承担质量缺陷保修责任。</w:t>
      </w:r>
      <w:bookmarkEnd w:id="1448"/>
      <w:bookmarkEnd w:id="1449"/>
    </w:p>
    <w:p w14:paraId="3E87B682">
      <w:pPr>
        <w:spacing w:line="420" w:lineRule="auto"/>
        <w:ind w:firstLine="420" w:firstLineChars="200"/>
        <w:rPr>
          <w:rFonts w:ascii="宋体" w:hAnsi="宋体"/>
          <w:color w:val="000000"/>
          <w:highlight w:val="none"/>
        </w:rPr>
      </w:pPr>
      <w:bookmarkStart w:id="1450" w:name="_Toc480303471"/>
      <w:bookmarkStart w:id="1451" w:name="_Toc479505744"/>
      <w:r>
        <w:rPr>
          <w:rFonts w:hint="eastAsia" w:ascii="宋体" w:hAnsi="宋体"/>
          <w:color w:val="000000"/>
          <w:highlight w:val="none"/>
        </w:rPr>
        <w:t>十一、发包人承诺按照合同约定的条件、期限和方式向承包人支付合同价款。</w:t>
      </w:r>
      <w:bookmarkEnd w:id="1450"/>
      <w:bookmarkEnd w:id="1451"/>
    </w:p>
    <w:p w14:paraId="77717E74">
      <w:pPr>
        <w:spacing w:line="420" w:lineRule="auto"/>
        <w:ind w:firstLine="420" w:firstLineChars="200"/>
        <w:rPr>
          <w:rFonts w:ascii="宋体" w:hAnsi="宋体"/>
          <w:color w:val="000000"/>
          <w:highlight w:val="none"/>
        </w:rPr>
      </w:pPr>
      <w:bookmarkStart w:id="1452" w:name="_Toc479505745"/>
      <w:bookmarkStart w:id="1453" w:name="_Toc480303472"/>
      <w:r>
        <w:rPr>
          <w:rFonts w:hint="eastAsia" w:ascii="宋体" w:hAnsi="宋体"/>
          <w:color w:val="000000"/>
          <w:highlight w:val="none"/>
        </w:rPr>
        <w:t>十二、本协议书连同其他合同文件正本一式两份，合同双方各执一份；副本一式</w:t>
      </w:r>
      <w:bookmarkEnd w:id="1452"/>
      <w:bookmarkEnd w:id="1453"/>
      <w:r>
        <w:rPr>
          <w:rFonts w:hint="eastAsia" w:ascii="宋体" w:hAnsi="宋体"/>
          <w:color w:val="000000"/>
          <w:highlight w:val="none"/>
          <w:u w:val="single"/>
        </w:rPr>
        <w:t xml:space="preserve">   </w:t>
      </w:r>
      <w:r>
        <w:rPr>
          <w:rFonts w:hint="eastAsia" w:ascii="宋体" w:hAnsi="宋体"/>
          <w:color w:val="000000"/>
          <w:highlight w:val="none"/>
        </w:rPr>
        <w:t>份，其中一份在合同报送建设行政主管部门备案时留存。</w:t>
      </w:r>
    </w:p>
    <w:p w14:paraId="580D1130">
      <w:pPr>
        <w:spacing w:line="420" w:lineRule="auto"/>
        <w:ind w:firstLine="420" w:firstLineChars="200"/>
        <w:rPr>
          <w:rFonts w:ascii="宋体" w:hAnsi="宋体"/>
          <w:color w:val="000000"/>
          <w:highlight w:val="none"/>
        </w:rPr>
      </w:pPr>
      <w:bookmarkStart w:id="1454" w:name="_Toc479505746"/>
      <w:bookmarkStart w:id="1455" w:name="_Toc480303473"/>
      <w:r>
        <w:rPr>
          <w:rFonts w:hint="eastAsia" w:ascii="宋体" w:hAnsi="宋体"/>
          <w:color w:val="000000"/>
          <w:highlight w:val="none"/>
        </w:rPr>
        <w:t>十三、</w:t>
      </w:r>
      <w:r>
        <w:rPr>
          <w:rFonts w:ascii="宋体" w:hAnsi="宋体"/>
          <w:color w:val="000000"/>
          <w:highlight w:val="none"/>
        </w:rPr>
        <w:t>合同未尽事宜，双方另行签订补充协议</w:t>
      </w:r>
      <w:r>
        <w:rPr>
          <w:rFonts w:hint="eastAsia" w:ascii="宋体" w:hAnsi="宋体"/>
          <w:color w:val="000000"/>
          <w:highlight w:val="none"/>
        </w:rPr>
        <w:t>，但不得背离本协议第八条所约定的合同文件的实质性内容</w:t>
      </w:r>
      <w:r>
        <w:rPr>
          <w:rFonts w:ascii="宋体" w:hAnsi="宋体"/>
          <w:color w:val="000000"/>
          <w:highlight w:val="none"/>
        </w:rPr>
        <w:t>。补充协议是合同</w:t>
      </w:r>
      <w:r>
        <w:rPr>
          <w:rFonts w:hint="eastAsia" w:ascii="宋体" w:hAnsi="宋体"/>
          <w:color w:val="000000"/>
          <w:highlight w:val="none"/>
        </w:rPr>
        <w:t>文件</w:t>
      </w:r>
      <w:r>
        <w:rPr>
          <w:rFonts w:ascii="宋体" w:hAnsi="宋体"/>
          <w:color w:val="000000"/>
          <w:highlight w:val="none"/>
        </w:rPr>
        <w:t>的组成部分。</w:t>
      </w:r>
      <w:bookmarkEnd w:id="1454"/>
      <w:bookmarkEnd w:id="1455"/>
    </w:p>
    <w:p w14:paraId="085951C2">
      <w:pPr>
        <w:spacing w:line="420" w:lineRule="auto"/>
        <w:rPr>
          <w:rFonts w:ascii="宋体" w:hAnsi="宋体"/>
          <w:b/>
          <w:bCs/>
          <w:color w:val="000000"/>
          <w:szCs w:val="21"/>
          <w:highlight w:val="none"/>
        </w:rPr>
      </w:pPr>
    </w:p>
    <w:p w14:paraId="65A2217E">
      <w:pPr>
        <w:spacing w:line="420" w:lineRule="auto"/>
        <w:rPr>
          <w:rFonts w:ascii="宋体" w:hAnsi="宋体"/>
          <w:color w:val="000000"/>
          <w:szCs w:val="21"/>
          <w:highlight w:val="none"/>
        </w:rPr>
      </w:pPr>
      <w:r>
        <w:rPr>
          <w:rFonts w:ascii="宋体" w:hAnsi="宋体"/>
          <w:bCs/>
          <w:color w:val="000000"/>
          <w:szCs w:val="21"/>
          <w:highlight w:val="none"/>
        </w:rPr>
        <w:t>发包人：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（盖单位章）</w:t>
      </w:r>
      <w:r>
        <w:rPr>
          <w:rFonts w:hint="eastAsia" w:ascii="宋体" w:hAnsi="宋体"/>
          <w:bCs/>
          <w:color w:val="000000"/>
          <w:szCs w:val="21"/>
          <w:highlight w:val="none"/>
        </w:rPr>
        <w:t xml:space="preserve"> </w:t>
      </w:r>
      <w:r>
        <w:rPr>
          <w:rFonts w:ascii="宋体" w:hAnsi="宋体"/>
          <w:bCs/>
          <w:color w:val="000000"/>
          <w:szCs w:val="21"/>
          <w:highlight w:val="none"/>
        </w:rPr>
        <w:t>承包人：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rPr>
        <w:t>（盖单位章）</w:t>
      </w:r>
    </w:p>
    <w:p w14:paraId="17EBCA73">
      <w:pPr>
        <w:spacing w:line="420" w:lineRule="auto"/>
        <w:rPr>
          <w:rFonts w:ascii="宋体" w:hAnsi="宋体"/>
          <w:color w:val="000000"/>
          <w:szCs w:val="21"/>
          <w:highlight w:val="none"/>
        </w:rPr>
      </w:pPr>
    </w:p>
    <w:p w14:paraId="4BC251ED">
      <w:pPr>
        <w:spacing w:line="420" w:lineRule="auto"/>
        <w:rPr>
          <w:rFonts w:ascii="宋体" w:hAnsi="宋体"/>
          <w:color w:val="000000"/>
          <w:szCs w:val="21"/>
          <w:highlight w:val="none"/>
        </w:rPr>
      </w:pPr>
      <w:r>
        <w:rPr>
          <w:rFonts w:ascii="宋体" w:hAnsi="宋体"/>
          <w:bCs/>
          <w:color w:val="000000"/>
          <w:szCs w:val="21"/>
          <w:highlight w:val="none"/>
        </w:rPr>
        <w:t>法定代表人或其</w:t>
      </w:r>
      <w:r>
        <w:rPr>
          <w:rFonts w:hint="eastAsia" w:ascii="宋体" w:hAnsi="宋体"/>
          <w:color w:val="000000"/>
          <w:szCs w:val="21"/>
          <w:highlight w:val="none"/>
        </w:rPr>
        <w:t xml:space="preserve">                           </w:t>
      </w:r>
      <w:r>
        <w:rPr>
          <w:rFonts w:ascii="宋体" w:hAnsi="宋体"/>
          <w:bCs/>
          <w:color w:val="000000"/>
          <w:szCs w:val="21"/>
          <w:highlight w:val="none"/>
        </w:rPr>
        <w:t>法定代表人或其</w:t>
      </w:r>
    </w:p>
    <w:p w14:paraId="78CDDB1E">
      <w:pPr>
        <w:spacing w:line="420" w:lineRule="auto"/>
        <w:rPr>
          <w:rFonts w:ascii="宋体" w:hAnsi="宋体"/>
          <w:color w:val="000000"/>
          <w:szCs w:val="21"/>
          <w:highlight w:val="none"/>
        </w:rPr>
      </w:pPr>
      <w:r>
        <w:rPr>
          <w:rFonts w:ascii="宋体" w:hAnsi="宋体"/>
          <w:bCs/>
          <w:color w:val="000000"/>
          <w:szCs w:val="21"/>
          <w:highlight w:val="none"/>
        </w:rPr>
        <w:t>委托代理人：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（签字）</w:t>
      </w:r>
      <w:r>
        <w:rPr>
          <w:rFonts w:hint="eastAsia" w:ascii="宋体" w:hAnsi="宋体"/>
          <w:color w:val="000000"/>
          <w:szCs w:val="21"/>
          <w:highlight w:val="none"/>
        </w:rPr>
        <w:t xml:space="preserve"> </w:t>
      </w:r>
      <w:r>
        <w:rPr>
          <w:rFonts w:hint="eastAsia" w:ascii="宋体" w:hAnsi="宋体"/>
          <w:bCs/>
          <w:color w:val="000000"/>
          <w:szCs w:val="21"/>
          <w:highlight w:val="none"/>
        </w:rPr>
        <w:t xml:space="preserve"> </w:t>
      </w:r>
      <w:r>
        <w:rPr>
          <w:rFonts w:ascii="宋体" w:hAnsi="宋体"/>
          <w:bCs/>
          <w:color w:val="000000"/>
          <w:szCs w:val="21"/>
          <w:highlight w:val="none"/>
        </w:rPr>
        <w:t>委托代理人：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（签字）</w:t>
      </w:r>
    </w:p>
    <w:p w14:paraId="0C5C0EEE">
      <w:pPr>
        <w:spacing w:line="420" w:lineRule="auto"/>
        <w:rPr>
          <w:rFonts w:ascii="宋体" w:hAnsi="宋体"/>
          <w:color w:val="000000"/>
          <w:szCs w:val="21"/>
          <w:highlight w:val="none"/>
          <w:u w:val="single"/>
        </w:rPr>
      </w:pPr>
    </w:p>
    <w:p w14:paraId="42B56BD8">
      <w:pPr>
        <w:spacing w:line="420" w:lineRule="auto"/>
        <w:rPr>
          <w:rFonts w:ascii="宋体" w:hAnsi="宋体"/>
          <w:color w:val="000000"/>
          <w:szCs w:val="21"/>
          <w:highlight w:val="none"/>
        </w:rPr>
      </w:pP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 xml:space="preserve">月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 xml:space="preserve"> 日</w:t>
      </w:r>
      <w:r>
        <w:rPr>
          <w:rFonts w:hint="eastAsia"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 xml:space="preserve">月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ascii="宋体" w:hAnsi="宋体"/>
          <w:color w:val="000000"/>
          <w:szCs w:val="21"/>
          <w:highlight w:val="none"/>
        </w:rPr>
        <w:t>日</w:t>
      </w:r>
    </w:p>
    <w:p w14:paraId="44F71DD4">
      <w:pPr>
        <w:spacing w:line="420" w:lineRule="auto"/>
        <w:rPr>
          <w:rFonts w:ascii="宋体" w:hAnsi="宋体"/>
          <w:color w:val="000000"/>
          <w:szCs w:val="21"/>
          <w:highlight w:val="none"/>
        </w:rPr>
      </w:pPr>
    </w:p>
    <w:p w14:paraId="5740181E">
      <w:pPr>
        <w:spacing w:line="420" w:lineRule="auto"/>
        <w:rPr>
          <w:rFonts w:ascii="宋体" w:hAnsi="宋体"/>
          <w:b/>
          <w:color w:val="000000"/>
          <w:szCs w:val="21"/>
          <w:highlight w:val="none"/>
        </w:rPr>
      </w:pPr>
      <w:r>
        <w:rPr>
          <w:rFonts w:hint="eastAsia" w:ascii="宋体" w:hAnsi="宋体"/>
          <w:color w:val="000000"/>
          <w:szCs w:val="21"/>
          <w:highlight w:val="none"/>
        </w:rPr>
        <w:t>签约地点：</w:t>
      </w:r>
      <w:r>
        <w:rPr>
          <w:rFonts w:hint="eastAsia" w:ascii="宋体" w:hAnsi="宋体"/>
          <w:color w:val="000000"/>
          <w:szCs w:val="21"/>
          <w:highlight w:val="none"/>
          <w:u w:val="single"/>
        </w:rPr>
        <w:t xml:space="preserve">                                                                   </w:t>
      </w:r>
      <w:r>
        <w:rPr>
          <w:rFonts w:hint="eastAsia" w:ascii="宋体" w:hAnsi="宋体"/>
          <w:b/>
          <w:color w:val="000000"/>
          <w:szCs w:val="21"/>
          <w:highlight w:val="none"/>
          <w:u w:val="single"/>
        </w:rPr>
        <w:t xml:space="preserve"> </w:t>
      </w:r>
    </w:p>
    <w:p w14:paraId="50EA2963">
      <w:pPr>
        <w:pStyle w:val="5"/>
        <w:rPr>
          <w:highlight w:val="none"/>
        </w:rPr>
      </w:pPr>
      <w:r>
        <w:rPr>
          <w:highlight w:val="none"/>
        </w:rPr>
        <w:br w:type="page"/>
      </w:r>
    </w:p>
    <w:p w14:paraId="4242A9C9">
      <w:pPr>
        <w:widowControl/>
        <w:jc w:val="left"/>
        <w:rPr>
          <w:rFonts w:ascii="宋体" w:hAnsi="宋体"/>
          <w:color w:val="000000"/>
          <w:sz w:val="32"/>
          <w:szCs w:val="30"/>
          <w:highlight w:val="none"/>
        </w:rPr>
      </w:pPr>
      <w:r>
        <w:rPr>
          <w:rFonts w:hint="eastAsia" w:ascii="宋体" w:hAnsi="宋体"/>
          <w:color w:val="000000"/>
          <w:sz w:val="32"/>
          <w:szCs w:val="30"/>
          <w:highlight w:val="none"/>
        </w:rPr>
        <w:t>附件二：承包人承揽工程项目一览表</w:t>
      </w:r>
    </w:p>
    <w:p w14:paraId="1278504D">
      <w:pPr>
        <w:spacing w:line="420" w:lineRule="auto"/>
        <w:jc w:val="center"/>
        <w:rPr>
          <w:rFonts w:ascii="宋体" w:hAnsi="宋体"/>
          <w:b/>
          <w:color w:val="000000"/>
          <w:sz w:val="28"/>
          <w:szCs w:val="28"/>
          <w:highlight w:val="none"/>
        </w:rPr>
      </w:pPr>
      <w:r>
        <w:rPr>
          <w:rFonts w:hint="eastAsia" w:ascii="宋体" w:hAnsi="宋体"/>
          <w:b/>
          <w:color w:val="000000"/>
          <w:sz w:val="28"/>
          <w:szCs w:val="28"/>
          <w:highlight w:val="none"/>
        </w:rPr>
        <w:t>承包人承揽工程项目一览表</w:t>
      </w:r>
    </w:p>
    <w:tbl>
      <w:tblPr>
        <w:tblStyle w:val="88"/>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91"/>
        <w:gridCol w:w="1155"/>
        <w:gridCol w:w="525"/>
        <w:gridCol w:w="525"/>
        <w:gridCol w:w="735"/>
        <w:gridCol w:w="1155"/>
        <w:gridCol w:w="735"/>
        <w:gridCol w:w="735"/>
        <w:gridCol w:w="735"/>
      </w:tblGrid>
      <w:tr w14:paraId="102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CAD4A01">
            <w:pPr>
              <w:spacing w:line="420" w:lineRule="auto"/>
              <w:jc w:val="center"/>
              <w:rPr>
                <w:rFonts w:ascii="宋体" w:hAnsi="宋体"/>
                <w:color w:val="000000"/>
                <w:spacing w:val="12"/>
                <w:highlight w:val="none"/>
              </w:rPr>
            </w:pPr>
            <w:r>
              <w:rPr>
                <w:rFonts w:hint="eastAsia" w:ascii="宋体" w:hAnsi="宋体"/>
                <w:color w:val="000000"/>
                <w:spacing w:val="12"/>
                <w:highlight w:val="none"/>
              </w:rPr>
              <w:t>单位工程</w:t>
            </w:r>
          </w:p>
          <w:p w14:paraId="0EFCCC67">
            <w:pPr>
              <w:spacing w:line="420" w:lineRule="auto"/>
              <w:jc w:val="center"/>
              <w:rPr>
                <w:rFonts w:ascii="宋体" w:hAnsi="宋体"/>
                <w:color w:val="000000"/>
                <w:spacing w:val="12"/>
                <w:highlight w:val="none"/>
              </w:rPr>
            </w:pPr>
          </w:p>
          <w:p w14:paraId="133A3C33">
            <w:pPr>
              <w:spacing w:line="420" w:lineRule="auto"/>
              <w:jc w:val="center"/>
              <w:rPr>
                <w:rFonts w:ascii="宋体" w:hAnsi="宋体"/>
                <w:color w:val="000000"/>
                <w:spacing w:val="12"/>
                <w:highlight w:val="none"/>
              </w:rPr>
            </w:pPr>
            <w:r>
              <w:rPr>
                <w:rFonts w:hint="eastAsia" w:ascii="宋体" w:hAnsi="宋体"/>
                <w:color w:val="000000"/>
                <w:spacing w:val="12"/>
                <w:highlight w:val="none"/>
              </w:rPr>
              <w:t>名</w:t>
            </w:r>
            <w:r>
              <w:rPr>
                <w:rFonts w:ascii="宋体" w:hAnsi="宋体"/>
                <w:color w:val="000000"/>
                <w:spacing w:val="12"/>
                <w:highlight w:val="none"/>
              </w:rPr>
              <w:t xml:space="preserve">    </w:t>
            </w:r>
            <w:r>
              <w:rPr>
                <w:rFonts w:hint="eastAsia" w:ascii="宋体" w:hAnsi="宋体"/>
                <w:color w:val="000000"/>
                <w:spacing w:val="12"/>
                <w:highlight w:val="none"/>
              </w:rPr>
              <w:t>称</w:t>
            </w:r>
          </w:p>
        </w:tc>
        <w:tc>
          <w:tcPr>
            <w:tcW w:w="791" w:type="dxa"/>
          </w:tcPr>
          <w:p w14:paraId="3C242D85">
            <w:pPr>
              <w:spacing w:line="420" w:lineRule="auto"/>
              <w:rPr>
                <w:rFonts w:ascii="宋体" w:hAnsi="宋体"/>
                <w:color w:val="000000"/>
                <w:spacing w:val="12"/>
                <w:highlight w:val="none"/>
              </w:rPr>
            </w:pPr>
            <w:r>
              <w:rPr>
                <w:rFonts w:hint="eastAsia" w:ascii="宋体" w:hAnsi="宋体"/>
                <w:color w:val="000000"/>
                <w:spacing w:val="12"/>
                <w:highlight w:val="none"/>
              </w:rPr>
              <w:t>建设</w:t>
            </w:r>
          </w:p>
          <w:p w14:paraId="52F31B9C">
            <w:pPr>
              <w:spacing w:line="420" w:lineRule="auto"/>
              <w:rPr>
                <w:rFonts w:ascii="宋体" w:hAnsi="宋体"/>
                <w:color w:val="000000"/>
                <w:spacing w:val="12"/>
                <w:highlight w:val="none"/>
              </w:rPr>
            </w:pPr>
          </w:p>
          <w:p w14:paraId="537716C6">
            <w:pPr>
              <w:spacing w:line="420" w:lineRule="auto"/>
              <w:rPr>
                <w:rFonts w:ascii="宋体" w:hAnsi="宋体"/>
                <w:color w:val="000000"/>
                <w:spacing w:val="12"/>
                <w:highlight w:val="none"/>
              </w:rPr>
            </w:pPr>
            <w:r>
              <w:rPr>
                <w:rFonts w:hint="eastAsia" w:ascii="宋体" w:hAnsi="宋体"/>
                <w:color w:val="000000"/>
                <w:spacing w:val="12"/>
                <w:highlight w:val="none"/>
              </w:rPr>
              <w:t>规模</w:t>
            </w:r>
          </w:p>
        </w:tc>
        <w:tc>
          <w:tcPr>
            <w:tcW w:w="1155" w:type="dxa"/>
          </w:tcPr>
          <w:p w14:paraId="1AB18160">
            <w:pPr>
              <w:spacing w:line="420" w:lineRule="auto"/>
              <w:rPr>
                <w:rFonts w:ascii="宋体" w:hAnsi="宋体"/>
                <w:color w:val="000000"/>
                <w:spacing w:val="12"/>
                <w:highlight w:val="none"/>
              </w:rPr>
            </w:pPr>
            <w:r>
              <w:rPr>
                <w:rFonts w:hint="eastAsia" w:ascii="宋体" w:hAnsi="宋体"/>
                <w:color w:val="000000"/>
                <w:spacing w:val="12"/>
                <w:highlight w:val="none"/>
              </w:rPr>
              <w:t>建筑面积</w:t>
            </w:r>
          </w:p>
          <w:p w14:paraId="26BCF261">
            <w:pPr>
              <w:spacing w:line="420" w:lineRule="auto"/>
              <w:rPr>
                <w:rFonts w:ascii="宋体" w:hAnsi="宋体"/>
                <w:color w:val="000000"/>
                <w:spacing w:val="12"/>
                <w:highlight w:val="none"/>
              </w:rPr>
            </w:pPr>
          </w:p>
          <w:p w14:paraId="39AB370D">
            <w:pPr>
              <w:spacing w:line="420" w:lineRule="auto"/>
              <w:rPr>
                <w:rFonts w:ascii="宋体" w:hAnsi="宋体"/>
                <w:color w:val="000000"/>
                <w:spacing w:val="12"/>
                <w:highlight w:val="none"/>
              </w:rPr>
            </w:pPr>
            <w:r>
              <w:rPr>
                <w:rFonts w:ascii="宋体" w:hAnsi="宋体"/>
                <w:color w:val="000000"/>
                <w:spacing w:val="12"/>
                <w:highlight w:val="none"/>
              </w:rPr>
              <w:t>(</w:t>
            </w:r>
            <w:r>
              <w:rPr>
                <w:rFonts w:hint="eastAsia" w:ascii="宋体" w:hAnsi="宋体"/>
                <w:color w:val="000000"/>
                <w:spacing w:val="12"/>
                <w:highlight w:val="none"/>
              </w:rPr>
              <w:t>平方米</w:t>
            </w:r>
            <w:r>
              <w:rPr>
                <w:rFonts w:ascii="宋体" w:hAnsi="宋体"/>
                <w:color w:val="000000"/>
                <w:spacing w:val="12"/>
                <w:highlight w:val="none"/>
              </w:rPr>
              <w:t>)</w:t>
            </w:r>
          </w:p>
        </w:tc>
        <w:tc>
          <w:tcPr>
            <w:tcW w:w="525" w:type="dxa"/>
          </w:tcPr>
          <w:p w14:paraId="786BAFF5">
            <w:pPr>
              <w:spacing w:line="420" w:lineRule="auto"/>
              <w:rPr>
                <w:rFonts w:ascii="宋体" w:hAnsi="宋体"/>
                <w:color w:val="000000"/>
                <w:spacing w:val="12"/>
                <w:highlight w:val="none"/>
              </w:rPr>
            </w:pPr>
            <w:r>
              <w:rPr>
                <w:rFonts w:hint="eastAsia" w:ascii="宋体" w:hAnsi="宋体"/>
                <w:color w:val="000000"/>
                <w:spacing w:val="12"/>
                <w:highlight w:val="none"/>
              </w:rPr>
              <w:t>结</w:t>
            </w:r>
          </w:p>
          <w:p w14:paraId="564A39B9">
            <w:pPr>
              <w:spacing w:line="420" w:lineRule="auto"/>
              <w:rPr>
                <w:rFonts w:ascii="宋体" w:hAnsi="宋体"/>
                <w:color w:val="000000"/>
                <w:spacing w:val="12"/>
                <w:highlight w:val="none"/>
              </w:rPr>
            </w:pPr>
          </w:p>
          <w:p w14:paraId="78954173">
            <w:pPr>
              <w:spacing w:line="420" w:lineRule="auto"/>
              <w:rPr>
                <w:rFonts w:ascii="宋体" w:hAnsi="宋体"/>
                <w:color w:val="000000"/>
                <w:spacing w:val="12"/>
                <w:highlight w:val="none"/>
              </w:rPr>
            </w:pPr>
            <w:r>
              <w:rPr>
                <w:rFonts w:hint="eastAsia" w:ascii="宋体" w:hAnsi="宋体"/>
                <w:color w:val="000000"/>
                <w:spacing w:val="12"/>
                <w:highlight w:val="none"/>
              </w:rPr>
              <w:t>构</w:t>
            </w:r>
          </w:p>
        </w:tc>
        <w:tc>
          <w:tcPr>
            <w:tcW w:w="525" w:type="dxa"/>
          </w:tcPr>
          <w:p w14:paraId="10FCD16A">
            <w:pPr>
              <w:spacing w:line="420" w:lineRule="auto"/>
              <w:jc w:val="center"/>
              <w:rPr>
                <w:rFonts w:ascii="宋体" w:hAnsi="宋体"/>
                <w:color w:val="000000"/>
                <w:spacing w:val="12"/>
                <w:highlight w:val="none"/>
              </w:rPr>
            </w:pPr>
            <w:r>
              <w:rPr>
                <w:rFonts w:hint="eastAsia" w:ascii="宋体" w:hAnsi="宋体"/>
                <w:color w:val="000000"/>
                <w:spacing w:val="12"/>
                <w:highlight w:val="none"/>
              </w:rPr>
              <w:t>层</w:t>
            </w:r>
          </w:p>
          <w:p w14:paraId="4DFA9411">
            <w:pPr>
              <w:spacing w:line="420" w:lineRule="auto"/>
              <w:jc w:val="center"/>
              <w:rPr>
                <w:rFonts w:ascii="宋体" w:hAnsi="宋体"/>
                <w:color w:val="000000"/>
                <w:spacing w:val="12"/>
                <w:highlight w:val="none"/>
              </w:rPr>
            </w:pPr>
          </w:p>
          <w:p w14:paraId="210F31BC">
            <w:pPr>
              <w:spacing w:line="420" w:lineRule="auto"/>
              <w:jc w:val="center"/>
              <w:rPr>
                <w:rFonts w:ascii="宋体" w:hAnsi="宋体"/>
                <w:color w:val="000000"/>
                <w:spacing w:val="12"/>
                <w:highlight w:val="none"/>
              </w:rPr>
            </w:pPr>
            <w:r>
              <w:rPr>
                <w:rFonts w:hint="eastAsia" w:ascii="宋体" w:hAnsi="宋体"/>
                <w:color w:val="000000"/>
                <w:spacing w:val="12"/>
                <w:highlight w:val="none"/>
              </w:rPr>
              <w:t>数</w:t>
            </w:r>
          </w:p>
        </w:tc>
        <w:tc>
          <w:tcPr>
            <w:tcW w:w="735" w:type="dxa"/>
            <w:vAlign w:val="center"/>
          </w:tcPr>
          <w:p w14:paraId="5EF3BFCE">
            <w:pPr>
              <w:spacing w:line="420" w:lineRule="auto"/>
              <w:jc w:val="center"/>
              <w:rPr>
                <w:rFonts w:ascii="宋体" w:hAnsi="宋体"/>
                <w:color w:val="000000"/>
                <w:spacing w:val="12"/>
                <w:highlight w:val="none"/>
              </w:rPr>
            </w:pPr>
            <w:r>
              <w:rPr>
                <w:rFonts w:hint="eastAsia" w:ascii="宋体" w:hAnsi="宋体"/>
                <w:color w:val="000000"/>
                <w:spacing w:val="12"/>
                <w:highlight w:val="none"/>
              </w:rPr>
              <w:t>跨</w:t>
            </w:r>
          </w:p>
          <w:p w14:paraId="481218C1">
            <w:pPr>
              <w:spacing w:line="420" w:lineRule="auto"/>
              <w:jc w:val="center"/>
              <w:rPr>
                <w:rFonts w:ascii="宋体" w:hAnsi="宋体"/>
                <w:color w:val="000000"/>
                <w:spacing w:val="12"/>
                <w:highlight w:val="none"/>
              </w:rPr>
            </w:pPr>
            <w:r>
              <w:rPr>
                <w:rFonts w:hint="eastAsia" w:ascii="宋体" w:hAnsi="宋体"/>
                <w:color w:val="000000"/>
                <w:spacing w:val="12"/>
                <w:highlight w:val="none"/>
              </w:rPr>
              <w:t>度</w:t>
            </w:r>
            <w:r>
              <w:rPr>
                <w:rFonts w:ascii="宋体" w:hAnsi="宋体"/>
                <w:color w:val="000000"/>
                <w:spacing w:val="12"/>
                <w:highlight w:val="none"/>
              </w:rPr>
              <w:t>(</w:t>
            </w:r>
            <w:r>
              <w:rPr>
                <w:rFonts w:hint="eastAsia" w:ascii="宋体" w:hAnsi="宋体"/>
                <w:color w:val="000000"/>
                <w:spacing w:val="12"/>
                <w:highlight w:val="none"/>
              </w:rPr>
              <w:t>米</w:t>
            </w:r>
            <w:r>
              <w:rPr>
                <w:rFonts w:ascii="宋体" w:hAnsi="宋体"/>
                <w:color w:val="000000"/>
                <w:spacing w:val="12"/>
                <w:highlight w:val="none"/>
              </w:rPr>
              <w:t>)</w:t>
            </w:r>
          </w:p>
        </w:tc>
        <w:tc>
          <w:tcPr>
            <w:tcW w:w="1155" w:type="dxa"/>
          </w:tcPr>
          <w:p w14:paraId="794C728F">
            <w:pPr>
              <w:spacing w:line="420" w:lineRule="auto"/>
              <w:jc w:val="center"/>
              <w:rPr>
                <w:rFonts w:ascii="宋体" w:hAnsi="宋体"/>
                <w:color w:val="000000"/>
                <w:spacing w:val="12"/>
                <w:highlight w:val="none"/>
              </w:rPr>
            </w:pPr>
            <w:r>
              <w:rPr>
                <w:rFonts w:hint="eastAsia" w:ascii="宋体" w:hAnsi="宋体"/>
                <w:color w:val="000000"/>
                <w:spacing w:val="12"/>
                <w:highlight w:val="none"/>
              </w:rPr>
              <w:t>设备安装</w:t>
            </w:r>
          </w:p>
          <w:p w14:paraId="04D3DEF9">
            <w:pPr>
              <w:spacing w:line="420" w:lineRule="auto"/>
              <w:jc w:val="center"/>
              <w:rPr>
                <w:rFonts w:ascii="宋体" w:hAnsi="宋体"/>
                <w:color w:val="000000"/>
                <w:spacing w:val="12"/>
                <w:highlight w:val="none"/>
              </w:rPr>
            </w:pPr>
          </w:p>
          <w:p w14:paraId="4F1DB638">
            <w:pPr>
              <w:spacing w:line="420" w:lineRule="auto"/>
              <w:jc w:val="center"/>
              <w:rPr>
                <w:rFonts w:ascii="宋体" w:hAnsi="宋体"/>
                <w:color w:val="000000"/>
                <w:spacing w:val="12"/>
                <w:highlight w:val="none"/>
              </w:rPr>
            </w:pPr>
            <w:r>
              <w:rPr>
                <w:rFonts w:hint="eastAsia" w:ascii="宋体" w:hAnsi="宋体"/>
                <w:color w:val="000000"/>
                <w:spacing w:val="12"/>
                <w:highlight w:val="none"/>
              </w:rPr>
              <w:t>内</w:t>
            </w:r>
            <w:r>
              <w:rPr>
                <w:rFonts w:ascii="宋体" w:hAnsi="宋体"/>
                <w:color w:val="000000"/>
                <w:spacing w:val="12"/>
                <w:highlight w:val="none"/>
              </w:rPr>
              <w:t xml:space="preserve">   </w:t>
            </w:r>
            <w:r>
              <w:rPr>
                <w:rFonts w:hint="eastAsia" w:ascii="宋体" w:hAnsi="宋体"/>
                <w:color w:val="000000"/>
                <w:spacing w:val="12"/>
                <w:highlight w:val="none"/>
              </w:rPr>
              <w:t>容</w:t>
            </w:r>
          </w:p>
        </w:tc>
        <w:tc>
          <w:tcPr>
            <w:tcW w:w="735" w:type="dxa"/>
          </w:tcPr>
          <w:p w14:paraId="41E47249">
            <w:pPr>
              <w:spacing w:line="420" w:lineRule="auto"/>
              <w:jc w:val="center"/>
              <w:rPr>
                <w:rFonts w:ascii="宋体" w:hAnsi="宋体"/>
                <w:color w:val="000000"/>
                <w:spacing w:val="12"/>
                <w:highlight w:val="none"/>
              </w:rPr>
            </w:pPr>
            <w:r>
              <w:rPr>
                <w:rFonts w:hint="eastAsia" w:ascii="宋体" w:hAnsi="宋体"/>
                <w:color w:val="000000"/>
                <w:spacing w:val="12"/>
                <w:highlight w:val="none"/>
              </w:rPr>
              <w:t>工程造价</w:t>
            </w:r>
          </w:p>
          <w:p w14:paraId="74014298">
            <w:pPr>
              <w:spacing w:line="420" w:lineRule="auto"/>
              <w:jc w:val="center"/>
              <w:rPr>
                <w:rFonts w:ascii="宋体" w:hAnsi="宋体"/>
                <w:color w:val="000000"/>
                <w:spacing w:val="12"/>
                <w:highlight w:val="none"/>
              </w:rPr>
            </w:pPr>
            <w:r>
              <w:rPr>
                <w:rFonts w:ascii="宋体" w:hAnsi="宋体"/>
                <w:color w:val="000000"/>
                <w:spacing w:val="12"/>
                <w:highlight w:val="none"/>
              </w:rPr>
              <w:t>(</w:t>
            </w:r>
            <w:r>
              <w:rPr>
                <w:rFonts w:hint="eastAsia" w:ascii="宋体" w:hAnsi="宋体"/>
                <w:color w:val="000000"/>
                <w:spacing w:val="12"/>
                <w:highlight w:val="none"/>
              </w:rPr>
              <w:t>元</w:t>
            </w:r>
            <w:r>
              <w:rPr>
                <w:rFonts w:ascii="宋体" w:hAnsi="宋体"/>
                <w:color w:val="000000"/>
                <w:spacing w:val="12"/>
                <w:highlight w:val="none"/>
              </w:rPr>
              <w:t>)</w:t>
            </w:r>
          </w:p>
        </w:tc>
        <w:tc>
          <w:tcPr>
            <w:tcW w:w="735" w:type="dxa"/>
          </w:tcPr>
          <w:p w14:paraId="6F64A685">
            <w:pPr>
              <w:spacing w:line="420" w:lineRule="auto"/>
              <w:rPr>
                <w:rFonts w:ascii="宋体" w:hAnsi="宋体"/>
                <w:color w:val="000000"/>
                <w:spacing w:val="12"/>
                <w:highlight w:val="none"/>
              </w:rPr>
            </w:pPr>
            <w:r>
              <w:rPr>
                <w:rFonts w:hint="eastAsia" w:ascii="宋体" w:hAnsi="宋体"/>
                <w:color w:val="000000"/>
                <w:spacing w:val="12"/>
                <w:highlight w:val="none"/>
              </w:rPr>
              <w:t>开工</w:t>
            </w:r>
          </w:p>
          <w:p w14:paraId="03552C57">
            <w:pPr>
              <w:spacing w:line="420" w:lineRule="auto"/>
              <w:rPr>
                <w:rFonts w:ascii="宋体" w:hAnsi="宋体"/>
                <w:color w:val="000000"/>
                <w:spacing w:val="12"/>
                <w:highlight w:val="none"/>
              </w:rPr>
            </w:pPr>
          </w:p>
          <w:p w14:paraId="7592A7FF">
            <w:pPr>
              <w:spacing w:line="420" w:lineRule="auto"/>
              <w:rPr>
                <w:rFonts w:ascii="宋体" w:hAnsi="宋体"/>
                <w:color w:val="000000"/>
                <w:spacing w:val="12"/>
                <w:highlight w:val="none"/>
              </w:rPr>
            </w:pPr>
            <w:r>
              <w:rPr>
                <w:rFonts w:hint="eastAsia" w:ascii="宋体" w:hAnsi="宋体"/>
                <w:color w:val="000000"/>
                <w:spacing w:val="12"/>
                <w:highlight w:val="none"/>
              </w:rPr>
              <w:t>日期</w:t>
            </w:r>
          </w:p>
        </w:tc>
        <w:tc>
          <w:tcPr>
            <w:tcW w:w="735" w:type="dxa"/>
          </w:tcPr>
          <w:p w14:paraId="1643C9CB">
            <w:pPr>
              <w:spacing w:line="420" w:lineRule="auto"/>
              <w:jc w:val="center"/>
              <w:rPr>
                <w:rFonts w:ascii="宋体" w:hAnsi="宋体"/>
                <w:color w:val="000000"/>
                <w:spacing w:val="12"/>
                <w:highlight w:val="none"/>
              </w:rPr>
            </w:pPr>
            <w:r>
              <w:rPr>
                <w:rFonts w:hint="eastAsia" w:ascii="宋体" w:hAnsi="宋体"/>
                <w:color w:val="000000"/>
                <w:spacing w:val="12"/>
                <w:highlight w:val="none"/>
              </w:rPr>
              <w:t>竣工</w:t>
            </w:r>
          </w:p>
          <w:p w14:paraId="41A1275E">
            <w:pPr>
              <w:spacing w:line="420" w:lineRule="auto"/>
              <w:jc w:val="center"/>
              <w:rPr>
                <w:rFonts w:ascii="宋体" w:hAnsi="宋体"/>
                <w:color w:val="000000"/>
                <w:spacing w:val="12"/>
                <w:highlight w:val="none"/>
              </w:rPr>
            </w:pPr>
          </w:p>
          <w:p w14:paraId="5E702AF2">
            <w:pPr>
              <w:spacing w:line="420" w:lineRule="auto"/>
              <w:jc w:val="center"/>
              <w:rPr>
                <w:rFonts w:ascii="宋体" w:hAnsi="宋体"/>
                <w:color w:val="000000"/>
                <w:spacing w:val="12"/>
                <w:highlight w:val="none"/>
              </w:rPr>
            </w:pPr>
            <w:r>
              <w:rPr>
                <w:rFonts w:hint="eastAsia" w:ascii="宋体" w:hAnsi="宋体"/>
                <w:color w:val="000000"/>
                <w:spacing w:val="12"/>
                <w:highlight w:val="none"/>
              </w:rPr>
              <w:t>日期</w:t>
            </w:r>
          </w:p>
        </w:tc>
      </w:tr>
      <w:tr w14:paraId="1BDF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91" w:type="dxa"/>
          </w:tcPr>
          <w:p w14:paraId="141FA13C">
            <w:pPr>
              <w:spacing w:line="420" w:lineRule="auto"/>
              <w:rPr>
                <w:rFonts w:ascii="宋体" w:hAnsi="宋体"/>
                <w:color w:val="000000"/>
                <w:highlight w:val="none"/>
              </w:rPr>
            </w:pPr>
          </w:p>
        </w:tc>
        <w:tc>
          <w:tcPr>
            <w:tcW w:w="791" w:type="dxa"/>
          </w:tcPr>
          <w:p w14:paraId="1C7925BC">
            <w:pPr>
              <w:spacing w:line="420" w:lineRule="auto"/>
              <w:rPr>
                <w:rFonts w:ascii="宋体" w:hAnsi="宋体"/>
                <w:color w:val="000000"/>
                <w:spacing w:val="12"/>
                <w:highlight w:val="none"/>
              </w:rPr>
            </w:pPr>
          </w:p>
        </w:tc>
        <w:tc>
          <w:tcPr>
            <w:tcW w:w="1155" w:type="dxa"/>
          </w:tcPr>
          <w:p w14:paraId="6EA953D8">
            <w:pPr>
              <w:spacing w:line="420" w:lineRule="auto"/>
              <w:rPr>
                <w:rFonts w:ascii="宋体" w:hAnsi="宋体"/>
                <w:color w:val="000000"/>
                <w:spacing w:val="12"/>
                <w:highlight w:val="none"/>
              </w:rPr>
            </w:pPr>
          </w:p>
        </w:tc>
        <w:tc>
          <w:tcPr>
            <w:tcW w:w="525" w:type="dxa"/>
          </w:tcPr>
          <w:p w14:paraId="7102684C">
            <w:pPr>
              <w:spacing w:line="420" w:lineRule="auto"/>
              <w:rPr>
                <w:rFonts w:ascii="宋体" w:hAnsi="宋体"/>
                <w:color w:val="000000"/>
                <w:spacing w:val="12"/>
                <w:highlight w:val="none"/>
              </w:rPr>
            </w:pPr>
          </w:p>
        </w:tc>
        <w:tc>
          <w:tcPr>
            <w:tcW w:w="525" w:type="dxa"/>
          </w:tcPr>
          <w:p w14:paraId="04681BEE">
            <w:pPr>
              <w:spacing w:line="420" w:lineRule="auto"/>
              <w:rPr>
                <w:rFonts w:ascii="宋体" w:hAnsi="宋体"/>
                <w:color w:val="000000"/>
                <w:spacing w:val="12"/>
                <w:highlight w:val="none"/>
              </w:rPr>
            </w:pPr>
          </w:p>
        </w:tc>
        <w:tc>
          <w:tcPr>
            <w:tcW w:w="735" w:type="dxa"/>
          </w:tcPr>
          <w:p w14:paraId="290437BA">
            <w:pPr>
              <w:spacing w:line="420" w:lineRule="auto"/>
              <w:rPr>
                <w:rFonts w:ascii="宋体" w:hAnsi="宋体"/>
                <w:color w:val="000000"/>
                <w:spacing w:val="12"/>
                <w:highlight w:val="none"/>
              </w:rPr>
            </w:pPr>
          </w:p>
        </w:tc>
        <w:tc>
          <w:tcPr>
            <w:tcW w:w="1155" w:type="dxa"/>
          </w:tcPr>
          <w:p w14:paraId="21DAB23D">
            <w:pPr>
              <w:spacing w:line="420" w:lineRule="auto"/>
              <w:rPr>
                <w:rFonts w:ascii="宋体" w:hAnsi="宋体"/>
                <w:color w:val="000000"/>
                <w:spacing w:val="12"/>
                <w:highlight w:val="none"/>
              </w:rPr>
            </w:pPr>
          </w:p>
        </w:tc>
        <w:tc>
          <w:tcPr>
            <w:tcW w:w="735" w:type="dxa"/>
          </w:tcPr>
          <w:p w14:paraId="5DF49591">
            <w:pPr>
              <w:spacing w:line="420" w:lineRule="auto"/>
              <w:rPr>
                <w:rFonts w:ascii="宋体" w:hAnsi="宋体"/>
                <w:color w:val="000000"/>
                <w:spacing w:val="12"/>
                <w:highlight w:val="none"/>
              </w:rPr>
            </w:pPr>
          </w:p>
        </w:tc>
        <w:tc>
          <w:tcPr>
            <w:tcW w:w="735" w:type="dxa"/>
          </w:tcPr>
          <w:p w14:paraId="0B1AB97D">
            <w:pPr>
              <w:spacing w:line="420" w:lineRule="auto"/>
              <w:rPr>
                <w:rFonts w:ascii="宋体" w:hAnsi="宋体"/>
                <w:color w:val="000000"/>
                <w:spacing w:val="12"/>
                <w:highlight w:val="none"/>
              </w:rPr>
            </w:pPr>
          </w:p>
        </w:tc>
        <w:tc>
          <w:tcPr>
            <w:tcW w:w="735" w:type="dxa"/>
          </w:tcPr>
          <w:p w14:paraId="1B4AB3C6">
            <w:pPr>
              <w:spacing w:line="420" w:lineRule="auto"/>
              <w:rPr>
                <w:rFonts w:ascii="宋体" w:hAnsi="宋体"/>
                <w:color w:val="000000"/>
                <w:spacing w:val="12"/>
                <w:highlight w:val="none"/>
              </w:rPr>
            </w:pPr>
          </w:p>
        </w:tc>
      </w:tr>
      <w:tr w14:paraId="5F0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661A81EC">
            <w:pPr>
              <w:spacing w:line="420" w:lineRule="auto"/>
              <w:rPr>
                <w:rFonts w:ascii="宋体" w:hAnsi="宋体"/>
                <w:color w:val="000000"/>
                <w:highlight w:val="none"/>
              </w:rPr>
            </w:pPr>
          </w:p>
        </w:tc>
        <w:tc>
          <w:tcPr>
            <w:tcW w:w="791" w:type="dxa"/>
          </w:tcPr>
          <w:p w14:paraId="21F73206">
            <w:pPr>
              <w:spacing w:line="420" w:lineRule="auto"/>
              <w:rPr>
                <w:rFonts w:ascii="宋体" w:hAnsi="宋体"/>
                <w:color w:val="000000"/>
                <w:spacing w:val="12"/>
                <w:highlight w:val="none"/>
              </w:rPr>
            </w:pPr>
          </w:p>
        </w:tc>
        <w:tc>
          <w:tcPr>
            <w:tcW w:w="1155" w:type="dxa"/>
          </w:tcPr>
          <w:p w14:paraId="2346CA40">
            <w:pPr>
              <w:spacing w:line="420" w:lineRule="auto"/>
              <w:rPr>
                <w:rFonts w:ascii="宋体" w:hAnsi="宋体"/>
                <w:color w:val="000000"/>
                <w:spacing w:val="12"/>
                <w:highlight w:val="none"/>
              </w:rPr>
            </w:pPr>
          </w:p>
        </w:tc>
        <w:tc>
          <w:tcPr>
            <w:tcW w:w="525" w:type="dxa"/>
          </w:tcPr>
          <w:p w14:paraId="6DC9CA52">
            <w:pPr>
              <w:spacing w:line="420" w:lineRule="auto"/>
              <w:rPr>
                <w:rFonts w:ascii="宋体" w:hAnsi="宋体"/>
                <w:color w:val="000000"/>
                <w:spacing w:val="12"/>
                <w:highlight w:val="none"/>
              </w:rPr>
            </w:pPr>
          </w:p>
        </w:tc>
        <w:tc>
          <w:tcPr>
            <w:tcW w:w="525" w:type="dxa"/>
          </w:tcPr>
          <w:p w14:paraId="71639A28">
            <w:pPr>
              <w:spacing w:line="420" w:lineRule="auto"/>
              <w:rPr>
                <w:rFonts w:ascii="宋体" w:hAnsi="宋体"/>
                <w:color w:val="000000"/>
                <w:spacing w:val="12"/>
                <w:highlight w:val="none"/>
              </w:rPr>
            </w:pPr>
          </w:p>
        </w:tc>
        <w:tc>
          <w:tcPr>
            <w:tcW w:w="735" w:type="dxa"/>
          </w:tcPr>
          <w:p w14:paraId="151DDFCD">
            <w:pPr>
              <w:spacing w:line="420" w:lineRule="auto"/>
              <w:rPr>
                <w:rFonts w:ascii="宋体" w:hAnsi="宋体"/>
                <w:color w:val="000000"/>
                <w:spacing w:val="12"/>
                <w:highlight w:val="none"/>
              </w:rPr>
            </w:pPr>
          </w:p>
        </w:tc>
        <w:tc>
          <w:tcPr>
            <w:tcW w:w="1155" w:type="dxa"/>
          </w:tcPr>
          <w:p w14:paraId="361F8B46">
            <w:pPr>
              <w:spacing w:line="420" w:lineRule="auto"/>
              <w:rPr>
                <w:rFonts w:ascii="宋体" w:hAnsi="宋体"/>
                <w:color w:val="000000"/>
                <w:spacing w:val="12"/>
                <w:highlight w:val="none"/>
              </w:rPr>
            </w:pPr>
          </w:p>
        </w:tc>
        <w:tc>
          <w:tcPr>
            <w:tcW w:w="735" w:type="dxa"/>
          </w:tcPr>
          <w:p w14:paraId="732EC110">
            <w:pPr>
              <w:spacing w:line="420" w:lineRule="auto"/>
              <w:rPr>
                <w:rFonts w:ascii="宋体" w:hAnsi="宋体"/>
                <w:color w:val="000000"/>
                <w:spacing w:val="12"/>
                <w:highlight w:val="none"/>
              </w:rPr>
            </w:pPr>
          </w:p>
        </w:tc>
        <w:tc>
          <w:tcPr>
            <w:tcW w:w="735" w:type="dxa"/>
          </w:tcPr>
          <w:p w14:paraId="63B16B56">
            <w:pPr>
              <w:spacing w:line="420" w:lineRule="auto"/>
              <w:rPr>
                <w:rFonts w:ascii="宋体" w:hAnsi="宋体"/>
                <w:color w:val="000000"/>
                <w:spacing w:val="12"/>
                <w:highlight w:val="none"/>
              </w:rPr>
            </w:pPr>
          </w:p>
        </w:tc>
        <w:tc>
          <w:tcPr>
            <w:tcW w:w="735" w:type="dxa"/>
          </w:tcPr>
          <w:p w14:paraId="286FAB12">
            <w:pPr>
              <w:spacing w:line="420" w:lineRule="auto"/>
              <w:rPr>
                <w:rFonts w:ascii="宋体" w:hAnsi="宋体"/>
                <w:color w:val="000000"/>
                <w:spacing w:val="12"/>
                <w:highlight w:val="none"/>
              </w:rPr>
            </w:pPr>
          </w:p>
        </w:tc>
      </w:tr>
      <w:tr w14:paraId="3E3F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F5F547E">
            <w:pPr>
              <w:spacing w:line="420" w:lineRule="auto"/>
              <w:rPr>
                <w:rFonts w:ascii="宋体" w:hAnsi="宋体"/>
                <w:color w:val="000000"/>
                <w:spacing w:val="12"/>
                <w:highlight w:val="none"/>
              </w:rPr>
            </w:pPr>
          </w:p>
        </w:tc>
        <w:tc>
          <w:tcPr>
            <w:tcW w:w="791" w:type="dxa"/>
          </w:tcPr>
          <w:p w14:paraId="07395891">
            <w:pPr>
              <w:spacing w:line="420" w:lineRule="auto"/>
              <w:rPr>
                <w:rFonts w:ascii="宋体" w:hAnsi="宋体"/>
                <w:color w:val="000000"/>
                <w:spacing w:val="12"/>
                <w:highlight w:val="none"/>
              </w:rPr>
            </w:pPr>
          </w:p>
        </w:tc>
        <w:tc>
          <w:tcPr>
            <w:tcW w:w="1155" w:type="dxa"/>
          </w:tcPr>
          <w:p w14:paraId="3E0770A4">
            <w:pPr>
              <w:spacing w:line="420" w:lineRule="auto"/>
              <w:rPr>
                <w:rFonts w:ascii="宋体" w:hAnsi="宋体"/>
                <w:color w:val="000000"/>
                <w:spacing w:val="12"/>
                <w:highlight w:val="none"/>
              </w:rPr>
            </w:pPr>
          </w:p>
        </w:tc>
        <w:tc>
          <w:tcPr>
            <w:tcW w:w="525" w:type="dxa"/>
          </w:tcPr>
          <w:p w14:paraId="3E7925BC">
            <w:pPr>
              <w:spacing w:line="420" w:lineRule="auto"/>
              <w:rPr>
                <w:rFonts w:ascii="宋体" w:hAnsi="宋体"/>
                <w:color w:val="000000"/>
                <w:spacing w:val="12"/>
                <w:highlight w:val="none"/>
              </w:rPr>
            </w:pPr>
          </w:p>
        </w:tc>
        <w:tc>
          <w:tcPr>
            <w:tcW w:w="525" w:type="dxa"/>
          </w:tcPr>
          <w:p w14:paraId="48A97530">
            <w:pPr>
              <w:spacing w:line="420" w:lineRule="auto"/>
              <w:rPr>
                <w:rFonts w:ascii="宋体" w:hAnsi="宋体"/>
                <w:color w:val="000000"/>
                <w:spacing w:val="12"/>
                <w:highlight w:val="none"/>
              </w:rPr>
            </w:pPr>
          </w:p>
        </w:tc>
        <w:tc>
          <w:tcPr>
            <w:tcW w:w="735" w:type="dxa"/>
          </w:tcPr>
          <w:p w14:paraId="28018EC0">
            <w:pPr>
              <w:spacing w:line="420" w:lineRule="auto"/>
              <w:rPr>
                <w:rFonts w:ascii="宋体" w:hAnsi="宋体"/>
                <w:color w:val="000000"/>
                <w:spacing w:val="12"/>
                <w:highlight w:val="none"/>
              </w:rPr>
            </w:pPr>
          </w:p>
        </w:tc>
        <w:tc>
          <w:tcPr>
            <w:tcW w:w="1155" w:type="dxa"/>
          </w:tcPr>
          <w:p w14:paraId="5ECE2D32">
            <w:pPr>
              <w:spacing w:line="420" w:lineRule="auto"/>
              <w:rPr>
                <w:rFonts w:ascii="宋体" w:hAnsi="宋体"/>
                <w:color w:val="000000"/>
                <w:spacing w:val="12"/>
                <w:highlight w:val="none"/>
              </w:rPr>
            </w:pPr>
          </w:p>
        </w:tc>
        <w:tc>
          <w:tcPr>
            <w:tcW w:w="735" w:type="dxa"/>
          </w:tcPr>
          <w:p w14:paraId="26A8C204">
            <w:pPr>
              <w:spacing w:line="420" w:lineRule="auto"/>
              <w:rPr>
                <w:rFonts w:ascii="宋体" w:hAnsi="宋体"/>
                <w:color w:val="000000"/>
                <w:spacing w:val="12"/>
                <w:highlight w:val="none"/>
              </w:rPr>
            </w:pPr>
          </w:p>
        </w:tc>
        <w:tc>
          <w:tcPr>
            <w:tcW w:w="735" w:type="dxa"/>
          </w:tcPr>
          <w:p w14:paraId="3327C7AE">
            <w:pPr>
              <w:spacing w:line="420" w:lineRule="auto"/>
              <w:rPr>
                <w:rFonts w:ascii="宋体" w:hAnsi="宋体"/>
                <w:color w:val="000000"/>
                <w:spacing w:val="12"/>
                <w:highlight w:val="none"/>
              </w:rPr>
            </w:pPr>
          </w:p>
        </w:tc>
        <w:tc>
          <w:tcPr>
            <w:tcW w:w="735" w:type="dxa"/>
          </w:tcPr>
          <w:p w14:paraId="182428D8">
            <w:pPr>
              <w:spacing w:line="420" w:lineRule="auto"/>
              <w:rPr>
                <w:rFonts w:ascii="宋体" w:hAnsi="宋体"/>
                <w:color w:val="000000"/>
                <w:spacing w:val="12"/>
                <w:highlight w:val="none"/>
              </w:rPr>
            </w:pPr>
          </w:p>
        </w:tc>
      </w:tr>
      <w:tr w14:paraId="3DA8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8833047">
            <w:pPr>
              <w:spacing w:line="420" w:lineRule="auto"/>
              <w:rPr>
                <w:rFonts w:ascii="宋体" w:hAnsi="宋体"/>
                <w:color w:val="000000"/>
                <w:spacing w:val="12"/>
                <w:highlight w:val="none"/>
              </w:rPr>
            </w:pPr>
          </w:p>
        </w:tc>
        <w:tc>
          <w:tcPr>
            <w:tcW w:w="791" w:type="dxa"/>
          </w:tcPr>
          <w:p w14:paraId="4BDFE2B1">
            <w:pPr>
              <w:spacing w:line="420" w:lineRule="auto"/>
              <w:rPr>
                <w:rFonts w:ascii="宋体" w:hAnsi="宋体"/>
                <w:color w:val="000000"/>
                <w:spacing w:val="12"/>
                <w:highlight w:val="none"/>
              </w:rPr>
            </w:pPr>
          </w:p>
        </w:tc>
        <w:tc>
          <w:tcPr>
            <w:tcW w:w="1155" w:type="dxa"/>
          </w:tcPr>
          <w:p w14:paraId="67088467">
            <w:pPr>
              <w:spacing w:line="420" w:lineRule="auto"/>
              <w:rPr>
                <w:rFonts w:ascii="宋体" w:hAnsi="宋体"/>
                <w:color w:val="000000"/>
                <w:spacing w:val="12"/>
                <w:highlight w:val="none"/>
              </w:rPr>
            </w:pPr>
          </w:p>
        </w:tc>
        <w:tc>
          <w:tcPr>
            <w:tcW w:w="525" w:type="dxa"/>
          </w:tcPr>
          <w:p w14:paraId="4CCC5708">
            <w:pPr>
              <w:spacing w:line="420" w:lineRule="auto"/>
              <w:rPr>
                <w:rFonts w:ascii="宋体" w:hAnsi="宋体"/>
                <w:color w:val="000000"/>
                <w:spacing w:val="12"/>
                <w:highlight w:val="none"/>
              </w:rPr>
            </w:pPr>
          </w:p>
        </w:tc>
        <w:tc>
          <w:tcPr>
            <w:tcW w:w="525" w:type="dxa"/>
          </w:tcPr>
          <w:p w14:paraId="5633B229">
            <w:pPr>
              <w:spacing w:line="420" w:lineRule="auto"/>
              <w:rPr>
                <w:rFonts w:ascii="宋体" w:hAnsi="宋体"/>
                <w:color w:val="000000"/>
                <w:spacing w:val="12"/>
                <w:highlight w:val="none"/>
              </w:rPr>
            </w:pPr>
          </w:p>
        </w:tc>
        <w:tc>
          <w:tcPr>
            <w:tcW w:w="735" w:type="dxa"/>
          </w:tcPr>
          <w:p w14:paraId="1846AA16">
            <w:pPr>
              <w:spacing w:line="420" w:lineRule="auto"/>
              <w:rPr>
                <w:rFonts w:ascii="宋体" w:hAnsi="宋体"/>
                <w:color w:val="000000"/>
                <w:spacing w:val="12"/>
                <w:highlight w:val="none"/>
              </w:rPr>
            </w:pPr>
          </w:p>
        </w:tc>
        <w:tc>
          <w:tcPr>
            <w:tcW w:w="1155" w:type="dxa"/>
          </w:tcPr>
          <w:p w14:paraId="69F7C3A3">
            <w:pPr>
              <w:spacing w:line="420" w:lineRule="auto"/>
              <w:rPr>
                <w:rFonts w:ascii="宋体" w:hAnsi="宋体"/>
                <w:color w:val="000000"/>
                <w:spacing w:val="12"/>
                <w:highlight w:val="none"/>
              </w:rPr>
            </w:pPr>
          </w:p>
        </w:tc>
        <w:tc>
          <w:tcPr>
            <w:tcW w:w="735" w:type="dxa"/>
          </w:tcPr>
          <w:p w14:paraId="61194683">
            <w:pPr>
              <w:spacing w:line="420" w:lineRule="auto"/>
              <w:rPr>
                <w:rFonts w:ascii="宋体" w:hAnsi="宋体"/>
                <w:color w:val="000000"/>
                <w:spacing w:val="12"/>
                <w:highlight w:val="none"/>
              </w:rPr>
            </w:pPr>
          </w:p>
        </w:tc>
        <w:tc>
          <w:tcPr>
            <w:tcW w:w="735" w:type="dxa"/>
          </w:tcPr>
          <w:p w14:paraId="21B30AED">
            <w:pPr>
              <w:spacing w:line="420" w:lineRule="auto"/>
              <w:rPr>
                <w:rFonts w:ascii="宋体" w:hAnsi="宋体"/>
                <w:color w:val="000000"/>
                <w:spacing w:val="12"/>
                <w:highlight w:val="none"/>
              </w:rPr>
            </w:pPr>
          </w:p>
        </w:tc>
        <w:tc>
          <w:tcPr>
            <w:tcW w:w="735" w:type="dxa"/>
          </w:tcPr>
          <w:p w14:paraId="6CB6D8D2">
            <w:pPr>
              <w:spacing w:line="420" w:lineRule="auto"/>
              <w:rPr>
                <w:rFonts w:ascii="宋体" w:hAnsi="宋体"/>
                <w:color w:val="000000"/>
                <w:spacing w:val="12"/>
                <w:highlight w:val="none"/>
              </w:rPr>
            </w:pPr>
          </w:p>
        </w:tc>
      </w:tr>
      <w:tr w14:paraId="5E57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14F3C563">
            <w:pPr>
              <w:spacing w:line="420" w:lineRule="auto"/>
              <w:rPr>
                <w:rFonts w:ascii="宋体" w:hAnsi="宋体"/>
                <w:color w:val="000000"/>
                <w:spacing w:val="12"/>
                <w:highlight w:val="none"/>
              </w:rPr>
            </w:pPr>
          </w:p>
        </w:tc>
        <w:tc>
          <w:tcPr>
            <w:tcW w:w="791" w:type="dxa"/>
          </w:tcPr>
          <w:p w14:paraId="66E83171">
            <w:pPr>
              <w:spacing w:line="420" w:lineRule="auto"/>
              <w:rPr>
                <w:rFonts w:ascii="宋体" w:hAnsi="宋体"/>
                <w:color w:val="000000"/>
                <w:spacing w:val="12"/>
                <w:highlight w:val="none"/>
              </w:rPr>
            </w:pPr>
          </w:p>
        </w:tc>
        <w:tc>
          <w:tcPr>
            <w:tcW w:w="1155" w:type="dxa"/>
          </w:tcPr>
          <w:p w14:paraId="74BDAB04">
            <w:pPr>
              <w:spacing w:line="420" w:lineRule="auto"/>
              <w:rPr>
                <w:rFonts w:ascii="宋体" w:hAnsi="宋体"/>
                <w:color w:val="000000"/>
                <w:spacing w:val="12"/>
                <w:highlight w:val="none"/>
              </w:rPr>
            </w:pPr>
          </w:p>
        </w:tc>
        <w:tc>
          <w:tcPr>
            <w:tcW w:w="525" w:type="dxa"/>
          </w:tcPr>
          <w:p w14:paraId="2B56B908">
            <w:pPr>
              <w:spacing w:line="420" w:lineRule="auto"/>
              <w:rPr>
                <w:rFonts w:ascii="宋体" w:hAnsi="宋体"/>
                <w:color w:val="000000"/>
                <w:spacing w:val="12"/>
                <w:highlight w:val="none"/>
              </w:rPr>
            </w:pPr>
          </w:p>
        </w:tc>
        <w:tc>
          <w:tcPr>
            <w:tcW w:w="525" w:type="dxa"/>
          </w:tcPr>
          <w:p w14:paraId="3905360F">
            <w:pPr>
              <w:spacing w:line="420" w:lineRule="auto"/>
              <w:rPr>
                <w:rFonts w:ascii="宋体" w:hAnsi="宋体"/>
                <w:color w:val="000000"/>
                <w:spacing w:val="12"/>
                <w:highlight w:val="none"/>
              </w:rPr>
            </w:pPr>
          </w:p>
        </w:tc>
        <w:tc>
          <w:tcPr>
            <w:tcW w:w="735" w:type="dxa"/>
          </w:tcPr>
          <w:p w14:paraId="17F7A23C">
            <w:pPr>
              <w:spacing w:line="420" w:lineRule="auto"/>
              <w:rPr>
                <w:rFonts w:ascii="宋体" w:hAnsi="宋体"/>
                <w:color w:val="000000"/>
                <w:spacing w:val="12"/>
                <w:highlight w:val="none"/>
              </w:rPr>
            </w:pPr>
          </w:p>
        </w:tc>
        <w:tc>
          <w:tcPr>
            <w:tcW w:w="1155" w:type="dxa"/>
          </w:tcPr>
          <w:p w14:paraId="1217A7E6">
            <w:pPr>
              <w:spacing w:line="420" w:lineRule="auto"/>
              <w:rPr>
                <w:rFonts w:ascii="宋体" w:hAnsi="宋体"/>
                <w:color w:val="000000"/>
                <w:spacing w:val="12"/>
                <w:highlight w:val="none"/>
              </w:rPr>
            </w:pPr>
          </w:p>
        </w:tc>
        <w:tc>
          <w:tcPr>
            <w:tcW w:w="735" w:type="dxa"/>
          </w:tcPr>
          <w:p w14:paraId="3090DCB3">
            <w:pPr>
              <w:spacing w:line="420" w:lineRule="auto"/>
              <w:rPr>
                <w:rFonts w:ascii="宋体" w:hAnsi="宋体"/>
                <w:color w:val="000000"/>
                <w:spacing w:val="12"/>
                <w:highlight w:val="none"/>
              </w:rPr>
            </w:pPr>
          </w:p>
        </w:tc>
        <w:tc>
          <w:tcPr>
            <w:tcW w:w="735" w:type="dxa"/>
          </w:tcPr>
          <w:p w14:paraId="406F9712">
            <w:pPr>
              <w:spacing w:line="420" w:lineRule="auto"/>
              <w:rPr>
                <w:rFonts w:ascii="宋体" w:hAnsi="宋体"/>
                <w:color w:val="000000"/>
                <w:spacing w:val="12"/>
                <w:highlight w:val="none"/>
              </w:rPr>
            </w:pPr>
          </w:p>
        </w:tc>
        <w:tc>
          <w:tcPr>
            <w:tcW w:w="735" w:type="dxa"/>
          </w:tcPr>
          <w:p w14:paraId="1403516D">
            <w:pPr>
              <w:spacing w:line="420" w:lineRule="auto"/>
              <w:rPr>
                <w:rFonts w:ascii="宋体" w:hAnsi="宋体"/>
                <w:color w:val="000000"/>
                <w:spacing w:val="12"/>
                <w:highlight w:val="none"/>
              </w:rPr>
            </w:pPr>
          </w:p>
        </w:tc>
      </w:tr>
      <w:tr w14:paraId="4A3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1" w:type="dxa"/>
          </w:tcPr>
          <w:p w14:paraId="5F9B2311">
            <w:pPr>
              <w:spacing w:line="420" w:lineRule="auto"/>
              <w:rPr>
                <w:rFonts w:ascii="宋体" w:hAnsi="宋体"/>
                <w:color w:val="000000"/>
                <w:spacing w:val="12"/>
                <w:highlight w:val="none"/>
              </w:rPr>
            </w:pPr>
          </w:p>
        </w:tc>
        <w:tc>
          <w:tcPr>
            <w:tcW w:w="791" w:type="dxa"/>
          </w:tcPr>
          <w:p w14:paraId="5D9D3D15">
            <w:pPr>
              <w:spacing w:line="420" w:lineRule="auto"/>
              <w:rPr>
                <w:rFonts w:ascii="宋体" w:hAnsi="宋体"/>
                <w:color w:val="000000"/>
                <w:spacing w:val="12"/>
                <w:highlight w:val="none"/>
              </w:rPr>
            </w:pPr>
          </w:p>
        </w:tc>
        <w:tc>
          <w:tcPr>
            <w:tcW w:w="1155" w:type="dxa"/>
          </w:tcPr>
          <w:p w14:paraId="743D3CC5">
            <w:pPr>
              <w:spacing w:line="420" w:lineRule="auto"/>
              <w:rPr>
                <w:rFonts w:ascii="宋体" w:hAnsi="宋体"/>
                <w:color w:val="000000"/>
                <w:spacing w:val="12"/>
                <w:highlight w:val="none"/>
              </w:rPr>
            </w:pPr>
          </w:p>
        </w:tc>
        <w:tc>
          <w:tcPr>
            <w:tcW w:w="525" w:type="dxa"/>
          </w:tcPr>
          <w:p w14:paraId="6C515237">
            <w:pPr>
              <w:spacing w:line="420" w:lineRule="auto"/>
              <w:rPr>
                <w:rFonts w:ascii="宋体" w:hAnsi="宋体"/>
                <w:color w:val="000000"/>
                <w:spacing w:val="12"/>
                <w:highlight w:val="none"/>
              </w:rPr>
            </w:pPr>
          </w:p>
        </w:tc>
        <w:tc>
          <w:tcPr>
            <w:tcW w:w="525" w:type="dxa"/>
          </w:tcPr>
          <w:p w14:paraId="06CC038B">
            <w:pPr>
              <w:spacing w:line="420" w:lineRule="auto"/>
              <w:rPr>
                <w:rFonts w:ascii="宋体" w:hAnsi="宋体"/>
                <w:color w:val="000000"/>
                <w:spacing w:val="12"/>
                <w:highlight w:val="none"/>
              </w:rPr>
            </w:pPr>
          </w:p>
        </w:tc>
        <w:tc>
          <w:tcPr>
            <w:tcW w:w="735" w:type="dxa"/>
          </w:tcPr>
          <w:p w14:paraId="5BB08CD6">
            <w:pPr>
              <w:spacing w:line="420" w:lineRule="auto"/>
              <w:rPr>
                <w:rFonts w:ascii="宋体" w:hAnsi="宋体"/>
                <w:color w:val="000000"/>
                <w:spacing w:val="12"/>
                <w:highlight w:val="none"/>
              </w:rPr>
            </w:pPr>
          </w:p>
        </w:tc>
        <w:tc>
          <w:tcPr>
            <w:tcW w:w="1155" w:type="dxa"/>
          </w:tcPr>
          <w:p w14:paraId="1F17E76E">
            <w:pPr>
              <w:spacing w:line="420" w:lineRule="auto"/>
              <w:rPr>
                <w:rFonts w:ascii="宋体" w:hAnsi="宋体"/>
                <w:color w:val="000000"/>
                <w:spacing w:val="12"/>
                <w:highlight w:val="none"/>
              </w:rPr>
            </w:pPr>
          </w:p>
        </w:tc>
        <w:tc>
          <w:tcPr>
            <w:tcW w:w="735" w:type="dxa"/>
          </w:tcPr>
          <w:p w14:paraId="731619D6">
            <w:pPr>
              <w:spacing w:line="420" w:lineRule="auto"/>
              <w:rPr>
                <w:rFonts w:ascii="宋体" w:hAnsi="宋体"/>
                <w:color w:val="000000"/>
                <w:spacing w:val="12"/>
                <w:highlight w:val="none"/>
              </w:rPr>
            </w:pPr>
          </w:p>
        </w:tc>
        <w:tc>
          <w:tcPr>
            <w:tcW w:w="735" w:type="dxa"/>
          </w:tcPr>
          <w:p w14:paraId="31EA0D65">
            <w:pPr>
              <w:spacing w:line="420" w:lineRule="auto"/>
              <w:rPr>
                <w:rFonts w:ascii="宋体" w:hAnsi="宋体"/>
                <w:color w:val="000000"/>
                <w:spacing w:val="12"/>
                <w:highlight w:val="none"/>
              </w:rPr>
            </w:pPr>
          </w:p>
        </w:tc>
        <w:tc>
          <w:tcPr>
            <w:tcW w:w="735" w:type="dxa"/>
          </w:tcPr>
          <w:p w14:paraId="7B10AFD5">
            <w:pPr>
              <w:spacing w:line="420" w:lineRule="auto"/>
              <w:rPr>
                <w:rFonts w:ascii="宋体" w:hAnsi="宋体"/>
                <w:color w:val="000000"/>
                <w:spacing w:val="12"/>
                <w:highlight w:val="none"/>
              </w:rPr>
            </w:pPr>
          </w:p>
        </w:tc>
      </w:tr>
      <w:tr w14:paraId="599B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7890D1E">
            <w:pPr>
              <w:spacing w:line="420" w:lineRule="auto"/>
              <w:rPr>
                <w:rFonts w:ascii="宋体" w:hAnsi="宋体"/>
                <w:color w:val="000000"/>
                <w:spacing w:val="12"/>
                <w:highlight w:val="none"/>
              </w:rPr>
            </w:pPr>
          </w:p>
        </w:tc>
        <w:tc>
          <w:tcPr>
            <w:tcW w:w="791" w:type="dxa"/>
          </w:tcPr>
          <w:p w14:paraId="4FC8F796">
            <w:pPr>
              <w:spacing w:line="420" w:lineRule="auto"/>
              <w:rPr>
                <w:rFonts w:ascii="宋体" w:hAnsi="宋体"/>
                <w:color w:val="000000"/>
                <w:spacing w:val="12"/>
                <w:highlight w:val="none"/>
              </w:rPr>
            </w:pPr>
          </w:p>
        </w:tc>
        <w:tc>
          <w:tcPr>
            <w:tcW w:w="1155" w:type="dxa"/>
          </w:tcPr>
          <w:p w14:paraId="6BCF1E77">
            <w:pPr>
              <w:spacing w:line="420" w:lineRule="auto"/>
              <w:rPr>
                <w:rFonts w:ascii="宋体" w:hAnsi="宋体"/>
                <w:color w:val="000000"/>
                <w:spacing w:val="12"/>
                <w:highlight w:val="none"/>
              </w:rPr>
            </w:pPr>
          </w:p>
        </w:tc>
        <w:tc>
          <w:tcPr>
            <w:tcW w:w="525" w:type="dxa"/>
          </w:tcPr>
          <w:p w14:paraId="03D0A76E">
            <w:pPr>
              <w:spacing w:line="420" w:lineRule="auto"/>
              <w:rPr>
                <w:rFonts w:ascii="宋体" w:hAnsi="宋体"/>
                <w:color w:val="000000"/>
                <w:spacing w:val="12"/>
                <w:highlight w:val="none"/>
              </w:rPr>
            </w:pPr>
          </w:p>
        </w:tc>
        <w:tc>
          <w:tcPr>
            <w:tcW w:w="525" w:type="dxa"/>
          </w:tcPr>
          <w:p w14:paraId="76B3E586">
            <w:pPr>
              <w:spacing w:line="420" w:lineRule="auto"/>
              <w:rPr>
                <w:rFonts w:ascii="宋体" w:hAnsi="宋体"/>
                <w:color w:val="000000"/>
                <w:spacing w:val="12"/>
                <w:highlight w:val="none"/>
              </w:rPr>
            </w:pPr>
          </w:p>
        </w:tc>
        <w:tc>
          <w:tcPr>
            <w:tcW w:w="735" w:type="dxa"/>
          </w:tcPr>
          <w:p w14:paraId="6E793937">
            <w:pPr>
              <w:spacing w:line="420" w:lineRule="auto"/>
              <w:rPr>
                <w:rFonts w:ascii="宋体" w:hAnsi="宋体"/>
                <w:color w:val="000000"/>
                <w:spacing w:val="12"/>
                <w:highlight w:val="none"/>
              </w:rPr>
            </w:pPr>
          </w:p>
        </w:tc>
        <w:tc>
          <w:tcPr>
            <w:tcW w:w="1155" w:type="dxa"/>
          </w:tcPr>
          <w:p w14:paraId="3B94F6C8">
            <w:pPr>
              <w:spacing w:line="420" w:lineRule="auto"/>
              <w:rPr>
                <w:rFonts w:ascii="宋体" w:hAnsi="宋体"/>
                <w:color w:val="000000"/>
                <w:spacing w:val="12"/>
                <w:highlight w:val="none"/>
              </w:rPr>
            </w:pPr>
          </w:p>
        </w:tc>
        <w:tc>
          <w:tcPr>
            <w:tcW w:w="735" w:type="dxa"/>
          </w:tcPr>
          <w:p w14:paraId="5CCC1D9D">
            <w:pPr>
              <w:spacing w:line="420" w:lineRule="auto"/>
              <w:rPr>
                <w:rFonts w:ascii="宋体" w:hAnsi="宋体"/>
                <w:color w:val="000000"/>
                <w:spacing w:val="12"/>
                <w:highlight w:val="none"/>
              </w:rPr>
            </w:pPr>
          </w:p>
        </w:tc>
        <w:tc>
          <w:tcPr>
            <w:tcW w:w="735" w:type="dxa"/>
          </w:tcPr>
          <w:p w14:paraId="1D98EA67">
            <w:pPr>
              <w:spacing w:line="420" w:lineRule="auto"/>
              <w:rPr>
                <w:rFonts w:ascii="宋体" w:hAnsi="宋体"/>
                <w:color w:val="000000"/>
                <w:spacing w:val="12"/>
                <w:highlight w:val="none"/>
              </w:rPr>
            </w:pPr>
          </w:p>
        </w:tc>
        <w:tc>
          <w:tcPr>
            <w:tcW w:w="735" w:type="dxa"/>
          </w:tcPr>
          <w:p w14:paraId="0E652725">
            <w:pPr>
              <w:spacing w:line="420" w:lineRule="auto"/>
              <w:rPr>
                <w:rFonts w:ascii="宋体" w:hAnsi="宋体"/>
                <w:color w:val="000000"/>
                <w:spacing w:val="12"/>
                <w:highlight w:val="none"/>
              </w:rPr>
            </w:pPr>
          </w:p>
        </w:tc>
      </w:tr>
      <w:tr w14:paraId="714E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1" w:type="dxa"/>
          </w:tcPr>
          <w:p w14:paraId="3B96FE65">
            <w:pPr>
              <w:spacing w:line="420" w:lineRule="auto"/>
              <w:rPr>
                <w:rFonts w:ascii="宋体" w:hAnsi="宋体"/>
                <w:color w:val="000000"/>
                <w:spacing w:val="12"/>
                <w:highlight w:val="none"/>
              </w:rPr>
            </w:pPr>
          </w:p>
        </w:tc>
        <w:tc>
          <w:tcPr>
            <w:tcW w:w="791" w:type="dxa"/>
          </w:tcPr>
          <w:p w14:paraId="2AAA4228">
            <w:pPr>
              <w:spacing w:line="420" w:lineRule="auto"/>
              <w:rPr>
                <w:rFonts w:ascii="宋体" w:hAnsi="宋体"/>
                <w:color w:val="000000"/>
                <w:spacing w:val="12"/>
                <w:highlight w:val="none"/>
              </w:rPr>
            </w:pPr>
          </w:p>
        </w:tc>
        <w:tc>
          <w:tcPr>
            <w:tcW w:w="1155" w:type="dxa"/>
          </w:tcPr>
          <w:p w14:paraId="60B8CDB9">
            <w:pPr>
              <w:spacing w:line="420" w:lineRule="auto"/>
              <w:rPr>
                <w:rFonts w:ascii="宋体" w:hAnsi="宋体"/>
                <w:color w:val="000000"/>
                <w:spacing w:val="12"/>
                <w:highlight w:val="none"/>
              </w:rPr>
            </w:pPr>
          </w:p>
        </w:tc>
        <w:tc>
          <w:tcPr>
            <w:tcW w:w="525" w:type="dxa"/>
          </w:tcPr>
          <w:p w14:paraId="2CB92034">
            <w:pPr>
              <w:spacing w:line="420" w:lineRule="auto"/>
              <w:rPr>
                <w:rFonts w:ascii="宋体" w:hAnsi="宋体"/>
                <w:color w:val="000000"/>
                <w:spacing w:val="12"/>
                <w:highlight w:val="none"/>
              </w:rPr>
            </w:pPr>
          </w:p>
        </w:tc>
        <w:tc>
          <w:tcPr>
            <w:tcW w:w="525" w:type="dxa"/>
          </w:tcPr>
          <w:p w14:paraId="5515373E">
            <w:pPr>
              <w:spacing w:line="420" w:lineRule="auto"/>
              <w:rPr>
                <w:rFonts w:ascii="宋体" w:hAnsi="宋体"/>
                <w:color w:val="000000"/>
                <w:spacing w:val="12"/>
                <w:highlight w:val="none"/>
              </w:rPr>
            </w:pPr>
          </w:p>
        </w:tc>
        <w:tc>
          <w:tcPr>
            <w:tcW w:w="735" w:type="dxa"/>
          </w:tcPr>
          <w:p w14:paraId="29F522E3">
            <w:pPr>
              <w:spacing w:line="420" w:lineRule="auto"/>
              <w:rPr>
                <w:rFonts w:ascii="宋体" w:hAnsi="宋体"/>
                <w:color w:val="000000"/>
                <w:spacing w:val="12"/>
                <w:highlight w:val="none"/>
              </w:rPr>
            </w:pPr>
          </w:p>
        </w:tc>
        <w:tc>
          <w:tcPr>
            <w:tcW w:w="1155" w:type="dxa"/>
          </w:tcPr>
          <w:p w14:paraId="3C481E61">
            <w:pPr>
              <w:spacing w:line="420" w:lineRule="auto"/>
              <w:rPr>
                <w:rFonts w:ascii="宋体" w:hAnsi="宋体"/>
                <w:color w:val="000000"/>
                <w:spacing w:val="12"/>
                <w:highlight w:val="none"/>
              </w:rPr>
            </w:pPr>
          </w:p>
        </w:tc>
        <w:tc>
          <w:tcPr>
            <w:tcW w:w="735" w:type="dxa"/>
          </w:tcPr>
          <w:p w14:paraId="35C246C1">
            <w:pPr>
              <w:spacing w:line="420" w:lineRule="auto"/>
              <w:rPr>
                <w:rFonts w:ascii="宋体" w:hAnsi="宋体"/>
                <w:color w:val="000000"/>
                <w:spacing w:val="12"/>
                <w:highlight w:val="none"/>
              </w:rPr>
            </w:pPr>
          </w:p>
        </w:tc>
        <w:tc>
          <w:tcPr>
            <w:tcW w:w="735" w:type="dxa"/>
          </w:tcPr>
          <w:p w14:paraId="792139F2">
            <w:pPr>
              <w:spacing w:line="420" w:lineRule="auto"/>
              <w:rPr>
                <w:rFonts w:ascii="宋体" w:hAnsi="宋体"/>
                <w:color w:val="000000"/>
                <w:spacing w:val="12"/>
                <w:highlight w:val="none"/>
              </w:rPr>
            </w:pPr>
          </w:p>
        </w:tc>
        <w:tc>
          <w:tcPr>
            <w:tcW w:w="735" w:type="dxa"/>
          </w:tcPr>
          <w:p w14:paraId="0AB8DEF8">
            <w:pPr>
              <w:spacing w:line="420" w:lineRule="auto"/>
              <w:rPr>
                <w:rFonts w:ascii="宋体" w:hAnsi="宋体"/>
                <w:color w:val="000000"/>
                <w:spacing w:val="12"/>
                <w:highlight w:val="none"/>
              </w:rPr>
            </w:pPr>
          </w:p>
        </w:tc>
      </w:tr>
      <w:tr w14:paraId="3013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6E64AF53">
            <w:pPr>
              <w:spacing w:line="420" w:lineRule="auto"/>
              <w:rPr>
                <w:rFonts w:ascii="宋体" w:hAnsi="宋体"/>
                <w:color w:val="000000"/>
                <w:spacing w:val="12"/>
                <w:highlight w:val="none"/>
              </w:rPr>
            </w:pPr>
          </w:p>
        </w:tc>
        <w:tc>
          <w:tcPr>
            <w:tcW w:w="791" w:type="dxa"/>
          </w:tcPr>
          <w:p w14:paraId="27A7065B">
            <w:pPr>
              <w:spacing w:line="420" w:lineRule="auto"/>
              <w:rPr>
                <w:rFonts w:ascii="宋体" w:hAnsi="宋体"/>
                <w:color w:val="000000"/>
                <w:spacing w:val="12"/>
                <w:highlight w:val="none"/>
              </w:rPr>
            </w:pPr>
          </w:p>
        </w:tc>
        <w:tc>
          <w:tcPr>
            <w:tcW w:w="1155" w:type="dxa"/>
          </w:tcPr>
          <w:p w14:paraId="4DAB86A2">
            <w:pPr>
              <w:spacing w:line="420" w:lineRule="auto"/>
              <w:rPr>
                <w:rFonts w:ascii="宋体" w:hAnsi="宋体"/>
                <w:color w:val="000000"/>
                <w:spacing w:val="12"/>
                <w:highlight w:val="none"/>
              </w:rPr>
            </w:pPr>
          </w:p>
        </w:tc>
        <w:tc>
          <w:tcPr>
            <w:tcW w:w="525" w:type="dxa"/>
          </w:tcPr>
          <w:p w14:paraId="4858C9D2">
            <w:pPr>
              <w:spacing w:line="420" w:lineRule="auto"/>
              <w:rPr>
                <w:rFonts w:ascii="宋体" w:hAnsi="宋体"/>
                <w:color w:val="000000"/>
                <w:spacing w:val="12"/>
                <w:highlight w:val="none"/>
              </w:rPr>
            </w:pPr>
          </w:p>
        </w:tc>
        <w:tc>
          <w:tcPr>
            <w:tcW w:w="525" w:type="dxa"/>
          </w:tcPr>
          <w:p w14:paraId="11435662">
            <w:pPr>
              <w:spacing w:line="420" w:lineRule="auto"/>
              <w:rPr>
                <w:rFonts w:ascii="宋体" w:hAnsi="宋体"/>
                <w:color w:val="000000"/>
                <w:spacing w:val="12"/>
                <w:highlight w:val="none"/>
              </w:rPr>
            </w:pPr>
          </w:p>
        </w:tc>
        <w:tc>
          <w:tcPr>
            <w:tcW w:w="735" w:type="dxa"/>
          </w:tcPr>
          <w:p w14:paraId="5F559FF4">
            <w:pPr>
              <w:spacing w:line="420" w:lineRule="auto"/>
              <w:rPr>
                <w:rFonts w:ascii="宋体" w:hAnsi="宋体"/>
                <w:color w:val="000000"/>
                <w:spacing w:val="12"/>
                <w:highlight w:val="none"/>
              </w:rPr>
            </w:pPr>
          </w:p>
        </w:tc>
        <w:tc>
          <w:tcPr>
            <w:tcW w:w="1155" w:type="dxa"/>
          </w:tcPr>
          <w:p w14:paraId="72E62FE0">
            <w:pPr>
              <w:spacing w:line="420" w:lineRule="auto"/>
              <w:rPr>
                <w:rFonts w:ascii="宋体" w:hAnsi="宋体"/>
                <w:color w:val="000000"/>
                <w:spacing w:val="12"/>
                <w:highlight w:val="none"/>
              </w:rPr>
            </w:pPr>
          </w:p>
        </w:tc>
        <w:tc>
          <w:tcPr>
            <w:tcW w:w="735" w:type="dxa"/>
          </w:tcPr>
          <w:p w14:paraId="03C79539">
            <w:pPr>
              <w:spacing w:line="420" w:lineRule="auto"/>
              <w:rPr>
                <w:rFonts w:ascii="宋体" w:hAnsi="宋体"/>
                <w:color w:val="000000"/>
                <w:spacing w:val="12"/>
                <w:highlight w:val="none"/>
              </w:rPr>
            </w:pPr>
          </w:p>
        </w:tc>
        <w:tc>
          <w:tcPr>
            <w:tcW w:w="735" w:type="dxa"/>
          </w:tcPr>
          <w:p w14:paraId="1AB44E1A">
            <w:pPr>
              <w:spacing w:line="420" w:lineRule="auto"/>
              <w:rPr>
                <w:rFonts w:ascii="宋体" w:hAnsi="宋体"/>
                <w:color w:val="000000"/>
                <w:spacing w:val="12"/>
                <w:highlight w:val="none"/>
              </w:rPr>
            </w:pPr>
          </w:p>
        </w:tc>
        <w:tc>
          <w:tcPr>
            <w:tcW w:w="735" w:type="dxa"/>
          </w:tcPr>
          <w:p w14:paraId="1224FD3C">
            <w:pPr>
              <w:spacing w:line="420" w:lineRule="auto"/>
              <w:rPr>
                <w:rFonts w:ascii="宋体" w:hAnsi="宋体"/>
                <w:color w:val="000000"/>
                <w:spacing w:val="12"/>
                <w:highlight w:val="none"/>
              </w:rPr>
            </w:pPr>
          </w:p>
        </w:tc>
      </w:tr>
      <w:tr w14:paraId="7621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DD56149">
            <w:pPr>
              <w:spacing w:line="420" w:lineRule="auto"/>
              <w:rPr>
                <w:rFonts w:ascii="宋体" w:hAnsi="宋体"/>
                <w:color w:val="000000"/>
                <w:spacing w:val="12"/>
                <w:highlight w:val="none"/>
              </w:rPr>
            </w:pPr>
          </w:p>
        </w:tc>
        <w:tc>
          <w:tcPr>
            <w:tcW w:w="791" w:type="dxa"/>
          </w:tcPr>
          <w:p w14:paraId="7E021CEF">
            <w:pPr>
              <w:spacing w:line="420" w:lineRule="auto"/>
              <w:rPr>
                <w:rFonts w:ascii="宋体" w:hAnsi="宋体"/>
                <w:color w:val="000000"/>
                <w:spacing w:val="12"/>
                <w:highlight w:val="none"/>
              </w:rPr>
            </w:pPr>
          </w:p>
        </w:tc>
        <w:tc>
          <w:tcPr>
            <w:tcW w:w="1155" w:type="dxa"/>
          </w:tcPr>
          <w:p w14:paraId="321D00ED">
            <w:pPr>
              <w:spacing w:line="420" w:lineRule="auto"/>
              <w:rPr>
                <w:rFonts w:ascii="宋体" w:hAnsi="宋体"/>
                <w:color w:val="000000"/>
                <w:spacing w:val="12"/>
                <w:highlight w:val="none"/>
              </w:rPr>
            </w:pPr>
          </w:p>
        </w:tc>
        <w:tc>
          <w:tcPr>
            <w:tcW w:w="525" w:type="dxa"/>
          </w:tcPr>
          <w:p w14:paraId="1DB94091">
            <w:pPr>
              <w:spacing w:line="420" w:lineRule="auto"/>
              <w:rPr>
                <w:rFonts w:ascii="宋体" w:hAnsi="宋体"/>
                <w:color w:val="000000"/>
                <w:spacing w:val="12"/>
                <w:highlight w:val="none"/>
              </w:rPr>
            </w:pPr>
          </w:p>
        </w:tc>
        <w:tc>
          <w:tcPr>
            <w:tcW w:w="525" w:type="dxa"/>
          </w:tcPr>
          <w:p w14:paraId="66EEC48E">
            <w:pPr>
              <w:spacing w:line="420" w:lineRule="auto"/>
              <w:rPr>
                <w:rFonts w:ascii="宋体" w:hAnsi="宋体"/>
                <w:color w:val="000000"/>
                <w:spacing w:val="12"/>
                <w:highlight w:val="none"/>
              </w:rPr>
            </w:pPr>
          </w:p>
        </w:tc>
        <w:tc>
          <w:tcPr>
            <w:tcW w:w="735" w:type="dxa"/>
          </w:tcPr>
          <w:p w14:paraId="70F7592B">
            <w:pPr>
              <w:spacing w:line="420" w:lineRule="auto"/>
              <w:rPr>
                <w:rFonts w:ascii="宋体" w:hAnsi="宋体"/>
                <w:color w:val="000000"/>
                <w:spacing w:val="12"/>
                <w:highlight w:val="none"/>
              </w:rPr>
            </w:pPr>
          </w:p>
        </w:tc>
        <w:tc>
          <w:tcPr>
            <w:tcW w:w="1155" w:type="dxa"/>
          </w:tcPr>
          <w:p w14:paraId="5C24C1CD">
            <w:pPr>
              <w:spacing w:line="420" w:lineRule="auto"/>
              <w:rPr>
                <w:rFonts w:ascii="宋体" w:hAnsi="宋体"/>
                <w:color w:val="000000"/>
                <w:spacing w:val="12"/>
                <w:highlight w:val="none"/>
              </w:rPr>
            </w:pPr>
          </w:p>
        </w:tc>
        <w:tc>
          <w:tcPr>
            <w:tcW w:w="735" w:type="dxa"/>
          </w:tcPr>
          <w:p w14:paraId="092BC6FE">
            <w:pPr>
              <w:spacing w:line="420" w:lineRule="auto"/>
              <w:rPr>
                <w:rFonts w:ascii="宋体" w:hAnsi="宋体"/>
                <w:color w:val="000000"/>
                <w:spacing w:val="12"/>
                <w:highlight w:val="none"/>
              </w:rPr>
            </w:pPr>
          </w:p>
        </w:tc>
        <w:tc>
          <w:tcPr>
            <w:tcW w:w="735" w:type="dxa"/>
          </w:tcPr>
          <w:p w14:paraId="6F7DB8DD">
            <w:pPr>
              <w:spacing w:line="420" w:lineRule="auto"/>
              <w:rPr>
                <w:rFonts w:ascii="宋体" w:hAnsi="宋体"/>
                <w:color w:val="000000"/>
                <w:spacing w:val="12"/>
                <w:highlight w:val="none"/>
              </w:rPr>
            </w:pPr>
          </w:p>
        </w:tc>
        <w:tc>
          <w:tcPr>
            <w:tcW w:w="735" w:type="dxa"/>
          </w:tcPr>
          <w:p w14:paraId="4529F823">
            <w:pPr>
              <w:spacing w:line="420" w:lineRule="auto"/>
              <w:rPr>
                <w:rFonts w:ascii="宋体" w:hAnsi="宋体"/>
                <w:color w:val="000000"/>
                <w:spacing w:val="12"/>
                <w:highlight w:val="none"/>
              </w:rPr>
            </w:pPr>
          </w:p>
        </w:tc>
      </w:tr>
      <w:tr w14:paraId="7DBC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114577B">
            <w:pPr>
              <w:spacing w:line="420" w:lineRule="auto"/>
              <w:rPr>
                <w:rFonts w:ascii="宋体" w:hAnsi="宋体"/>
                <w:color w:val="000000"/>
                <w:spacing w:val="12"/>
                <w:highlight w:val="none"/>
              </w:rPr>
            </w:pPr>
          </w:p>
        </w:tc>
        <w:tc>
          <w:tcPr>
            <w:tcW w:w="791" w:type="dxa"/>
          </w:tcPr>
          <w:p w14:paraId="346D0265">
            <w:pPr>
              <w:spacing w:line="420" w:lineRule="auto"/>
              <w:rPr>
                <w:rFonts w:ascii="宋体" w:hAnsi="宋体"/>
                <w:color w:val="000000"/>
                <w:spacing w:val="12"/>
                <w:highlight w:val="none"/>
              </w:rPr>
            </w:pPr>
          </w:p>
        </w:tc>
        <w:tc>
          <w:tcPr>
            <w:tcW w:w="1155" w:type="dxa"/>
          </w:tcPr>
          <w:p w14:paraId="5501A825">
            <w:pPr>
              <w:spacing w:line="420" w:lineRule="auto"/>
              <w:rPr>
                <w:rFonts w:ascii="宋体" w:hAnsi="宋体"/>
                <w:color w:val="000000"/>
                <w:spacing w:val="12"/>
                <w:highlight w:val="none"/>
              </w:rPr>
            </w:pPr>
          </w:p>
        </w:tc>
        <w:tc>
          <w:tcPr>
            <w:tcW w:w="525" w:type="dxa"/>
          </w:tcPr>
          <w:p w14:paraId="3B9C69E9">
            <w:pPr>
              <w:spacing w:line="420" w:lineRule="auto"/>
              <w:rPr>
                <w:rFonts w:ascii="宋体" w:hAnsi="宋体"/>
                <w:color w:val="000000"/>
                <w:spacing w:val="12"/>
                <w:highlight w:val="none"/>
              </w:rPr>
            </w:pPr>
          </w:p>
        </w:tc>
        <w:tc>
          <w:tcPr>
            <w:tcW w:w="525" w:type="dxa"/>
          </w:tcPr>
          <w:p w14:paraId="7A97DAA5">
            <w:pPr>
              <w:spacing w:line="420" w:lineRule="auto"/>
              <w:rPr>
                <w:rFonts w:ascii="宋体" w:hAnsi="宋体"/>
                <w:color w:val="000000"/>
                <w:spacing w:val="12"/>
                <w:highlight w:val="none"/>
              </w:rPr>
            </w:pPr>
          </w:p>
        </w:tc>
        <w:tc>
          <w:tcPr>
            <w:tcW w:w="735" w:type="dxa"/>
          </w:tcPr>
          <w:p w14:paraId="2EABE554">
            <w:pPr>
              <w:spacing w:line="420" w:lineRule="auto"/>
              <w:rPr>
                <w:rFonts w:ascii="宋体" w:hAnsi="宋体"/>
                <w:color w:val="000000"/>
                <w:spacing w:val="12"/>
                <w:highlight w:val="none"/>
              </w:rPr>
            </w:pPr>
          </w:p>
        </w:tc>
        <w:tc>
          <w:tcPr>
            <w:tcW w:w="1155" w:type="dxa"/>
          </w:tcPr>
          <w:p w14:paraId="138984E3">
            <w:pPr>
              <w:spacing w:line="420" w:lineRule="auto"/>
              <w:rPr>
                <w:rFonts w:ascii="宋体" w:hAnsi="宋体"/>
                <w:color w:val="000000"/>
                <w:spacing w:val="12"/>
                <w:highlight w:val="none"/>
              </w:rPr>
            </w:pPr>
          </w:p>
        </w:tc>
        <w:tc>
          <w:tcPr>
            <w:tcW w:w="735" w:type="dxa"/>
          </w:tcPr>
          <w:p w14:paraId="1DBBA2E0">
            <w:pPr>
              <w:spacing w:line="420" w:lineRule="auto"/>
              <w:rPr>
                <w:rFonts w:ascii="宋体" w:hAnsi="宋体"/>
                <w:color w:val="000000"/>
                <w:spacing w:val="12"/>
                <w:highlight w:val="none"/>
              </w:rPr>
            </w:pPr>
          </w:p>
        </w:tc>
        <w:tc>
          <w:tcPr>
            <w:tcW w:w="735" w:type="dxa"/>
          </w:tcPr>
          <w:p w14:paraId="42643DDF">
            <w:pPr>
              <w:spacing w:line="420" w:lineRule="auto"/>
              <w:rPr>
                <w:rFonts w:ascii="宋体" w:hAnsi="宋体"/>
                <w:color w:val="000000"/>
                <w:spacing w:val="12"/>
                <w:highlight w:val="none"/>
              </w:rPr>
            </w:pPr>
          </w:p>
        </w:tc>
        <w:tc>
          <w:tcPr>
            <w:tcW w:w="735" w:type="dxa"/>
          </w:tcPr>
          <w:p w14:paraId="1AA66D54">
            <w:pPr>
              <w:spacing w:line="420" w:lineRule="auto"/>
              <w:rPr>
                <w:rFonts w:ascii="宋体" w:hAnsi="宋体"/>
                <w:color w:val="000000"/>
                <w:spacing w:val="12"/>
                <w:highlight w:val="none"/>
              </w:rPr>
            </w:pPr>
          </w:p>
        </w:tc>
      </w:tr>
      <w:tr w14:paraId="7DE2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5553D9CD">
            <w:pPr>
              <w:spacing w:line="420" w:lineRule="auto"/>
              <w:rPr>
                <w:rFonts w:ascii="宋体" w:hAnsi="宋体"/>
                <w:color w:val="000000"/>
                <w:spacing w:val="12"/>
                <w:highlight w:val="none"/>
              </w:rPr>
            </w:pPr>
          </w:p>
        </w:tc>
        <w:tc>
          <w:tcPr>
            <w:tcW w:w="791" w:type="dxa"/>
          </w:tcPr>
          <w:p w14:paraId="0CD77F98">
            <w:pPr>
              <w:spacing w:line="420" w:lineRule="auto"/>
              <w:rPr>
                <w:rFonts w:ascii="宋体" w:hAnsi="宋体"/>
                <w:color w:val="000000"/>
                <w:spacing w:val="12"/>
                <w:highlight w:val="none"/>
              </w:rPr>
            </w:pPr>
          </w:p>
        </w:tc>
        <w:tc>
          <w:tcPr>
            <w:tcW w:w="1155" w:type="dxa"/>
          </w:tcPr>
          <w:p w14:paraId="42468FD5">
            <w:pPr>
              <w:spacing w:line="420" w:lineRule="auto"/>
              <w:rPr>
                <w:rFonts w:ascii="宋体" w:hAnsi="宋体"/>
                <w:color w:val="000000"/>
                <w:spacing w:val="12"/>
                <w:highlight w:val="none"/>
              </w:rPr>
            </w:pPr>
          </w:p>
        </w:tc>
        <w:tc>
          <w:tcPr>
            <w:tcW w:w="525" w:type="dxa"/>
          </w:tcPr>
          <w:p w14:paraId="2808BF43">
            <w:pPr>
              <w:spacing w:line="420" w:lineRule="auto"/>
              <w:rPr>
                <w:rFonts w:ascii="宋体" w:hAnsi="宋体"/>
                <w:color w:val="000000"/>
                <w:spacing w:val="12"/>
                <w:highlight w:val="none"/>
              </w:rPr>
            </w:pPr>
          </w:p>
        </w:tc>
        <w:tc>
          <w:tcPr>
            <w:tcW w:w="525" w:type="dxa"/>
          </w:tcPr>
          <w:p w14:paraId="729E41DB">
            <w:pPr>
              <w:spacing w:line="420" w:lineRule="auto"/>
              <w:rPr>
                <w:rFonts w:ascii="宋体" w:hAnsi="宋体"/>
                <w:color w:val="000000"/>
                <w:spacing w:val="12"/>
                <w:highlight w:val="none"/>
              </w:rPr>
            </w:pPr>
          </w:p>
        </w:tc>
        <w:tc>
          <w:tcPr>
            <w:tcW w:w="735" w:type="dxa"/>
          </w:tcPr>
          <w:p w14:paraId="3C516A91">
            <w:pPr>
              <w:spacing w:line="420" w:lineRule="auto"/>
              <w:rPr>
                <w:rFonts w:ascii="宋体" w:hAnsi="宋体"/>
                <w:color w:val="000000"/>
                <w:spacing w:val="12"/>
                <w:highlight w:val="none"/>
              </w:rPr>
            </w:pPr>
          </w:p>
        </w:tc>
        <w:tc>
          <w:tcPr>
            <w:tcW w:w="1155" w:type="dxa"/>
          </w:tcPr>
          <w:p w14:paraId="1A7207D5">
            <w:pPr>
              <w:spacing w:line="420" w:lineRule="auto"/>
              <w:rPr>
                <w:rFonts w:ascii="宋体" w:hAnsi="宋体"/>
                <w:color w:val="000000"/>
                <w:spacing w:val="12"/>
                <w:highlight w:val="none"/>
              </w:rPr>
            </w:pPr>
          </w:p>
        </w:tc>
        <w:tc>
          <w:tcPr>
            <w:tcW w:w="735" w:type="dxa"/>
          </w:tcPr>
          <w:p w14:paraId="23A330FA">
            <w:pPr>
              <w:spacing w:line="420" w:lineRule="auto"/>
              <w:rPr>
                <w:rFonts w:ascii="宋体" w:hAnsi="宋体"/>
                <w:color w:val="000000"/>
                <w:spacing w:val="12"/>
                <w:highlight w:val="none"/>
              </w:rPr>
            </w:pPr>
          </w:p>
        </w:tc>
        <w:tc>
          <w:tcPr>
            <w:tcW w:w="735" w:type="dxa"/>
          </w:tcPr>
          <w:p w14:paraId="469A9BF2">
            <w:pPr>
              <w:spacing w:line="420" w:lineRule="auto"/>
              <w:rPr>
                <w:rFonts w:ascii="宋体" w:hAnsi="宋体"/>
                <w:color w:val="000000"/>
                <w:spacing w:val="12"/>
                <w:highlight w:val="none"/>
              </w:rPr>
            </w:pPr>
          </w:p>
        </w:tc>
        <w:tc>
          <w:tcPr>
            <w:tcW w:w="735" w:type="dxa"/>
          </w:tcPr>
          <w:p w14:paraId="345D6470">
            <w:pPr>
              <w:spacing w:line="420" w:lineRule="auto"/>
              <w:rPr>
                <w:rFonts w:ascii="宋体" w:hAnsi="宋体"/>
                <w:color w:val="000000"/>
                <w:spacing w:val="12"/>
                <w:highlight w:val="none"/>
              </w:rPr>
            </w:pPr>
          </w:p>
        </w:tc>
      </w:tr>
      <w:tr w14:paraId="2F94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04F0838D">
            <w:pPr>
              <w:spacing w:line="420" w:lineRule="auto"/>
              <w:rPr>
                <w:rFonts w:ascii="宋体" w:hAnsi="宋体"/>
                <w:color w:val="000000"/>
                <w:spacing w:val="12"/>
                <w:highlight w:val="none"/>
              </w:rPr>
            </w:pPr>
          </w:p>
        </w:tc>
        <w:tc>
          <w:tcPr>
            <w:tcW w:w="791" w:type="dxa"/>
          </w:tcPr>
          <w:p w14:paraId="19F35D04">
            <w:pPr>
              <w:spacing w:line="420" w:lineRule="auto"/>
              <w:rPr>
                <w:rFonts w:ascii="宋体" w:hAnsi="宋体"/>
                <w:color w:val="000000"/>
                <w:spacing w:val="12"/>
                <w:highlight w:val="none"/>
              </w:rPr>
            </w:pPr>
          </w:p>
        </w:tc>
        <w:tc>
          <w:tcPr>
            <w:tcW w:w="1155" w:type="dxa"/>
          </w:tcPr>
          <w:p w14:paraId="28441D0C">
            <w:pPr>
              <w:spacing w:line="420" w:lineRule="auto"/>
              <w:rPr>
                <w:rFonts w:ascii="宋体" w:hAnsi="宋体"/>
                <w:color w:val="000000"/>
                <w:spacing w:val="12"/>
                <w:highlight w:val="none"/>
              </w:rPr>
            </w:pPr>
          </w:p>
        </w:tc>
        <w:tc>
          <w:tcPr>
            <w:tcW w:w="525" w:type="dxa"/>
          </w:tcPr>
          <w:p w14:paraId="581B30D8">
            <w:pPr>
              <w:spacing w:line="420" w:lineRule="auto"/>
              <w:rPr>
                <w:rFonts w:ascii="宋体" w:hAnsi="宋体"/>
                <w:color w:val="000000"/>
                <w:spacing w:val="12"/>
                <w:highlight w:val="none"/>
              </w:rPr>
            </w:pPr>
          </w:p>
        </w:tc>
        <w:tc>
          <w:tcPr>
            <w:tcW w:w="525" w:type="dxa"/>
          </w:tcPr>
          <w:p w14:paraId="262DC65B">
            <w:pPr>
              <w:spacing w:line="420" w:lineRule="auto"/>
              <w:rPr>
                <w:rFonts w:ascii="宋体" w:hAnsi="宋体"/>
                <w:color w:val="000000"/>
                <w:spacing w:val="12"/>
                <w:highlight w:val="none"/>
              </w:rPr>
            </w:pPr>
          </w:p>
        </w:tc>
        <w:tc>
          <w:tcPr>
            <w:tcW w:w="735" w:type="dxa"/>
          </w:tcPr>
          <w:p w14:paraId="451F5C83">
            <w:pPr>
              <w:spacing w:line="420" w:lineRule="auto"/>
              <w:rPr>
                <w:rFonts w:ascii="宋体" w:hAnsi="宋体"/>
                <w:color w:val="000000"/>
                <w:spacing w:val="12"/>
                <w:highlight w:val="none"/>
              </w:rPr>
            </w:pPr>
          </w:p>
        </w:tc>
        <w:tc>
          <w:tcPr>
            <w:tcW w:w="1155" w:type="dxa"/>
          </w:tcPr>
          <w:p w14:paraId="5F2CE40E">
            <w:pPr>
              <w:spacing w:line="420" w:lineRule="auto"/>
              <w:rPr>
                <w:rFonts w:ascii="宋体" w:hAnsi="宋体"/>
                <w:color w:val="000000"/>
                <w:spacing w:val="12"/>
                <w:highlight w:val="none"/>
              </w:rPr>
            </w:pPr>
          </w:p>
        </w:tc>
        <w:tc>
          <w:tcPr>
            <w:tcW w:w="735" w:type="dxa"/>
          </w:tcPr>
          <w:p w14:paraId="5835DE74">
            <w:pPr>
              <w:spacing w:line="420" w:lineRule="auto"/>
              <w:rPr>
                <w:rFonts w:ascii="宋体" w:hAnsi="宋体"/>
                <w:color w:val="000000"/>
                <w:spacing w:val="12"/>
                <w:highlight w:val="none"/>
              </w:rPr>
            </w:pPr>
          </w:p>
        </w:tc>
        <w:tc>
          <w:tcPr>
            <w:tcW w:w="735" w:type="dxa"/>
          </w:tcPr>
          <w:p w14:paraId="25A3DB2A">
            <w:pPr>
              <w:spacing w:line="420" w:lineRule="auto"/>
              <w:rPr>
                <w:rFonts w:ascii="宋体" w:hAnsi="宋体"/>
                <w:color w:val="000000"/>
                <w:spacing w:val="12"/>
                <w:highlight w:val="none"/>
              </w:rPr>
            </w:pPr>
          </w:p>
        </w:tc>
        <w:tc>
          <w:tcPr>
            <w:tcW w:w="735" w:type="dxa"/>
          </w:tcPr>
          <w:p w14:paraId="1A1B97A0">
            <w:pPr>
              <w:spacing w:line="420" w:lineRule="auto"/>
              <w:rPr>
                <w:rFonts w:ascii="宋体" w:hAnsi="宋体"/>
                <w:color w:val="000000"/>
                <w:spacing w:val="12"/>
                <w:highlight w:val="none"/>
              </w:rPr>
            </w:pPr>
          </w:p>
        </w:tc>
      </w:tr>
      <w:tr w14:paraId="4B09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4AD3B0C">
            <w:pPr>
              <w:spacing w:line="420" w:lineRule="auto"/>
              <w:rPr>
                <w:rFonts w:ascii="宋体" w:hAnsi="宋体"/>
                <w:color w:val="000000"/>
                <w:spacing w:val="12"/>
                <w:highlight w:val="none"/>
              </w:rPr>
            </w:pPr>
          </w:p>
        </w:tc>
        <w:tc>
          <w:tcPr>
            <w:tcW w:w="791" w:type="dxa"/>
          </w:tcPr>
          <w:p w14:paraId="34BF3B0A">
            <w:pPr>
              <w:spacing w:line="420" w:lineRule="auto"/>
              <w:rPr>
                <w:rFonts w:ascii="宋体" w:hAnsi="宋体"/>
                <w:color w:val="000000"/>
                <w:spacing w:val="12"/>
                <w:highlight w:val="none"/>
              </w:rPr>
            </w:pPr>
          </w:p>
        </w:tc>
        <w:tc>
          <w:tcPr>
            <w:tcW w:w="1155" w:type="dxa"/>
          </w:tcPr>
          <w:p w14:paraId="2748B5E4">
            <w:pPr>
              <w:spacing w:line="420" w:lineRule="auto"/>
              <w:rPr>
                <w:rFonts w:ascii="宋体" w:hAnsi="宋体"/>
                <w:color w:val="000000"/>
                <w:spacing w:val="12"/>
                <w:highlight w:val="none"/>
              </w:rPr>
            </w:pPr>
          </w:p>
        </w:tc>
        <w:tc>
          <w:tcPr>
            <w:tcW w:w="525" w:type="dxa"/>
          </w:tcPr>
          <w:p w14:paraId="2B76BBB4">
            <w:pPr>
              <w:spacing w:line="420" w:lineRule="auto"/>
              <w:rPr>
                <w:rFonts w:ascii="宋体" w:hAnsi="宋体"/>
                <w:color w:val="000000"/>
                <w:spacing w:val="12"/>
                <w:highlight w:val="none"/>
              </w:rPr>
            </w:pPr>
          </w:p>
        </w:tc>
        <w:tc>
          <w:tcPr>
            <w:tcW w:w="525" w:type="dxa"/>
          </w:tcPr>
          <w:p w14:paraId="050BB3FF">
            <w:pPr>
              <w:spacing w:line="420" w:lineRule="auto"/>
              <w:rPr>
                <w:rFonts w:ascii="宋体" w:hAnsi="宋体"/>
                <w:color w:val="000000"/>
                <w:spacing w:val="12"/>
                <w:highlight w:val="none"/>
              </w:rPr>
            </w:pPr>
          </w:p>
        </w:tc>
        <w:tc>
          <w:tcPr>
            <w:tcW w:w="735" w:type="dxa"/>
          </w:tcPr>
          <w:p w14:paraId="2D04FBAE">
            <w:pPr>
              <w:spacing w:line="420" w:lineRule="auto"/>
              <w:rPr>
                <w:rFonts w:ascii="宋体" w:hAnsi="宋体"/>
                <w:color w:val="000000"/>
                <w:spacing w:val="12"/>
                <w:highlight w:val="none"/>
              </w:rPr>
            </w:pPr>
          </w:p>
        </w:tc>
        <w:tc>
          <w:tcPr>
            <w:tcW w:w="1155" w:type="dxa"/>
          </w:tcPr>
          <w:p w14:paraId="333804F9">
            <w:pPr>
              <w:spacing w:line="420" w:lineRule="auto"/>
              <w:rPr>
                <w:rFonts w:ascii="宋体" w:hAnsi="宋体"/>
                <w:color w:val="000000"/>
                <w:spacing w:val="12"/>
                <w:highlight w:val="none"/>
              </w:rPr>
            </w:pPr>
          </w:p>
        </w:tc>
        <w:tc>
          <w:tcPr>
            <w:tcW w:w="735" w:type="dxa"/>
          </w:tcPr>
          <w:p w14:paraId="0723983B">
            <w:pPr>
              <w:spacing w:line="420" w:lineRule="auto"/>
              <w:rPr>
                <w:rFonts w:ascii="宋体" w:hAnsi="宋体"/>
                <w:color w:val="000000"/>
                <w:spacing w:val="12"/>
                <w:highlight w:val="none"/>
              </w:rPr>
            </w:pPr>
          </w:p>
        </w:tc>
        <w:tc>
          <w:tcPr>
            <w:tcW w:w="735" w:type="dxa"/>
          </w:tcPr>
          <w:p w14:paraId="7B93C5C1">
            <w:pPr>
              <w:spacing w:line="420" w:lineRule="auto"/>
              <w:rPr>
                <w:rFonts w:ascii="宋体" w:hAnsi="宋体"/>
                <w:color w:val="000000"/>
                <w:spacing w:val="12"/>
                <w:highlight w:val="none"/>
              </w:rPr>
            </w:pPr>
          </w:p>
        </w:tc>
        <w:tc>
          <w:tcPr>
            <w:tcW w:w="735" w:type="dxa"/>
          </w:tcPr>
          <w:p w14:paraId="6F167166">
            <w:pPr>
              <w:spacing w:line="420" w:lineRule="auto"/>
              <w:rPr>
                <w:rFonts w:ascii="宋体" w:hAnsi="宋体"/>
                <w:color w:val="000000"/>
                <w:spacing w:val="12"/>
                <w:highlight w:val="none"/>
              </w:rPr>
            </w:pPr>
          </w:p>
        </w:tc>
      </w:tr>
      <w:tr w14:paraId="10F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3FB4F9EE">
            <w:pPr>
              <w:spacing w:line="420" w:lineRule="auto"/>
              <w:rPr>
                <w:rFonts w:ascii="宋体" w:hAnsi="宋体"/>
                <w:color w:val="000000"/>
                <w:spacing w:val="12"/>
                <w:highlight w:val="none"/>
              </w:rPr>
            </w:pPr>
          </w:p>
        </w:tc>
        <w:tc>
          <w:tcPr>
            <w:tcW w:w="791" w:type="dxa"/>
          </w:tcPr>
          <w:p w14:paraId="1CE505D1">
            <w:pPr>
              <w:spacing w:line="420" w:lineRule="auto"/>
              <w:rPr>
                <w:rFonts w:ascii="宋体" w:hAnsi="宋体"/>
                <w:color w:val="000000"/>
                <w:spacing w:val="12"/>
                <w:highlight w:val="none"/>
              </w:rPr>
            </w:pPr>
          </w:p>
        </w:tc>
        <w:tc>
          <w:tcPr>
            <w:tcW w:w="1155" w:type="dxa"/>
          </w:tcPr>
          <w:p w14:paraId="191CDB0D">
            <w:pPr>
              <w:spacing w:line="420" w:lineRule="auto"/>
              <w:rPr>
                <w:rFonts w:ascii="宋体" w:hAnsi="宋体"/>
                <w:color w:val="000000"/>
                <w:spacing w:val="12"/>
                <w:highlight w:val="none"/>
              </w:rPr>
            </w:pPr>
          </w:p>
        </w:tc>
        <w:tc>
          <w:tcPr>
            <w:tcW w:w="525" w:type="dxa"/>
          </w:tcPr>
          <w:p w14:paraId="030C3713">
            <w:pPr>
              <w:spacing w:line="420" w:lineRule="auto"/>
              <w:rPr>
                <w:rFonts w:ascii="宋体" w:hAnsi="宋体"/>
                <w:color w:val="000000"/>
                <w:spacing w:val="12"/>
                <w:highlight w:val="none"/>
              </w:rPr>
            </w:pPr>
          </w:p>
        </w:tc>
        <w:tc>
          <w:tcPr>
            <w:tcW w:w="525" w:type="dxa"/>
          </w:tcPr>
          <w:p w14:paraId="06A993F8">
            <w:pPr>
              <w:spacing w:line="420" w:lineRule="auto"/>
              <w:rPr>
                <w:rFonts w:ascii="宋体" w:hAnsi="宋体"/>
                <w:color w:val="000000"/>
                <w:spacing w:val="12"/>
                <w:highlight w:val="none"/>
              </w:rPr>
            </w:pPr>
          </w:p>
        </w:tc>
        <w:tc>
          <w:tcPr>
            <w:tcW w:w="735" w:type="dxa"/>
          </w:tcPr>
          <w:p w14:paraId="329E5030">
            <w:pPr>
              <w:spacing w:line="420" w:lineRule="auto"/>
              <w:rPr>
                <w:rFonts w:ascii="宋体" w:hAnsi="宋体"/>
                <w:color w:val="000000"/>
                <w:spacing w:val="12"/>
                <w:highlight w:val="none"/>
              </w:rPr>
            </w:pPr>
          </w:p>
        </w:tc>
        <w:tc>
          <w:tcPr>
            <w:tcW w:w="1155" w:type="dxa"/>
          </w:tcPr>
          <w:p w14:paraId="7E7709A8">
            <w:pPr>
              <w:spacing w:line="420" w:lineRule="auto"/>
              <w:rPr>
                <w:rFonts w:ascii="宋体" w:hAnsi="宋体"/>
                <w:color w:val="000000"/>
                <w:spacing w:val="12"/>
                <w:highlight w:val="none"/>
              </w:rPr>
            </w:pPr>
          </w:p>
        </w:tc>
        <w:tc>
          <w:tcPr>
            <w:tcW w:w="735" w:type="dxa"/>
          </w:tcPr>
          <w:p w14:paraId="37BA66E2">
            <w:pPr>
              <w:spacing w:line="420" w:lineRule="auto"/>
              <w:rPr>
                <w:rFonts w:ascii="宋体" w:hAnsi="宋体"/>
                <w:color w:val="000000"/>
                <w:spacing w:val="12"/>
                <w:highlight w:val="none"/>
              </w:rPr>
            </w:pPr>
          </w:p>
        </w:tc>
        <w:tc>
          <w:tcPr>
            <w:tcW w:w="735" w:type="dxa"/>
          </w:tcPr>
          <w:p w14:paraId="0509BD1A">
            <w:pPr>
              <w:spacing w:line="420" w:lineRule="auto"/>
              <w:rPr>
                <w:rFonts w:ascii="宋体" w:hAnsi="宋体"/>
                <w:color w:val="000000"/>
                <w:spacing w:val="12"/>
                <w:highlight w:val="none"/>
              </w:rPr>
            </w:pPr>
          </w:p>
        </w:tc>
        <w:tc>
          <w:tcPr>
            <w:tcW w:w="735" w:type="dxa"/>
          </w:tcPr>
          <w:p w14:paraId="61A84F7B">
            <w:pPr>
              <w:spacing w:line="420" w:lineRule="auto"/>
              <w:rPr>
                <w:rFonts w:ascii="宋体" w:hAnsi="宋体"/>
                <w:color w:val="000000"/>
                <w:spacing w:val="12"/>
                <w:highlight w:val="none"/>
              </w:rPr>
            </w:pPr>
          </w:p>
        </w:tc>
      </w:tr>
    </w:tbl>
    <w:p w14:paraId="7E786961">
      <w:pPr>
        <w:pStyle w:val="4"/>
        <w:spacing w:beforeLines="50" w:after="120" w:afterLines="50" w:line="420" w:lineRule="auto"/>
        <w:rPr>
          <w:rFonts w:ascii="宋体" w:hAnsi="宋体"/>
          <w:color w:val="000000"/>
          <w:szCs w:val="21"/>
          <w:highlight w:val="none"/>
        </w:rPr>
        <w:sectPr>
          <w:pgSz w:w="11906" w:h="16838"/>
          <w:pgMar w:top="1440" w:right="1797" w:bottom="1440" w:left="1797" w:header="851" w:footer="992" w:gutter="0"/>
          <w:cols w:space="720" w:num="1"/>
          <w:docGrid w:linePitch="312" w:charSpace="0"/>
        </w:sectPr>
      </w:pPr>
    </w:p>
    <w:p w14:paraId="6C6F99E8">
      <w:pPr>
        <w:pStyle w:val="4"/>
        <w:rPr>
          <w:rFonts w:ascii="宋体" w:hAnsi="宋体"/>
          <w:color w:val="000000"/>
          <w:szCs w:val="30"/>
          <w:highlight w:val="none"/>
        </w:rPr>
      </w:pPr>
      <w:bookmarkStart w:id="1456" w:name="_Toc485323229"/>
      <w:bookmarkStart w:id="1457" w:name="_Toc489280261"/>
      <w:bookmarkStart w:id="1458" w:name="_Toc486580455"/>
      <w:bookmarkStart w:id="1459" w:name="_Toc491149585"/>
      <w:bookmarkStart w:id="1460" w:name="_BookMark_82"/>
      <w:r>
        <w:rPr>
          <w:rFonts w:hint="eastAsia" w:ascii="宋体" w:hAnsi="宋体"/>
          <w:color w:val="000000"/>
          <w:szCs w:val="30"/>
          <w:highlight w:val="none"/>
        </w:rPr>
        <w:t>附件三：承包人提供的材料和工程设备一览表</w:t>
      </w:r>
      <w:bookmarkEnd w:id="1456"/>
      <w:bookmarkEnd w:id="1457"/>
      <w:bookmarkEnd w:id="1458"/>
      <w:bookmarkEnd w:id="1459"/>
    </w:p>
    <w:bookmarkEnd w:id="1460"/>
    <w:p w14:paraId="10705A3C">
      <w:pPr>
        <w:spacing w:line="420" w:lineRule="auto"/>
        <w:jc w:val="center"/>
        <w:rPr>
          <w:rFonts w:ascii="宋体" w:hAnsi="宋体"/>
          <w:b/>
          <w:color w:val="000000"/>
          <w:sz w:val="28"/>
          <w:highlight w:val="none"/>
        </w:rPr>
      </w:pPr>
      <w:r>
        <w:rPr>
          <w:rFonts w:hint="eastAsia" w:ascii="宋体" w:hAnsi="宋体"/>
          <w:b/>
          <w:color w:val="000000"/>
          <w:sz w:val="28"/>
          <w:highlight w:val="none"/>
        </w:rPr>
        <w:t>承包人提供的材料和工程设备一览表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14:paraId="202B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80" w:type="dxa"/>
            <w:vAlign w:val="center"/>
          </w:tcPr>
          <w:p w14:paraId="41427A80">
            <w:pPr>
              <w:spacing w:line="420" w:lineRule="auto"/>
              <w:jc w:val="center"/>
              <w:rPr>
                <w:rFonts w:ascii="宋体" w:hAnsi="宋体"/>
                <w:color w:val="000000"/>
                <w:highlight w:val="none"/>
              </w:rPr>
            </w:pPr>
            <w:r>
              <w:rPr>
                <w:rFonts w:hint="eastAsia" w:ascii="宋体" w:hAnsi="宋体"/>
                <w:color w:val="000000"/>
                <w:highlight w:val="none"/>
              </w:rPr>
              <w:t>序</w:t>
            </w:r>
          </w:p>
          <w:p w14:paraId="2E625E03">
            <w:pPr>
              <w:spacing w:line="420" w:lineRule="auto"/>
              <w:jc w:val="center"/>
              <w:rPr>
                <w:rFonts w:ascii="宋体" w:hAnsi="宋体"/>
                <w:color w:val="000000"/>
                <w:highlight w:val="none"/>
              </w:rPr>
            </w:pPr>
            <w:r>
              <w:rPr>
                <w:rFonts w:hint="eastAsia" w:ascii="宋体" w:hAnsi="宋体"/>
                <w:color w:val="000000"/>
                <w:highlight w:val="none"/>
              </w:rPr>
              <w:t>号</w:t>
            </w:r>
          </w:p>
        </w:tc>
        <w:tc>
          <w:tcPr>
            <w:tcW w:w="1155" w:type="dxa"/>
            <w:vAlign w:val="center"/>
          </w:tcPr>
          <w:p w14:paraId="0EBD66F2">
            <w:pPr>
              <w:spacing w:line="420" w:lineRule="auto"/>
              <w:jc w:val="center"/>
              <w:rPr>
                <w:rFonts w:ascii="宋体" w:hAnsi="宋体"/>
                <w:color w:val="000000"/>
                <w:highlight w:val="none"/>
              </w:rPr>
            </w:pPr>
            <w:r>
              <w:rPr>
                <w:rFonts w:hint="eastAsia" w:ascii="宋体" w:hAnsi="宋体"/>
                <w:color w:val="000000"/>
                <w:highlight w:val="none"/>
              </w:rPr>
              <w:t>材料设备</w:t>
            </w:r>
          </w:p>
          <w:p w14:paraId="1322FAD4">
            <w:pPr>
              <w:spacing w:line="420" w:lineRule="auto"/>
              <w:jc w:val="center"/>
              <w:rPr>
                <w:rFonts w:ascii="宋体" w:hAnsi="宋体"/>
                <w:color w:val="000000"/>
                <w:highlight w:val="none"/>
              </w:rPr>
            </w:pPr>
            <w:r>
              <w:rPr>
                <w:rFonts w:hint="eastAsia" w:ascii="宋体" w:hAnsi="宋体"/>
                <w:color w:val="000000"/>
                <w:highlight w:val="none"/>
              </w:rPr>
              <w:t>名    称</w:t>
            </w:r>
          </w:p>
        </w:tc>
        <w:tc>
          <w:tcPr>
            <w:tcW w:w="1050" w:type="dxa"/>
            <w:vAlign w:val="center"/>
          </w:tcPr>
          <w:p w14:paraId="3FFD513C">
            <w:pPr>
              <w:spacing w:line="420" w:lineRule="auto"/>
              <w:jc w:val="center"/>
              <w:rPr>
                <w:rFonts w:ascii="宋体" w:hAnsi="宋体"/>
                <w:color w:val="000000"/>
                <w:highlight w:val="none"/>
              </w:rPr>
            </w:pPr>
            <w:r>
              <w:rPr>
                <w:rFonts w:hint="eastAsia" w:ascii="宋体" w:hAnsi="宋体"/>
                <w:color w:val="000000"/>
                <w:highlight w:val="none"/>
              </w:rPr>
              <w:t>规格</w:t>
            </w:r>
          </w:p>
          <w:p w14:paraId="742249CE">
            <w:pPr>
              <w:spacing w:line="420" w:lineRule="auto"/>
              <w:jc w:val="center"/>
              <w:rPr>
                <w:rFonts w:ascii="宋体" w:hAnsi="宋体"/>
                <w:color w:val="000000"/>
                <w:highlight w:val="none"/>
              </w:rPr>
            </w:pPr>
            <w:r>
              <w:rPr>
                <w:rFonts w:hint="eastAsia" w:ascii="宋体" w:hAnsi="宋体"/>
                <w:color w:val="000000"/>
                <w:highlight w:val="none"/>
              </w:rPr>
              <w:t>型号</w:t>
            </w:r>
          </w:p>
        </w:tc>
        <w:tc>
          <w:tcPr>
            <w:tcW w:w="630" w:type="dxa"/>
            <w:vAlign w:val="center"/>
          </w:tcPr>
          <w:p w14:paraId="627649F6">
            <w:pPr>
              <w:spacing w:line="420" w:lineRule="auto"/>
              <w:jc w:val="center"/>
              <w:rPr>
                <w:rFonts w:ascii="宋体" w:hAnsi="宋体"/>
                <w:color w:val="000000"/>
                <w:highlight w:val="none"/>
              </w:rPr>
            </w:pPr>
            <w:r>
              <w:rPr>
                <w:rFonts w:hint="eastAsia" w:ascii="宋体" w:hAnsi="宋体"/>
                <w:color w:val="000000"/>
                <w:highlight w:val="none"/>
              </w:rPr>
              <w:t>单</w:t>
            </w:r>
          </w:p>
          <w:p w14:paraId="6F005262">
            <w:pPr>
              <w:spacing w:line="420" w:lineRule="auto"/>
              <w:jc w:val="center"/>
              <w:rPr>
                <w:rFonts w:ascii="宋体" w:hAnsi="宋体"/>
                <w:color w:val="000000"/>
                <w:highlight w:val="none"/>
              </w:rPr>
            </w:pPr>
            <w:r>
              <w:rPr>
                <w:rFonts w:hint="eastAsia" w:ascii="宋体" w:hAnsi="宋体"/>
                <w:color w:val="000000"/>
                <w:highlight w:val="none"/>
              </w:rPr>
              <w:t>位</w:t>
            </w:r>
          </w:p>
        </w:tc>
        <w:tc>
          <w:tcPr>
            <w:tcW w:w="525" w:type="dxa"/>
            <w:vAlign w:val="center"/>
          </w:tcPr>
          <w:p w14:paraId="7A6568A4">
            <w:pPr>
              <w:spacing w:line="420" w:lineRule="auto"/>
              <w:jc w:val="center"/>
              <w:rPr>
                <w:rFonts w:ascii="宋体" w:hAnsi="宋体"/>
                <w:color w:val="000000"/>
                <w:highlight w:val="none"/>
              </w:rPr>
            </w:pPr>
            <w:r>
              <w:rPr>
                <w:rFonts w:hint="eastAsia" w:ascii="宋体" w:hAnsi="宋体"/>
                <w:color w:val="000000"/>
                <w:highlight w:val="none"/>
              </w:rPr>
              <w:t>数</w:t>
            </w:r>
          </w:p>
          <w:p w14:paraId="1F6C6347">
            <w:pPr>
              <w:spacing w:line="420" w:lineRule="auto"/>
              <w:jc w:val="center"/>
              <w:rPr>
                <w:rFonts w:ascii="宋体" w:hAnsi="宋体"/>
                <w:color w:val="000000"/>
                <w:highlight w:val="none"/>
              </w:rPr>
            </w:pPr>
            <w:r>
              <w:rPr>
                <w:rFonts w:hint="eastAsia" w:ascii="宋体" w:hAnsi="宋体"/>
                <w:color w:val="000000"/>
                <w:highlight w:val="none"/>
              </w:rPr>
              <w:t>量</w:t>
            </w:r>
          </w:p>
        </w:tc>
        <w:tc>
          <w:tcPr>
            <w:tcW w:w="735" w:type="dxa"/>
            <w:vAlign w:val="center"/>
          </w:tcPr>
          <w:p w14:paraId="1C294C79">
            <w:pPr>
              <w:spacing w:line="420" w:lineRule="auto"/>
              <w:jc w:val="center"/>
              <w:rPr>
                <w:rFonts w:ascii="宋体" w:hAnsi="宋体"/>
                <w:color w:val="000000"/>
                <w:highlight w:val="none"/>
              </w:rPr>
            </w:pPr>
            <w:r>
              <w:rPr>
                <w:rFonts w:hint="eastAsia" w:ascii="宋体" w:hAnsi="宋体"/>
                <w:color w:val="000000"/>
                <w:highlight w:val="none"/>
              </w:rPr>
              <w:t>单</w:t>
            </w:r>
          </w:p>
          <w:p w14:paraId="776781D7">
            <w:pPr>
              <w:spacing w:line="420" w:lineRule="auto"/>
              <w:jc w:val="center"/>
              <w:rPr>
                <w:rFonts w:ascii="宋体" w:hAnsi="宋体"/>
                <w:color w:val="000000"/>
                <w:highlight w:val="none"/>
              </w:rPr>
            </w:pPr>
            <w:r>
              <w:rPr>
                <w:rFonts w:hint="eastAsia" w:ascii="宋体" w:hAnsi="宋体"/>
                <w:color w:val="000000"/>
                <w:highlight w:val="none"/>
              </w:rPr>
              <w:t>价</w:t>
            </w:r>
          </w:p>
        </w:tc>
        <w:tc>
          <w:tcPr>
            <w:tcW w:w="840" w:type="dxa"/>
            <w:vAlign w:val="center"/>
          </w:tcPr>
          <w:p w14:paraId="58ED04AC">
            <w:pPr>
              <w:spacing w:line="420" w:lineRule="auto"/>
              <w:jc w:val="center"/>
              <w:rPr>
                <w:rFonts w:ascii="宋体" w:hAnsi="宋体"/>
                <w:color w:val="000000"/>
                <w:highlight w:val="none"/>
              </w:rPr>
            </w:pPr>
            <w:r>
              <w:rPr>
                <w:rFonts w:hint="eastAsia" w:ascii="宋体" w:hAnsi="宋体"/>
                <w:color w:val="000000"/>
                <w:highlight w:val="none"/>
              </w:rPr>
              <w:t>交货</w:t>
            </w:r>
          </w:p>
          <w:p w14:paraId="17D92629">
            <w:pPr>
              <w:spacing w:line="420" w:lineRule="auto"/>
              <w:jc w:val="center"/>
              <w:rPr>
                <w:rFonts w:ascii="宋体" w:hAnsi="宋体"/>
                <w:color w:val="000000"/>
                <w:highlight w:val="none"/>
              </w:rPr>
            </w:pPr>
            <w:r>
              <w:rPr>
                <w:rFonts w:hint="eastAsia" w:ascii="宋体" w:hAnsi="宋体"/>
                <w:color w:val="000000"/>
                <w:highlight w:val="none"/>
              </w:rPr>
              <w:t>方式</w:t>
            </w:r>
          </w:p>
        </w:tc>
        <w:tc>
          <w:tcPr>
            <w:tcW w:w="840" w:type="dxa"/>
            <w:vAlign w:val="center"/>
          </w:tcPr>
          <w:p w14:paraId="0099A70C">
            <w:pPr>
              <w:spacing w:line="420" w:lineRule="auto"/>
              <w:jc w:val="center"/>
              <w:rPr>
                <w:rFonts w:ascii="宋体" w:hAnsi="宋体"/>
                <w:color w:val="000000"/>
                <w:highlight w:val="none"/>
              </w:rPr>
            </w:pPr>
            <w:r>
              <w:rPr>
                <w:rFonts w:hint="eastAsia" w:ascii="宋体" w:hAnsi="宋体"/>
                <w:color w:val="000000"/>
                <w:highlight w:val="none"/>
              </w:rPr>
              <w:t>交货</w:t>
            </w:r>
          </w:p>
          <w:p w14:paraId="21AA3B06">
            <w:pPr>
              <w:spacing w:line="420" w:lineRule="auto"/>
              <w:jc w:val="center"/>
              <w:rPr>
                <w:rFonts w:ascii="宋体" w:hAnsi="宋体"/>
                <w:color w:val="000000"/>
                <w:highlight w:val="none"/>
              </w:rPr>
            </w:pPr>
            <w:r>
              <w:rPr>
                <w:rFonts w:hint="eastAsia" w:ascii="宋体" w:hAnsi="宋体"/>
                <w:color w:val="000000"/>
                <w:highlight w:val="none"/>
              </w:rPr>
              <w:t>地点</w:t>
            </w:r>
          </w:p>
        </w:tc>
        <w:tc>
          <w:tcPr>
            <w:tcW w:w="735" w:type="dxa"/>
            <w:vAlign w:val="center"/>
          </w:tcPr>
          <w:p w14:paraId="1AA7097C">
            <w:pPr>
              <w:spacing w:line="420" w:lineRule="auto"/>
              <w:jc w:val="center"/>
              <w:rPr>
                <w:rFonts w:ascii="宋体" w:hAnsi="宋体"/>
                <w:color w:val="000000"/>
                <w:highlight w:val="none"/>
              </w:rPr>
            </w:pPr>
            <w:r>
              <w:rPr>
                <w:rFonts w:hint="eastAsia" w:ascii="宋体" w:hAnsi="宋体"/>
                <w:color w:val="000000"/>
                <w:highlight w:val="none"/>
              </w:rPr>
              <w:t>计划交货</w:t>
            </w:r>
          </w:p>
          <w:p w14:paraId="152390C9">
            <w:pPr>
              <w:spacing w:line="420" w:lineRule="auto"/>
              <w:jc w:val="center"/>
              <w:rPr>
                <w:rFonts w:ascii="宋体" w:hAnsi="宋体"/>
                <w:color w:val="000000"/>
                <w:highlight w:val="none"/>
              </w:rPr>
            </w:pPr>
            <w:r>
              <w:rPr>
                <w:rFonts w:hint="eastAsia" w:ascii="宋体" w:hAnsi="宋体"/>
                <w:color w:val="000000"/>
                <w:highlight w:val="none"/>
              </w:rPr>
              <w:t>时间</w:t>
            </w:r>
          </w:p>
        </w:tc>
        <w:tc>
          <w:tcPr>
            <w:tcW w:w="945" w:type="dxa"/>
            <w:vAlign w:val="center"/>
          </w:tcPr>
          <w:p w14:paraId="107629BB">
            <w:pPr>
              <w:spacing w:line="420" w:lineRule="auto"/>
              <w:jc w:val="center"/>
              <w:rPr>
                <w:rFonts w:ascii="宋体" w:hAnsi="宋体"/>
                <w:color w:val="000000"/>
                <w:highlight w:val="none"/>
              </w:rPr>
            </w:pPr>
            <w:r>
              <w:rPr>
                <w:rFonts w:hint="eastAsia" w:ascii="宋体" w:hAnsi="宋体"/>
                <w:color w:val="000000"/>
                <w:highlight w:val="none"/>
              </w:rPr>
              <w:t>备注</w:t>
            </w:r>
          </w:p>
        </w:tc>
      </w:tr>
      <w:tr w14:paraId="2EAB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359500A">
            <w:pPr>
              <w:spacing w:line="420" w:lineRule="auto"/>
              <w:jc w:val="center"/>
              <w:rPr>
                <w:rFonts w:ascii="宋体" w:hAnsi="宋体"/>
                <w:color w:val="000000"/>
                <w:sz w:val="28"/>
                <w:szCs w:val="28"/>
                <w:highlight w:val="none"/>
              </w:rPr>
            </w:pPr>
          </w:p>
        </w:tc>
        <w:tc>
          <w:tcPr>
            <w:tcW w:w="1155" w:type="dxa"/>
          </w:tcPr>
          <w:p w14:paraId="54605BA6">
            <w:pPr>
              <w:spacing w:line="420" w:lineRule="auto"/>
              <w:jc w:val="center"/>
              <w:rPr>
                <w:rFonts w:ascii="宋体" w:hAnsi="宋体"/>
                <w:color w:val="000000"/>
                <w:sz w:val="28"/>
                <w:szCs w:val="28"/>
                <w:highlight w:val="none"/>
              </w:rPr>
            </w:pPr>
          </w:p>
        </w:tc>
        <w:tc>
          <w:tcPr>
            <w:tcW w:w="1050" w:type="dxa"/>
          </w:tcPr>
          <w:p w14:paraId="0FA8C088">
            <w:pPr>
              <w:spacing w:line="420" w:lineRule="auto"/>
              <w:jc w:val="center"/>
              <w:rPr>
                <w:rFonts w:ascii="宋体" w:hAnsi="宋体"/>
                <w:color w:val="000000"/>
                <w:sz w:val="28"/>
                <w:szCs w:val="28"/>
                <w:highlight w:val="none"/>
              </w:rPr>
            </w:pPr>
          </w:p>
        </w:tc>
        <w:tc>
          <w:tcPr>
            <w:tcW w:w="630" w:type="dxa"/>
          </w:tcPr>
          <w:p w14:paraId="57EED0FC">
            <w:pPr>
              <w:spacing w:line="420" w:lineRule="auto"/>
              <w:jc w:val="center"/>
              <w:rPr>
                <w:rFonts w:ascii="宋体" w:hAnsi="宋体"/>
                <w:color w:val="000000"/>
                <w:sz w:val="28"/>
                <w:szCs w:val="28"/>
                <w:highlight w:val="none"/>
              </w:rPr>
            </w:pPr>
          </w:p>
        </w:tc>
        <w:tc>
          <w:tcPr>
            <w:tcW w:w="525" w:type="dxa"/>
          </w:tcPr>
          <w:p w14:paraId="7FD43A7F">
            <w:pPr>
              <w:spacing w:line="420" w:lineRule="auto"/>
              <w:jc w:val="center"/>
              <w:rPr>
                <w:rFonts w:ascii="宋体" w:hAnsi="宋体"/>
                <w:color w:val="000000"/>
                <w:sz w:val="28"/>
                <w:szCs w:val="28"/>
                <w:highlight w:val="none"/>
              </w:rPr>
            </w:pPr>
          </w:p>
        </w:tc>
        <w:tc>
          <w:tcPr>
            <w:tcW w:w="735" w:type="dxa"/>
          </w:tcPr>
          <w:p w14:paraId="0BD50A02">
            <w:pPr>
              <w:spacing w:line="420" w:lineRule="auto"/>
              <w:jc w:val="center"/>
              <w:rPr>
                <w:rFonts w:ascii="宋体" w:hAnsi="宋体"/>
                <w:color w:val="000000"/>
                <w:sz w:val="28"/>
                <w:szCs w:val="28"/>
                <w:highlight w:val="none"/>
              </w:rPr>
            </w:pPr>
          </w:p>
        </w:tc>
        <w:tc>
          <w:tcPr>
            <w:tcW w:w="840" w:type="dxa"/>
          </w:tcPr>
          <w:p w14:paraId="06EDA98D">
            <w:pPr>
              <w:spacing w:line="420" w:lineRule="auto"/>
              <w:jc w:val="center"/>
              <w:rPr>
                <w:rFonts w:ascii="宋体" w:hAnsi="宋体"/>
                <w:color w:val="000000"/>
                <w:sz w:val="28"/>
                <w:szCs w:val="28"/>
                <w:highlight w:val="none"/>
              </w:rPr>
            </w:pPr>
          </w:p>
        </w:tc>
        <w:tc>
          <w:tcPr>
            <w:tcW w:w="840" w:type="dxa"/>
          </w:tcPr>
          <w:p w14:paraId="668E29E3">
            <w:pPr>
              <w:spacing w:line="420" w:lineRule="auto"/>
              <w:jc w:val="center"/>
              <w:rPr>
                <w:rFonts w:ascii="宋体" w:hAnsi="宋体"/>
                <w:color w:val="000000"/>
                <w:sz w:val="28"/>
                <w:szCs w:val="28"/>
                <w:highlight w:val="none"/>
              </w:rPr>
            </w:pPr>
          </w:p>
        </w:tc>
        <w:tc>
          <w:tcPr>
            <w:tcW w:w="735" w:type="dxa"/>
          </w:tcPr>
          <w:p w14:paraId="76E9D4FC">
            <w:pPr>
              <w:spacing w:line="420" w:lineRule="auto"/>
              <w:jc w:val="center"/>
              <w:rPr>
                <w:rFonts w:ascii="宋体" w:hAnsi="宋体"/>
                <w:color w:val="000000"/>
                <w:sz w:val="28"/>
                <w:szCs w:val="28"/>
                <w:highlight w:val="none"/>
              </w:rPr>
            </w:pPr>
          </w:p>
        </w:tc>
        <w:tc>
          <w:tcPr>
            <w:tcW w:w="945" w:type="dxa"/>
          </w:tcPr>
          <w:p w14:paraId="039CBA7E">
            <w:pPr>
              <w:spacing w:line="420" w:lineRule="auto"/>
              <w:jc w:val="center"/>
              <w:rPr>
                <w:rFonts w:ascii="宋体" w:hAnsi="宋体"/>
                <w:color w:val="000000"/>
                <w:sz w:val="28"/>
                <w:szCs w:val="28"/>
                <w:highlight w:val="none"/>
              </w:rPr>
            </w:pPr>
          </w:p>
        </w:tc>
      </w:tr>
      <w:tr w14:paraId="6349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4FCABB7">
            <w:pPr>
              <w:spacing w:line="420" w:lineRule="auto"/>
              <w:jc w:val="center"/>
              <w:rPr>
                <w:rFonts w:ascii="宋体" w:hAnsi="宋体"/>
                <w:color w:val="000000"/>
                <w:sz w:val="28"/>
                <w:szCs w:val="28"/>
                <w:highlight w:val="none"/>
              </w:rPr>
            </w:pPr>
          </w:p>
        </w:tc>
        <w:tc>
          <w:tcPr>
            <w:tcW w:w="1155" w:type="dxa"/>
          </w:tcPr>
          <w:p w14:paraId="1C54823F">
            <w:pPr>
              <w:spacing w:line="420" w:lineRule="auto"/>
              <w:jc w:val="center"/>
              <w:rPr>
                <w:rFonts w:ascii="宋体" w:hAnsi="宋体"/>
                <w:color w:val="000000"/>
                <w:sz w:val="28"/>
                <w:szCs w:val="28"/>
                <w:highlight w:val="none"/>
              </w:rPr>
            </w:pPr>
          </w:p>
        </w:tc>
        <w:tc>
          <w:tcPr>
            <w:tcW w:w="1050" w:type="dxa"/>
          </w:tcPr>
          <w:p w14:paraId="71155A9D">
            <w:pPr>
              <w:spacing w:line="420" w:lineRule="auto"/>
              <w:jc w:val="center"/>
              <w:rPr>
                <w:rFonts w:ascii="宋体" w:hAnsi="宋体"/>
                <w:color w:val="000000"/>
                <w:sz w:val="28"/>
                <w:szCs w:val="28"/>
                <w:highlight w:val="none"/>
              </w:rPr>
            </w:pPr>
          </w:p>
        </w:tc>
        <w:tc>
          <w:tcPr>
            <w:tcW w:w="630" w:type="dxa"/>
          </w:tcPr>
          <w:p w14:paraId="5B422DEC">
            <w:pPr>
              <w:spacing w:line="420" w:lineRule="auto"/>
              <w:jc w:val="center"/>
              <w:rPr>
                <w:rFonts w:ascii="宋体" w:hAnsi="宋体"/>
                <w:color w:val="000000"/>
                <w:sz w:val="28"/>
                <w:szCs w:val="28"/>
                <w:highlight w:val="none"/>
              </w:rPr>
            </w:pPr>
          </w:p>
        </w:tc>
        <w:tc>
          <w:tcPr>
            <w:tcW w:w="525" w:type="dxa"/>
          </w:tcPr>
          <w:p w14:paraId="14E89E5D">
            <w:pPr>
              <w:spacing w:line="420" w:lineRule="auto"/>
              <w:jc w:val="center"/>
              <w:rPr>
                <w:rFonts w:ascii="宋体" w:hAnsi="宋体"/>
                <w:color w:val="000000"/>
                <w:sz w:val="28"/>
                <w:szCs w:val="28"/>
                <w:highlight w:val="none"/>
              </w:rPr>
            </w:pPr>
          </w:p>
        </w:tc>
        <w:tc>
          <w:tcPr>
            <w:tcW w:w="735" w:type="dxa"/>
          </w:tcPr>
          <w:p w14:paraId="3B101147">
            <w:pPr>
              <w:spacing w:line="420" w:lineRule="auto"/>
              <w:jc w:val="center"/>
              <w:rPr>
                <w:rFonts w:ascii="宋体" w:hAnsi="宋体"/>
                <w:color w:val="000000"/>
                <w:sz w:val="28"/>
                <w:szCs w:val="28"/>
                <w:highlight w:val="none"/>
              </w:rPr>
            </w:pPr>
          </w:p>
        </w:tc>
        <w:tc>
          <w:tcPr>
            <w:tcW w:w="840" w:type="dxa"/>
          </w:tcPr>
          <w:p w14:paraId="7273B32C">
            <w:pPr>
              <w:spacing w:line="420" w:lineRule="auto"/>
              <w:jc w:val="center"/>
              <w:rPr>
                <w:rFonts w:ascii="宋体" w:hAnsi="宋体"/>
                <w:color w:val="000000"/>
                <w:sz w:val="28"/>
                <w:szCs w:val="28"/>
                <w:highlight w:val="none"/>
              </w:rPr>
            </w:pPr>
          </w:p>
        </w:tc>
        <w:tc>
          <w:tcPr>
            <w:tcW w:w="840" w:type="dxa"/>
          </w:tcPr>
          <w:p w14:paraId="5BAD8BC7">
            <w:pPr>
              <w:spacing w:line="420" w:lineRule="auto"/>
              <w:jc w:val="center"/>
              <w:rPr>
                <w:rFonts w:ascii="宋体" w:hAnsi="宋体"/>
                <w:color w:val="000000"/>
                <w:sz w:val="28"/>
                <w:szCs w:val="28"/>
                <w:highlight w:val="none"/>
              </w:rPr>
            </w:pPr>
          </w:p>
        </w:tc>
        <w:tc>
          <w:tcPr>
            <w:tcW w:w="735" w:type="dxa"/>
          </w:tcPr>
          <w:p w14:paraId="2BD8479B">
            <w:pPr>
              <w:spacing w:line="420" w:lineRule="auto"/>
              <w:jc w:val="center"/>
              <w:rPr>
                <w:rFonts w:ascii="宋体" w:hAnsi="宋体"/>
                <w:color w:val="000000"/>
                <w:sz w:val="28"/>
                <w:szCs w:val="28"/>
                <w:highlight w:val="none"/>
              </w:rPr>
            </w:pPr>
          </w:p>
        </w:tc>
        <w:tc>
          <w:tcPr>
            <w:tcW w:w="945" w:type="dxa"/>
          </w:tcPr>
          <w:p w14:paraId="233FD7E2">
            <w:pPr>
              <w:spacing w:line="420" w:lineRule="auto"/>
              <w:jc w:val="center"/>
              <w:rPr>
                <w:rFonts w:ascii="宋体" w:hAnsi="宋体"/>
                <w:color w:val="000000"/>
                <w:sz w:val="28"/>
                <w:szCs w:val="28"/>
                <w:highlight w:val="none"/>
              </w:rPr>
            </w:pPr>
          </w:p>
        </w:tc>
      </w:tr>
      <w:tr w14:paraId="4DC3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D65B051">
            <w:pPr>
              <w:spacing w:line="420" w:lineRule="auto"/>
              <w:jc w:val="center"/>
              <w:rPr>
                <w:rFonts w:ascii="宋体" w:hAnsi="宋体"/>
                <w:color w:val="000000"/>
                <w:sz w:val="28"/>
                <w:szCs w:val="28"/>
                <w:highlight w:val="none"/>
              </w:rPr>
            </w:pPr>
          </w:p>
        </w:tc>
        <w:tc>
          <w:tcPr>
            <w:tcW w:w="1155" w:type="dxa"/>
          </w:tcPr>
          <w:p w14:paraId="6129E3AC">
            <w:pPr>
              <w:spacing w:line="420" w:lineRule="auto"/>
              <w:jc w:val="center"/>
              <w:rPr>
                <w:rFonts w:ascii="宋体" w:hAnsi="宋体"/>
                <w:color w:val="000000"/>
                <w:sz w:val="28"/>
                <w:szCs w:val="28"/>
                <w:highlight w:val="none"/>
              </w:rPr>
            </w:pPr>
          </w:p>
        </w:tc>
        <w:tc>
          <w:tcPr>
            <w:tcW w:w="1050" w:type="dxa"/>
          </w:tcPr>
          <w:p w14:paraId="1F102BEE">
            <w:pPr>
              <w:spacing w:line="420" w:lineRule="auto"/>
              <w:jc w:val="center"/>
              <w:rPr>
                <w:rFonts w:ascii="宋体" w:hAnsi="宋体"/>
                <w:color w:val="000000"/>
                <w:sz w:val="28"/>
                <w:szCs w:val="28"/>
                <w:highlight w:val="none"/>
              </w:rPr>
            </w:pPr>
          </w:p>
        </w:tc>
        <w:tc>
          <w:tcPr>
            <w:tcW w:w="630" w:type="dxa"/>
          </w:tcPr>
          <w:p w14:paraId="4A721942">
            <w:pPr>
              <w:spacing w:line="420" w:lineRule="auto"/>
              <w:jc w:val="center"/>
              <w:rPr>
                <w:rFonts w:ascii="宋体" w:hAnsi="宋体"/>
                <w:color w:val="000000"/>
                <w:sz w:val="28"/>
                <w:szCs w:val="28"/>
                <w:highlight w:val="none"/>
              </w:rPr>
            </w:pPr>
          </w:p>
        </w:tc>
        <w:tc>
          <w:tcPr>
            <w:tcW w:w="525" w:type="dxa"/>
          </w:tcPr>
          <w:p w14:paraId="163FE3FA">
            <w:pPr>
              <w:spacing w:line="420" w:lineRule="auto"/>
              <w:jc w:val="center"/>
              <w:rPr>
                <w:rFonts w:ascii="宋体" w:hAnsi="宋体"/>
                <w:color w:val="000000"/>
                <w:sz w:val="28"/>
                <w:szCs w:val="28"/>
                <w:highlight w:val="none"/>
              </w:rPr>
            </w:pPr>
          </w:p>
        </w:tc>
        <w:tc>
          <w:tcPr>
            <w:tcW w:w="735" w:type="dxa"/>
          </w:tcPr>
          <w:p w14:paraId="2C19AFFC">
            <w:pPr>
              <w:spacing w:line="420" w:lineRule="auto"/>
              <w:jc w:val="center"/>
              <w:rPr>
                <w:rFonts w:ascii="宋体" w:hAnsi="宋体"/>
                <w:color w:val="000000"/>
                <w:sz w:val="28"/>
                <w:szCs w:val="28"/>
                <w:highlight w:val="none"/>
              </w:rPr>
            </w:pPr>
          </w:p>
        </w:tc>
        <w:tc>
          <w:tcPr>
            <w:tcW w:w="840" w:type="dxa"/>
          </w:tcPr>
          <w:p w14:paraId="708118EE">
            <w:pPr>
              <w:spacing w:line="420" w:lineRule="auto"/>
              <w:jc w:val="center"/>
              <w:rPr>
                <w:rFonts w:ascii="宋体" w:hAnsi="宋体"/>
                <w:color w:val="000000"/>
                <w:sz w:val="28"/>
                <w:szCs w:val="28"/>
                <w:highlight w:val="none"/>
              </w:rPr>
            </w:pPr>
          </w:p>
        </w:tc>
        <w:tc>
          <w:tcPr>
            <w:tcW w:w="840" w:type="dxa"/>
          </w:tcPr>
          <w:p w14:paraId="23A6601E">
            <w:pPr>
              <w:spacing w:line="420" w:lineRule="auto"/>
              <w:jc w:val="center"/>
              <w:rPr>
                <w:rFonts w:ascii="宋体" w:hAnsi="宋体"/>
                <w:color w:val="000000"/>
                <w:sz w:val="28"/>
                <w:szCs w:val="28"/>
                <w:highlight w:val="none"/>
              </w:rPr>
            </w:pPr>
          </w:p>
        </w:tc>
        <w:tc>
          <w:tcPr>
            <w:tcW w:w="735" w:type="dxa"/>
          </w:tcPr>
          <w:p w14:paraId="40C229E7">
            <w:pPr>
              <w:spacing w:line="420" w:lineRule="auto"/>
              <w:jc w:val="center"/>
              <w:rPr>
                <w:rFonts w:ascii="宋体" w:hAnsi="宋体"/>
                <w:color w:val="000000"/>
                <w:sz w:val="28"/>
                <w:szCs w:val="28"/>
                <w:highlight w:val="none"/>
              </w:rPr>
            </w:pPr>
          </w:p>
        </w:tc>
        <w:tc>
          <w:tcPr>
            <w:tcW w:w="945" w:type="dxa"/>
          </w:tcPr>
          <w:p w14:paraId="73CE55F0">
            <w:pPr>
              <w:spacing w:line="420" w:lineRule="auto"/>
              <w:jc w:val="center"/>
              <w:rPr>
                <w:rFonts w:ascii="宋体" w:hAnsi="宋体"/>
                <w:color w:val="000000"/>
                <w:sz w:val="28"/>
                <w:szCs w:val="28"/>
                <w:highlight w:val="none"/>
              </w:rPr>
            </w:pPr>
          </w:p>
        </w:tc>
      </w:tr>
      <w:tr w14:paraId="2429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90CF737">
            <w:pPr>
              <w:spacing w:line="420" w:lineRule="auto"/>
              <w:jc w:val="center"/>
              <w:rPr>
                <w:rFonts w:ascii="宋体" w:hAnsi="宋体"/>
                <w:color w:val="000000"/>
                <w:sz w:val="28"/>
                <w:szCs w:val="28"/>
                <w:highlight w:val="none"/>
              </w:rPr>
            </w:pPr>
          </w:p>
        </w:tc>
        <w:tc>
          <w:tcPr>
            <w:tcW w:w="1155" w:type="dxa"/>
          </w:tcPr>
          <w:p w14:paraId="3174F8CF">
            <w:pPr>
              <w:spacing w:line="420" w:lineRule="auto"/>
              <w:jc w:val="center"/>
              <w:rPr>
                <w:rFonts w:ascii="宋体" w:hAnsi="宋体"/>
                <w:color w:val="000000"/>
                <w:sz w:val="28"/>
                <w:szCs w:val="28"/>
                <w:highlight w:val="none"/>
              </w:rPr>
            </w:pPr>
          </w:p>
        </w:tc>
        <w:tc>
          <w:tcPr>
            <w:tcW w:w="1050" w:type="dxa"/>
          </w:tcPr>
          <w:p w14:paraId="6F79F264">
            <w:pPr>
              <w:spacing w:line="420" w:lineRule="auto"/>
              <w:jc w:val="center"/>
              <w:rPr>
                <w:rFonts w:ascii="宋体" w:hAnsi="宋体"/>
                <w:color w:val="000000"/>
                <w:sz w:val="28"/>
                <w:szCs w:val="28"/>
                <w:highlight w:val="none"/>
              </w:rPr>
            </w:pPr>
          </w:p>
        </w:tc>
        <w:tc>
          <w:tcPr>
            <w:tcW w:w="630" w:type="dxa"/>
          </w:tcPr>
          <w:p w14:paraId="3454D453">
            <w:pPr>
              <w:spacing w:line="420" w:lineRule="auto"/>
              <w:jc w:val="center"/>
              <w:rPr>
                <w:rFonts w:ascii="宋体" w:hAnsi="宋体"/>
                <w:color w:val="000000"/>
                <w:sz w:val="28"/>
                <w:szCs w:val="28"/>
                <w:highlight w:val="none"/>
              </w:rPr>
            </w:pPr>
          </w:p>
        </w:tc>
        <w:tc>
          <w:tcPr>
            <w:tcW w:w="525" w:type="dxa"/>
          </w:tcPr>
          <w:p w14:paraId="35624081">
            <w:pPr>
              <w:spacing w:line="420" w:lineRule="auto"/>
              <w:jc w:val="center"/>
              <w:rPr>
                <w:rFonts w:ascii="宋体" w:hAnsi="宋体"/>
                <w:color w:val="000000"/>
                <w:sz w:val="28"/>
                <w:szCs w:val="28"/>
                <w:highlight w:val="none"/>
              </w:rPr>
            </w:pPr>
          </w:p>
        </w:tc>
        <w:tc>
          <w:tcPr>
            <w:tcW w:w="735" w:type="dxa"/>
          </w:tcPr>
          <w:p w14:paraId="1551723A">
            <w:pPr>
              <w:spacing w:line="420" w:lineRule="auto"/>
              <w:jc w:val="center"/>
              <w:rPr>
                <w:rFonts w:ascii="宋体" w:hAnsi="宋体"/>
                <w:color w:val="000000"/>
                <w:sz w:val="28"/>
                <w:szCs w:val="28"/>
                <w:highlight w:val="none"/>
              </w:rPr>
            </w:pPr>
          </w:p>
        </w:tc>
        <w:tc>
          <w:tcPr>
            <w:tcW w:w="840" w:type="dxa"/>
          </w:tcPr>
          <w:p w14:paraId="7097DAFB">
            <w:pPr>
              <w:spacing w:line="420" w:lineRule="auto"/>
              <w:jc w:val="center"/>
              <w:rPr>
                <w:rFonts w:ascii="宋体" w:hAnsi="宋体"/>
                <w:color w:val="000000"/>
                <w:sz w:val="28"/>
                <w:szCs w:val="28"/>
                <w:highlight w:val="none"/>
              </w:rPr>
            </w:pPr>
          </w:p>
        </w:tc>
        <w:tc>
          <w:tcPr>
            <w:tcW w:w="840" w:type="dxa"/>
          </w:tcPr>
          <w:p w14:paraId="0CB8CD11">
            <w:pPr>
              <w:spacing w:line="420" w:lineRule="auto"/>
              <w:jc w:val="center"/>
              <w:rPr>
                <w:rFonts w:ascii="宋体" w:hAnsi="宋体"/>
                <w:color w:val="000000"/>
                <w:sz w:val="28"/>
                <w:szCs w:val="28"/>
                <w:highlight w:val="none"/>
              </w:rPr>
            </w:pPr>
          </w:p>
        </w:tc>
        <w:tc>
          <w:tcPr>
            <w:tcW w:w="735" w:type="dxa"/>
          </w:tcPr>
          <w:p w14:paraId="289FBEA6">
            <w:pPr>
              <w:spacing w:line="420" w:lineRule="auto"/>
              <w:jc w:val="center"/>
              <w:rPr>
                <w:rFonts w:ascii="宋体" w:hAnsi="宋体"/>
                <w:color w:val="000000"/>
                <w:sz w:val="28"/>
                <w:szCs w:val="28"/>
                <w:highlight w:val="none"/>
              </w:rPr>
            </w:pPr>
          </w:p>
        </w:tc>
        <w:tc>
          <w:tcPr>
            <w:tcW w:w="945" w:type="dxa"/>
          </w:tcPr>
          <w:p w14:paraId="1361A5FF">
            <w:pPr>
              <w:spacing w:line="420" w:lineRule="auto"/>
              <w:jc w:val="center"/>
              <w:rPr>
                <w:rFonts w:ascii="宋体" w:hAnsi="宋体"/>
                <w:color w:val="000000"/>
                <w:sz w:val="28"/>
                <w:szCs w:val="28"/>
                <w:highlight w:val="none"/>
              </w:rPr>
            </w:pPr>
          </w:p>
        </w:tc>
      </w:tr>
      <w:tr w14:paraId="7E7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70C5F15">
            <w:pPr>
              <w:spacing w:line="420" w:lineRule="auto"/>
              <w:jc w:val="center"/>
              <w:rPr>
                <w:rFonts w:ascii="宋体" w:hAnsi="宋体"/>
                <w:color w:val="000000"/>
                <w:sz w:val="28"/>
                <w:szCs w:val="28"/>
                <w:highlight w:val="none"/>
              </w:rPr>
            </w:pPr>
          </w:p>
        </w:tc>
        <w:tc>
          <w:tcPr>
            <w:tcW w:w="1155" w:type="dxa"/>
          </w:tcPr>
          <w:p w14:paraId="30A88D8F">
            <w:pPr>
              <w:spacing w:line="420" w:lineRule="auto"/>
              <w:jc w:val="center"/>
              <w:rPr>
                <w:rFonts w:ascii="宋体" w:hAnsi="宋体"/>
                <w:color w:val="000000"/>
                <w:sz w:val="28"/>
                <w:szCs w:val="28"/>
                <w:highlight w:val="none"/>
              </w:rPr>
            </w:pPr>
          </w:p>
        </w:tc>
        <w:tc>
          <w:tcPr>
            <w:tcW w:w="1050" w:type="dxa"/>
          </w:tcPr>
          <w:p w14:paraId="4D4B7433">
            <w:pPr>
              <w:spacing w:line="420" w:lineRule="auto"/>
              <w:jc w:val="center"/>
              <w:rPr>
                <w:rFonts w:ascii="宋体" w:hAnsi="宋体"/>
                <w:color w:val="000000"/>
                <w:sz w:val="28"/>
                <w:szCs w:val="28"/>
                <w:highlight w:val="none"/>
              </w:rPr>
            </w:pPr>
          </w:p>
        </w:tc>
        <w:tc>
          <w:tcPr>
            <w:tcW w:w="630" w:type="dxa"/>
          </w:tcPr>
          <w:p w14:paraId="62B5ACC8">
            <w:pPr>
              <w:spacing w:line="420" w:lineRule="auto"/>
              <w:jc w:val="center"/>
              <w:rPr>
                <w:rFonts w:ascii="宋体" w:hAnsi="宋体"/>
                <w:color w:val="000000"/>
                <w:sz w:val="28"/>
                <w:szCs w:val="28"/>
                <w:highlight w:val="none"/>
              </w:rPr>
            </w:pPr>
          </w:p>
        </w:tc>
        <w:tc>
          <w:tcPr>
            <w:tcW w:w="525" w:type="dxa"/>
          </w:tcPr>
          <w:p w14:paraId="6EB24FD7">
            <w:pPr>
              <w:spacing w:line="420" w:lineRule="auto"/>
              <w:jc w:val="center"/>
              <w:rPr>
                <w:rFonts w:ascii="宋体" w:hAnsi="宋体"/>
                <w:color w:val="000000"/>
                <w:sz w:val="28"/>
                <w:szCs w:val="28"/>
                <w:highlight w:val="none"/>
              </w:rPr>
            </w:pPr>
          </w:p>
        </w:tc>
        <w:tc>
          <w:tcPr>
            <w:tcW w:w="735" w:type="dxa"/>
          </w:tcPr>
          <w:p w14:paraId="49ADED7B">
            <w:pPr>
              <w:spacing w:line="420" w:lineRule="auto"/>
              <w:jc w:val="center"/>
              <w:rPr>
                <w:rFonts w:ascii="宋体" w:hAnsi="宋体"/>
                <w:color w:val="000000"/>
                <w:sz w:val="28"/>
                <w:szCs w:val="28"/>
                <w:highlight w:val="none"/>
              </w:rPr>
            </w:pPr>
          </w:p>
        </w:tc>
        <w:tc>
          <w:tcPr>
            <w:tcW w:w="840" w:type="dxa"/>
          </w:tcPr>
          <w:p w14:paraId="307C639F">
            <w:pPr>
              <w:spacing w:line="420" w:lineRule="auto"/>
              <w:jc w:val="center"/>
              <w:rPr>
                <w:rFonts w:ascii="宋体" w:hAnsi="宋体"/>
                <w:color w:val="000000"/>
                <w:sz w:val="28"/>
                <w:szCs w:val="28"/>
                <w:highlight w:val="none"/>
              </w:rPr>
            </w:pPr>
          </w:p>
        </w:tc>
        <w:tc>
          <w:tcPr>
            <w:tcW w:w="840" w:type="dxa"/>
          </w:tcPr>
          <w:p w14:paraId="2F069FBB">
            <w:pPr>
              <w:spacing w:line="420" w:lineRule="auto"/>
              <w:jc w:val="center"/>
              <w:rPr>
                <w:rFonts w:ascii="宋体" w:hAnsi="宋体"/>
                <w:color w:val="000000"/>
                <w:sz w:val="28"/>
                <w:szCs w:val="28"/>
                <w:highlight w:val="none"/>
              </w:rPr>
            </w:pPr>
          </w:p>
        </w:tc>
        <w:tc>
          <w:tcPr>
            <w:tcW w:w="735" w:type="dxa"/>
          </w:tcPr>
          <w:p w14:paraId="2C2AA206">
            <w:pPr>
              <w:spacing w:line="420" w:lineRule="auto"/>
              <w:jc w:val="center"/>
              <w:rPr>
                <w:rFonts w:ascii="宋体" w:hAnsi="宋体"/>
                <w:color w:val="000000"/>
                <w:sz w:val="28"/>
                <w:szCs w:val="28"/>
                <w:highlight w:val="none"/>
              </w:rPr>
            </w:pPr>
          </w:p>
        </w:tc>
        <w:tc>
          <w:tcPr>
            <w:tcW w:w="945" w:type="dxa"/>
          </w:tcPr>
          <w:p w14:paraId="7A9698E4">
            <w:pPr>
              <w:spacing w:line="420" w:lineRule="auto"/>
              <w:jc w:val="center"/>
              <w:rPr>
                <w:rFonts w:ascii="宋体" w:hAnsi="宋体"/>
                <w:color w:val="000000"/>
                <w:sz w:val="28"/>
                <w:szCs w:val="28"/>
                <w:highlight w:val="none"/>
              </w:rPr>
            </w:pPr>
          </w:p>
        </w:tc>
      </w:tr>
      <w:tr w14:paraId="15C7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5263F784">
            <w:pPr>
              <w:spacing w:line="420" w:lineRule="auto"/>
              <w:jc w:val="center"/>
              <w:rPr>
                <w:rFonts w:ascii="宋体" w:hAnsi="宋体"/>
                <w:color w:val="000000"/>
                <w:sz w:val="28"/>
                <w:szCs w:val="28"/>
                <w:highlight w:val="none"/>
              </w:rPr>
            </w:pPr>
          </w:p>
        </w:tc>
        <w:tc>
          <w:tcPr>
            <w:tcW w:w="1155" w:type="dxa"/>
          </w:tcPr>
          <w:p w14:paraId="601B529A">
            <w:pPr>
              <w:spacing w:line="420" w:lineRule="auto"/>
              <w:jc w:val="center"/>
              <w:rPr>
                <w:rFonts w:ascii="宋体" w:hAnsi="宋体"/>
                <w:color w:val="000000"/>
                <w:sz w:val="28"/>
                <w:szCs w:val="28"/>
                <w:highlight w:val="none"/>
              </w:rPr>
            </w:pPr>
          </w:p>
        </w:tc>
        <w:tc>
          <w:tcPr>
            <w:tcW w:w="1050" w:type="dxa"/>
          </w:tcPr>
          <w:p w14:paraId="133CBB02">
            <w:pPr>
              <w:spacing w:line="420" w:lineRule="auto"/>
              <w:jc w:val="center"/>
              <w:rPr>
                <w:rFonts w:ascii="宋体" w:hAnsi="宋体"/>
                <w:color w:val="000000"/>
                <w:sz w:val="28"/>
                <w:szCs w:val="28"/>
                <w:highlight w:val="none"/>
              </w:rPr>
            </w:pPr>
          </w:p>
        </w:tc>
        <w:tc>
          <w:tcPr>
            <w:tcW w:w="630" w:type="dxa"/>
          </w:tcPr>
          <w:p w14:paraId="1BDF0622">
            <w:pPr>
              <w:spacing w:line="420" w:lineRule="auto"/>
              <w:jc w:val="center"/>
              <w:rPr>
                <w:rFonts w:ascii="宋体" w:hAnsi="宋体"/>
                <w:color w:val="000000"/>
                <w:sz w:val="28"/>
                <w:szCs w:val="28"/>
                <w:highlight w:val="none"/>
              </w:rPr>
            </w:pPr>
          </w:p>
        </w:tc>
        <w:tc>
          <w:tcPr>
            <w:tcW w:w="525" w:type="dxa"/>
          </w:tcPr>
          <w:p w14:paraId="55FB07FD">
            <w:pPr>
              <w:spacing w:line="420" w:lineRule="auto"/>
              <w:jc w:val="center"/>
              <w:rPr>
                <w:rFonts w:ascii="宋体" w:hAnsi="宋体"/>
                <w:color w:val="000000"/>
                <w:sz w:val="28"/>
                <w:szCs w:val="28"/>
                <w:highlight w:val="none"/>
              </w:rPr>
            </w:pPr>
          </w:p>
        </w:tc>
        <w:tc>
          <w:tcPr>
            <w:tcW w:w="735" w:type="dxa"/>
          </w:tcPr>
          <w:p w14:paraId="1A6E533F">
            <w:pPr>
              <w:spacing w:line="420" w:lineRule="auto"/>
              <w:jc w:val="center"/>
              <w:rPr>
                <w:rFonts w:ascii="宋体" w:hAnsi="宋体"/>
                <w:color w:val="000000"/>
                <w:sz w:val="28"/>
                <w:szCs w:val="28"/>
                <w:highlight w:val="none"/>
              </w:rPr>
            </w:pPr>
          </w:p>
        </w:tc>
        <w:tc>
          <w:tcPr>
            <w:tcW w:w="840" w:type="dxa"/>
          </w:tcPr>
          <w:p w14:paraId="157C65AA">
            <w:pPr>
              <w:spacing w:line="420" w:lineRule="auto"/>
              <w:jc w:val="center"/>
              <w:rPr>
                <w:rFonts w:ascii="宋体" w:hAnsi="宋体"/>
                <w:color w:val="000000"/>
                <w:sz w:val="28"/>
                <w:szCs w:val="28"/>
                <w:highlight w:val="none"/>
              </w:rPr>
            </w:pPr>
          </w:p>
        </w:tc>
        <w:tc>
          <w:tcPr>
            <w:tcW w:w="840" w:type="dxa"/>
          </w:tcPr>
          <w:p w14:paraId="6054F310">
            <w:pPr>
              <w:spacing w:line="420" w:lineRule="auto"/>
              <w:jc w:val="center"/>
              <w:rPr>
                <w:rFonts w:ascii="宋体" w:hAnsi="宋体"/>
                <w:color w:val="000000"/>
                <w:sz w:val="28"/>
                <w:szCs w:val="28"/>
                <w:highlight w:val="none"/>
              </w:rPr>
            </w:pPr>
          </w:p>
        </w:tc>
        <w:tc>
          <w:tcPr>
            <w:tcW w:w="735" w:type="dxa"/>
          </w:tcPr>
          <w:p w14:paraId="35FD9184">
            <w:pPr>
              <w:spacing w:line="420" w:lineRule="auto"/>
              <w:jc w:val="center"/>
              <w:rPr>
                <w:rFonts w:ascii="宋体" w:hAnsi="宋体"/>
                <w:color w:val="000000"/>
                <w:sz w:val="28"/>
                <w:szCs w:val="28"/>
                <w:highlight w:val="none"/>
              </w:rPr>
            </w:pPr>
          </w:p>
        </w:tc>
        <w:tc>
          <w:tcPr>
            <w:tcW w:w="945" w:type="dxa"/>
          </w:tcPr>
          <w:p w14:paraId="5BC45396">
            <w:pPr>
              <w:spacing w:line="420" w:lineRule="auto"/>
              <w:jc w:val="center"/>
              <w:rPr>
                <w:rFonts w:ascii="宋体" w:hAnsi="宋体"/>
                <w:color w:val="000000"/>
                <w:sz w:val="28"/>
                <w:szCs w:val="28"/>
                <w:highlight w:val="none"/>
              </w:rPr>
            </w:pPr>
          </w:p>
        </w:tc>
      </w:tr>
      <w:tr w14:paraId="1BA3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331C244">
            <w:pPr>
              <w:spacing w:line="420" w:lineRule="auto"/>
              <w:jc w:val="center"/>
              <w:rPr>
                <w:rFonts w:ascii="宋体" w:hAnsi="宋体"/>
                <w:color w:val="000000"/>
                <w:sz w:val="28"/>
                <w:szCs w:val="28"/>
                <w:highlight w:val="none"/>
              </w:rPr>
            </w:pPr>
          </w:p>
        </w:tc>
        <w:tc>
          <w:tcPr>
            <w:tcW w:w="1155" w:type="dxa"/>
          </w:tcPr>
          <w:p w14:paraId="46F66A8B">
            <w:pPr>
              <w:spacing w:line="420" w:lineRule="auto"/>
              <w:jc w:val="center"/>
              <w:rPr>
                <w:rFonts w:ascii="宋体" w:hAnsi="宋体"/>
                <w:color w:val="000000"/>
                <w:sz w:val="28"/>
                <w:szCs w:val="28"/>
                <w:highlight w:val="none"/>
              </w:rPr>
            </w:pPr>
          </w:p>
        </w:tc>
        <w:tc>
          <w:tcPr>
            <w:tcW w:w="1050" w:type="dxa"/>
          </w:tcPr>
          <w:p w14:paraId="7662270A">
            <w:pPr>
              <w:spacing w:line="420" w:lineRule="auto"/>
              <w:jc w:val="center"/>
              <w:rPr>
                <w:rFonts w:ascii="宋体" w:hAnsi="宋体"/>
                <w:color w:val="000000"/>
                <w:sz w:val="28"/>
                <w:szCs w:val="28"/>
                <w:highlight w:val="none"/>
              </w:rPr>
            </w:pPr>
          </w:p>
        </w:tc>
        <w:tc>
          <w:tcPr>
            <w:tcW w:w="630" w:type="dxa"/>
          </w:tcPr>
          <w:p w14:paraId="2E80B4F4">
            <w:pPr>
              <w:spacing w:line="420" w:lineRule="auto"/>
              <w:jc w:val="center"/>
              <w:rPr>
                <w:rFonts w:ascii="宋体" w:hAnsi="宋体"/>
                <w:color w:val="000000"/>
                <w:sz w:val="28"/>
                <w:szCs w:val="28"/>
                <w:highlight w:val="none"/>
              </w:rPr>
            </w:pPr>
          </w:p>
        </w:tc>
        <w:tc>
          <w:tcPr>
            <w:tcW w:w="525" w:type="dxa"/>
          </w:tcPr>
          <w:p w14:paraId="1AAAB41C">
            <w:pPr>
              <w:spacing w:line="420" w:lineRule="auto"/>
              <w:jc w:val="center"/>
              <w:rPr>
                <w:rFonts w:ascii="宋体" w:hAnsi="宋体"/>
                <w:color w:val="000000"/>
                <w:sz w:val="28"/>
                <w:szCs w:val="28"/>
                <w:highlight w:val="none"/>
              </w:rPr>
            </w:pPr>
          </w:p>
        </w:tc>
        <w:tc>
          <w:tcPr>
            <w:tcW w:w="735" w:type="dxa"/>
          </w:tcPr>
          <w:p w14:paraId="21CC43E1">
            <w:pPr>
              <w:spacing w:line="420" w:lineRule="auto"/>
              <w:jc w:val="center"/>
              <w:rPr>
                <w:rFonts w:ascii="宋体" w:hAnsi="宋体"/>
                <w:color w:val="000000"/>
                <w:sz w:val="28"/>
                <w:szCs w:val="28"/>
                <w:highlight w:val="none"/>
              </w:rPr>
            </w:pPr>
          </w:p>
        </w:tc>
        <w:tc>
          <w:tcPr>
            <w:tcW w:w="840" w:type="dxa"/>
          </w:tcPr>
          <w:p w14:paraId="3454E0F0">
            <w:pPr>
              <w:spacing w:line="420" w:lineRule="auto"/>
              <w:jc w:val="center"/>
              <w:rPr>
                <w:rFonts w:ascii="宋体" w:hAnsi="宋体"/>
                <w:color w:val="000000"/>
                <w:sz w:val="28"/>
                <w:szCs w:val="28"/>
                <w:highlight w:val="none"/>
              </w:rPr>
            </w:pPr>
          </w:p>
        </w:tc>
        <w:tc>
          <w:tcPr>
            <w:tcW w:w="840" w:type="dxa"/>
          </w:tcPr>
          <w:p w14:paraId="374614A1">
            <w:pPr>
              <w:spacing w:line="420" w:lineRule="auto"/>
              <w:jc w:val="center"/>
              <w:rPr>
                <w:rFonts w:ascii="宋体" w:hAnsi="宋体"/>
                <w:color w:val="000000"/>
                <w:sz w:val="28"/>
                <w:szCs w:val="28"/>
                <w:highlight w:val="none"/>
              </w:rPr>
            </w:pPr>
          </w:p>
        </w:tc>
        <w:tc>
          <w:tcPr>
            <w:tcW w:w="735" w:type="dxa"/>
          </w:tcPr>
          <w:p w14:paraId="16923C3B">
            <w:pPr>
              <w:spacing w:line="420" w:lineRule="auto"/>
              <w:jc w:val="center"/>
              <w:rPr>
                <w:rFonts w:ascii="宋体" w:hAnsi="宋体"/>
                <w:color w:val="000000"/>
                <w:sz w:val="28"/>
                <w:szCs w:val="28"/>
                <w:highlight w:val="none"/>
              </w:rPr>
            </w:pPr>
          </w:p>
        </w:tc>
        <w:tc>
          <w:tcPr>
            <w:tcW w:w="945" w:type="dxa"/>
          </w:tcPr>
          <w:p w14:paraId="031D71D0">
            <w:pPr>
              <w:spacing w:line="420" w:lineRule="auto"/>
              <w:jc w:val="center"/>
              <w:rPr>
                <w:rFonts w:ascii="宋体" w:hAnsi="宋体"/>
                <w:color w:val="000000"/>
                <w:sz w:val="28"/>
                <w:szCs w:val="28"/>
                <w:highlight w:val="none"/>
              </w:rPr>
            </w:pPr>
          </w:p>
        </w:tc>
      </w:tr>
      <w:tr w14:paraId="429D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A9D4D90">
            <w:pPr>
              <w:spacing w:line="420" w:lineRule="auto"/>
              <w:jc w:val="center"/>
              <w:rPr>
                <w:rFonts w:ascii="宋体" w:hAnsi="宋体"/>
                <w:color w:val="000000"/>
                <w:sz w:val="28"/>
                <w:szCs w:val="28"/>
                <w:highlight w:val="none"/>
              </w:rPr>
            </w:pPr>
          </w:p>
        </w:tc>
        <w:tc>
          <w:tcPr>
            <w:tcW w:w="1155" w:type="dxa"/>
          </w:tcPr>
          <w:p w14:paraId="7FB585F2">
            <w:pPr>
              <w:spacing w:line="420" w:lineRule="auto"/>
              <w:jc w:val="center"/>
              <w:rPr>
                <w:rFonts w:ascii="宋体" w:hAnsi="宋体"/>
                <w:color w:val="000000"/>
                <w:sz w:val="28"/>
                <w:szCs w:val="28"/>
                <w:highlight w:val="none"/>
              </w:rPr>
            </w:pPr>
          </w:p>
        </w:tc>
        <w:tc>
          <w:tcPr>
            <w:tcW w:w="1050" w:type="dxa"/>
          </w:tcPr>
          <w:p w14:paraId="71E07FD6">
            <w:pPr>
              <w:spacing w:line="420" w:lineRule="auto"/>
              <w:jc w:val="center"/>
              <w:rPr>
                <w:rFonts w:ascii="宋体" w:hAnsi="宋体"/>
                <w:color w:val="000000"/>
                <w:sz w:val="28"/>
                <w:szCs w:val="28"/>
                <w:highlight w:val="none"/>
              </w:rPr>
            </w:pPr>
          </w:p>
        </w:tc>
        <w:tc>
          <w:tcPr>
            <w:tcW w:w="630" w:type="dxa"/>
          </w:tcPr>
          <w:p w14:paraId="4C951660">
            <w:pPr>
              <w:spacing w:line="420" w:lineRule="auto"/>
              <w:jc w:val="center"/>
              <w:rPr>
                <w:rFonts w:ascii="宋体" w:hAnsi="宋体"/>
                <w:color w:val="000000"/>
                <w:sz w:val="28"/>
                <w:szCs w:val="28"/>
                <w:highlight w:val="none"/>
              </w:rPr>
            </w:pPr>
          </w:p>
        </w:tc>
        <w:tc>
          <w:tcPr>
            <w:tcW w:w="525" w:type="dxa"/>
          </w:tcPr>
          <w:p w14:paraId="0E882E6E">
            <w:pPr>
              <w:spacing w:line="420" w:lineRule="auto"/>
              <w:jc w:val="center"/>
              <w:rPr>
                <w:rFonts w:ascii="宋体" w:hAnsi="宋体"/>
                <w:color w:val="000000"/>
                <w:sz w:val="28"/>
                <w:szCs w:val="28"/>
                <w:highlight w:val="none"/>
              </w:rPr>
            </w:pPr>
          </w:p>
        </w:tc>
        <w:tc>
          <w:tcPr>
            <w:tcW w:w="735" w:type="dxa"/>
          </w:tcPr>
          <w:p w14:paraId="1969E55D">
            <w:pPr>
              <w:spacing w:line="420" w:lineRule="auto"/>
              <w:jc w:val="center"/>
              <w:rPr>
                <w:rFonts w:ascii="宋体" w:hAnsi="宋体"/>
                <w:color w:val="000000"/>
                <w:sz w:val="28"/>
                <w:szCs w:val="28"/>
                <w:highlight w:val="none"/>
              </w:rPr>
            </w:pPr>
          </w:p>
        </w:tc>
        <w:tc>
          <w:tcPr>
            <w:tcW w:w="840" w:type="dxa"/>
          </w:tcPr>
          <w:p w14:paraId="0E90EB7E">
            <w:pPr>
              <w:spacing w:line="420" w:lineRule="auto"/>
              <w:jc w:val="center"/>
              <w:rPr>
                <w:rFonts w:ascii="宋体" w:hAnsi="宋体"/>
                <w:color w:val="000000"/>
                <w:sz w:val="28"/>
                <w:szCs w:val="28"/>
                <w:highlight w:val="none"/>
              </w:rPr>
            </w:pPr>
          </w:p>
        </w:tc>
        <w:tc>
          <w:tcPr>
            <w:tcW w:w="840" w:type="dxa"/>
          </w:tcPr>
          <w:p w14:paraId="68A6F7EB">
            <w:pPr>
              <w:spacing w:line="420" w:lineRule="auto"/>
              <w:jc w:val="center"/>
              <w:rPr>
                <w:rFonts w:ascii="宋体" w:hAnsi="宋体"/>
                <w:color w:val="000000"/>
                <w:sz w:val="28"/>
                <w:szCs w:val="28"/>
                <w:highlight w:val="none"/>
              </w:rPr>
            </w:pPr>
          </w:p>
        </w:tc>
        <w:tc>
          <w:tcPr>
            <w:tcW w:w="735" w:type="dxa"/>
          </w:tcPr>
          <w:p w14:paraId="6881E695">
            <w:pPr>
              <w:spacing w:line="420" w:lineRule="auto"/>
              <w:jc w:val="center"/>
              <w:rPr>
                <w:rFonts w:ascii="宋体" w:hAnsi="宋体"/>
                <w:color w:val="000000"/>
                <w:sz w:val="28"/>
                <w:szCs w:val="28"/>
                <w:highlight w:val="none"/>
              </w:rPr>
            </w:pPr>
          </w:p>
        </w:tc>
        <w:tc>
          <w:tcPr>
            <w:tcW w:w="945" w:type="dxa"/>
          </w:tcPr>
          <w:p w14:paraId="5A77D7C4">
            <w:pPr>
              <w:spacing w:line="420" w:lineRule="auto"/>
              <w:jc w:val="center"/>
              <w:rPr>
                <w:rFonts w:ascii="宋体" w:hAnsi="宋体"/>
                <w:color w:val="000000"/>
                <w:sz w:val="28"/>
                <w:szCs w:val="28"/>
                <w:highlight w:val="none"/>
              </w:rPr>
            </w:pPr>
          </w:p>
        </w:tc>
      </w:tr>
      <w:tr w14:paraId="6AC1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9B0B008">
            <w:pPr>
              <w:spacing w:line="420" w:lineRule="auto"/>
              <w:jc w:val="center"/>
              <w:rPr>
                <w:rFonts w:ascii="宋体" w:hAnsi="宋体"/>
                <w:color w:val="000000"/>
                <w:sz w:val="28"/>
                <w:szCs w:val="28"/>
                <w:highlight w:val="none"/>
              </w:rPr>
            </w:pPr>
          </w:p>
        </w:tc>
        <w:tc>
          <w:tcPr>
            <w:tcW w:w="1155" w:type="dxa"/>
          </w:tcPr>
          <w:p w14:paraId="7A5DE2AB">
            <w:pPr>
              <w:spacing w:line="420" w:lineRule="auto"/>
              <w:jc w:val="center"/>
              <w:rPr>
                <w:rFonts w:ascii="宋体" w:hAnsi="宋体"/>
                <w:color w:val="000000"/>
                <w:sz w:val="28"/>
                <w:szCs w:val="28"/>
                <w:highlight w:val="none"/>
              </w:rPr>
            </w:pPr>
          </w:p>
        </w:tc>
        <w:tc>
          <w:tcPr>
            <w:tcW w:w="1050" w:type="dxa"/>
          </w:tcPr>
          <w:p w14:paraId="7ECDAA0F">
            <w:pPr>
              <w:spacing w:line="420" w:lineRule="auto"/>
              <w:jc w:val="center"/>
              <w:rPr>
                <w:rFonts w:ascii="宋体" w:hAnsi="宋体"/>
                <w:color w:val="000000"/>
                <w:sz w:val="28"/>
                <w:szCs w:val="28"/>
                <w:highlight w:val="none"/>
              </w:rPr>
            </w:pPr>
          </w:p>
        </w:tc>
        <w:tc>
          <w:tcPr>
            <w:tcW w:w="630" w:type="dxa"/>
          </w:tcPr>
          <w:p w14:paraId="3302100A">
            <w:pPr>
              <w:spacing w:line="420" w:lineRule="auto"/>
              <w:jc w:val="center"/>
              <w:rPr>
                <w:rFonts w:ascii="宋体" w:hAnsi="宋体"/>
                <w:color w:val="000000"/>
                <w:sz w:val="28"/>
                <w:szCs w:val="28"/>
                <w:highlight w:val="none"/>
              </w:rPr>
            </w:pPr>
          </w:p>
        </w:tc>
        <w:tc>
          <w:tcPr>
            <w:tcW w:w="525" w:type="dxa"/>
          </w:tcPr>
          <w:p w14:paraId="712E1C95">
            <w:pPr>
              <w:spacing w:line="420" w:lineRule="auto"/>
              <w:jc w:val="center"/>
              <w:rPr>
                <w:rFonts w:ascii="宋体" w:hAnsi="宋体"/>
                <w:color w:val="000000"/>
                <w:sz w:val="28"/>
                <w:szCs w:val="28"/>
                <w:highlight w:val="none"/>
              </w:rPr>
            </w:pPr>
          </w:p>
        </w:tc>
        <w:tc>
          <w:tcPr>
            <w:tcW w:w="735" w:type="dxa"/>
          </w:tcPr>
          <w:p w14:paraId="110B6EE0">
            <w:pPr>
              <w:spacing w:line="420" w:lineRule="auto"/>
              <w:jc w:val="center"/>
              <w:rPr>
                <w:rFonts w:ascii="宋体" w:hAnsi="宋体"/>
                <w:color w:val="000000"/>
                <w:sz w:val="28"/>
                <w:szCs w:val="28"/>
                <w:highlight w:val="none"/>
              </w:rPr>
            </w:pPr>
          </w:p>
        </w:tc>
        <w:tc>
          <w:tcPr>
            <w:tcW w:w="840" w:type="dxa"/>
          </w:tcPr>
          <w:p w14:paraId="7EA94CD4">
            <w:pPr>
              <w:spacing w:line="420" w:lineRule="auto"/>
              <w:jc w:val="center"/>
              <w:rPr>
                <w:rFonts w:ascii="宋体" w:hAnsi="宋体"/>
                <w:color w:val="000000"/>
                <w:sz w:val="28"/>
                <w:szCs w:val="28"/>
                <w:highlight w:val="none"/>
              </w:rPr>
            </w:pPr>
          </w:p>
        </w:tc>
        <w:tc>
          <w:tcPr>
            <w:tcW w:w="840" w:type="dxa"/>
          </w:tcPr>
          <w:p w14:paraId="3FF56FD4">
            <w:pPr>
              <w:spacing w:line="420" w:lineRule="auto"/>
              <w:jc w:val="center"/>
              <w:rPr>
                <w:rFonts w:ascii="宋体" w:hAnsi="宋体"/>
                <w:color w:val="000000"/>
                <w:sz w:val="28"/>
                <w:szCs w:val="28"/>
                <w:highlight w:val="none"/>
              </w:rPr>
            </w:pPr>
          </w:p>
        </w:tc>
        <w:tc>
          <w:tcPr>
            <w:tcW w:w="735" w:type="dxa"/>
          </w:tcPr>
          <w:p w14:paraId="45CFF9F2">
            <w:pPr>
              <w:spacing w:line="420" w:lineRule="auto"/>
              <w:jc w:val="center"/>
              <w:rPr>
                <w:rFonts w:ascii="宋体" w:hAnsi="宋体"/>
                <w:color w:val="000000"/>
                <w:sz w:val="28"/>
                <w:szCs w:val="28"/>
                <w:highlight w:val="none"/>
              </w:rPr>
            </w:pPr>
          </w:p>
        </w:tc>
        <w:tc>
          <w:tcPr>
            <w:tcW w:w="945" w:type="dxa"/>
          </w:tcPr>
          <w:p w14:paraId="56B4A243">
            <w:pPr>
              <w:spacing w:line="420" w:lineRule="auto"/>
              <w:jc w:val="center"/>
              <w:rPr>
                <w:rFonts w:ascii="宋体" w:hAnsi="宋体"/>
                <w:color w:val="000000"/>
                <w:sz w:val="28"/>
                <w:szCs w:val="28"/>
                <w:highlight w:val="none"/>
              </w:rPr>
            </w:pPr>
          </w:p>
        </w:tc>
      </w:tr>
      <w:tr w14:paraId="1610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7E2E2C7">
            <w:pPr>
              <w:spacing w:line="420" w:lineRule="auto"/>
              <w:jc w:val="center"/>
              <w:rPr>
                <w:rFonts w:ascii="宋体" w:hAnsi="宋体"/>
                <w:color w:val="000000"/>
                <w:sz w:val="28"/>
                <w:szCs w:val="28"/>
                <w:highlight w:val="none"/>
              </w:rPr>
            </w:pPr>
          </w:p>
        </w:tc>
        <w:tc>
          <w:tcPr>
            <w:tcW w:w="1155" w:type="dxa"/>
          </w:tcPr>
          <w:p w14:paraId="4622BB58">
            <w:pPr>
              <w:spacing w:line="420" w:lineRule="auto"/>
              <w:jc w:val="center"/>
              <w:rPr>
                <w:rFonts w:ascii="宋体" w:hAnsi="宋体"/>
                <w:color w:val="000000"/>
                <w:sz w:val="28"/>
                <w:szCs w:val="28"/>
                <w:highlight w:val="none"/>
              </w:rPr>
            </w:pPr>
          </w:p>
        </w:tc>
        <w:tc>
          <w:tcPr>
            <w:tcW w:w="1050" w:type="dxa"/>
          </w:tcPr>
          <w:p w14:paraId="3D79EAA6">
            <w:pPr>
              <w:spacing w:line="420" w:lineRule="auto"/>
              <w:jc w:val="center"/>
              <w:rPr>
                <w:rFonts w:ascii="宋体" w:hAnsi="宋体"/>
                <w:color w:val="000000"/>
                <w:sz w:val="28"/>
                <w:szCs w:val="28"/>
                <w:highlight w:val="none"/>
              </w:rPr>
            </w:pPr>
          </w:p>
        </w:tc>
        <w:tc>
          <w:tcPr>
            <w:tcW w:w="630" w:type="dxa"/>
          </w:tcPr>
          <w:p w14:paraId="092BA751">
            <w:pPr>
              <w:spacing w:line="420" w:lineRule="auto"/>
              <w:jc w:val="center"/>
              <w:rPr>
                <w:rFonts w:ascii="宋体" w:hAnsi="宋体"/>
                <w:color w:val="000000"/>
                <w:sz w:val="28"/>
                <w:szCs w:val="28"/>
                <w:highlight w:val="none"/>
              </w:rPr>
            </w:pPr>
          </w:p>
        </w:tc>
        <w:tc>
          <w:tcPr>
            <w:tcW w:w="525" w:type="dxa"/>
          </w:tcPr>
          <w:p w14:paraId="6ABE8D10">
            <w:pPr>
              <w:spacing w:line="420" w:lineRule="auto"/>
              <w:jc w:val="center"/>
              <w:rPr>
                <w:rFonts w:ascii="宋体" w:hAnsi="宋体"/>
                <w:color w:val="000000"/>
                <w:sz w:val="28"/>
                <w:szCs w:val="28"/>
                <w:highlight w:val="none"/>
              </w:rPr>
            </w:pPr>
          </w:p>
        </w:tc>
        <w:tc>
          <w:tcPr>
            <w:tcW w:w="735" w:type="dxa"/>
          </w:tcPr>
          <w:p w14:paraId="2B369952">
            <w:pPr>
              <w:spacing w:line="420" w:lineRule="auto"/>
              <w:jc w:val="center"/>
              <w:rPr>
                <w:rFonts w:ascii="宋体" w:hAnsi="宋体"/>
                <w:color w:val="000000"/>
                <w:sz w:val="28"/>
                <w:szCs w:val="28"/>
                <w:highlight w:val="none"/>
              </w:rPr>
            </w:pPr>
          </w:p>
        </w:tc>
        <w:tc>
          <w:tcPr>
            <w:tcW w:w="840" w:type="dxa"/>
          </w:tcPr>
          <w:p w14:paraId="68A4B7F4">
            <w:pPr>
              <w:spacing w:line="420" w:lineRule="auto"/>
              <w:jc w:val="center"/>
              <w:rPr>
                <w:rFonts w:ascii="宋体" w:hAnsi="宋体"/>
                <w:color w:val="000000"/>
                <w:sz w:val="28"/>
                <w:szCs w:val="28"/>
                <w:highlight w:val="none"/>
              </w:rPr>
            </w:pPr>
          </w:p>
        </w:tc>
        <w:tc>
          <w:tcPr>
            <w:tcW w:w="840" w:type="dxa"/>
          </w:tcPr>
          <w:p w14:paraId="1231EB54">
            <w:pPr>
              <w:spacing w:line="420" w:lineRule="auto"/>
              <w:jc w:val="center"/>
              <w:rPr>
                <w:rFonts w:ascii="宋体" w:hAnsi="宋体"/>
                <w:color w:val="000000"/>
                <w:sz w:val="28"/>
                <w:szCs w:val="28"/>
                <w:highlight w:val="none"/>
              </w:rPr>
            </w:pPr>
          </w:p>
        </w:tc>
        <w:tc>
          <w:tcPr>
            <w:tcW w:w="735" w:type="dxa"/>
          </w:tcPr>
          <w:p w14:paraId="201DA745">
            <w:pPr>
              <w:spacing w:line="420" w:lineRule="auto"/>
              <w:jc w:val="center"/>
              <w:rPr>
                <w:rFonts w:ascii="宋体" w:hAnsi="宋体"/>
                <w:color w:val="000000"/>
                <w:sz w:val="28"/>
                <w:szCs w:val="28"/>
                <w:highlight w:val="none"/>
              </w:rPr>
            </w:pPr>
          </w:p>
        </w:tc>
        <w:tc>
          <w:tcPr>
            <w:tcW w:w="945" w:type="dxa"/>
          </w:tcPr>
          <w:p w14:paraId="2CA6CCEC">
            <w:pPr>
              <w:spacing w:line="420" w:lineRule="auto"/>
              <w:jc w:val="center"/>
              <w:rPr>
                <w:rFonts w:ascii="宋体" w:hAnsi="宋体"/>
                <w:color w:val="000000"/>
                <w:sz w:val="28"/>
                <w:szCs w:val="28"/>
                <w:highlight w:val="none"/>
              </w:rPr>
            </w:pPr>
          </w:p>
        </w:tc>
      </w:tr>
      <w:tr w14:paraId="1695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0846C3E7">
            <w:pPr>
              <w:spacing w:line="420" w:lineRule="auto"/>
              <w:jc w:val="center"/>
              <w:rPr>
                <w:rFonts w:ascii="宋体" w:hAnsi="宋体"/>
                <w:color w:val="000000"/>
                <w:sz w:val="28"/>
                <w:szCs w:val="28"/>
                <w:highlight w:val="none"/>
              </w:rPr>
            </w:pPr>
          </w:p>
        </w:tc>
        <w:tc>
          <w:tcPr>
            <w:tcW w:w="1155" w:type="dxa"/>
          </w:tcPr>
          <w:p w14:paraId="1DD61E95">
            <w:pPr>
              <w:spacing w:line="420" w:lineRule="auto"/>
              <w:jc w:val="center"/>
              <w:rPr>
                <w:rFonts w:ascii="宋体" w:hAnsi="宋体"/>
                <w:color w:val="000000"/>
                <w:sz w:val="28"/>
                <w:szCs w:val="28"/>
                <w:highlight w:val="none"/>
              </w:rPr>
            </w:pPr>
          </w:p>
        </w:tc>
        <w:tc>
          <w:tcPr>
            <w:tcW w:w="1050" w:type="dxa"/>
          </w:tcPr>
          <w:p w14:paraId="3A5FED4E">
            <w:pPr>
              <w:spacing w:line="420" w:lineRule="auto"/>
              <w:jc w:val="center"/>
              <w:rPr>
                <w:rFonts w:ascii="宋体" w:hAnsi="宋体"/>
                <w:color w:val="000000"/>
                <w:sz w:val="28"/>
                <w:szCs w:val="28"/>
                <w:highlight w:val="none"/>
              </w:rPr>
            </w:pPr>
          </w:p>
        </w:tc>
        <w:tc>
          <w:tcPr>
            <w:tcW w:w="630" w:type="dxa"/>
          </w:tcPr>
          <w:p w14:paraId="0D1FA580">
            <w:pPr>
              <w:spacing w:line="420" w:lineRule="auto"/>
              <w:jc w:val="center"/>
              <w:rPr>
                <w:rFonts w:ascii="宋体" w:hAnsi="宋体"/>
                <w:color w:val="000000"/>
                <w:sz w:val="28"/>
                <w:szCs w:val="28"/>
                <w:highlight w:val="none"/>
              </w:rPr>
            </w:pPr>
          </w:p>
        </w:tc>
        <w:tc>
          <w:tcPr>
            <w:tcW w:w="525" w:type="dxa"/>
          </w:tcPr>
          <w:p w14:paraId="121CE303">
            <w:pPr>
              <w:spacing w:line="420" w:lineRule="auto"/>
              <w:jc w:val="center"/>
              <w:rPr>
                <w:rFonts w:ascii="宋体" w:hAnsi="宋体"/>
                <w:color w:val="000000"/>
                <w:sz w:val="28"/>
                <w:szCs w:val="28"/>
                <w:highlight w:val="none"/>
              </w:rPr>
            </w:pPr>
          </w:p>
        </w:tc>
        <w:tc>
          <w:tcPr>
            <w:tcW w:w="735" w:type="dxa"/>
          </w:tcPr>
          <w:p w14:paraId="793DB6D0">
            <w:pPr>
              <w:spacing w:line="420" w:lineRule="auto"/>
              <w:jc w:val="center"/>
              <w:rPr>
                <w:rFonts w:ascii="宋体" w:hAnsi="宋体"/>
                <w:color w:val="000000"/>
                <w:sz w:val="28"/>
                <w:szCs w:val="28"/>
                <w:highlight w:val="none"/>
              </w:rPr>
            </w:pPr>
          </w:p>
        </w:tc>
        <w:tc>
          <w:tcPr>
            <w:tcW w:w="840" w:type="dxa"/>
          </w:tcPr>
          <w:p w14:paraId="4F9B49C4">
            <w:pPr>
              <w:spacing w:line="420" w:lineRule="auto"/>
              <w:jc w:val="center"/>
              <w:rPr>
                <w:rFonts w:ascii="宋体" w:hAnsi="宋体"/>
                <w:color w:val="000000"/>
                <w:sz w:val="28"/>
                <w:szCs w:val="28"/>
                <w:highlight w:val="none"/>
              </w:rPr>
            </w:pPr>
          </w:p>
        </w:tc>
        <w:tc>
          <w:tcPr>
            <w:tcW w:w="840" w:type="dxa"/>
          </w:tcPr>
          <w:p w14:paraId="1369B5F4">
            <w:pPr>
              <w:spacing w:line="420" w:lineRule="auto"/>
              <w:jc w:val="center"/>
              <w:rPr>
                <w:rFonts w:ascii="宋体" w:hAnsi="宋体"/>
                <w:color w:val="000000"/>
                <w:sz w:val="28"/>
                <w:szCs w:val="28"/>
                <w:highlight w:val="none"/>
              </w:rPr>
            </w:pPr>
          </w:p>
        </w:tc>
        <w:tc>
          <w:tcPr>
            <w:tcW w:w="735" w:type="dxa"/>
          </w:tcPr>
          <w:p w14:paraId="59760BA2">
            <w:pPr>
              <w:spacing w:line="420" w:lineRule="auto"/>
              <w:jc w:val="center"/>
              <w:rPr>
                <w:rFonts w:ascii="宋体" w:hAnsi="宋体"/>
                <w:color w:val="000000"/>
                <w:sz w:val="28"/>
                <w:szCs w:val="28"/>
                <w:highlight w:val="none"/>
              </w:rPr>
            </w:pPr>
          </w:p>
        </w:tc>
        <w:tc>
          <w:tcPr>
            <w:tcW w:w="945" w:type="dxa"/>
          </w:tcPr>
          <w:p w14:paraId="20A93652">
            <w:pPr>
              <w:spacing w:line="420" w:lineRule="auto"/>
              <w:jc w:val="center"/>
              <w:rPr>
                <w:rFonts w:ascii="宋体" w:hAnsi="宋体"/>
                <w:color w:val="000000"/>
                <w:sz w:val="28"/>
                <w:szCs w:val="28"/>
                <w:highlight w:val="none"/>
              </w:rPr>
            </w:pPr>
          </w:p>
        </w:tc>
      </w:tr>
      <w:tr w14:paraId="7A81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082406D5">
            <w:pPr>
              <w:spacing w:line="420" w:lineRule="auto"/>
              <w:jc w:val="center"/>
              <w:rPr>
                <w:rFonts w:ascii="宋体" w:hAnsi="宋体"/>
                <w:color w:val="000000"/>
                <w:sz w:val="28"/>
                <w:szCs w:val="28"/>
                <w:highlight w:val="none"/>
              </w:rPr>
            </w:pPr>
          </w:p>
        </w:tc>
        <w:tc>
          <w:tcPr>
            <w:tcW w:w="1155" w:type="dxa"/>
          </w:tcPr>
          <w:p w14:paraId="6926BF4A">
            <w:pPr>
              <w:spacing w:line="420" w:lineRule="auto"/>
              <w:jc w:val="center"/>
              <w:rPr>
                <w:rFonts w:ascii="宋体" w:hAnsi="宋体"/>
                <w:color w:val="000000"/>
                <w:sz w:val="28"/>
                <w:szCs w:val="28"/>
                <w:highlight w:val="none"/>
              </w:rPr>
            </w:pPr>
          </w:p>
        </w:tc>
        <w:tc>
          <w:tcPr>
            <w:tcW w:w="1050" w:type="dxa"/>
          </w:tcPr>
          <w:p w14:paraId="0E8576A4">
            <w:pPr>
              <w:spacing w:line="420" w:lineRule="auto"/>
              <w:jc w:val="center"/>
              <w:rPr>
                <w:rFonts w:ascii="宋体" w:hAnsi="宋体"/>
                <w:color w:val="000000"/>
                <w:sz w:val="28"/>
                <w:szCs w:val="28"/>
                <w:highlight w:val="none"/>
              </w:rPr>
            </w:pPr>
          </w:p>
        </w:tc>
        <w:tc>
          <w:tcPr>
            <w:tcW w:w="630" w:type="dxa"/>
          </w:tcPr>
          <w:p w14:paraId="3125359D">
            <w:pPr>
              <w:spacing w:line="420" w:lineRule="auto"/>
              <w:jc w:val="center"/>
              <w:rPr>
                <w:rFonts w:ascii="宋体" w:hAnsi="宋体"/>
                <w:color w:val="000000"/>
                <w:sz w:val="28"/>
                <w:szCs w:val="28"/>
                <w:highlight w:val="none"/>
              </w:rPr>
            </w:pPr>
          </w:p>
        </w:tc>
        <w:tc>
          <w:tcPr>
            <w:tcW w:w="525" w:type="dxa"/>
          </w:tcPr>
          <w:p w14:paraId="7B869F2C">
            <w:pPr>
              <w:spacing w:line="420" w:lineRule="auto"/>
              <w:jc w:val="center"/>
              <w:rPr>
                <w:rFonts w:ascii="宋体" w:hAnsi="宋体"/>
                <w:color w:val="000000"/>
                <w:sz w:val="28"/>
                <w:szCs w:val="28"/>
                <w:highlight w:val="none"/>
              </w:rPr>
            </w:pPr>
          </w:p>
        </w:tc>
        <w:tc>
          <w:tcPr>
            <w:tcW w:w="735" w:type="dxa"/>
          </w:tcPr>
          <w:p w14:paraId="769564B3">
            <w:pPr>
              <w:spacing w:line="420" w:lineRule="auto"/>
              <w:jc w:val="center"/>
              <w:rPr>
                <w:rFonts w:ascii="宋体" w:hAnsi="宋体"/>
                <w:color w:val="000000"/>
                <w:sz w:val="28"/>
                <w:szCs w:val="28"/>
                <w:highlight w:val="none"/>
              </w:rPr>
            </w:pPr>
          </w:p>
        </w:tc>
        <w:tc>
          <w:tcPr>
            <w:tcW w:w="840" w:type="dxa"/>
          </w:tcPr>
          <w:p w14:paraId="5C4521D5">
            <w:pPr>
              <w:spacing w:line="420" w:lineRule="auto"/>
              <w:jc w:val="center"/>
              <w:rPr>
                <w:rFonts w:ascii="宋体" w:hAnsi="宋体"/>
                <w:color w:val="000000"/>
                <w:sz w:val="28"/>
                <w:szCs w:val="28"/>
                <w:highlight w:val="none"/>
              </w:rPr>
            </w:pPr>
          </w:p>
        </w:tc>
        <w:tc>
          <w:tcPr>
            <w:tcW w:w="840" w:type="dxa"/>
          </w:tcPr>
          <w:p w14:paraId="632FDD7D">
            <w:pPr>
              <w:spacing w:line="420" w:lineRule="auto"/>
              <w:jc w:val="center"/>
              <w:rPr>
                <w:rFonts w:ascii="宋体" w:hAnsi="宋体"/>
                <w:color w:val="000000"/>
                <w:sz w:val="28"/>
                <w:szCs w:val="28"/>
                <w:highlight w:val="none"/>
              </w:rPr>
            </w:pPr>
          </w:p>
        </w:tc>
        <w:tc>
          <w:tcPr>
            <w:tcW w:w="735" w:type="dxa"/>
          </w:tcPr>
          <w:p w14:paraId="3E5100F1">
            <w:pPr>
              <w:spacing w:line="420" w:lineRule="auto"/>
              <w:jc w:val="center"/>
              <w:rPr>
                <w:rFonts w:ascii="宋体" w:hAnsi="宋体"/>
                <w:color w:val="000000"/>
                <w:sz w:val="28"/>
                <w:szCs w:val="28"/>
                <w:highlight w:val="none"/>
              </w:rPr>
            </w:pPr>
          </w:p>
        </w:tc>
        <w:tc>
          <w:tcPr>
            <w:tcW w:w="945" w:type="dxa"/>
          </w:tcPr>
          <w:p w14:paraId="449DF30B">
            <w:pPr>
              <w:spacing w:line="420" w:lineRule="auto"/>
              <w:jc w:val="center"/>
              <w:rPr>
                <w:rFonts w:ascii="宋体" w:hAnsi="宋体"/>
                <w:color w:val="000000"/>
                <w:sz w:val="28"/>
                <w:szCs w:val="28"/>
                <w:highlight w:val="none"/>
              </w:rPr>
            </w:pPr>
          </w:p>
        </w:tc>
      </w:tr>
      <w:tr w14:paraId="54CA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128A0BB">
            <w:pPr>
              <w:spacing w:line="420" w:lineRule="auto"/>
              <w:jc w:val="center"/>
              <w:rPr>
                <w:rFonts w:ascii="宋体" w:hAnsi="宋体"/>
                <w:color w:val="000000"/>
                <w:sz w:val="28"/>
                <w:szCs w:val="28"/>
                <w:highlight w:val="none"/>
              </w:rPr>
            </w:pPr>
          </w:p>
        </w:tc>
        <w:tc>
          <w:tcPr>
            <w:tcW w:w="1155" w:type="dxa"/>
          </w:tcPr>
          <w:p w14:paraId="6EAB04DD">
            <w:pPr>
              <w:spacing w:line="420" w:lineRule="auto"/>
              <w:jc w:val="center"/>
              <w:rPr>
                <w:rFonts w:ascii="宋体" w:hAnsi="宋体"/>
                <w:color w:val="000000"/>
                <w:sz w:val="28"/>
                <w:szCs w:val="28"/>
                <w:highlight w:val="none"/>
              </w:rPr>
            </w:pPr>
          </w:p>
        </w:tc>
        <w:tc>
          <w:tcPr>
            <w:tcW w:w="1050" w:type="dxa"/>
          </w:tcPr>
          <w:p w14:paraId="31E697CF">
            <w:pPr>
              <w:spacing w:line="420" w:lineRule="auto"/>
              <w:jc w:val="center"/>
              <w:rPr>
                <w:rFonts w:ascii="宋体" w:hAnsi="宋体"/>
                <w:color w:val="000000"/>
                <w:sz w:val="28"/>
                <w:szCs w:val="28"/>
                <w:highlight w:val="none"/>
              </w:rPr>
            </w:pPr>
          </w:p>
        </w:tc>
        <w:tc>
          <w:tcPr>
            <w:tcW w:w="630" w:type="dxa"/>
          </w:tcPr>
          <w:p w14:paraId="765AAE0C">
            <w:pPr>
              <w:spacing w:line="420" w:lineRule="auto"/>
              <w:jc w:val="center"/>
              <w:rPr>
                <w:rFonts w:ascii="宋体" w:hAnsi="宋体"/>
                <w:color w:val="000000"/>
                <w:sz w:val="28"/>
                <w:szCs w:val="28"/>
                <w:highlight w:val="none"/>
              </w:rPr>
            </w:pPr>
          </w:p>
        </w:tc>
        <w:tc>
          <w:tcPr>
            <w:tcW w:w="525" w:type="dxa"/>
          </w:tcPr>
          <w:p w14:paraId="0FD3F800">
            <w:pPr>
              <w:spacing w:line="420" w:lineRule="auto"/>
              <w:jc w:val="center"/>
              <w:rPr>
                <w:rFonts w:ascii="宋体" w:hAnsi="宋体"/>
                <w:color w:val="000000"/>
                <w:sz w:val="28"/>
                <w:szCs w:val="28"/>
                <w:highlight w:val="none"/>
              </w:rPr>
            </w:pPr>
          </w:p>
        </w:tc>
        <w:tc>
          <w:tcPr>
            <w:tcW w:w="735" w:type="dxa"/>
          </w:tcPr>
          <w:p w14:paraId="51DDD25E">
            <w:pPr>
              <w:spacing w:line="420" w:lineRule="auto"/>
              <w:jc w:val="center"/>
              <w:rPr>
                <w:rFonts w:ascii="宋体" w:hAnsi="宋体"/>
                <w:color w:val="000000"/>
                <w:sz w:val="28"/>
                <w:szCs w:val="28"/>
                <w:highlight w:val="none"/>
              </w:rPr>
            </w:pPr>
          </w:p>
        </w:tc>
        <w:tc>
          <w:tcPr>
            <w:tcW w:w="840" w:type="dxa"/>
          </w:tcPr>
          <w:p w14:paraId="45DC4D18">
            <w:pPr>
              <w:spacing w:line="420" w:lineRule="auto"/>
              <w:jc w:val="center"/>
              <w:rPr>
                <w:rFonts w:ascii="宋体" w:hAnsi="宋体"/>
                <w:color w:val="000000"/>
                <w:sz w:val="28"/>
                <w:szCs w:val="28"/>
                <w:highlight w:val="none"/>
              </w:rPr>
            </w:pPr>
          </w:p>
        </w:tc>
        <w:tc>
          <w:tcPr>
            <w:tcW w:w="840" w:type="dxa"/>
          </w:tcPr>
          <w:p w14:paraId="2F866F9B">
            <w:pPr>
              <w:spacing w:line="420" w:lineRule="auto"/>
              <w:jc w:val="center"/>
              <w:rPr>
                <w:rFonts w:ascii="宋体" w:hAnsi="宋体"/>
                <w:color w:val="000000"/>
                <w:sz w:val="28"/>
                <w:szCs w:val="28"/>
                <w:highlight w:val="none"/>
              </w:rPr>
            </w:pPr>
          </w:p>
        </w:tc>
        <w:tc>
          <w:tcPr>
            <w:tcW w:w="735" w:type="dxa"/>
          </w:tcPr>
          <w:p w14:paraId="537457A3">
            <w:pPr>
              <w:spacing w:line="420" w:lineRule="auto"/>
              <w:jc w:val="center"/>
              <w:rPr>
                <w:rFonts w:ascii="宋体" w:hAnsi="宋体"/>
                <w:color w:val="000000"/>
                <w:sz w:val="28"/>
                <w:szCs w:val="28"/>
                <w:highlight w:val="none"/>
              </w:rPr>
            </w:pPr>
          </w:p>
        </w:tc>
        <w:tc>
          <w:tcPr>
            <w:tcW w:w="945" w:type="dxa"/>
          </w:tcPr>
          <w:p w14:paraId="3152E940">
            <w:pPr>
              <w:spacing w:line="420" w:lineRule="auto"/>
              <w:jc w:val="center"/>
              <w:rPr>
                <w:rFonts w:ascii="宋体" w:hAnsi="宋体"/>
                <w:color w:val="000000"/>
                <w:sz w:val="28"/>
                <w:szCs w:val="28"/>
                <w:highlight w:val="none"/>
              </w:rPr>
            </w:pPr>
          </w:p>
        </w:tc>
      </w:tr>
    </w:tbl>
    <w:p w14:paraId="09A61560">
      <w:pPr>
        <w:pStyle w:val="4"/>
        <w:rPr>
          <w:rFonts w:ascii="宋体" w:hAnsi="宋体"/>
          <w:color w:val="000000"/>
          <w:szCs w:val="30"/>
          <w:highlight w:val="none"/>
        </w:rPr>
      </w:pPr>
      <w:bookmarkStart w:id="1461" w:name="_BookMark_83"/>
      <w:r>
        <w:rPr>
          <w:rFonts w:cs="Arial"/>
          <w:color w:val="000000"/>
          <w:highlight w:val="none"/>
        </w:rPr>
        <w:br w:type="page"/>
      </w:r>
      <w:bookmarkStart w:id="1462" w:name="_Toc480303475"/>
      <w:bookmarkStart w:id="1463" w:name="_Toc489280262"/>
      <w:bookmarkStart w:id="1464" w:name="_Toc491149586"/>
      <w:bookmarkStart w:id="1465" w:name="_Toc486580456"/>
      <w:bookmarkStart w:id="1466" w:name="_Toc485323230"/>
      <w:r>
        <w:rPr>
          <w:rFonts w:hint="eastAsia" w:ascii="宋体" w:hAnsi="宋体"/>
          <w:color w:val="000000"/>
          <w:szCs w:val="30"/>
          <w:highlight w:val="none"/>
        </w:rPr>
        <w:t>附件四：发包人提供的材料和工程设备一览表</w:t>
      </w:r>
      <w:bookmarkEnd w:id="1462"/>
      <w:bookmarkEnd w:id="1463"/>
      <w:bookmarkEnd w:id="1464"/>
      <w:bookmarkEnd w:id="1465"/>
      <w:bookmarkEnd w:id="1466"/>
    </w:p>
    <w:bookmarkEnd w:id="1461"/>
    <w:p w14:paraId="438EA957">
      <w:pPr>
        <w:spacing w:line="420" w:lineRule="auto"/>
        <w:jc w:val="center"/>
        <w:rPr>
          <w:rFonts w:ascii="宋体" w:hAnsi="宋体"/>
          <w:b/>
          <w:color w:val="000000"/>
          <w:sz w:val="28"/>
          <w:highlight w:val="none"/>
        </w:rPr>
      </w:pPr>
      <w:r>
        <w:rPr>
          <w:rFonts w:hint="eastAsia" w:ascii="宋体" w:hAnsi="宋体"/>
          <w:b/>
          <w:color w:val="000000"/>
          <w:sz w:val="28"/>
          <w:highlight w:val="none"/>
        </w:rPr>
        <w:t>发包人提供的材料和工程设备一览表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14:paraId="3858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80" w:type="dxa"/>
            <w:vAlign w:val="center"/>
          </w:tcPr>
          <w:p w14:paraId="5303418D">
            <w:pPr>
              <w:spacing w:line="420" w:lineRule="auto"/>
              <w:jc w:val="center"/>
              <w:rPr>
                <w:rFonts w:ascii="宋体" w:hAnsi="宋体"/>
                <w:color w:val="000000"/>
                <w:highlight w:val="none"/>
              </w:rPr>
            </w:pPr>
            <w:r>
              <w:rPr>
                <w:rFonts w:hint="eastAsia" w:ascii="宋体" w:hAnsi="宋体"/>
                <w:color w:val="000000"/>
                <w:highlight w:val="none"/>
              </w:rPr>
              <w:t>序</w:t>
            </w:r>
          </w:p>
          <w:p w14:paraId="3EF69AFC">
            <w:pPr>
              <w:spacing w:line="420" w:lineRule="auto"/>
              <w:jc w:val="center"/>
              <w:rPr>
                <w:rFonts w:ascii="宋体" w:hAnsi="宋体"/>
                <w:color w:val="000000"/>
                <w:highlight w:val="none"/>
              </w:rPr>
            </w:pPr>
            <w:r>
              <w:rPr>
                <w:rFonts w:hint="eastAsia" w:ascii="宋体" w:hAnsi="宋体"/>
                <w:color w:val="000000"/>
                <w:highlight w:val="none"/>
              </w:rPr>
              <w:t>号</w:t>
            </w:r>
          </w:p>
        </w:tc>
        <w:tc>
          <w:tcPr>
            <w:tcW w:w="1155" w:type="dxa"/>
            <w:vAlign w:val="center"/>
          </w:tcPr>
          <w:p w14:paraId="15A48A72">
            <w:pPr>
              <w:spacing w:line="420" w:lineRule="auto"/>
              <w:jc w:val="center"/>
              <w:rPr>
                <w:rFonts w:ascii="宋体" w:hAnsi="宋体"/>
                <w:color w:val="000000"/>
                <w:highlight w:val="none"/>
              </w:rPr>
            </w:pPr>
            <w:r>
              <w:rPr>
                <w:rFonts w:hint="eastAsia" w:ascii="宋体" w:hAnsi="宋体"/>
                <w:color w:val="000000"/>
                <w:highlight w:val="none"/>
              </w:rPr>
              <w:t>材料设备</w:t>
            </w:r>
          </w:p>
          <w:p w14:paraId="645FE32C">
            <w:pPr>
              <w:spacing w:line="420" w:lineRule="auto"/>
              <w:jc w:val="center"/>
              <w:rPr>
                <w:rFonts w:ascii="宋体" w:hAnsi="宋体"/>
                <w:color w:val="000000"/>
                <w:highlight w:val="none"/>
              </w:rPr>
            </w:pPr>
            <w:r>
              <w:rPr>
                <w:rFonts w:hint="eastAsia" w:ascii="宋体" w:hAnsi="宋体"/>
                <w:color w:val="000000"/>
                <w:highlight w:val="none"/>
              </w:rPr>
              <w:t>名    称</w:t>
            </w:r>
          </w:p>
        </w:tc>
        <w:tc>
          <w:tcPr>
            <w:tcW w:w="1050" w:type="dxa"/>
            <w:vAlign w:val="center"/>
          </w:tcPr>
          <w:p w14:paraId="4D9AEBD2">
            <w:pPr>
              <w:spacing w:line="420" w:lineRule="auto"/>
              <w:jc w:val="center"/>
              <w:rPr>
                <w:rFonts w:ascii="宋体" w:hAnsi="宋体"/>
                <w:color w:val="000000"/>
                <w:highlight w:val="none"/>
              </w:rPr>
            </w:pPr>
            <w:r>
              <w:rPr>
                <w:rFonts w:hint="eastAsia" w:ascii="宋体" w:hAnsi="宋体"/>
                <w:color w:val="000000"/>
                <w:highlight w:val="none"/>
              </w:rPr>
              <w:t>规格</w:t>
            </w:r>
          </w:p>
          <w:p w14:paraId="4B55B327">
            <w:pPr>
              <w:spacing w:line="420" w:lineRule="auto"/>
              <w:jc w:val="center"/>
              <w:rPr>
                <w:rFonts w:ascii="宋体" w:hAnsi="宋体"/>
                <w:color w:val="000000"/>
                <w:highlight w:val="none"/>
              </w:rPr>
            </w:pPr>
            <w:r>
              <w:rPr>
                <w:rFonts w:hint="eastAsia" w:ascii="宋体" w:hAnsi="宋体"/>
                <w:color w:val="000000"/>
                <w:highlight w:val="none"/>
              </w:rPr>
              <w:t>型号</w:t>
            </w:r>
          </w:p>
        </w:tc>
        <w:tc>
          <w:tcPr>
            <w:tcW w:w="630" w:type="dxa"/>
            <w:vAlign w:val="center"/>
          </w:tcPr>
          <w:p w14:paraId="31C6AD2B">
            <w:pPr>
              <w:spacing w:line="420" w:lineRule="auto"/>
              <w:jc w:val="center"/>
              <w:rPr>
                <w:rFonts w:ascii="宋体" w:hAnsi="宋体"/>
                <w:color w:val="000000"/>
                <w:highlight w:val="none"/>
              </w:rPr>
            </w:pPr>
            <w:r>
              <w:rPr>
                <w:rFonts w:hint="eastAsia" w:ascii="宋体" w:hAnsi="宋体"/>
                <w:color w:val="000000"/>
                <w:highlight w:val="none"/>
              </w:rPr>
              <w:t>单</w:t>
            </w:r>
          </w:p>
          <w:p w14:paraId="2DEE27D5">
            <w:pPr>
              <w:spacing w:line="420" w:lineRule="auto"/>
              <w:jc w:val="center"/>
              <w:rPr>
                <w:rFonts w:ascii="宋体" w:hAnsi="宋体"/>
                <w:color w:val="000000"/>
                <w:highlight w:val="none"/>
              </w:rPr>
            </w:pPr>
            <w:r>
              <w:rPr>
                <w:rFonts w:hint="eastAsia" w:ascii="宋体" w:hAnsi="宋体"/>
                <w:color w:val="000000"/>
                <w:highlight w:val="none"/>
              </w:rPr>
              <w:t>位</w:t>
            </w:r>
          </w:p>
        </w:tc>
        <w:tc>
          <w:tcPr>
            <w:tcW w:w="525" w:type="dxa"/>
            <w:vAlign w:val="center"/>
          </w:tcPr>
          <w:p w14:paraId="247AEEB9">
            <w:pPr>
              <w:spacing w:line="420" w:lineRule="auto"/>
              <w:jc w:val="center"/>
              <w:rPr>
                <w:rFonts w:ascii="宋体" w:hAnsi="宋体"/>
                <w:color w:val="000000"/>
                <w:highlight w:val="none"/>
              </w:rPr>
            </w:pPr>
            <w:r>
              <w:rPr>
                <w:rFonts w:hint="eastAsia" w:ascii="宋体" w:hAnsi="宋体"/>
                <w:color w:val="000000"/>
                <w:highlight w:val="none"/>
              </w:rPr>
              <w:t>数</w:t>
            </w:r>
          </w:p>
          <w:p w14:paraId="1B24E89B">
            <w:pPr>
              <w:spacing w:line="420" w:lineRule="auto"/>
              <w:jc w:val="center"/>
              <w:rPr>
                <w:rFonts w:ascii="宋体" w:hAnsi="宋体"/>
                <w:color w:val="000000"/>
                <w:highlight w:val="none"/>
              </w:rPr>
            </w:pPr>
            <w:r>
              <w:rPr>
                <w:rFonts w:hint="eastAsia" w:ascii="宋体" w:hAnsi="宋体"/>
                <w:color w:val="000000"/>
                <w:highlight w:val="none"/>
              </w:rPr>
              <w:t>量</w:t>
            </w:r>
          </w:p>
        </w:tc>
        <w:tc>
          <w:tcPr>
            <w:tcW w:w="735" w:type="dxa"/>
            <w:vAlign w:val="center"/>
          </w:tcPr>
          <w:p w14:paraId="71FC3B07">
            <w:pPr>
              <w:spacing w:line="420" w:lineRule="auto"/>
              <w:jc w:val="center"/>
              <w:rPr>
                <w:rFonts w:ascii="宋体" w:hAnsi="宋体"/>
                <w:color w:val="000000"/>
                <w:highlight w:val="none"/>
              </w:rPr>
            </w:pPr>
            <w:r>
              <w:rPr>
                <w:rFonts w:hint="eastAsia" w:ascii="宋体" w:hAnsi="宋体"/>
                <w:color w:val="000000"/>
                <w:highlight w:val="none"/>
              </w:rPr>
              <w:t>单</w:t>
            </w:r>
          </w:p>
          <w:p w14:paraId="747168A3">
            <w:pPr>
              <w:spacing w:line="420" w:lineRule="auto"/>
              <w:jc w:val="center"/>
              <w:rPr>
                <w:rFonts w:ascii="宋体" w:hAnsi="宋体"/>
                <w:color w:val="000000"/>
                <w:highlight w:val="none"/>
              </w:rPr>
            </w:pPr>
            <w:r>
              <w:rPr>
                <w:rFonts w:hint="eastAsia" w:ascii="宋体" w:hAnsi="宋体"/>
                <w:color w:val="000000"/>
                <w:highlight w:val="none"/>
              </w:rPr>
              <w:t>价</w:t>
            </w:r>
          </w:p>
        </w:tc>
        <w:tc>
          <w:tcPr>
            <w:tcW w:w="840" w:type="dxa"/>
            <w:vAlign w:val="center"/>
          </w:tcPr>
          <w:p w14:paraId="3DC8210A">
            <w:pPr>
              <w:spacing w:line="420" w:lineRule="auto"/>
              <w:jc w:val="center"/>
              <w:rPr>
                <w:rFonts w:ascii="宋体" w:hAnsi="宋体"/>
                <w:color w:val="000000"/>
                <w:highlight w:val="none"/>
              </w:rPr>
            </w:pPr>
            <w:r>
              <w:rPr>
                <w:rFonts w:hint="eastAsia" w:ascii="宋体" w:hAnsi="宋体"/>
                <w:color w:val="000000"/>
                <w:highlight w:val="none"/>
              </w:rPr>
              <w:t>交货</w:t>
            </w:r>
          </w:p>
          <w:p w14:paraId="41A83ECB">
            <w:pPr>
              <w:spacing w:line="420" w:lineRule="auto"/>
              <w:jc w:val="center"/>
              <w:rPr>
                <w:rFonts w:ascii="宋体" w:hAnsi="宋体"/>
                <w:color w:val="000000"/>
                <w:highlight w:val="none"/>
              </w:rPr>
            </w:pPr>
            <w:r>
              <w:rPr>
                <w:rFonts w:hint="eastAsia" w:ascii="宋体" w:hAnsi="宋体"/>
                <w:color w:val="000000"/>
                <w:highlight w:val="none"/>
              </w:rPr>
              <w:t>方式</w:t>
            </w:r>
          </w:p>
        </w:tc>
        <w:tc>
          <w:tcPr>
            <w:tcW w:w="840" w:type="dxa"/>
            <w:vAlign w:val="center"/>
          </w:tcPr>
          <w:p w14:paraId="6E7DDA7E">
            <w:pPr>
              <w:spacing w:line="420" w:lineRule="auto"/>
              <w:jc w:val="center"/>
              <w:rPr>
                <w:rFonts w:ascii="宋体" w:hAnsi="宋体"/>
                <w:color w:val="000000"/>
                <w:highlight w:val="none"/>
              </w:rPr>
            </w:pPr>
            <w:r>
              <w:rPr>
                <w:rFonts w:hint="eastAsia" w:ascii="宋体" w:hAnsi="宋体"/>
                <w:color w:val="000000"/>
                <w:highlight w:val="none"/>
              </w:rPr>
              <w:t>交货</w:t>
            </w:r>
          </w:p>
          <w:p w14:paraId="6D34116D">
            <w:pPr>
              <w:spacing w:line="420" w:lineRule="auto"/>
              <w:jc w:val="center"/>
              <w:rPr>
                <w:rFonts w:ascii="宋体" w:hAnsi="宋体"/>
                <w:color w:val="000000"/>
                <w:highlight w:val="none"/>
              </w:rPr>
            </w:pPr>
            <w:r>
              <w:rPr>
                <w:rFonts w:hint="eastAsia" w:ascii="宋体" w:hAnsi="宋体"/>
                <w:color w:val="000000"/>
                <w:highlight w:val="none"/>
              </w:rPr>
              <w:t>地点</w:t>
            </w:r>
          </w:p>
        </w:tc>
        <w:tc>
          <w:tcPr>
            <w:tcW w:w="735" w:type="dxa"/>
            <w:vAlign w:val="center"/>
          </w:tcPr>
          <w:p w14:paraId="018D73F8">
            <w:pPr>
              <w:spacing w:line="420" w:lineRule="auto"/>
              <w:jc w:val="center"/>
              <w:rPr>
                <w:rFonts w:ascii="宋体" w:hAnsi="宋体"/>
                <w:color w:val="000000"/>
                <w:highlight w:val="none"/>
              </w:rPr>
            </w:pPr>
            <w:r>
              <w:rPr>
                <w:rFonts w:hint="eastAsia" w:ascii="宋体" w:hAnsi="宋体"/>
                <w:color w:val="000000"/>
                <w:highlight w:val="none"/>
              </w:rPr>
              <w:t>计划交货</w:t>
            </w:r>
          </w:p>
          <w:p w14:paraId="2AA69DD4">
            <w:pPr>
              <w:spacing w:line="420" w:lineRule="auto"/>
              <w:jc w:val="center"/>
              <w:rPr>
                <w:rFonts w:ascii="宋体" w:hAnsi="宋体"/>
                <w:color w:val="000000"/>
                <w:highlight w:val="none"/>
              </w:rPr>
            </w:pPr>
            <w:r>
              <w:rPr>
                <w:rFonts w:hint="eastAsia" w:ascii="宋体" w:hAnsi="宋体"/>
                <w:color w:val="000000"/>
                <w:highlight w:val="none"/>
              </w:rPr>
              <w:t>时间</w:t>
            </w:r>
          </w:p>
        </w:tc>
        <w:tc>
          <w:tcPr>
            <w:tcW w:w="945" w:type="dxa"/>
            <w:vAlign w:val="center"/>
          </w:tcPr>
          <w:p w14:paraId="5501925A">
            <w:pPr>
              <w:spacing w:line="420" w:lineRule="auto"/>
              <w:jc w:val="center"/>
              <w:rPr>
                <w:rFonts w:ascii="宋体" w:hAnsi="宋体"/>
                <w:color w:val="000000"/>
                <w:highlight w:val="none"/>
              </w:rPr>
            </w:pPr>
            <w:r>
              <w:rPr>
                <w:rFonts w:hint="eastAsia" w:ascii="宋体" w:hAnsi="宋体"/>
                <w:color w:val="000000"/>
                <w:highlight w:val="none"/>
              </w:rPr>
              <w:t>备注</w:t>
            </w:r>
          </w:p>
        </w:tc>
      </w:tr>
      <w:tr w14:paraId="1365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13B8C64">
            <w:pPr>
              <w:spacing w:line="420" w:lineRule="auto"/>
              <w:jc w:val="center"/>
              <w:rPr>
                <w:rFonts w:ascii="宋体" w:hAnsi="宋体"/>
                <w:color w:val="000000"/>
                <w:sz w:val="28"/>
                <w:szCs w:val="28"/>
                <w:highlight w:val="none"/>
              </w:rPr>
            </w:pPr>
          </w:p>
        </w:tc>
        <w:tc>
          <w:tcPr>
            <w:tcW w:w="1155" w:type="dxa"/>
          </w:tcPr>
          <w:p w14:paraId="54859ED6">
            <w:pPr>
              <w:spacing w:line="420" w:lineRule="auto"/>
              <w:jc w:val="center"/>
              <w:rPr>
                <w:rFonts w:ascii="宋体" w:hAnsi="宋体"/>
                <w:color w:val="000000"/>
                <w:sz w:val="28"/>
                <w:szCs w:val="28"/>
                <w:highlight w:val="none"/>
              </w:rPr>
            </w:pPr>
          </w:p>
        </w:tc>
        <w:tc>
          <w:tcPr>
            <w:tcW w:w="1050" w:type="dxa"/>
          </w:tcPr>
          <w:p w14:paraId="252B4EA9">
            <w:pPr>
              <w:spacing w:line="420" w:lineRule="auto"/>
              <w:jc w:val="center"/>
              <w:rPr>
                <w:rFonts w:ascii="宋体" w:hAnsi="宋体"/>
                <w:color w:val="000000"/>
                <w:sz w:val="28"/>
                <w:szCs w:val="28"/>
                <w:highlight w:val="none"/>
              </w:rPr>
            </w:pPr>
          </w:p>
        </w:tc>
        <w:tc>
          <w:tcPr>
            <w:tcW w:w="630" w:type="dxa"/>
          </w:tcPr>
          <w:p w14:paraId="097577D9">
            <w:pPr>
              <w:spacing w:line="420" w:lineRule="auto"/>
              <w:jc w:val="center"/>
              <w:rPr>
                <w:rFonts w:ascii="宋体" w:hAnsi="宋体"/>
                <w:color w:val="000000"/>
                <w:sz w:val="28"/>
                <w:szCs w:val="28"/>
                <w:highlight w:val="none"/>
              </w:rPr>
            </w:pPr>
          </w:p>
        </w:tc>
        <w:tc>
          <w:tcPr>
            <w:tcW w:w="525" w:type="dxa"/>
          </w:tcPr>
          <w:p w14:paraId="7A837A1F">
            <w:pPr>
              <w:spacing w:line="420" w:lineRule="auto"/>
              <w:jc w:val="center"/>
              <w:rPr>
                <w:rFonts w:ascii="宋体" w:hAnsi="宋体"/>
                <w:color w:val="000000"/>
                <w:sz w:val="28"/>
                <w:szCs w:val="28"/>
                <w:highlight w:val="none"/>
              </w:rPr>
            </w:pPr>
          </w:p>
        </w:tc>
        <w:tc>
          <w:tcPr>
            <w:tcW w:w="735" w:type="dxa"/>
          </w:tcPr>
          <w:p w14:paraId="20F1039B">
            <w:pPr>
              <w:spacing w:line="420" w:lineRule="auto"/>
              <w:jc w:val="center"/>
              <w:rPr>
                <w:rFonts w:ascii="宋体" w:hAnsi="宋体"/>
                <w:color w:val="000000"/>
                <w:sz w:val="28"/>
                <w:szCs w:val="28"/>
                <w:highlight w:val="none"/>
              </w:rPr>
            </w:pPr>
          </w:p>
        </w:tc>
        <w:tc>
          <w:tcPr>
            <w:tcW w:w="840" w:type="dxa"/>
          </w:tcPr>
          <w:p w14:paraId="59240D06">
            <w:pPr>
              <w:spacing w:line="420" w:lineRule="auto"/>
              <w:jc w:val="center"/>
              <w:rPr>
                <w:rFonts w:ascii="宋体" w:hAnsi="宋体"/>
                <w:color w:val="000000"/>
                <w:sz w:val="28"/>
                <w:szCs w:val="28"/>
                <w:highlight w:val="none"/>
              </w:rPr>
            </w:pPr>
          </w:p>
        </w:tc>
        <w:tc>
          <w:tcPr>
            <w:tcW w:w="840" w:type="dxa"/>
          </w:tcPr>
          <w:p w14:paraId="57149677">
            <w:pPr>
              <w:spacing w:line="420" w:lineRule="auto"/>
              <w:jc w:val="center"/>
              <w:rPr>
                <w:rFonts w:ascii="宋体" w:hAnsi="宋体"/>
                <w:color w:val="000000"/>
                <w:sz w:val="28"/>
                <w:szCs w:val="28"/>
                <w:highlight w:val="none"/>
              </w:rPr>
            </w:pPr>
          </w:p>
        </w:tc>
        <w:tc>
          <w:tcPr>
            <w:tcW w:w="735" w:type="dxa"/>
          </w:tcPr>
          <w:p w14:paraId="4BDD33AA">
            <w:pPr>
              <w:spacing w:line="420" w:lineRule="auto"/>
              <w:jc w:val="center"/>
              <w:rPr>
                <w:rFonts w:ascii="宋体" w:hAnsi="宋体"/>
                <w:color w:val="000000"/>
                <w:sz w:val="28"/>
                <w:szCs w:val="28"/>
                <w:highlight w:val="none"/>
              </w:rPr>
            </w:pPr>
          </w:p>
        </w:tc>
        <w:tc>
          <w:tcPr>
            <w:tcW w:w="945" w:type="dxa"/>
          </w:tcPr>
          <w:p w14:paraId="0013D1D6">
            <w:pPr>
              <w:spacing w:line="420" w:lineRule="auto"/>
              <w:jc w:val="center"/>
              <w:rPr>
                <w:rFonts w:ascii="宋体" w:hAnsi="宋体"/>
                <w:color w:val="000000"/>
                <w:sz w:val="28"/>
                <w:szCs w:val="28"/>
                <w:highlight w:val="none"/>
              </w:rPr>
            </w:pPr>
          </w:p>
        </w:tc>
      </w:tr>
      <w:tr w14:paraId="045A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CC6BECC">
            <w:pPr>
              <w:spacing w:line="420" w:lineRule="auto"/>
              <w:jc w:val="center"/>
              <w:rPr>
                <w:rFonts w:ascii="宋体" w:hAnsi="宋体"/>
                <w:color w:val="000000"/>
                <w:sz w:val="28"/>
                <w:szCs w:val="28"/>
                <w:highlight w:val="none"/>
              </w:rPr>
            </w:pPr>
          </w:p>
        </w:tc>
        <w:tc>
          <w:tcPr>
            <w:tcW w:w="1155" w:type="dxa"/>
          </w:tcPr>
          <w:p w14:paraId="2F926E86">
            <w:pPr>
              <w:spacing w:line="420" w:lineRule="auto"/>
              <w:jc w:val="center"/>
              <w:rPr>
                <w:rFonts w:ascii="宋体" w:hAnsi="宋体"/>
                <w:color w:val="000000"/>
                <w:sz w:val="28"/>
                <w:szCs w:val="28"/>
                <w:highlight w:val="none"/>
              </w:rPr>
            </w:pPr>
          </w:p>
        </w:tc>
        <w:tc>
          <w:tcPr>
            <w:tcW w:w="1050" w:type="dxa"/>
          </w:tcPr>
          <w:p w14:paraId="1FA6C6D9">
            <w:pPr>
              <w:spacing w:line="420" w:lineRule="auto"/>
              <w:jc w:val="center"/>
              <w:rPr>
                <w:rFonts w:ascii="宋体" w:hAnsi="宋体"/>
                <w:color w:val="000000"/>
                <w:sz w:val="28"/>
                <w:szCs w:val="28"/>
                <w:highlight w:val="none"/>
              </w:rPr>
            </w:pPr>
          </w:p>
        </w:tc>
        <w:tc>
          <w:tcPr>
            <w:tcW w:w="630" w:type="dxa"/>
          </w:tcPr>
          <w:p w14:paraId="5C274733">
            <w:pPr>
              <w:spacing w:line="420" w:lineRule="auto"/>
              <w:jc w:val="center"/>
              <w:rPr>
                <w:rFonts w:ascii="宋体" w:hAnsi="宋体"/>
                <w:color w:val="000000"/>
                <w:sz w:val="28"/>
                <w:szCs w:val="28"/>
                <w:highlight w:val="none"/>
              </w:rPr>
            </w:pPr>
          </w:p>
        </w:tc>
        <w:tc>
          <w:tcPr>
            <w:tcW w:w="525" w:type="dxa"/>
          </w:tcPr>
          <w:p w14:paraId="69E35D98">
            <w:pPr>
              <w:spacing w:line="420" w:lineRule="auto"/>
              <w:jc w:val="center"/>
              <w:rPr>
                <w:rFonts w:ascii="宋体" w:hAnsi="宋体"/>
                <w:color w:val="000000"/>
                <w:sz w:val="28"/>
                <w:szCs w:val="28"/>
                <w:highlight w:val="none"/>
              </w:rPr>
            </w:pPr>
          </w:p>
        </w:tc>
        <w:tc>
          <w:tcPr>
            <w:tcW w:w="735" w:type="dxa"/>
          </w:tcPr>
          <w:p w14:paraId="528A89E7">
            <w:pPr>
              <w:spacing w:line="420" w:lineRule="auto"/>
              <w:jc w:val="center"/>
              <w:rPr>
                <w:rFonts w:ascii="宋体" w:hAnsi="宋体"/>
                <w:color w:val="000000"/>
                <w:sz w:val="28"/>
                <w:szCs w:val="28"/>
                <w:highlight w:val="none"/>
              </w:rPr>
            </w:pPr>
          </w:p>
        </w:tc>
        <w:tc>
          <w:tcPr>
            <w:tcW w:w="840" w:type="dxa"/>
          </w:tcPr>
          <w:p w14:paraId="27D93C29">
            <w:pPr>
              <w:spacing w:line="420" w:lineRule="auto"/>
              <w:jc w:val="center"/>
              <w:rPr>
                <w:rFonts w:ascii="宋体" w:hAnsi="宋体"/>
                <w:color w:val="000000"/>
                <w:sz w:val="28"/>
                <w:szCs w:val="28"/>
                <w:highlight w:val="none"/>
              </w:rPr>
            </w:pPr>
          </w:p>
        </w:tc>
        <w:tc>
          <w:tcPr>
            <w:tcW w:w="840" w:type="dxa"/>
          </w:tcPr>
          <w:p w14:paraId="53E5B12F">
            <w:pPr>
              <w:spacing w:line="420" w:lineRule="auto"/>
              <w:jc w:val="center"/>
              <w:rPr>
                <w:rFonts w:ascii="宋体" w:hAnsi="宋体"/>
                <w:color w:val="000000"/>
                <w:sz w:val="28"/>
                <w:szCs w:val="28"/>
                <w:highlight w:val="none"/>
              </w:rPr>
            </w:pPr>
          </w:p>
        </w:tc>
        <w:tc>
          <w:tcPr>
            <w:tcW w:w="735" w:type="dxa"/>
          </w:tcPr>
          <w:p w14:paraId="2DCB2C12">
            <w:pPr>
              <w:spacing w:line="420" w:lineRule="auto"/>
              <w:jc w:val="center"/>
              <w:rPr>
                <w:rFonts w:ascii="宋体" w:hAnsi="宋体"/>
                <w:color w:val="000000"/>
                <w:sz w:val="28"/>
                <w:szCs w:val="28"/>
                <w:highlight w:val="none"/>
              </w:rPr>
            </w:pPr>
          </w:p>
        </w:tc>
        <w:tc>
          <w:tcPr>
            <w:tcW w:w="945" w:type="dxa"/>
          </w:tcPr>
          <w:p w14:paraId="666679C4">
            <w:pPr>
              <w:spacing w:line="420" w:lineRule="auto"/>
              <w:jc w:val="center"/>
              <w:rPr>
                <w:rFonts w:ascii="宋体" w:hAnsi="宋体"/>
                <w:color w:val="000000"/>
                <w:sz w:val="28"/>
                <w:szCs w:val="28"/>
                <w:highlight w:val="none"/>
              </w:rPr>
            </w:pPr>
          </w:p>
        </w:tc>
      </w:tr>
      <w:tr w14:paraId="35B3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4C1955C">
            <w:pPr>
              <w:spacing w:line="420" w:lineRule="auto"/>
              <w:jc w:val="center"/>
              <w:rPr>
                <w:rFonts w:ascii="宋体" w:hAnsi="宋体"/>
                <w:color w:val="000000"/>
                <w:sz w:val="28"/>
                <w:szCs w:val="28"/>
                <w:highlight w:val="none"/>
              </w:rPr>
            </w:pPr>
          </w:p>
        </w:tc>
        <w:tc>
          <w:tcPr>
            <w:tcW w:w="1155" w:type="dxa"/>
          </w:tcPr>
          <w:p w14:paraId="618B95F4">
            <w:pPr>
              <w:spacing w:line="420" w:lineRule="auto"/>
              <w:jc w:val="center"/>
              <w:rPr>
                <w:rFonts w:ascii="宋体" w:hAnsi="宋体"/>
                <w:color w:val="000000"/>
                <w:sz w:val="28"/>
                <w:szCs w:val="28"/>
                <w:highlight w:val="none"/>
              </w:rPr>
            </w:pPr>
          </w:p>
        </w:tc>
        <w:tc>
          <w:tcPr>
            <w:tcW w:w="1050" w:type="dxa"/>
          </w:tcPr>
          <w:p w14:paraId="43049FEF">
            <w:pPr>
              <w:spacing w:line="420" w:lineRule="auto"/>
              <w:jc w:val="center"/>
              <w:rPr>
                <w:rFonts w:ascii="宋体" w:hAnsi="宋体"/>
                <w:color w:val="000000"/>
                <w:sz w:val="28"/>
                <w:szCs w:val="28"/>
                <w:highlight w:val="none"/>
              </w:rPr>
            </w:pPr>
          </w:p>
        </w:tc>
        <w:tc>
          <w:tcPr>
            <w:tcW w:w="630" w:type="dxa"/>
          </w:tcPr>
          <w:p w14:paraId="23787C0D">
            <w:pPr>
              <w:spacing w:line="420" w:lineRule="auto"/>
              <w:jc w:val="center"/>
              <w:rPr>
                <w:rFonts w:ascii="宋体" w:hAnsi="宋体"/>
                <w:color w:val="000000"/>
                <w:sz w:val="28"/>
                <w:szCs w:val="28"/>
                <w:highlight w:val="none"/>
              </w:rPr>
            </w:pPr>
          </w:p>
        </w:tc>
        <w:tc>
          <w:tcPr>
            <w:tcW w:w="525" w:type="dxa"/>
          </w:tcPr>
          <w:p w14:paraId="603BCB99">
            <w:pPr>
              <w:spacing w:line="420" w:lineRule="auto"/>
              <w:jc w:val="center"/>
              <w:rPr>
                <w:rFonts w:ascii="宋体" w:hAnsi="宋体"/>
                <w:color w:val="000000"/>
                <w:sz w:val="28"/>
                <w:szCs w:val="28"/>
                <w:highlight w:val="none"/>
              </w:rPr>
            </w:pPr>
          </w:p>
        </w:tc>
        <w:tc>
          <w:tcPr>
            <w:tcW w:w="735" w:type="dxa"/>
          </w:tcPr>
          <w:p w14:paraId="70FE945B">
            <w:pPr>
              <w:spacing w:line="420" w:lineRule="auto"/>
              <w:jc w:val="center"/>
              <w:rPr>
                <w:rFonts w:ascii="宋体" w:hAnsi="宋体"/>
                <w:color w:val="000000"/>
                <w:sz w:val="28"/>
                <w:szCs w:val="28"/>
                <w:highlight w:val="none"/>
              </w:rPr>
            </w:pPr>
          </w:p>
        </w:tc>
        <w:tc>
          <w:tcPr>
            <w:tcW w:w="840" w:type="dxa"/>
          </w:tcPr>
          <w:p w14:paraId="718E56D9">
            <w:pPr>
              <w:spacing w:line="420" w:lineRule="auto"/>
              <w:jc w:val="center"/>
              <w:rPr>
                <w:rFonts w:ascii="宋体" w:hAnsi="宋体"/>
                <w:color w:val="000000"/>
                <w:sz w:val="28"/>
                <w:szCs w:val="28"/>
                <w:highlight w:val="none"/>
              </w:rPr>
            </w:pPr>
          </w:p>
        </w:tc>
        <w:tc>
          <w:tcPr>
            <w:tcW w:w="840" w:type="dxa"/>
          </w:tcPr>
          <w:p w14:paraId="7CA6C355">
            <w:pPr>
              <w:spacing w:line="420" w:lineRule="auto"/>
              <w:jc w:val="center"/>
              <w:rPr>
                <w:rFonts w:ascii="宋体" w:hAnsi="宋体"/>
                <w:color w:val="000000"/>
                <w:sz w:val="28"/>
                <w:szCs w:val="28"/>
                <w:highlight w:val="none"/>
              </w:rPr>
            </w:pPr>
          </w:p>
        </w:tc>
        <w:tc>
          <w:tcPr>
            <w:tcW w:w="735" w:type="dxa"/>
          </w:tcPr>
          <w:p w14:paraId="24A08180">
            <w:pPr>
              <w:spacing w:line="420" w:lineRule="auto"/>
              <w:jc w:val="center"/>
              <w:rPr>
                <w:rFonts w:ascii="宋体" w:hAnsi="宋体"/>
                <w:color w:val="000000"/>
                <w:sz w:val="28"/>
                <w:szCs w:val="28"/>
                <w:highlight w:val="none"/>
              </w:rPr>
            </w:pPr>
          </w:p>
        </w:tc>
        <w:tc>
          <w:tcPr>
            <w:tcW w:w="945" w:type="dxa"/>
          </w:tcPr>
          <w:p w14:paraId="3C94DB73">
            <w:pPr>
              <w:spacing w:line="420" w:lineRule="auto"/>
              <w:jc w:val="center"/>
              <w:rPr>
                <w:rFonts w:ascii="宋体" w:hAnsi="宋体"/>
                <w:color w:val="000000"/>
                <w:sz w:val="28"/>
                <w:szCs w:val="28"/>
                <w:highlight w:val="none"/>
              </w:rPr>
            </w:pPr>
          </w:p>
        </w:tc>
      </w:tr>
      <w:tr w14:paraId="5FAD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6A83F9D">
            <w:pPr>
              <w:spacing w:line="420" w:lineRule="auto"/>
              <w:jc w:val="center"/>
              <w:rPr>
                <w:rFonts w:ascii="宋体" w:hAnsi="宋体"/>
                <w:color w:val="000000"/>
                <w:sz w:val="28"/>
                <w:szCs w:val="28"/>
                <w:highlight w:val="none"/>
              </w:rPr>
            </w:pPr>
          </w:p>
        </w:tc>
        <w:tc>
          <w:tcPr>
            <w:tcW w:w="1155" w:type="dxa"/>
          </w:tcPr>
          <w:p w14:paraId="3F9D5389">
            <w:pPr>
              <w:spacing w:line="420" w:lineRule="auto"/>
              <w:jc w:val="center"/>
              <w:rPr>
                <w:rFonts w:ascii="宋体" w:hAnsi="宋体"/>
                <w:color w:val="000000"/>
                <w:sz w:val="28"/>
                <w:szCs w:val="28"/>
                <w:highlight w:val="none"/>
              </w:rPr>
            </w:pPr>
          </w:p>
        </w:tc>
        <w:tc>
          <w:tcPr>
            <w:tcW w:w="1050" w:type="dxa"/>
          </w:tcPr>
          <w:p w14:paraId="119A7F05">
            <w:pPr>
              <w:spacing w:line="420" w:lineRule="auto"/>
              <w:jc w:val="center"/>
              <w:rPr>
                <w:rFonts w:ascii="宋体" w:hAnsi="宋体"/>
                <w:color w:val="000000"/>
                <w:sz w:val="28"/>
                <w:szCs w:val="28"/>
                <w:highlight w:val="none"/>
              </w:rPr>
            </w:pPr>
          </w:p>
        </w:tc>
        <w:tc>
          <w:tcPr>
            <w:tcW w:w="630" w:type="dxa"/>
          </w:tcPr>
          <w:p w14:paraId="6F07AAE5">
            <w:pPr>
              <w:spacing w:line="420" w:lineRule="auto"/>
              <w:jc w:val="center"/>
              <w:rPr>
                <w:rFonts w:ascii="宋体" w:hAnsi="宋体"/>
                <w:color w:val="000000"/>
                <w:sz w:val="28"/>
                <w:szCs w:val="28"/>
                <w:highlight w:val="none"/>
              </w:rPr>
            </w:pPr>
          </w:p>
        </w:tc>
        <w:tc>
          <w:tcPr>
            <w:tcW w:w="525" w:type="dxa"/>
          </w:tcPr>
          <w:p w14:paraId="1434095B">
            <w:pPr>
              <w:spacing w:line="420" w:lineRule="auto"/>
              <w:jc w:val="center"/>
              <w:rPr>
                <w:rFonts w:ascii="宋体" w:hAnsi="宋体"/>
                <w:color w:val="000000"/>
                <w:sz w:val="28"/>
                <w:szCs w:val="28"/>
                <w:highlight w:val="none"/>
              </w:rPr>
            </w:pPr>
          </w:p>
        </w:tc>
        <w:tc>
          <w:tcPr>
            <w:tcW w:w="735" w:type="dxa"/>
          </w:tcPr>
          <w:p w14:paraId="2B57ACC5">
            <w:pPr>
              <w:spacing w:line="420" w:lineRule="auto"/>
              <w:jc w:val="center"/>
              <w:rPr>
                <w:rFonts w:ascii="宋体" w:hAnsi="宋体"/>
                <w:color w:val="000000"/>
                <w:sz w:val="28"/>
                <w:szCs w:val="28"/>
                <w:highlight w:val="none"/>
              </w:rPr>
            </w:pPr>
          </w:p>
        </w:tc>
        <w:tc>
          <w:tcPr>
            <w:tcW w:w="840" w:type="dxa"/>
          </w:tcPr>
          <w:p w14:paraId="5D8BCAB2">
            <w:pPr>
              <w:spacing w:line="420" w:lineRule="auto"/>
              <w:jc w:val="center"/>
              <w:rPr>
                <w:rFonts w:ascii="宋体" w:hAnsi="宋体"/>
                <w:color w:val="000000"/>
                <w:sz w:val="28"/>
                <w:szCs w:val="28"/>
                <w:highlight w:val="none"/>
              </w:rPr>
            </w:pPr>
          </w:p>
        </w:tc>
        <w:tc>
          <w:tcPr>
            <w:tcW w:w="840" w:type="dxa"/>
          </w:tcPr>
          <w:p w14:paraId="56EBF34B">
            <w:pPr>
              <w:spacing w:line="420" w:lineRule="auto"/>
              <w:jc w:val="center"/>
              <w:rPr>
                <w:rFonts w:ascii="宋体" w:hAnsi="宋体"/>
                <w:color w:val="000000"/>
                <w:sz w:val="28"/>
                <w:szCs w:val="28"/>
                <w:highlight w:val="none"/>
              </w:rPr>
            </w:pPr>
          </w:p>
        </w:tc>
        <w:tc>
          <w:tcPr>
            <w:tcW w:w="735" w:type="dxa"/>
          </w:tcPr>
          <w:p w14:paraId="34E15BEA">
            <w:pPr>
              <w:spacing w:line="420" w:lineRule="auto"/>
              <w:jc w:val="center"/>
              <w:rPr>
                <w:rFonts w:ascii="宋体" w:hAnsi="宋体"/>
                <w:color w:val="000000"/>
                <w:sz w:val="28"/>
                <w:szCs w:val="28"/>
                <w:highlight w:val="none"/>
              </w:rPr>
            </w:pPr>
          </w:p>
        </w:tc>
        <w:tc>
          <w:tcPr>
            <w:tcW w:w="945" w:type="dxa"/>
          </w:tcPr>
          <w:p w14:paraId="448FE76A">
            <w:pPr>
              <w:spacing w:line="420" w:lineRule="auto"/>
              <w:jc w:val="center"/>
              <w:rPr>
                <w:rFonts w:ascii="宋体" w:hAnsi="宋体"/>
                <w:color w:val="000000"/>
                <w:sz w:val="28"/>
                <w:szCs w:val="28"/>
                <w:highlight w:val="none"/>
              </w:rPr>
            </w:pPr>
          </w:p>
        </w:tc>
      </w:tr>
      <w:tr w14:paraId="6B97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4922C27">
            <w:pPr>
              <w:spacing w:line="420" w:lineRule="auto"/>
              <w:jc w:val="center"/>
              <w:rPr>
                <w:rFonts w:ascii="宋体" w:hAnsi="宋体"/>
                <w:color w:val="000000"/>
                <w:sz w:val="28"/>
                <w:szCs w:val="28"/>
                <w:highlight w:val="none"/>
              </w:rPr>
            </w:pPr>
          </w:p>
        </w:tc>
        <w:tc>
          <w:tcPr>
            <w:tcW w:w="1155" w:type="dxa"/>
          </w:tcPr>
          <w:p w14:paraId="16B492F6">
            <w:pPr>
              <w:spacing w:line="420" w:lineRule="auto"/>
              <w:jc w:val="center"/>
              <w:rPr>
                <w:rFonts w:ascii="宋体" w:hAnsi="宋体"/>
                <w:color w:val="000000"/>
                <w:sz w:val="28"/>
                <w:szCs w:val="28"/>
                <w:highlight w:val="none"/>
              </w:rPr>
            </w:pPr>
          </w:p>
        </w:tc>
        <w:tc>
          <w:tcPr>
            <w:tcW w:w="1050" w:type="dxa"/>
          </w:tcPr>
          <w:p w14:paraId="2876A316">
            <w:pPr>
              <w:spacing w:line="420" w:lineRule="auto"/>
              <w:jc w:val="center"/>
              <w:rPr>
                <w:rFonts w:ascii="宋体" w:hAnsi="宋体"/>
                <w:color w:val="000000"/>
                <w:sz w:val="28"/>
                <w:szCs w:val="28"/>
                <w:highlight w:val="none"/>
              </w:rPr>
            </w:pPr>
          </w:p>
        </w:tc>
        <w:tc>
          <w:tcPr>
            <w:tcW w:w="630" w:type="dxa"/>
          </w:tcPr>
          <w:p w14:paraId="6A5B53EA">
            <w:pPr>
              <w:spacing w:line="420" w:lineRule="auto"/>
              <w:jc w:val="center"/>
              <w:rPr>
                <w:rFonts w:ascii="宋体" w:hAnsi="宋体"/>
                <w:color w:val="000000"/>
                <w:sz w:val="28"/>
                <w:szCs w:val="28"/>
                <w:highlight w:val="none"/>
              </w:rPr>
            </w:pPr>
          </w:p>
        </w:tc>
        <w:tc>
          <w:tcPr>
            <w:tcW w:w="525" w:type="dxa"/>
          </w:tcPr>
          <w:p w14:paraId="4CAF1871">
            <w:pPr>
              <w:spacing w:line="420" w:lineRule="auto"/>
              <w:jc w:val="center"/>
              <w:rPr>
                <w:rFonts w:ascii="宋体" w:hAnsi="宋体"/>
                <w:color w:val="000000"/>
                <w:sz w:val="28"/>
                <w:szCs w:val="28"/>
                <w:highlight w:val="none"/>
              </w:rPr>
            </w:pPr>
          </w:p>
        </w:tc>
        <w:tc>
          <w:tcPr>
            <w:tcW w:w="735" w:type="dxa"/>
          </w:tcPr>
          <w:p w14:paraId="7449781F">
            <w:pPr>
              <w:spacing w:line="420" w:lineRule="auto"/>
              <w:jc w:val="center"/>
              <w:rPr>
                <w:rFonts w:ascii="宋体" w:hAnsi="宋体"/>
                <w:color w:val="000000"/>
                <w:sz w:val="28"/>
                <w:szCs w:val="28"/>
                <w:highlight w:val="none"/>
              </w:rPr>
            </w:pPr>
          </w:p>
        </w:tc>
        <w:tc>
          <w:tcPr>
            <w:tcW w:w="840" w:type="dxa"/>
          </w:tcPr>
          <w:p w14:paraId="41922BA2">
            <w:pPr>
              <w:spacing w:line="420" w:lineRule="auto"/>
              <w:jc w:val="center"/>
              <w:rPr>
                <w:rFonts w:ascii="宋体" w:hAnsi="宋体"/>
                <w:color w:val="000000"/>
                <w:sz w:val="28"/>
                <w:szCs w:val="28"/>
                <w:highlight w:val="none"/>
              </w:rPr>
            </w:pPr>
          </w:p>
        </w:tc>
        <w:tc>
          <w:tcPr>
            <w:tcW w:w="840" w:type="dxa"/>
          </w:tcPr>
          <w:p w14:paraId="1FA0AEC2">
            <w:pPr>
              <w:spacing w:line="420" w:lineRule="auto"/>
              <w:jc w:val="center"/>
              <w:rPr>
                <w:rFonts w:ascii="宋体" w:hAnsi="宋体"/>
                <w:color w:val="000000"/>
                <w:sz w:val="28"/>
                <w:szCs w:val="28"/>
                <w:highlight w:val="none"/>
              </w:rPr>
            </w:pPr>
          </w:p>
        </w:tc>
        <w:tc>
          <w:tcPr>
            <w:tcW w:w="735" w:type="dxa"/>
          </w:tcPr>
          <w:p w14:paraId="725D1833">
            <w:pPr>
              <w:spacing w:line="420" w:lineRule="auto"/>
              <w:jc w:val="center"/>
              <w:rPr>
                <w:rFonts w:ascii="宋体" w:hAnsi="宋体"/>
                <w:color w:val="000000"/>
                <w:sz w:val="28"/>
                <w:szCs w:val="28"/>
                <w:highlight w:val="none"/>
              </w:rPr>
            </w:pPr>
          </w:p>
        </w:tc>
        <w:tc>
          <w:tcPr>
            <w:tcW w:w="945" w:type="dxa"/>
          </w:tcPr>
          <w:p w14:paraId="7876408E">
            <w:pPr>
              <w:spacing w:line="420" w:lineRule="auto"/>
              <w:jc w:val="center"/>
              <w:rPr>
                <w:rFonts w:ascii="宋体" w:hAnsi="宋体"/>
                <w:color w:val="000000"/>
                <w:sz w:val="28"/>
                <w:szCs w:val="28"/>
                <w:highlight w:val="none"/>
              </w:rPr>
            </w:pPr>
          </w:p>
        </w:tc>
      </w:tr>
      <w:tr w14:paraId="60F8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C55C3C1">
            <w:pPr>
              <w:spacing w:line="420" w:lineRule="auto"/>
              <w:jc w:val="center"/>
              <w:rPr>
                <w:rFonts w:ascii="宋体" w:hAnsi="宋体"/>
                <w:color w:val="000000"/>
                <w:sz w:val="28"/>
                <w:szCs w:val="28"/>
                <w:highlight w:val="none"/>
              </w:rPr>
            </w:pPr>
          </w:p>
        </w:tc>
        <w:tc>
          <w:tcPr>
            <w:tcW w:w="1155" w:type="dxa"/>
          </w:tcPr>
          <w:p w14:paraId="7143A0D9">
            <w:pPr>
              <w:spacing w:line="420" w:lineRule="auto"/>
              <w:jc w:val="center"/>
              <w:rPr>
                <w:rFonts w:ascii="宋体" w:hAnsi="宋体"/>
                <w:color w:val="000000"/>
                <w:sz w:val="28"/>
                <w:szCs w:val="28"/>
                <w:highlight w:val="none"/>
              </w:rPr>
            </w:pPr>
          </w:p>
        </w:tc>
        <w:tc>
          <w:tcPr>
            <w:tcW w:w="1050" w:type="dxa"/>
          </w:tcPr>
          <w:p w14:paraId="4A7E8796">
            <w:pPr>
              <w:spacing w:line="420" w:lineRule="auto"/>
              <w:jc w:val="center"/>
              <w:rPr>
                <w:rFonts w:ascii="宋体" w:hAnsi="宋体"/>
                <w:color w:val="000000"/>
                <w:sz w:val="28"/>
                <w:szCs w:val="28"/>
                <w:highlight w:val="none"/>
              </w:rPr>
            </w:pPr>
          </w:p>
        </w:tc>
        <w:tc>
          <w:tcPr>
            <w:tcW w:w="630" w:type="dxa"/>
          </w:tcPr>
          <w:p w14:paraId="73246EEA">
            <w:pPr>
              <w:spacing w:line="420" w:lineRule="auto"/>
              <w:jc w:val="center"/>
              <w:rPr>
                <w:rFonts w:ascii="宋体" w:hAnsi="宋体"/>
                <w:color w:val="000000"/>
                <w:sz w:val="28"/>
                <w:szCs w:val="28"/>
                <w:highlight w:val="none"/>
              </w:rPr>
            </w:pPr>
          </w:p>
        </w:tc>
        <w:tc>
          <w:tcPr>
            <w:tcW w:w="525" w:type="dxa"/>
          </w:tcPr>
          <w:p w14:paraId="57BFF6A6">
            <w:pPr>
              <w:spacing w:line="420" w:lineRule="auto"/>
              <w:jc w:val="center"/>
              <w:rPr>
                <w:rFonts w:ascii="宋体" w:hAnsi="宋体"/>
                <w:color w:val="000000"/>
                <w:sz w:val="28"/>
                <w:szCs w:val="28"/>
                <w:highlight w:val="none"/>
              </w:rPr>
            </w:pPr>
          </w:p>
        </w:tc>
        <w:tc>
          <w:tcPr>
            <w:tcW w:w="735" w:type="dxa"/>
          </w:tcPr>
          <w:p w14:paraId="7A663104">
            <w:pPr>
              <w:spacing w:line="420" w:lineRule="auto"/>
              <w:jc w:val="center"/>
              <w:rPr>
                <w:rFonts w:ascii="宋体" w:hAnsi="宋体"/>
                <w:color w:val="000000"/>
                <w:sz w:val="28"/>
                <w:szCs w:val="28"/>
                <w:highlight w:val="none"/>
              </w:rPr>
            </w:pPr>
          </w:p>
        </w:tc>
        <w:tc>
          <w:tcPr>
            <w:tcW w:w="840" w:type="dxa"/>
          </w:tcPr>
          <w:p w14:paraId="3D736A2D">
            <w:pPr>
              <w:spacing w:line="420" w:lineRule="auto"/>
              <w:jc w:val="center"/>
              <w:rPr>
                <w:rFonts w:ascii="宋体" w:hAnsi="宋体"/>
                <w:color w:val="000000"/>
                <w:sz w:val="28"/>
                <w:szCs w:val="28"/>
                <w:highlight w:val="none"/>
              </w:rPr>
            </w:pPr>
          </w:p>
        </w:tc>
        <w:tc>
          <w:tcPr>
            <w:tcW w:w="840" w:type="dxa"/>
          </w:tcPr>
          <w:p w14:paraId="0FBD26C7">
            <w:pPr>
              <w:spacing w:line="420" w:lineRule="auto"/>
              <w:jc w:val="center"/>
              <w:rPr>
                <w:rFonts w:ascii="宋体" w:hAnsi="宋体"/>
                <w:color w:val="000000"/>
                <w:sz w:val="28"/>
                <w:szCs w:val="28"/>
                <w:highlight w:val="none"/>
              </w:rPr>
            </w:pPr>
          </w:p>
        </w:tc>
        <w:tc>
          <w:tcPr>
            <w:tcW w:w="735" w:type="dxa"/>
          </w:tcPr>
          <w:p w14:paraId="66855F61">
            <w:pPr>
              <w:spacing w:line="420" w:lineRule="auto"/>
              <w:jc w:val="center"/>
              <w:rPr>
                <w:rFonts w:ascii="宋体" w:hAnsi="宋体"/>
                <w:color w:val="000000"/>
                <w:sz w:val="28"/>
                <w:szCs w:val="28"/>
                <w:highlight w:val="none"/>
              </w:rPr>
            </w:pPr>
          </w:p>
        </w:tc>
        <w:tc>
          <w:tcPr>
            <w:tcW w:w="945" w:type="dxa"/>
          </w:tcPr>
          <w:p w14:paraId="25A90A32">
            <w:pPr>
              <w:spacing w:line="420" w:lineRule="auto"/>
              <w:jc w:val="center"/>
              <w:rPr>
                <w:rFonts w:ascii="宋体" w:hAnsi="宋体"/>
                <w:color w:val="000000"/>
                <w:sz w:val="28"/>
                <w:szCs w:val="28"/>
                <w:highlight w:val="none"/>
              </w:rPr>
            </w:pPr>
          </w:p>
        </w:tc>
      </w:tr>
      <w:tr w14:paraId="2FAF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6CD55E0">
            <w:pPr>
              <w:spacing w:line="420" w:lineRule="auto"/>
              <w:jc w:val="center"/>
              <w:rPr>
                <w:rFonts w:ascii="宋体" w:hAnsi="宋体"/>
                <w:color w:val="000000"/>
                <w:sz w:val="28"/>
                <w:szCs w:val="28"/>
                <w:highlight w:val="none"/>
              </w:rPr>
            </w:pPr>
          </w:p>
        </w:tc>
        <w:tc>
          <w:tcPr>
            <w:tcW w:w="1155" w:type="dxa"/>
          </w:tcPr>
          <w:p w14:paraId="4E645BB9">
            <w:pPr>
              <w:spacing w:line="420" w:lineRule="auto"/>
              <w:jc w:val="center"/>
              <w:rPr>
                <w:rFonts w:ascii="宋体" w:hAnsi="宋体"/>
                <w:color w:val="000000"/>
                <w:sz w:val="28"/>
                <w:szCs w:val="28"/>
                <w:highlight w:val="none"/>
              </w:rPr>
            </w:pPr>
          </w:p>
        </w:tc>
        <w:tc>
          <w:tcPr>
            <w:tcW w:w="1050" w:type="dxa"/>
          </w:tcPr>
          <w:p w14:paraId="7B1FB0E1">
            <w:pPr>
              <w:spacing w:line="420" w:lineRule="auto"/>
              <w:jc w:val="center"/>
              <w:rPr>
                <w:rFonts w:ascii="宋体" w:hAnsi="宋体"/>
                <w:color w:val="000000"/>
                <w:sz w:val="28"/>
                <w:szCs w:val="28"/>
                <w:highlight w:val="none"/>
              </w:rPr>
            </w:pPr>
          </w:p>
        </w:tc>
        <w:tc>
          <w:tcPr>
            <w:tcW w:w="630" w:type="dxa"/>
          </w:tcPr>
          <w:p w14:paraId="09D19E6E">
            <w:pPr>
              <w:spacing w:line="420" w:lineRule="auto"/>
              <w:jc w:val="center"/>
              <w:rPr>
                <w:rFonts w:ascii="宋体" w:hAnsi="宋体"/>
                <w:color w:val="000000"/>
                <w:sz w:val="28"/>
                <w:szCs w:val="28"/>
                <w:highlight w:val="none"/>
              </w:rPr>
            </w:pPr>
          </w:p>
        </w:tc>
        <w:tc>
          <w:tcPr>
            <w:tcW w:w="525" w:type="dxa"/>
          </w:tcPr>
          <w:p w14:paraId="49B78AA6">
            <w:pPr>
              <w:spacing w:line="420" w:lineRule="auto"/>
              <w:jc w:val="center"/>
              <w:rPr>
                <w:rFonts w:ascii="宋体" w:hAnsi="宋体"/>
                <w:color w:val="000000"/>
                <w:sz w:val="28"/>
                <w:szCs w:val="28"/>
                <w:highlight w:val="none"/>
              </w:rPr>
            </w:pPr>
          </w:p>
        </w:tc>
        <w:tc>
          <w:tcPr>
            <w:tcW w:w="735" w:type="dxa"/>
          </w:tcPr>
          <w:p w14:paraId="214ECDFC">
            <w:pPr>
              <w:spacing w:line="420" w:lineRule="auto"/>
              <w:jc w:val="center"/>
              <w:rPr>
                <w:rFonts w:ascii="宋体" w:hAnsi="宋体"/>
                <w:color w:val="000000"/>
                <w:sz w:val="28"/>
                <w:szCs w:val="28"/>
                <w:highlight w:val="none"/>
              </w:rPr>
            </w:pPr>
          </w:p>
        </w:tc>
        <w:tc>
          <w:tcPr>
            <w:tcW w:w="840" w:type="dxa"/>
          </w:tcPr>
          <w:p w14:paraId="6741018E">
            <w:pPr>
              <w:spacing w:line="420" w:lineRule="auto"/>
              <w:jc w:val="center"/>
              <w:rPr>
                <w:rFonts w:ascii="宋体" w:hAnsi="宋体"/>
                <w:color w:val="000000"/>
                <w:sz w:val="28"/>
                <w:szCs w:val="28"/>
                <w:highlight w:val="none"/>
              </w:rPr>
            </w:pPr>
          </w:p>
        </w:tc>
        <w:tc>
          <w:tcPr>
            <w:tcW w:w="840" w:type="dxa"/>
          </w:tcPr>
          <w:p w14:paraId="43E58997">
            <w:pPr>
              <w:spacing w:line="420" w:lineRule="auto"/>
              <w:jc w:val="center"/>
              <w:rPr>
                <w:rFonts w:ascii="宋体" w:hAnsi="宋体"/>
                <w:color w:val="000000"/>
                <w:sz w:val="28"/>
                <w:szCs w:val="28"/>
                <w:highlight w:val="none"/>
              </w:rPr>
            </w:pPr>
          </w:p>
        </w:tc>
        <w:tc>
          <w:tcPr>
            <w:tcW w:w="735" w:type="dxa"/>
          </w:tcPr>
          <w:p w14:paraId="57DC3A00">
            <w:pPr>
              <w:spacing w:line="420" w:lineRule="auto"/>
              <w:jc w:val="center"/>
              <w:rPr>
                <w:rFonts w:ascii="宋体" w:hAnsi="宋体"/>
                <w:color w:val="000000"/>
                <w:sz w:val="28"/>
                <w:szCs w:val="28"/>
                <w:highlight w:val="none"/>
              </w:rPr>
            </w:pPr>
          </w:p>
        </w:tc>
        <w:tc>
          <w:tcPr>
            <w:tcW w:w="945" w:type="dxa"/>
          </w:tcPr>
          <w:p w14:paraId="36A9EB2A">
            <w:pPr>
              <w:spacing w:line="420" w:lineRule="auto"/>
              <w:jc w:val="center"/>
              <w:rPr>
                <w:rFonts w:ascii="宋体" w:hAnsi="宋体"/>
                <w:color w:val="000000"/>
                <w:sz w:val="28"/>
                <w:szCs w:val="28"/>
                <w:highlight w:val="none"/>
              </w:rPr>
            </w:pPr>
          </w:p>
        </w:tc>
      </w:tr>
      <w:tr w14:paraId="33A7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C4BBAAA">
            <w:pPr>
              <w:spacing w:line="420" w:lineRule="auto"/>
              <w:jc w:val="center"/>
              <w:rPr>
                <w:rFonts w:ascii="宋体" w:hAnsi="宋体"/>
                <w:color w:val="000000"/>
                <w:sz w:val="28"/>
                <w:szCs w:val="28"/>
                <w:highlight w:val="none"/>
              </w:rPr>
            </w:pPr>
          </w:p>
        </w:tc>
        <w:tc>
          <w:tcPr>
            <w:tcW w:w="1155" w:type="dxa"/>
          </w:tcPr>
          <w:p w14:paraId="0044FCFB">
            <w:pPr>
              <w:spacing w:line="420" w:lineRule="auto"/>
              <w:jc w:val="center"/>
              <w:rPr>
                <w:rFonts w:ascii="宋体" w:hAnsi="宋体"/>
                <w:color w:val="000000"/>
                <w:sz w:val="28"/>
                <w:szCs w:val="28"/>
                <w:highlight w:val="none"/>
              </w:rPr>
            </w:pPr>
          </w:p>
        </w:tc>
        <w:tc>
          <w:tcPr>
            <w:tcW w:w="1050" w:type="dxa"/>
          </w:tcPr>
          <w:p w14:paraId="71A9C7FA">
            <w:pPr>
              <w:spacing w:line="420" w:lineRule="auto"/>
              <w:jc w:val="center"/>
              <w:rPr>
                <w:rFonts w:ascii="宋体" w:hAnsi="宋体"/>
                <w:color w:val="000000"/>
                <w:sz w:val="28"/>
                <w:szCs w:val="28"/>
                <w:highlight w:val="none"/>
              </w:rPr>
            </w:pPr>
          </w:p>
        </w:tc>
        <w:tc>
          <w:tcPr>
            <w:tcW w:w="630" w:type="dxa"/>
          </w:tcPr>
          <w:p w14:paraId="1969B4C4">
            <w:pPr>
              <w:spacing w:line="420" w:lineRule="auto"/>
              <w:jc w:val="center"/>
              <w:rPr>
                <w:rFonts w:ascii="宋体" w:hAnsi="宋体"/>
                <w:color w:val="000000"/>
                <w:sz w:val="28"/>
                <w:szCs w:val="28"/>
                <w:highlight w:val="none"/>
              </w:rPr>
            </w:pPr>
          </w:p>
        </w:tc>
        <w:tc>
          <w:tcPr>
            <w:tcW w:w="525" w:type="dxa"/>
          </w:tcPr>
          <w:p w14:paraId="07487722">
            <w:pPr>
              <w:spacing w:line="420" w:lineRule="auto"/>
              <w:jc w:val="center"/>
              <w:rPr>
                <w:rFonts w:ascii="宋体" w:hAnsi="宋体"/>
                <w:color w:val="000000"/>
                <w:sz w:val="28"/>
                <w:szCs w:val="28"/>
                <w:highlight w:val="none"/>
              </w:rPr>
            </w:pPr>
          </w:p>
        </w:tc>
        <w:tc>
          <w:tcPr>
            <w:tcW w:w="735" w:type="dxa"/>
          </w:tcPr>
          <w:p w14:paraId="020F021C">
            <w:pPr>
              <w:spacing w:line="420" w:lineRule="auto"/>
              <w:jc w:val="center"/>
              <w:rPr>
                <w:rFonts w:ascii="宋体" w:hAnsi="宋体"/>
                <w:color w:val="000000"/>
                <w:sz w:val="28"/>
                <w:szCs w:val="28"/>
                <w:highlight w:val="none"/>
              </w:rPr>
            </w:pPr>
          </w:p>
        </w:tc>
        <w:tc>
          <w:tcPr>
            <w:tcW w:w="840" w:type="dxa"/>
          </w:tcPr>
          <w:p w14:paraId="14D0ACD7">
            <w:pPr>
              <w:spacing w:line="420" w:lineRule="auto"/>
              <w:jc w:val="center"/>
              <w:rPr>
                <w:rFonts w:ascii="宋体" w:hAnsi="宋体"/>
                <w:color w:val="000000"/>
                <w:sz w:val="28"/>
                <w:szCs w:val="28"/>
                <w:highlight w:val="none"/>
              </w:rPr>
            </w:pPr>
          </w:p>
        </w:tc>
        <w:tc>
          <w:tcPr>
            <w:tcW w:w="840" w:type="dxa"/>
          </w:tcPr>
          <w:p w14:paraId="24835E38">
            <w:pPr>
              <w:spacing w:line="420" w:lineRule="auto"/>
              <w:jc w:val="center"/>
              <w:rPr>
                <w:rFonts w:ascii="宋体" w:hAnsi="宋体"/>
                <w:color w:val="000000"/>
                <w:sz w:val="28"/>
                <w:szCs w:val="28"/>
                <w:highlight w:val="none"/>
              </w:rPr>
            </w:pPr>
          </w:p>
        </w:tc>
        <w:tc>
          <w:tcPr>
            <w:tcW w:w="735" w:type="dxa"/>
          </w:tcPr>
          <w:p w14:paraId="5EC257F8">
            <w:pPr>
              <w:spacing w:line="420" w:lineRule="auto"/>
              <w:jc w:val="center"/>
              <w:rPr>
                <w:rFonts w:ascii="宋体" w:hAnsi="宋体"/>
                <w:color w:val="000000"/>
                <w:sz w:val="28"/>
                <w:szCs w:val="28"/>
                <w:highlight w:val="none"/>
              </w:rPr>
            </w:pPr>
          </w:p>
        </w:tc>
        <w:tc>
          <w:tcPr>
            <w:tcW w:w="945" w:type="dxa"/>
          </w:tcPr>
          <w:p w14:paraId="60B5A5D3">
            <w:pPr>
              <w:spacing w:line="420" w:lineRule="auto"/>
              <w:jc w:val="center"/>
              <w:rPr>
                <w:rFonts w:ascii="宋体" w:hAnsi="宋体"/>
                <w:color w:val="000000"/>
                <w:sz w:val="28"/>
                <w:szCs w:val="28"/>
                <w:highlight w:val="none"/>
              </w:rPr>
            </w:pPr>
          </w:p>
        </w:tc>
      </w:tr>
      <w:tr w14:paraId="436A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B63D778">
            <w:pPr>
              <w:spacing w:line="420" w:lineRule="auto"/>
              <w:jc w:val="center"/>
              <w:rPr>
                <w:rFonts w:ascii="宋体" w:hAnsi="宋体"/>
                <w:color w:val="000000"/>
                <w:sz w:val="28"/>
                <w:szCs w:val="28"/>
                <w:highlight w:val="none"/>
              </w:rPr>
            </w:pPr>
          </w:p>
        </w:tc>
        <w:tc>
          <w:tcPr>
            <w:tcW w:w="1155" w:type="dxa"/>
          </w:tcPr>
          <w:p w14:paraId="004DE0ED">
            <w:pPr>
              <w:spacing w:line="420" w:lineRule="auto"/>
              <w:jc w:val="center"/>
              <w:rPr>
                <w:rFonts w:ascii="宋体" w:hAnsi="宋体"/>
                <w:color w:val="000000"/>
                <w:sz w:val="28"/>
                <w:szCs w:val="28"/>
                <w:highlight w:val="none"/>
              </w:rPr>
            </w:pPr>
          </w:p>
        </w:tc>
        <w:tc>
          <w:tcPr>
            <w:tcW w:w="1050" w:type="dxa"/>
          </w:tcPr>
          <w:p w14:paraId="46BA9EC4">
            <w:pPr>
              <w:spacing w:line="420" w:lineRule="auto"/>
              <w:jc w:val="center"/>
              <w:rPr>
                <w:rFonts w:ascii="宋体" w:hAnsi="宋体"/>
                <w:color w:val="000000"/>
                <w:sz w:val="28"/>
                <w:szCs w:val="28"/>
                <w:highlight w:val="none"/>
              </w:rPr>
            </w:pPr>
          </w:p>
        </w:tc>
        <w:tc>
          <w:tcPr>
            <w:tcW w:w="630" w:type="dxa"/>
          </w:tcPr>
          <w:p w14:paraId="0069A7AA">
            <w:pPr>
              <w:spacing w:line="420" w:lineRule="auto"/>
              <w:jc w:val="center"/>
              <w:rPr>
                <w:rFonts w:ascii="宋体" w:hAnsi="宋体"/>
                <w:color w:val="000000"/>
                <w:sz w:val="28"/>
                <w:szCs w:val="28"/>
                <w:highlight w:val="none"/>
              </w:rPr>
            </w:pPr>
          </w:p>
        </w:tc>
        <w:tc>
          <w:tcPr>
            <w:tcW w:w="525" w:type="dxa"/>
          </w:tcPr>
          <w:p w14:paraId="7051DA2E">
            <w:pPr>
              <w:spacing w:line="420" w:lineRule="auto"/>
              <w:jc w:val="center"/>
              <w:rPr>
                <w:rFonts w:ascii="宋体" w:hAnsi="宋体"/>
                <w:color w:val="000000"/>
                <w:sz w:val="28"/>
                <w:szCs w:val="28"/>
                <w:highlight w:val="none"/>
              </w:rPr>
            </w:pPr>
          </w:p>
        </w:tc>
        <w:tc>
          <w:tcPr>
            <w:tcW w:w="735" w:type="dxa"/>
          </w:tcPr>
          <w:p w14:paraId="0F2C041C">
            <w:pPr>
              <w:spacing w:line="420" w:lineRule="auto"/>
              <w:jc w:val="center"/>
              <w:rPr>
                <w:rFonts w:ascii="宋体" w:hAnsi="宋体"/>
                <w:color w:val="000000"/>
                <w:sz w:val="28"/>
                <w:szCs w:val="28"/>
                <w:highlight w:val="none"/>
              </w:rPr>
            </w:pPr>
          </w:p>
        </w:tc>
        <w:tc>
          <w:tcPr>
            <w:tcW w:w="840" w:type="dxa"/>
          </w:tcPr>
          <w:p w14:paraId="26A66F87">
            <w:pPr>
              <w:spacing w:line="420" w:lineRule="auto"/>
              <w:jc w:val="center"/>
              <w:rPr>
                <w:rFonts w:ascii="宋体" w:hAnsi="宋体"/>
                <w:color w:val="000000"/>
                <w:sz w:val="28"/>
                <w:szCs w:val="28"/>
                <w:highlight w:val="none"/>
              </w:rPr>
            </w:pPr>
          </w:p>
        </w:tc>
        <w:tc>
          <w:tcPr>
            <w:tcW w:w="840" w:type="dxa"/>
          </w:tcPr>
          <w:p w14:paraId="5A116136">
            <w:pPr>
              <w:spacing w:line="420" w:lineRule="auto"/>
              <w:jc w:val="center"/>
              <w:rPr>
                <w:rFonts w:ascii="宋体" w:hAnsi="宋体"/>
                <w:color w:val="000000"/>
                <w:sz w:val="28"/>
                <w:szCs w:val="28"/>
                <w:highlight w:val="none"/>
              </w:rPr>
            </w:pPr>
          </w:p>
        </w:tc>
        <w:tc>
          <w:tcPr>
            <w:tcW w:w="735" w:type="dxa"/>
          </w:tcPr>
          <w:p w14:paraId="67CB4648">
            <w:pPr>
              <w:spacing w:line="420" w:lineRule="auto"/>
              <w:jc w:val="center"/>
              <w:rPr>
                <w:rFonts w:ascii="宋体" w:hAnsi="宋体"/>
                <w:color w:val="000000"/>
                <w:sz w:val="28"/>
                <w:szCs w:val="28"/>
                <w:highlight w:val="none"/>
              </w:rPr>
            </w:pPr>
          </w:p>
        </w:tc>
        <w:tc>
          <w:tcPr>
            <w:tcW w:w="945" w:type="dxa"/>
          </w:tcPr>
          <w:p w14:paraId="7C54270C">
            <w:pPr>
              <w:spacing w:line="420" w:lineRule="auto"/>
              <w:jc w:val="center"/>
              <w:rPr>
                <w:rFonts w:ascii="宋体" w:hAnsi="宋体"/>
                <w:color w:val="000000"/>
                <w:sz w:val="28"/>
                <w:szCs w:val="28"/>
                <w:highlight w:val="none"/>
              </w:rPr>
            </w:pPr>
          </w:p>
        </w:tc>
      </w:tr>
      <w:tr w14:paraId="4947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8AB2C70">
            <w:pPr>
              <w:spacing w:line="420" w:lineRule="auto"/>
              <w:jc w:val="center"/>
              <w:rPr>
                <w:rFonts w:ascii="宋体" w:hAnsi="宋体"/>
                <w:color w:val="000000"/>
                <w:sz w:val="28"/>
                <w:szCs w:val="28"/>
                <w:highlight w:val="none"/>
              </w:rPr>
            </w:pPr>
          </w:p>
        </w:tc>
        <w:tc>
          <w:tcPr>
            <w:tcW w:w="1155" w:type="dxa"/>
          </w:tcPr>
          <w:p w14:paraId="59D4B66D">
            <w:pPr>
              <w:spacing w:line="420" w:lineRule="auto"/>
              <w:jc w:val="center"/>
              <w:rPr>
                <w:rFonts w:ascii="宋体" w:hAnsi="宋体"/>
                <w:color w:val="000000"/>
                <w:sz w:val="28"/>
                <w:szCs w:val="28"/>
                <w:highlight w:val="none"/>
              </w:rPr>
            </w:pPr>
          </w:p>
        </w:tc>
        <w:tc>
          <w:tcPr>
            <w:tcW w:w="1050" w:type="dxa"/>
          </w:tcPr>
          <w:p w14:paraId="5067699C">
            <w:pPr>
              <w:spacing w:line="420" w:lineRule="auto"/>
              <w:jc w:val="center"/>
              <w:rPr>
                <w:rFonts w:ascii="宋体" w:hAnsi="宋体"/>
                <w:color w:val="000000"/>
                <w:sz w:val="28"/>
                <w:szCs w:val="28"/>
                <w:highlight w:val="none"/>
              </w:rPr>
            </w:pPr>
          </w:p>
        </w:tc>
        <w:tc>
          <w:tcPr>
            <w:tcW w:w="630" w:type="dxa"/>
          </w:tcPr>
          <w:p w14:paraId="2A4B62BC">
            <w:pPr>
              <w:spacing w:line="420" w:lineRule="auto"/>
              <w:jc w:val="center"/>
              <w:rPr>
                <w:rFonts w:ascii="宋体" w:hAnsi="宋体"/>
                <w:color w:val="000000"/>
                <w:sz w:val="28"/>
                <w:szCs w:val="28"/>
                <w:highlight w:val="none"/>
              </w:rPr>
            </w:pPr>
          </w:p>
        </w:tc>
        <w:tc>
          <w:tcPr>
            <w:tcW w:w="525" w:type="dxa"/>
          </w:tcPr>
          <w:p w14:paraId="291790B4">
            <w:pPr>
              <w:spacing w:line="420" w:lineRule="auto"/>
              <w:jc w:val="center"/>
              <w:rPr>
                <w:rFonts w:ascii="宋体" w:hAnsi="宋体"/>
                <w:color w:val="000000"/>
                <w:sz w:val="28"/>
                <w:szCs w:val="28"/>
                <w:highlight w:val="none"/>
              </w:rPr>
            </w:pPr>
          </w:p>
        </w:tc>
        <w:tc>
          <w:tcPr>
            <w:tcW w:w="735" w:type="dxa"/>
          </w:tcPr>
          <w:p w14:paraId="08170B08">
            <w:pPr>
              <w:spacing w:line="420" w:lineRule="auto"/>
              <w:jc w:val="center"/>
              <w:rPr>
                <w:rFonts w:ascii="宋体" w:hAnsi="宋体"/>
                <w:color w:val="000000"/>
                <w:sz w:val="28"/>
                <w:szCs w:val="28"/>
                <w:highlight w:val="none"/>
              </w:rPr>
            </w:pPr>
          </w:p>
        </w:tc>
        <w:tc>
          <w:tcPr>
            <w:tcW w:w="840" w:type="dxa"/>
          </w:tcPr>
          <w:p w14:paraId="770EE9E0">
            <w:pPr>
              <w:spacing w:line="420" w:lineRule="auto"/>
              <w:jc w:val="center"/>
              <w:rPr>
                <w:rFonts w:ascii="宋体" w:hAnsi="宋体"/>
                <w:color w:val="000000"/>
                <w:sz w:val="28"/>
                <w:szCs w:val="28"/>
                <w:highlight w:val="none"/>
              </w:rPr>
            </w:pPr>
          </w:p>
        </w:tc>
        <w:tc>
          <w:tcPr>
            <w:tcW w:w="840" w:type="dxa"/>
          </w:tcPr>
          <w:p w14:paraId="122F2A84">
            <w:pPr>
              <w:spacing w:line="420" w:lineRule="auto"/>
              <w:jc w:val="center"/>
              <w:rPr>
                <w:rFonts w:ascii="宋体" w:hAnsi="宋体"/>
                <w:color w:val="000000"/>
                <w:sz w:val="28"/>
                <w:szCs w:val="28"/>
                <w:highlight w:val="none"/>
              </w:rPr>
            </w:pPr>
          </w:p>
        </w:tc>
        <w:tc>
          <w:tcPr>
            <w:tcW w:w="735" w:type="dxa"/>
          </w:tcPr>
          <w:p w14:paraId="367ED269">
            <w:pPr>
              <w:spacing w:line="420" w:lineRule="auto"/>
              <w:jc w:val="center"/>
              <w:rPr>
                <w:rFonts w:ascii="宋体" w:hAnsi="宋体"/>
                <w:color w:val="000000"/>
                <w:sz w:val="28"/>
                <w:szCs w:val="28"/>
                <w:highlight w:val="none"/>
              </w:rPr>
            </w:pPr>
          </w:p>
        </w:tc>
        <w:tc>
          <w:tcPr>
            <w:tcW w:w="945" w:type="dxa"/>
          </w:tcPr>
          <w:p w14:paraId="3A5AD26C">
            <w:pPr>
              <w:spacing w:line="420" w:lineRule="auto"/>
              <w:jc w:val="center"/>
              <w:rPr>
                <w:rFonts w:ascii="宋体" w:hAnsi="宋体"/>
                <w:color w:val="000000"/>
                <w:sz w:val="28"/>
                <w:szCs w:val="28"/>
                <w:highlight w:val="none"/>
              </w:rPr>
            </w:pPr>
          </w:p>
        </w:tc>
      </w:tr>
      <w:tr w14:paraId="070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FC69786">
            <w:pPr>
              <w:spacing w:line="420" w:lineRule="auto"/>
              <w:jc w:val="center"/>
              <w:rPr>
                <w:rFonts w:ascii="宋体" w:hAnsi="宋体"/>
                <w:color w:val="000000"/>
                <w:sz w:val="28"/>
                <w:szCs w:val="28"/>
                <w:highlight w:val="none"/>
              </w:rPr>
            </w:pPr>
          </w:p>
        </w:tc>
        <w:tc>
          <w:tcPr>
            <w:tcW w:w="1155" w:type="dxa"/>
          </w:tcPr>
          <w:p w14:paraId="10AFC6D3">
            <w:pPr>
              <w:spacing w:line="420" w:lineRule="auto"/>
              <w:jc w:val="center"/>
              <w:rPr>
                <w:rFonts w:ascii="宋体" w:hAnsi="宋体"/>
                <w:color w:val="000000"/>
                <w:sz w:val="28"/>
                <w:szCs w:val="28"/>
                <w:highlight w:val="none"/>
              </w:rPr>
            </w:pPr>
          </w:p>
        </w:tc>
        <w:tc>
          <w:tcPr>
            <w:tcW w:w="1050" w:type="dxa"/>
          </w:tcPr>
          <w:p w14:paraId="426B49A5">
            <w:pPr>
              <w:spacing w:line="420" w:lineRule="auto"/>
              <w:jc w:val="center"/>
              <w:rPr>
                <w:rFonts w:ascii="宋体" w:hAnsi="宋体"/>
                <w:color w:val="000000"/>
                <w:sz w:val="28"/>
                <w:szCs w:val="28"/>
                <w:highlight w:val="none"/>
              </w:rPr>
            </w:pPr>
          </w:p>
        </w:tc>
        <w:tc>
          <w:tcPr>
            <w:tcW w:w="630" w:type="dxa"/>
          </w:tcPr>
          <w:p w14:paraId="28F5133D">
            <w:pPr>
              <w:spacing w:line="420" w:lineRule="auto"/>
              <w:jc w:val="center"/>
              <w:rPr>
                <w:rFonts w:ascii="宋体" w:hAnsi="宋体"/>
                <w:color w:val="000000"/>
                <w:sz w:val="28"/>
                <w:szCs w:val="28"/>
                <w:highlight w:val="none"/>
              </w:rPr>
            </w:pPr>
          </w:p>
        </w:tc>
        <w:tc>
          <w:tcPr>
            <w:tcW w:w="525" w:type="dxa"/>
          </w:tcPr>
          <w:p w14:paraId="5CEFCBE6">
            <w:pPr>
              <w:spacing w:line="420" w:lineRule="auto"/>
              <w:jc w:val="center"/>
              <w:rPr>
                <w:rFonts w:ascii="宋体" w:hAnsi="宋体"/>
                <w:color w:val="000000"/>
                <w:sz w:val="28"/>
                <w:szCs w:val="28"/>
                <w:highlight w:val="none"/>
              </w:rPr>
            </w:pPr>
          </w:p>
        </w:tc>
        <w:tc>
          <w:tcPr>
            <w:tcW w:w="735" w:type="dxa"/>
          </w:tcPr>
          <w:p w14:paraId="766E0DFE">
            <w:pPr>
              <w:spacing w:line="420" w:lineRule="auto"/>
              <w:jc w:val="center"/>
              <w:rPr>
                <w:rFonts w:ascii="宋体" w:hAnsi="宋体"/>
                <w:color w:val="000000"/>
                <w:sz w:val="28"/>
                <w:szCs w:val="28"/>
                <w:highlight w:val="none"/>
              </w:rPr>
            </w:pPr>
          </w:p>
        </w:tc>
        <w:tc>
          <w:tcPr>
            <w:tcW w:w="840" w:type="dxa"/>
          </w:tcPr>
          <w:p w14:paraId="771BC880">
            <w:pPr>
              <w:spacing w:line="420" w:lineRule="auto"/>
              <w:jc w:val="center"/>
              <w:rPr>
                <w:rFonts w:ascii="宋体" w:hAnsi="宋体"/>
                <w:color w:val="000000"/>
                <w:sz w:val="28"/>
                <w:szCs w:val="28"/>
                <w:highlight w:val="none"/>
              </w:rPr>
            </w:pPr>
          </w:p>
        </w:tc>
        <w:tc>
          <w:tcPr>
            <w:tcW w:w="840" w:type="dxa"/>
          </w:tcPr>
          <w:p w14:paraId="7FE7C0D2">
            <w:pPr>
              <w:spacing w:line="420" w:lineRule="auto"/>
              <w:jc w:val="center"/>
              <w:rPr>
                <w:rFonts w:ascii="宋体" w:hAnsi="宋体"/>
                <w:color w:val="000000"/>
                <w:sz w:val="28"/>
                <w:szCs w:val="28"/>
                <w:highlight w:val="none"/>
              </w:rPr>
            </w:pPr>
          </w:p>
        </w:tc>
        <w:tc>
          <w:tcPr>
            <w:tcW w:w="735" w:type="dxa"/>
          </w:tcPr>
          <w:p w14:paraId="78DD2EE6">
            <w:pPr>
              <w:spacing w:line="420" w:lineRule="auto"/>
              <w:jc w:val="center"/>
              <w:rPr>
                <w:rFonts w:ascii="宋体" w:hAnsi="宋体"/>
                <w:color w:val="000000"/>
                <w:sz w:val="28"/>
                <w:szCs w:val="28"/>
                <w:highlight w:val="none"/>
              </w:rPr>
            </w:pPr>
          </w:p>
        </w:tc>
        <w:tc>
          <w:tcPr>
            <w:tcW w:w="945" w:type="dxa"/>
          </w:tcPr>
          <w:p w14:paraId="585D1C13">
            <w:pPr>
              <w:spacing w:line="420" w:lineRule="auto"/>
              <w:jc w:val="center"/>
              <w:rPr>
                <w:rFonts w:ascii="宋体" w:hAnsi="宋体"/>
                <w:color w:val="000000"/>
                <w:sz w:val="28"/>
                <w:szCs w:val="28"/>
                <w:highlight w:val="none"/>
              </w:rPr>
            </w:pPr>
          </w:p>
        </w:tc>
      </w:tr>
    </w:tbl>
    <w:p w14:paraId="469CF5DE">
      <w:pPr>
        <w:tabs>
          <w:tab w:val="left" w:pos="1440"/>
        </w:tabs>
        <w:spacing w:line="420" w:lineRule="auto"/>
        <w:rPr>
          <w:rFonts w:ascii="宋体" w:hAnsi="宋体"/>
          <w:color w:val="000000"/>
          <w:szCs w:val="21"/>
          <w:highlight w:val="none"/>
        </w:rPr>
      </w:pPr>
      <w:r>
        <w:rPr>
          <w:rFonts w:hint="eastAsia" w:ascii="宋体" w:hAnsi="宋体"/>
          <w:color w:val="000000"/>
          <w:szCs w:val="21"/>
          <w:highlight w:val="none"/>
        </w:rPr>
        <w:t>备注：除合同另有约定外，本表所列发包人供应材料和工程设备的数量不考虑施工损耗，施工损耗被认为已经包括在承包人的投标价格中。</w:t>
      </w:r>
    </w:p>
    <w:p w14:paraId="0E912A6E">
      <w:pPr>
        <w:pStyle w:val="4"/>
        <w:rPr>
          <w:color w:val="000000"/>
          <w:highlight w:val="none"/>
        </w:rPr>
      </w:pPr>
      <w:bookmarkStart w:id="1467" w:name="_Toc486580458"/>
      <w:bookmarkStart w:id="1468" w:name="_Toc485323232"/>
      <w:bookmarkStart w:id="1469" w:name="_BookMark_85"/>
      <w:bookmarkStart w:id="1470" w:name="_Toc489280264"/>
      <w:bookmarkStart w:id="1471" w:name="_Toc491149588"/>
      <w:bookmarkStart w:id="1472" w:name="_Toc480303486"/>
    </w:p>
    <w:p w14:paraId="72157D33">
      <w:pPr>
        <w:rPr>
          <w:color w:val="000000"/>
          <w:highlight w:val="none"/>
        </w:rPr>
      </w:pPr>
    </w:p>
    <w:bookmarkEnd w:id="1467"/>
    <w:bookmarkEnd w:id="1468"/>
    <w:bookmarkEnd w:id="1469"/>
    <w:bookmarkEnd w:id="1470"/>
    <w:bookmarkEnd w:id="1471"/>
    <w:bookmarkEnd w:id="1472"/>
    <w:p w14:paraId="3D70F30E">
      <w:pPr>
        <w:spacing w:line="400" w:lineRule="exact"/>
        <w:rPr>
          <w:bCs/>
          <w:color w:val="000000"/>
          <w:highlight w:val="none"/>
        </w:rPr>
      </w:pPr>
      <w:bookmarkStart w:id="1473" w:name="_Toc491149589"/>
      <w:bookmarkStart w:id="1474" w:name="_Toc489219296"/>
      <w:bookmarkStart w:id="1475" w:name="_Toc485338209"/>
    </w:p>
    <w:p w14:paraId="31293EB9">
      <w:pPr>
        <w:pStyle w:val="55"/>
        <w:rPr>
          <w:highlight w:val="none"/>
        </w:rPr>
      </w:pPr>
    </w:p>
    <w:p w14:paraId="1658027F">
      <w:pPr>
        <w:pStyle w:val="55"/>
        <w:rPr>
          <w:highlight w:val="none"/>
        </w:rPr>
      </w:pPr>
    </w:p>
    <w:p w14:paraId="4A667058">
      <w:pPr>
        <w:pStyle w:val="4"/>
        <w:spacing w:line="400" w:lineRule="exact"/>
        <w:rPr>
          <w:rFonts w:hint="eastAsia" w:ascii="宋体" w:hAnsi="宋体"/>
          <w:color w:val="000000"/>
          <w:szCs w:val="30"/>
          <w:highlight w:val="none"/>
        </w:rPr>
      </w:pPr>
      <w:bookmarkStart w:id="1476" w:name="_BookMark_86"/>
    </w:p>
    <w:p w14:paraId="2EA79235">
      <w:pPr>
        <w:pStyle w:val="4"/>
        <w:spacing w:line="400" w:lineRule="exact"/>
        <w:rPr>
          <w:rFonts w:ascii="宋体" w:hAnsi="宋体"/>
          <w:color w:val="000000"/>
          <w:szCs w:val="30"/>
          <w:highlight w:val="none"/>
        </w:rPr>
      </w:pPr>
      <w:r>
        <w:rPr>
          <w:rFonts w:hint="eastAsia" w:ascii="宋体" w:hAnsi="宋体"/>
          <w:color w:val="000000"/>
          <w:szCs w:val="30"/>
          <w:highlight w:val="none"/>
        </w:rPr>
        <w:t>附件五：质量保修书格式</w:t>
      </w:r>
      <w:bookmarkEnd w:id="1473"/>
      <w:bookmarkEnd w:id="1474"/>
      <w:bookmarkEnd w:id="1475"/>
    </w:p>
    <w:bookmarkEnd w:id="1476"/>
    <w:p w14:paraId="6DA0CBCD">
      <w:pPr>
        <w:snapToGrid w:val="0"/>
        <w:spacing w:line="400" w:lineRule="exact"/>
        <w:jc w:val="center"/>
        <w:rPr>
          <w:rFonts w:ascii="宋体" w:hAnsi="宋体"/>
          <w:b/>
          <w:bCs/>
          <w:color w:val="000000"/>
          <w:highlight w:val="none"/>
        </w:rPr>
      </w:pPr>
      <w:r>
        <w:rPr>
          <w:rFonts w:hint="eastAsia" w:ascii="宋体" w:hAnsi="宋体"/>
          <w:b/>
          <w:bCs/>
          <w:color w:val="000000"/>
          <w:sz w:val="28"/>
          <w:highlight w:val="none"/>
        </w:rPr>
        <w:t>工程质量保修书</w:t>
      </w:r>
    </w:p>
    <w:p w14:paraId="4CB75B6D">
      <w:pPr>
        <w:snapToGrid w:val="0"/>
        <w:spacing w:line="400" w:lineRule="exact"/>
        <w:rPr>
          <w:rFonts w:ascii="宋体" w:hAnsi="宋体"/>
          <w:color w:val="000000"/>
          <w:highlight w:val="none"/>
          <w:u w:val="singl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ascii="宋体" w:hAnsi="宋体"/>
          <w:color w:val="000000"/>
          <w:highlight w:val="none"/>
          <w:u w:val="single"/>
        </w:rPr>
        <w:t xml:space="preserve">        </w:t>
      </w:r>
    </w:p>
    <w:p w14:paraId="313B4A6D">
      <w:pPr>
        <w:snapToGrid w:val="0"/>
        <w:spacing w:line="400" w:lineRule="exact"/>
        <w:rPr>
          <w:rFonts w:ascii="宋体" w:hAnsi="宋体"/>
          <w:color w:val="000000"/>
          <w:highlight w:val="none"/>
        </w:rPr>
      </w:pPr>
      <w:r>
        <w:rPr>
          <w:rFonts w:hint="eastAsia" w:ascii="宋体" w:hAnsi="宋体"/>
          <w:color w:val="000000"/>
          <w:highlight w:val="none"/>
        </w:rPr>
        <w:t>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4AA30BAB">
      <w:pPr>
        <w:snapToGrid w:val="0"/>
        <w:spacing w:line="400" w:lineRule="exact"/>
        <w:ind w:firstLine="488"/>
        <w:rPr>
          <w:rFonts w:ascii="宋体" w:hAnsi="宋体"/>
          <w:color w:val="000000"/>
          <w:highlight w:val="none"/>
          <w:u w:val="single"/>
        </w:rPr>
      </w:pPr>
    </w:p>
    <w:p w14:paraId="6C037151">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发包人、承包人根据《中华人民共和国建筑法》、《建设工程质量管理条例》和《房屋建筑工程质量保修办法》，经协商一致，对</w:t>
      </w:r>
      <w:r>
        <w:rPr>
          <w:rFonts w:hint="eastAsia" w:ascii="宋体" w:hAnsi="宋体"/>
          <w:color w:val="000000"/>
          <w:highlight w:val="none"/>
          <w:u w:val="single"/>
        </w:rPr>
        <w:t xml:space="preserve">                           </w:t>
      </w:r>
      <w:r>
        <w:rPr>
          <w:rFonts w:hint="eastAsia" w:ascii="宋体" w:hAnsi="宋体"/>
          <w:color w:val="000000"/>
          <w:highlight w:val="none"/>
        </w:rPr>
        <w:t>（</w:t>
      </w:r>
      <w:r>
        <w:rPr>
          <w:rFonts w:hint="eastAsia" w:ascii="宋体" w:hAnsi="宋体"/>
          <w:color w:val="000000"/>
          <w:szCs w:val="21"/>
          <w:highlight w:val="none"/>
        </w:rPr>
        <w:t>工程</w:t>
      </w:r>
      <w:r>
        <w:rPr>
          <w:rFonts w:hint="eastAsia" w:ascii="宋体" w:hAnsi="宋体"/>
          <w:color w:val="000000"/>
          <w:highlight w:val="none"/>
        </w:rPr>
        <w:t>名称）签订保修书。</w:t>
      </w:r>
    </w:p>
    <w:p w14:paraId="5B1F143B">
      <w:pPr>
        <w:spacing w:line="400" w:lineRule="exact"/>
        <w:ind w:firstLine="420" w:firstLineChars="200"/>
        <w:rPr>
          <w:rFonts w:ascii="宋体" w:hAnsi="宋体"/>
          <w:color w:val="000000"/>
          <w:highlight w:val="none"/>
        </w:rPr>
      </w:pPr>
      <w:bookmarkStart w:id="1477" w:name="_Toc479505769"/>
      <w:bookmarkStart w:id="1478" w:name="_Toc480303496"/>
      <w:r>
        <w:rPr>
          <w:rFonts w:hint="eastAsia" w:ascii="宋体" w:hAnsi="宋体"/>
          <w:color w:val="000000"/>
          <w:highlight w:val="none"/>
        </w:rPr>
        <w:t>一、工程保修范围和内容</w:t>
      </w:r>
      <w:bookmarkEnd w:id="1477"/>
      <w:bookmarkEnd w:id="1478"/>
    </w:p>
    <w:p w14:paraId="5257F32D">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承包人在保修期内，按照有关法律、法规、规章的管理规定和双方约定，承担本工程保修责任。</w:t>
      </w:r>
    </w:p>
    <w:p w14:paraId="1318D3BA">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A7F39E6">
      <w:pPr>
        <w:snapToGrid w:val="0"/>
        <w:spacing w:line="400" w:lineRule="exact"/>
        <w:rPr>
          <w:rFonts w:ascii="宋体" w:hAnsi="宋体"/>
          <w:color w:val="000000"/>
          <w:highlight w:val="none"/>
          <w:u w:val="single"/>
        </w:rPr>
      </w:pPr>
      <w:r>
        <w:rPr>
          <w:rFonts w:hint="eastAsia" w:ascii="宋体" w:hAnsi="宋体"/>
          <w:color w:val="000000"/>
          <w:highlight w:val="none"/>
          <w:u w:val="single"/>
        </w:rPr>
        <w:t xml:space="preserve">                                                                              </w:t>
      </w:r>
    </w:p>
    <w:p w14:paraId="3DDCF04A">
      <w:pPr>
        <w:snapToGrid w:val="0"/>
        <w:spacing w:line="400" w:lineRule="exact"/>
        <w:rPr>
          <w:rFonts w:ascii="宋体" w:hAnsi="宋体"/>
          <w:color w:val="000000"/>
          <w:highlight w:val="none"/>
          <w:u w:val="single"/>
        </w:rPr>
      </w:pPr>
      <w:r>
        <w:rPr>
          <w:rFonts w:hint="eastAsia" w:ascii="宋体" w:hAnsi="宋体"/>
          <w:color w:val="000000"/>
          <w:highlight w:val="none"/>
          <w:u w:val="single"/>
        </w:rPr>
        <w:t xml:space="preserve">                                                                              </w:t>
      </w:r>
    </w:p>
    <w:p w14:paraId="5FFB2883">
      <w:pPr>
        <w:snapToGrid w:val="0"/>
        <w:spacing w:line="400" w:lineRule="exact"/>
        <w:rPr>
          <w:rFonts w:ascii="宋体" w:hAnsi="宋体"/>
          <w:color w:val="000000"/>
          <w:highlight w:val="none"/>
        </w:rPr>
      </w:pP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w:t>
      </w:r>
    </w:p>
    <w:p w14:paraId="414E1D6E">
      <w:pPr>
        <w:spacing w:line="400" w:lineRule="exact"/>
        <w:ind w:firstLine="420" w:firstLineChars="200"/>
        <w:rPr>
          <w:rFonts w:ascii="宋体" w:hAnsi="宋体"/>
          <w:color w:val="000000"/>
          <w:highlight w:val="none"/>
        </w:rPr>
      </w:pPr>
      <w:bookmarkStart w:id="1479" w:name="_Toc480303497"/>
      <w:bookmarkStart w:id="1480" w:name="_Toc479505770"/>
      <w:r>
        <w:rPr>
          <w:rFonts w:hint="eastAsia" w:ascii="宋体" w:hAnsi="宋体"/>
          <w:color w:val="000000"/>
          <w:highlight w:val="none"/>
        </w:rPr>
        <w:t>二、保修期</w:t>
      </w:r>
      <w:bookmarkEnd w:id="1479"/>
      <w:bookmarkEnd w:id="1480"/>
    </w:p>
    <w:p w14:paraId="6CCBD7C1">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双方根据《建设工程质量管理条例》及有关规定，约定本工程的保修期如下：</w:t>
      </w:r>
    </w:p>
    <w:p w14:paraId="6320FC4D">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地基基础工程和主体结构工程为设计文件规定的该工程合理使用年限；</w:t>
      </w:r>
    </w:p>
    <w:p w14:paraId="037BF31D">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屋面防水工程、有防水要求的卫生间、房间和外墙面的防渗漏为</w:t>
      </w:r>
      <w:r>
        <w:rPr>
          <w:rFonts w:hint="eastAsia" w:ascii="宋体" w:hAnsi="宋体"/>
          <w:color w:val="000000"/>
          <w:highlight w:val="none"/>
          <w:u w:val="single"/>
        </w:rPr>
        <w:t xml:space="preserve">        </w:t>
      </w:r>
      <w:r>
        <w:rPr>
          <w:rFonts w:hint="eastAsia" w:ascii="宋体" w:hAnsi="宋体"/>
          <w:color w:val="000000"/>
          <w:highlight w:val="none"/>
        </w:rPr>
        <w:t>年；</w:t>
      </w:r>
    </w:p>
    <w:p w14:paraId="452A4A8B">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外窗工程为</w:t>
      </w:r>
      <w:r>
        <w:rPr>
          <w:rFonts w:hint="eastAsia" w:ascii="宋体" w:hAnsi="宋体"/>
          <w:color w:val="000000"/>
          <w:highlight w:val="none"/>
          <w:u w:val="single"/>
        </w:rPr>
        <w:t xml:space="preserve">       </w:t>
      </w:r>
      <w:r>
        <w:rPr>
          <w:rFonts w:hint="eastAsia" w:ascii="宋体" w:hAnsi="宋体"/>
          <w:color w:val="000000"/>
          <w:highlight w:val="none"/>
        </w:rPr>
        <w:t>年，外窗防渗漏为</w:t>
      </w:r>
      <w:r>
        <w:rPr>
          <w:rFonts w:hint="eastAsia" w:ascii="宋体" w:hAnsi="宋体"/>
          <w:color w:val="000000"/>
          <w:highlight w:val="none"/>
          <w:u w:val="single"/>
        </w:rPr>
        <w:t xml:space="preserve">          </w:t>
      </w:r>
      <w:r>
        <w:rPr>
          <w:rFonts w:hint="eastAsia" w:ascii="宋体" w:hAnsi="宋体"/>
          <w:color w:val="000000"/>
          <w:highlight w:val="none"/>
        </w:rPr>
        <w:t>年；</w:t>
      </w:r>
    </w:p>
    <w:p w14:paraId="027A9A61">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装修工程为</w:t>
      </w:r>
      <w:r>
        <w:rPr>
          <w:rFonts w:hint="eastAsia" w:ascii="宋体" w:hAnsi="宋体"/>
          <w:color w:val="000000"/>
          <w:highlight w:val="none"/>
          <w:u w:val="single"/>
        </w:rPr>
        <w:t xml:space="preserve">          </w:t>
      </w:r>
      <w:r>
        <w:rPr>
          <w:rFonts w:hint="eastAsia" w:ascii="宋体" w:hAnsi="宋体"/>
          <w:color w:val="000000"/>
          <w:highlight w:val="none"/>
        </w:rPr>
        <w:t>年；</w:t>
      </w:r>
    </w:p>
    <w:p w14:paraId="34813396">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电气管线、给排水管道、设备安装工程为</w:t>
      </w:r>
      <w:r>
        <w:rPr>
          <w:rFonts w:hint="eastAsia" w:ascii="宋体" w:hAnsi="宋体"/>
          <w:color w:val="000000"/>
          <w:highlight w:val="none"/>
          <w:u w:val="single"/>
        </w:rPr>
        <w:t xml:space="preserve">          </w:t>
      </w:r>
      <w:r>
        <w:rPr>
          <w:rFonts w:hint="eastAsia" w:ascii="宋体" w:hAnsi="宋体"/>
          <w:color w:val="000000"/>
          <w:highlight w:val="none"/>
        </w:rPr>
        <w:t>年；</w:t>
      </w:r>
    </w:p>
    <w:p w14:paraId="5BA4CBBF">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供热与供冷系统为</w:t>
      </w:r>
      <w:r>
        <w:rPr>
          <w:rFonts w:hint="eastAsia" w:ascii="宋体" w:hAnsi="宋体"/>
          <w:color w:val="000000"/>
          <w:highlight w:val="none"/>
          <w:u w:val="single"/>
        </w:rPr>
        <w:t xml:space="preserve">          </w:t>
      </w:r>
      <w:r>
        <w:rPr>
          <w:rFonts w:hint="eastAsia" w:ascii="宋体" w:hAnsi="宋体"/>
          <w:color w:val="000000"/>
          <w:highlight w:val="none"/>
        </w:rPr>
        <w:t>个采暖期、供冷期；</w:t>
      </w:r>
    </w:p>
    <w:p w14:paraId="5C294F74">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住宅小区内的给排水设施、道路等配套工程为</w:t>
      </w:r>
      <w:r>
        <w:rPr>
          <w:rFonts w:hint="eastAsia" w:ascii="宋体" w:hAnsi="宋体"/>
          <w:color w:val="000000"/>
          <w:highlight w:val="none"/>
          <w:u w:val="single"/>
        </w:rPr>
        <w:t xml:space="preserve">          </w:t>
      </w:r>
      <w:r>
        <w:rPr>
          <w:rFonts w:hint="eastAsia" w:ascii="宋体" w:hAnsi="宋体"/>
          <w:color w:val="000000"/>
          <w:highlight w:val="none"/>
        </w:rPr>
        <w:t>年；</w:t>
      </w:r>
    </w:p>
    <w:p w14:paraId="37D9F2A7">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其他项目保修期限约定如下：</w:t>
      </w:r>
    </w:p>
    <w:p w14:paraId="3F3EBE85">
      <w:pPr>
        <w:snapToGrid w:val="0"/>
        <w:spacing w:line="400" w:lineRule="exact"/>
        <w:rPr>
          <w:rFonts w:ascii="宋体" w:hAnsi="宋体"/>
          <w:color w:val="000000"/>
          <w:highlight w:val="none"/>
          <w:u w:val="single"/>
        </w:rPr>
      </w:pPr>
      <w:r>
        <w:rPr>
          <w:rFonts w:hint="eastAsia" w:ascii="宋体" w:hAnsi="宋体"/>
          <w:color w:val="000000"/>
          <w:highlight w:val="none"/>
          <w:u w:val="single"/>
        </w:rPr>
        <w:t xml:space="preserve">                                                                              </w:t>
      </w:r>
    </w:p>
    <w:p w14:paraId="651FC397">
      <w:pPr>
        <w:snapToGrid w:val="0"/>
        <w:spacing w:line="400" w:lineRule="exact"/>
        <w:rPr>
          <w:rFonts w:ascii="宋体" w:hAnsi="宋体"/>
          <w:color w:val="000000"/>
          <w:highlight w:val="none"/>
          <w:u w:val="single"/>
        </w:rPr>
      </w:pPr>
      <w:r>
        <w:rPr>
          <w:rFonts w:hint="eastAsia" w:ascii="宋体" w:hAnsi="宋体"/>
          <w:color w:val="000000"/>
          <w:highlight w:val="none"/>
          <w:u w:val="single"/>
        </w:rPr>
        <w:t xml:space="preserve">                                                                             </w:t>
      </w:r>
    </w:p>
    <w:p w14:paraId="0E9F5871">
      <w:pPr>
        <w:snapToGrid w:val="0"/>
        <w:spacing w:line="400" w:lineRule="exact"/>
        <w:rPr>
          <w:rFonts w:ascii="宋体" w:hAnsi="宋体"/>
          <w:color w:val="000000"/>
          <w:highlight w:val="none"/>
        </w:rPr>
      </w:pP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w:t>
      </w:r>
    </w:p>
    <w:p w14:paraId="12109FB3">
      <w:pPr>
        <w:spacing w:line="400" w:lineRule="exact"/>
        <w:ind w:firstLine="420" w:firstLineChars="200"/>
        <w:rPr>
          <w:rFonts w:ascii="宋体" w:hAnsi="宋体"/>
          <w:color w:val="000000"/>
          <w:highlight w:val="none"/>
        </w:rPr>
      </w:pPr>
      <w:bookmarkStart w:id="1481" w:name="_Toc479505771"/>
      <w:bookmarkStart w:id="1482" w:name="_Toc480303498"/>
      <w:r>
        <w:rPr>
          <w:rFonts w:hint="eastAsia" w:ascii="宋体" w:hAnsi="宋体"/>
          <w:color w:val="000000"/>
          <w:highlight w:val="none"/>
        </w:rPr>
        <w:t>三、保修责任</w:t>
      </w:r>
      <w:bookmarkEnd w:id="1481"/>
      <w:bookmarkEnd w:id="1482"/>
    </w:p>
    <w:p w14:paraId="22CB55CB">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1、属于责任范围、内容的项目，承包人应当在接到保修通知之日起7天内派人保修。承包人不在约定期限内派人保修的，发包人可以委托他人修理。</w:t>
      </w:r>
    </w:p>
    <w:p w14:paraId="6DA71653">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2、发生紧急抢修事故的，承包人在接到事故通知后，应当立即到达事故现场抢修。</w:t>
      </w:r>
    </w:p>
    <w:p w14:paraId="3E10563A">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3C8D474">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4、质量保修完成后，由发包人组织验收。</w:t>
      </w:r>
    </w:p>
    <w:p w14:paraId="1A8B1067">
      <w:pPr>
        <w:spacing w:line="400" w:lineRule="exact"/>
        <w:ind w:firstLine="420" w:firstLineChars="200"/>
        <w:rPr>
          <w:rFonts w:ascii="宋体" w:hAnsi="宋体"/>
          <w:color w:val="000000"/>
          <w:highlight w:val="none"/>
        </w:rPr>
      </w:pPr>
      <w:bookmarkStart w:id="1483" w:name="_Toc480303499"/>
      <w:bookmarkStart w:id="1484" w:name="_Toc479505772"/>
      <w:r>
        <w:rPr>
          <w:rFonts w:hint="eastAsia" w:ascii="宋体" w:hAnsi="宋体"/>
          <w:color w:val="000000"/>
          <w:highlight w:val="none"/>
        </w:rPr>
        <w:t>四、保修费用</w:t>
      </w:r>
      <w:bookmarkEnd w:id="1483"/>
      <w:bookmarkEnd w:id="1484"/>
    </w:p>
    <w:p w14:paraId="640103FA">
      <w:pPr>
        <w:snapToGrid w:val="0"/>
        <w:spacing w:line="400" w:lineRule="exact"/>
        <w:ind w:firstLine="420" w:firstLineChars="200"/>
        <w:rPr>
          <w:rFonts w:ascii="宋体" w:hAnsi="宋体"/>
          <w:color w:val="000000"/>
          <w:highlight w:val="none"/>
          <w:u w:val="single"/>
        </w:rPr>
      </w:pPr>
      <w:r>
        <w:rPr>
          <w:rFonts w:hint="eastAsia" w:ascii="宋体" w:hAnsi="宋体"/>
          <w:color w:val="000000"/>
          <w:highlight w:val="none"/>
        </w:rPr>
        <w:t>保修费用由造成质量缺陷的责任方承担。</w:t>
      </w:r>
    </w:p>
    <w:p w14:paraId="16026F61">
      <w:pPr>
        <w:spacing w:line="400" w:lineRule="exact"/>
        <w:ind w:firstLine="420" w:firstLineChars="200"/>
        <w:rPr>
          <w:rFonts w:ascii="宋体" w:hAnsi="宋体"/>
          <w:color w:val="000000"/>
          <w:highlight w:val="none"/>
        </w:rPr>
      </w:pPr>
      <w:bookmarkStart w:id="1485" w:name="_Toc479505773"/>
      <w:bookmarkStart w:id="1486" w:name="_Toc480303500"/>
      <w:r>
        <w:rPr>
          <w:rFonts w:hint="eastAsia" w:ascii="宋体" w:hAnsi="宋体"/>
          <w:color w:val="000000"/>
          <w:highlight w:val="none"/>
        </w:rPr>
        <w:t>五、其 他</w:t>
      </w:r>
      <w:bookmarkEnd w:id="1485"/>
      <w:bookmarkEnd w:id="1486"/>
    </w:p>
    <w:p w14:paraId="7677A2BE">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双方约定的其他工程保修责任事项：</w:t>
      </w:r>
    </w:p>
    <w:p w14:paraId="66AB504D">
      <w:pPr>
        <w:snapToGrid w:val="0"/>
        <w:spacing w:line="400" w:lineRule="exact"/>
        <w:rPr>
          <w:rFonts w:ascii="宋体" w:hAnsi="宋体"/>
          <w:color w:val="000000"/>
          <w:highlight w:val="none"/>
          <w:u w:val="single"/>
        </w:rPr>
      </w:pPr>
      <w:r>
        <w:rPr>
          <w:rFonts w:hint="eastAsia" w:ascii="宋体" w:hAnsi="宋体"/>
          <w:color w:val="000000"/>
          <w:highlight w:val="none"/>
          <w:u w:val="single"/>
        </w:rPr>
        <w:t xml:space="preserve">                                                                              </w:t>
      </w:r>
    </w:p>
    <w:p w14:paraId="55348EC9">
      <w:pPr>
        <w:snapToGrid w:val="0"/>
        <w:spacing w:line="400" w:lineRule="exact"/>
        <w:rPr>
          <w:rFonts w:ascii="宋体" w:hAnsi="宋体"/>
          <w:color w:val="000000"/>
          <w:highlight w:val="none"/>
          <w:u w:val="single"/>
        </w:rPr>
      </w:pPr>
      <w:r>
        <w:rPr>
          <w:rFonts w:hint="eastAsia" w:ascii="宋体" w:hAnsi="宋体"/>
          <w:color w:val="000000"/>
          <w:highlight w:val="none"/>
          <w:u w:val="single"/>
        </w:rPr>
        <w:t xml:space="preserve">                                                                              </w:t>
      </w:r>
    </w:p>
    <w:p w14:paraId="5C5695AD">
      <w:pPr>
        <w:snapToGrid w:val="0"/>
        <w:spacing w:line="400" w:lineRule="exact"/>
        <w:rPr>
          <w:rFonts w:ascii="宋体" w:hAnsi="宋体"/>
          <w:color w:val="000000"/>
          <w:highlight w:val="none"/>
        </w:rPr>
      </w:pP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w:t>
      </w:r>
    </w:p>
    <w:p w14:paraId="00B8F3D4">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本工程保修书，由施工合同发包人、承包人双方在竣工验收前共同签署，作为施工合同附件，其有效期限至保修期满。</w:t>
      </w:r>
    </w:p>
    <w:p w14:paraId="526EC7A8">
      <w:pPr>
        <w:snapToGrid w:val="0"/>
        <w:spacing w:line="400" w:lineRule="exact"/>
        <w:rPr>
          <w:rFonts w:ascii="宋体" w:hAnsi="宋体"/>
          <w:color w:val="000000"/>
          <w:highlight w:val="none"/>
        </w:rPr>
      </w:pPr>
    </w:p>
    <w:p w14:paraId="7EEE6859">
      <w:pPr>
        <w:snapToGrid w:val="0"/>
        <w:spacing w:line="400" w:lineRule="exact"/>
        <w:rPr>
          <w:rFonts w:ascii="宋体" w:hAnsi="宋体"/>
          <w:color w:val="000000"/>
          <w:highlight w:val="non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（公章）   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 xml:space="preserve">（公章） </w:t>
      </w:r>
    </w:p>
    <w:p w14:paraId="1B260E5A">
      <w:pPr>
        <w:snapToGrid w:val="0"/>
        <w:spacing w:line="400" w:lineRule="exact"/>
        <w:rPr>
          <w:rFonts w:ascii="宋体" w:hAnsi="宋体"/>
          <w:color w:val="000000"/>
          <w:highlight w:val="none"/>
        </w:rPr>
      </w:pPr>
      <w:r>
        <w:rPr>
          <w:rFonts w:hint="eastAsia" w:ascii="宋体" w:hAnsi="宋体"/>
          <w:color w:val="000000"/>
          <w:highlight w:val="none"/>
        </w:rPr>
        <w:t>法定地址：</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法定地址：</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E015B74">
      <w:pPr>
        <w:snapToGrid w:val="0"/>
        <w:spacing w:line="400" w:lineRule="exact"/>
        <w:rPr>
          <w:rFonts w:ascii="宋体" w:hAnsi="宋体"/>
          <w:color w:val="000000"/>
          <w:highlight w:val="none"/>
        </w:rPr>
      </w:pPr>
      <w:r>
        <w:rPr>
          <w:rFonts w:hint="eastAsia" w:ascii="宋体" w:hAnsi="宋体"/>
          <w:color w:val="000000"/>
          <w:highlight w:val="none"/>
        </w:rPr>
        <w:t>法定代表人或其                       法定代表人或其</w:t>
      </w:r>
    </w:p>
    <w:p w14:paraId="351E32EE">
      <w:pPr>
        <w:snapToGrid w:val="0"/>
        <w:spacing w:line="400" w:lineRule="exact"/>
        <w:rPr>
          <w:rFonts w:ascii="宋体" w:hAnsi="宋体"/>
          <w:color w:val="000000"/>
          <w:highlight w:val="none"/>
        </w:rPr>
      </w:pP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 xml:space="preserve">（签字） </w:t>
      </w:r>
      <w:r>
        <w:rPr>
          <w:rFonts w:ascii="宋体" w:hAnsi="宋体"/>
          <w:color w:val="000000"/>
          <w:highlight w:val="none"/>
        </w:rPr>
        <w:t xml:space="preserve"> </w:t>
      </w: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（签字）</w:t>
      </w:r>
    </w:p>
    <w:p w14:paraId="62949A5E">
      <w:pPr>
        <w:snapToGrid w:val="0"/>
        <w:spacing w:line="400" w:lineRule="exact"/>
        <w:rPr>
          <w:rFonts w:ascii="宋体" w:hAnsi="宋体"/>
          <w:color w:val="000000"/>
          <w:highlight w:val="none"/>
        </w:rPr>
      </w:pPr>
      <w:r>
        <w:rPr>
          <w:rFonts w:hint="eastAsia" w:ascii="宋体" w:hAnsi="宋体"/>
          <w:color w:val="000000"/>
          <w:highlight w:val="none"/>
        </w:rPr>
        <w:t>电话：</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电话：</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79F2F40B">
      <w:pPr>
        <w:snapToGrid w:val="0"/>
        <w:spacing w:line="400" w:lineRule="exact"/>
        <w:rPr>
          <w:rFonts w:ascii="宋体" w:hAnsi="宋体"/>
          <w:color w:val="000000"/>
          <w:highlight w:val="none"/>
        </w:rPr>
      </w:pPr>
      <w:r>
        <w:rPr>
          <w:rFonts w:hint="eastAsia" w:ascii="宋体" w:hAnsi="宋体"/>
          <w:color w:val="000000"/>
          <w:highlight w:val="none"/>
        </w:rPr>
        <w:t>传真：</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传真：</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78893969">
      <w:pPr>
        <w:snapToGrid w:val="0"/>
        <w:spacing w:line="400" w:lineRule="exact"/>
        <w:rPr>
          <w:rFonts w:ascii="宋体" w:hAnsi="宋体"/>
          <w:color w:val="000000"/>
          <w:highlight w:val="none"/>
        </w:rPr>
      </w:pPr>
      <w:r>
        <w:rPr>
          <w:rFonts w:hint="eastAsia" w:ascii="宋体" w:hAnsi="宋体"/>
          <w:color w:val="000000"/>
          <w:highlight w:val="none"/>
        </w:rPr>
        <w:t>电子邮箱：</w:t>
      </w:r>
      <w:r>
        <w:rPr>
          <w:rFonts w:hint="eastAsia" w:ascii="宋体" w:hAnsi="宋体"/>
          <w:color w:val="000000"/>
          <w:highlight w:val="none"/>
          <w:u w:val="single"/>
        </w:rPr>
        <w:t xml:space="preserve">                        </w:t>
      </w:r>
      <w:r>
        <w:rPr>
          <w:rFonts w:hint="eastAsia" w:ascii="宋体" w:hAnsi="宋体"/>
          <w:color w:val="000000"/>
          <w:highlight w:val="none"/>
        </w:rPr>
        <w:t xml:space="preserve">   电子邮箱：</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436C753E">
      <w:pPr>
        <w:snapToGrid w:val="0"/>
        <w:spacing w:line="400" w:lineRule="exact"/>
        <w:rPr>
          <w:rFonts w:ascii="宋体" w:hAnsi="宋体"/>
          <w:color w:val="000000"/>
          <w:highlight w:val="none"/>
        </w:rPr>
      </w:pPr>
      <w:r>
        <w:rPr>
          <w:rFonts w:hint="eastAsia" w:ascii="宋体" w:hAnsi="宋体"/>
          <w:color w:val="000000"/>
          <w:highlight w:val="none"/>
        </w:rPr>
        <w:t>开户银行：</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开户银行：</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32DAAE5B">
      <w:pPr>
        <w:snapToGrid w:val="0"/>
        <w:spacing w:line="400" w:lineRule="exact"/>
        <w:rPr>
          <w:rFonts w:ascii="宋体" w:hAnsi="宋体"/>
          <w:color w:val="000000"/>
          <w:highlight w:val="none"/>
        </w:rPr>
      </w:pPr>
      <w:r>
        <w:rPr>
          <w:rFonts w:hint="eastAsia" w:ascii="宋体" w:hAnsi="宋体"/>
          <w:color w:val="000000"/>
          <w:highlight w:val="none"/>
        </w:rPr>
        <w:t>帐号：</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帐号：</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0A5FA2F1">
      <w:pPr>
        <w:snapToGrid w:val="0"/>
        <w:spacing w:line="400" w:lineRule="exact"/>
        <w:rPr>
          <w:rFonts w:ascii="宋体" w:hAnsi="宋体"/>
          <w:color w:val="000000"/>
          <w:highlight w:val="none"/>
        </w:rPr>
      </w:pPr>
      <w:r>
        <w:rPr>
          <w:rFonts w:hint="eastAsia" w:ascii="宋体" w:hAnsi="宋体"/>
          <w:color w:val="000000"/>
          <w:highlight w:val="none"/>
        </w:rPr>
        <w:t>邮政编码：</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 xml:space="preserve"> 邮政编码：</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rPr>
        <w:t xml:space="preserve"> </w:t>
      </w:r>
    </w:p>
    <w:p w14:paraId="11FAAEC7">
      <w:pPr>
        <w:pStyle w:val="4"/>
        <w:rPr>
          <w:rFonts w:ascii="宋体" w:hAnsi="宋体"/>
          <w:color w:val="000000"/>
          <w:szCs w:val="30"/>
          <w:highlight w:val="none"/>
        </w:rPr>
      </w:pPr>
      <w:bookmarkStart w:id="1487" w:name="_BookMark_87"/>
      <w:r>
        <w:rPr>
          <w:color w:val="000000"/>
          <w:highlight w:val="none"/>
        </w:rPr>
        <w:br w:type="page"/>
      </w:r>
      <w:bookmarkStart w:id="1488" w:name="_Toc491149590"/>
      <w:bookmarkStart w:id="1489" w:name="_Toc485338210"/>
      <w:bookmarkStart w:id="1490" w:name="_Toc489219297"/>
      <w:bookmarkStart w:id="1491" w:name="_Toc480303501"/>
      <w:r>
        <w:rPr>
          <w:rFonts w:hint="eastAsia" w:ascii="宋体" w:hAnsi="宋体"/>
          <w:color w:val="000000"/>
          <w:szCs w:val="30"/>
          <w:highlight w:val="none"/>
        </w:rPr>
        <w:t>附件六：廉政责任书格式</w:t>
      </w:r>
      <w:bookmarkEnd w:id="1488"/>
      <w:bookmarkEnd w:id="1489"/>
      <w:bookmarkEnd w:id="1490"/>
      <w:bookmarkEnd w:id="1491"/>
    </w:p>
    <w:bookmarkEnd w:id="1487"/>
    <w:p w14:paraId="590FB6BF">
      <w:pPr>
        <w:snapToGrid w:val="0"/>
        <w:spacing w:line="420" w:lineRule="auto"/>
        <w:ind w:firstLine="488"/>
        <w:jc w:val="center"/>
        <w:rPr>
          <w:rFonts w:ascii="宋体" w:hAnsi="宋体"/>
          <w:color w:val="000000"/>
          <w:highlight w:val="none"/>
        </w:rPr>
      </w:pPr>
    </w:p>
    <w:p w14:paraId="4AE2AEE7">
      <w:pPr>
        <w:snapToGrid w:val="0"/>
        <w:spacing w:line="420" w:lineRule="auto"/>
        <w:jc w:val="center"/>
        <w:rPr>
          <w:rFonts w:ascii="宋体" w:hAnsi="宋体"/>
          <w:b/>
          <w:color w:val="000000"/>
          <w:sz w:val="28"/>
          <w:highlight w:val="none"/>
        </w:rPr>
      </w:pPr>
      <w:r>
        <w:rPr>
          <w:rFonts w:hint="eastAsia" w:ascii="宋体" w:hAnsi="宋体"/>
          <w:b/>
          <w:color w:val="000000"/>
          <w:sz w:val="28"/>
          <w:highlight w:val="none"/>
        </w:rPr>
        <w:t>建设工程廉政责任书</w:t>
      </w:r>
    </w:p>
    <w:p w14:paraId="755CB4DF">
      <w:pPr>
        <w:snapToGrid w:val="0"/>
        <w:spacing w:line="420" w:lineRule="auto"/>
        <w:ind w:firstLine="420" w:firstLineChars="200"/>
        <w:rPr>
          <w:rFonts w:ascii="宋体" w:hAnsi="宋体"/>
          <w:color w:val="000000"/>
          <w:highlight w:val="none"/>
        </w:rPr>
      </w:pPr>
    </w:p>
    <w:p w14:paraId="0093D0DE">
      <w:pPr>
        <w:snapToGrid w:val="0"/>
        <w:spacing w:line="420" w:lineRule="auto"/>
        <w:rPr>
          <w:rFonts w:ascii="宋体" w:hAnsi="宋体"/>
          <w:color w:val="000000"/>
          <w:highlight w:val="none"/>
          <w:u w:val="singl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41C07FE2">
      <w:pPr>
        <w:snapToGrid w:val="0"/>
        <w:spacing w:line="420" w:lineRule="auto"/>
        <w:rPr>
          <w:rFonts w:ascii="宋体" w:hAnsi="宋体"/>
          <w:color w:val="000000"/>
          <w:highlight w:val="none"/>
        </w:rPr>
      </w:pPr>
      <w:r>
        <w:rPr>
          <w:rFonts w:hint="eastAsia" w:ascii="宋体" w:hAnsi="宋体"/>
          <w:color w:val="000000"/>
          <w:highlight w:val="none"/>
        </w:rPr>
        <w:t>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0F6D387">
      <w:pPr>
        <w:snapToGrid w:val="0"/>
        <w:spacing w:line="420" w:lineRule="auto"/>
        <w:ind w:firstLine="420" w:firstLineChars="200"/>
        <w:rPr>
          <w:rFonts w:ascii="宋体" w:hAnsi="宋体"/>
          <w:color w:val="000000"/>
          <w:highlight w:val="none"/>
        </w:rPr>
      </w:pPr>
    </w:p>
    <w:p w14:paraId="681D997D">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为加强建设工程廉政建设，规范</w:t>
      </w:r>
      <w:r>
        <w:rPr>
          <w:rFonts w:hint="eastAsia" w:ascii="宋体" w:hAnsi="宋体"/>
          <w:color w:val="000000"/>
          <w:szCs w:val="28"/>
          <w:highlight w:val="none"/>
        </w:rPr>
        <w:t>建设工程</w:t>
      </w:r>
      <w:r>
        <w:rPr>
          <w:rFonts w:ascii="宋体" w:hAnsi="宋体"/>
          <w:color w:val="000000"/>
          <w:szCs w:val="28"/>
          <w:highlight w:val="none"/>
        </w:rPr>
        <w:t>各项活动</w:t>
      </w:r>
      <w:r>
        <w:rPr>
          <w:rFonts w:hint="eastAsia" w:ascii="宋体" w:hAnsi="宋体"/>
          <w:color w:val="000000"/>
          <w:szCs w:val="28"/>
          <w:highlight w:val="none"/>
        </w:rPr>
        <w:t>中发包人承包人双方的行为</w:t>
      </w:r>
      <w:r>
        <w:rPr>
          <w:rFonts w:ascii="宋体" w:hAnsi="宋体"/>
          <w:color w:val="000000"/>
          <w:szCs w:val="28"/>
          <w:highlight w:val="none"/>
        </w:rPr>
        <w:t>，防止谋取不正当利益的违法违纪</w:t>
      </w:r>
      <w:r>
        <w:rPr>
          <w:rFonts w:hint="eastAsia" w:ascii="宋体" w:hAnsi="宋体"/>
          <w:color w:val="000000"/>
          <w:szCs w:val="28"/>
          <w:highlight w:val="none"/>
        </w:rPr>
        <w:t>现象的</w:t>
      </w:r>
      <w:r>
        <w:rPr>
          <w:rFonts w:ascii="宋体" w:hAnsi="宋体"/>
          <w:color w:val="000000"/>
          <w:szCs w:val="28"/>
          <w:highlight w:val="none"/>
        </w:rPr>
        <w:t>发生，保护国家、集体和当事人的合法权益，根据国家有关工程建设的法律法规和廉政建设</w:t>
      </w:r>
      <w:r>
        <w:rPr>
          <w:rFonts w:hint="eastAsia" w:ascii="宋体" w:hAnsi="宋体"/>
          <w:color w:val="000000"/>
          <w:szCs w:val="28"/>
          <w:highlight w:val="none"/>
        </w:rPr>
        <w:t>的有关规定</w:t>
      </w:r>
      <w:r>
        <w:rPr>
          <w:rFonts w:ascii="宋体" w:hAnsi="宋体"/>
          <w:color w:val="000000"/>
          <w:szCs w:val="28"/>
          <w:highlight w:val="none"/>
        </w:rPr>
        <w:t>，订立本廉政责任书。</w:t>
      </w:r>
    </w:p>
    <w:p w14:paraId="52963A22">
      <w:pPr>
        <w:spacing w:line="400" w:lineRule="exact"/>
        <w:ind w:firstLine="420" w:firstLineChars="200"/>
        <w:rPr>
          <w:rFonts w:ascii="宋体" w:hAnsi="宋体"/>
          <w:color w:val="000000"/>
          <w:highlight w:val="none"/>
        </w:rPr>
      </w:pPr>
      <w:bookmarkStart w:id="1492" w:name="_Toc479505775"/>
      <w:bookmarkStart w:id="1493" w:name="_Toc480303502"/>
      <w:r>
        <w:rPr>
          <w:rFonts w:hint="eastAsia" w:ascii="宋体" w:hAnsi="宋体"/>
          <w:color w:val="000000"/>
          <w:highlight w:val="none"/>
        </w:rPr>
        <w:t>一、双方的责任</w:t>
      </w:r>
      <w:bookmarkEnd w:id="1492"/>
      <w:bookmarkEnd w:id="1493"/>
    </w:p>
    <w:p w14:paraId="68410F81">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.1</w:t>
      </w:r>
      <w:r>
        <w:rPr>
          <w:rFonts w:hint="eastAsia" w:ascii="宋体" w:hAnsi="宋体"/>
          <w:color w:val="000000"/>
          <w:szCs w:val="28"/>
          <w:highlight w:val="none"/>
        </w:rPr>
        <w:t xml:space="preserve"> </w:t>
      </w:r>
      <w:r>
        <w:rPr>
          <w:rFonts w:ascii="宋体" w:hAnsi="宋体"/>
          <w:color w:val="000000"/>
          <w:szCs w:val="28"/>
          <w:highlight w:val="none"/>
        </w:rPr>
        <w:t>应严格遵守国家关于</w:t>
      </w:r>
      <w:r>
        <w:rPr>
          <w:rFonts w:hint="eastAsia" w:ascii="宋体" w:hAnsi="宋体"/>
          <w:color w:val="000000"/>
          <w:szCs w:val="28"/>
          <w:highlight w:val="none"/>
        </w:rPr>
        <w:t>建设工程</w:t>
      </w:r>
      <w:r>
        <w:rPr>
          <w:rFonts w:ascii="宋体" w:hAnsi="宋体"/>
          <w:color w:val="000000"/>
          <w:szCs w:val="28"/>
          <w:highlight w:val="none"/>
        </w:rPr>
        <w:t>的有关法律、法规，相关政策，以及廉政建设的各项规定。</w:t>
      </w:r>
    </w:p>
    <w:p w14:paraId="22FCA9F2">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w:t>
      </w:r>
      <w:r>
        <w:rPr>
          <w:rFonts w:hint="eastAsia" w:ascii="宋体" w:hAnsi="宋体"/>
          <w:color w:val="000000"/>
          <w:szCs w:val="28"/>
          <w:highlight w:val="none"/>
        </w:rPr>
        <w:t xml:space="preserve">2 </w:t>
      </w:r>
      <w:r>
        <w:rPr>
          <w:rFonts w:ascii="宋体" w:hAnsi="宋体"/>
          <w:color w:val="000000"/>
          <w:szCs w:val="28"/>
          <w:highlight w:val="none"/>
        </w:rPr>
        <w:t>严格执行建设工程合同文件，自觉按合同办事。</w:t>
      </w:r>
    </w:p>
    <w:p w14:paraId="521079D6">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w:t>
      </w:r>
      <w:r>
        <w:rPr>
          <w:rFonts w:hint="eastAsia" w:ascii="宋体" w:hAnsi="宋体"/>
          <w:color w:val="000000"/>
          <w:szCs w:val="28"/>
          <w:highlight w:val="none"/>
        </w:rPr>
        <w:t>3 各项</w:t>
      </w:r>
      <w:r>
        <w:rPr>
          <w:rFonts w:ascii="宋体" w:hAnsi="宋体"/>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5D1EE72C">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w:t>
      </w:r>
      <w:r>
        <w:rPr>
          <w:rFonts w:hint="eastAsia" w:ascii="宋体" w:hAnsi="宋体"/>
          <w:color w:val="000000"/>
          <w:szCs w:val="28"/>
          <w:highlight w:val="none"/>
        </w:rPr>
        <w:t xml:space="preserve">4 </w:t>
      </w:r>
      <w:r>
        <w:rPr>
          <w:rFonts w:ascii="宋体" w:hAnsi="宋体"/>
          <w:color w:val="000000"/>
          <w:szCs w:val="28"/>
          <w:highlight w:val="none"/>
        </w:rPr>
        <w:t>发现对方在业务活动中有违规、违纪、违法行为的，应及时提醒对方，情节严重的，应向其上级主管部门或纪检监察、司法等有关机关举报。</w:t>
      </w:r>
    </w:p>
    <w:p w14:paraId="05977A6D">
      <w:pPr>
        <w:spacing w:line="400" w:lineRule="exact"/>
        <w:ind w:firstLine="420" w:firstLineChars="200"/>
        <w:rPr>
          <w:rFonts w:ascii="宋体" w:hAnsi="宋体"/>
          <w:color w:val="000000"/>
          <w:highlight w:val="none"/>
        </w:rPr>
      </w:pPr>
      <w:bookmarkStart w:id="1494" w:name="_Toc480303503"/>
      <w:bookmarkStart w:id="1495" w:name="_Toc479505776"/>
      <w:r>
        <w:rPr>
          <w:rFonts w:hint="eastAsia" w:ascii="宋体" w:hAnsi="宋体"/>
          <w:color w:val="000000"/>
          <w:highlight w:val="none"/>
        </w:rPr>
        <w:t>二、发包人责任</w:t>
      </w:r>
      <w:bookmarkEnd w:id="1494"/>
      <w:bookmarkEnd w:id="1495"/>
    </w:p>
    <w:p w14:paraId="1F40493E">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发包人的领导和从事该建设工程项目的工作人员，在工程建设的事前、事中、事后应遵守以下规定：</w:t>
      </w:r>
    </w:p>
    <w:p w14:paraId="0046985C">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2</w:t>
      </w:r>
      <w:r>
        <w:rPr>
          <w:rFonts w:ascii="宋体" w:hAnsi="宋体"/>
          <w:color w:val="000000"/>
          <w:szCs w:val="28"/>
          <w:highlight w:val="none"/>
        </w:rPr>
        <w:t>.</w:t>
      </w:r>
      <w:r>
        <w:rPr>
          <w:rFonts w:hint="eastAsia" w:ascii="宋体" w:hAnsi="宋体"/>
          <w:color w:val="000000"/>
          <w:szCs w:val="28"/>
          <w:highlight w:val="none"/>
        </w:rPr>
        <w:t>1</w:t>
      </w:r>
      <w:r>
        <w:rPr>
          <w:rFonts w:ascii="宋体" w:hAnsi="宋体"/>
          <w:color w:val="000000"/>
          <w:szCs w:val="28"/>
          <w:highlight w:val="none"/>
        </w:rPr>
        <w:t>不得向承包人和相关单位索要或接受回扣、礼金、有价证券、贵重物品和好处费、感谢费等。</w:t>
      </w:r>
    </w:p>
    <w:p w14:paraId="2F4FA3D1">
      <w:pPr>
        <w:spacing w:line="400" w:lineRule="exact"/>
        <w:ind w:firstLine="420" w:firstLineChars="200"/>
        <w:rPr>
          <w:rFonts w:ascii="宋体" w:hAnsi="宋体"/>
          <w:color w:val="000000"/>
          <w:highlight w:val="none"/>
        </w:rPr>
      </w:pPr>
      <w:bookmarkStart w:id="1496" w:name="_Toc479505777"/>
      <w:bookmarkStart w:id="1497" w:name="_Toc480303504"/>
      <w:r>
        <w:rPr>
          <w:rFonts w:hint="eastAsia" w:ascii="宋体" w:hAnsi="宋体"/>
          <w:color w:val="000000"/>
          <w:highlight w:val="none"/>
        </w:rPr>
        <w:t>2</w:t>
      </w:r>
      <w:r>
        <w:rPr>
          <w:rFonts w:ascii="宋体" w:hAnsi="宋体"/>
          <w:color w:val="000000"/>
          <w:highlight w:val="none"/>
        </w:rPr>
        <w:t>.</w:t>
      </w:r>
      <w:r>
        <w:rPr>
          <w:rFonts w:hint="eastAsia" w:ascii="宋体" w:hAnsi="宋体"/>
          <w:color w:val="000000"/>
          <w:highlight w:val="none"/>
        </w:rPr>
        <w:t xml:space="preserve">2 </w:t>
      </w:r>
      <w:r>
        <w:rPr>
          <w:rFonts w:ascii="宋体" w:hAnsi="宋体"/>
          <w:color w:val="000000"/>
          <w:highlight w:val="none"/>
        </w:rPr>
        <w:t>不得在承包人和相关单位报销任何应由发包人或个人支付的费用。</w:t>
      </w:r>
      <w:bookmarkEnd w:id="1496"/>
      <w:bookmarkEnd w:id="1497"/>
    </w:p>
    <w:p w14:paraId="1D4C4AB7">
      <w:pPr>
        <w:spacing w:line="400" w:lineRule="exact"/>
        <w:ind w:firstLine="420" w:firstLineChars="200"/>
        <w:rPr>
          <w:rFonts w:ascii="宋体" w:hAnsi="宋体"/>
          <w:color w:val="000000"/>
          <w:highlight w:val="none"/>
        </w:rPr>
      </w:pPr>
      <w:r>
        <w:rPr>
          <w:rFonts w:hint="eastAsia" w:ascii="宋体" w:hAnsi="宋体"/>
          <w:color w:val="000000"/>
          <w:highlight w:val="none"/>
        </w:rPr>
        <w:t>2</w:t>
      </w:r>
      <w:r>
        <w:rPr>
          <w:rFonts w:ascii="宋体" w:hAnsi="宋体"/>
          <w:color w:val="000000"/>
          <w:highlight w:val="none"/>
        </w:rPr>
        <w:t>.</w:t>
      </w:r>
      <w:r>
        <w:rPr>
          <w:rFonts w:hint="eastAsia" w:ascii="宋体" w:hAnsi="宋体"/>
          <w:color w:val="000000"/>
          <w:highlight w:val="none"/>
        </w:rPr>
        <w:t xml:space="preserve">3 </w:t>
      </w:r>
      <w:r>
        <w:rPr>
          <w:rFonts w:ascii="宋体" w:hAnsi="宋体"/>
          <w:color w:val="000000"/>
          <w:highlight w:val="none"/>
        </w:rPr>
        <w:t>不得要求、暗示或接受承包人和相关单位为个人装修住房、婚丧嫁娶、配偶子女的工作安排以及出国（境）、旅游等提供方便。</w:t>
      </w:r>
    </w:p>
    <w:p w14:paraId="12DB22C7">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2</w:t>
      </w:r>
      <w:r>
        <w:rPr>
          <w:rFonts w:ascii="宋体" w:hAnsi="宋体"/>
          <w:color w:val="000000"/>
          <w:szCs w:val="28"/>
          <w:highlight w:val="none"/>
        </w:rPr>
        <w:t>.</w:t>
      </w:r>
      <w:r>
        <w:rPr>
          <w:rFonts w:hint="eastAsia" w:ascii="宋体" w:hAnsi="宋体"/>
          <w:color w:val="000000"/>
          <w:szCs w:val="28"/>
          <w:highlight w:val="none"/>
        </w:rPr>
        <w:t xml:space="preserve">4 </w:t>
      </w:r>
      <w:r>
        <w:rPr>
          <w:rFonts w:ascii="宋体" w:hAnsi="宋体"/>
          <w:color w:val="000000"/>
          <w:szCs w:val="28"/>
          <w:highlight w:val="none"/>
        </w:rPr>
        <w:t>不得参加有可能影响公正执行公务的承包人和相关单位的宴请、健身、娱乐等活动。</w:t>
      </w:r>
    </w:p>
    <w:p w14:paraId="7BD1ED07">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2</w:t>
      </w:r>
      <w:r>
        <w:rPr>
          <w:rFonts w:ascii="宋体" w:hAnsi="宋体"/>
          <w:color w:val="000000"/>
          <w:szCs w:val="28"/>
          <w:highlight w:val="none"/>
        </w:rPr>
        <w:t>.</w:t>
      </w:r>
      <w:r>
        <w:rPr>
          <w:rFonts w:hint="eastAsia" w:ascii="宋体" w:hAnsi="宋体"/>
          <w:color w:val="000000"/>
          <w:szCs w:val="28"/>
          <w:highlight w:val="none"/>
        </w:rPr>
        <w:t xml:space="preserve">5 </w:t>
      </w:r>
      <w:r>
        <w:rPr>
          <w:rFonts w:ascii="宋体" w:hAnsi="宋体"/>
          <w:color w:val="000000"/>
          <w:szCs w:val="28"/>
          <w:highlight w:val="none"/>
        </w:rPr>
        <w:t>不得向承包人和相关单位介绍或为配偶、子女、亲属参与同发包人</w:t>
      </w:r>
      <w:r>
        <w:rPr>
          <w:rFonts w:hint="eastAsia" w:ascii="宋体" w:hAnsi="宋体"/>
          <w:color w:val="000000"/>
          <w:szCs w:val="28"/>
          <w:highlight w:val="none"/>
        </w:rPr>
        <w:t>工程建设管理</w:t>
      </w:r>
      <w:r>
        <w:rPr>
          <w:rFonts w:ascii="宋体" w:hAnsi="宋体"/>
          <w:color w:val="000000"/>
          <w:szCs w:val="28"/>
          <w:highlight w:val="none"/>
        </w:rPr>
        <w:t>合同有关的业务活动</w:t>
      </w:r>
      <w:r>
        <w:rPr>
          <w:rFonts w:hint="eastAsia" w:ascii="宋体" w:hAnsi="宋体"/>
          <w:color w:val="000000"/>
          <w:szCs w:val="28"/>
          <w:highlight w:val="none"/>
        </w:rPr>
        <w:t>；</w:t>
      </w:r>
      <w:r>
        <w:rPr>
          <w:rFonts w:ascii="宋体" w:hAnsi="宋体"/>
          <w:color w:val="000000"/>
          <w:szCs w:val="28"/>
          <w:highlight w:val="none"/>
        </w:rPr>
        <w:t>不得以任何理由要求承包人和相关单位使用某种产品、材料和设备。</w:t>
      </w:r>
    </w:p>
    <w:p w14:paraId="3F7F2359">
      <w:pPr>
        <w:spacing w:line="400" w:lineRule="exact"/>
        <w:ind w:firstLine="420" w:firstLineChars="200"/>
        <w:rPr>
          <w:rFonts w:ascii="宋体" w:hAnsi="宋体"/>
          <w:color w:val="000000"/>
          <w:highlight w:val="none"/>
        </w:rPr>
      </w:pPr>
      <w:bookmarkStart w:id="1498" w:name="_Toc480303505"/>
      <w:bookmarkStart w:id="1499" w:name="_Toc479505778"/>
      <w:r>
        <w:rPr>
          <w:rFonts w:hint="eastAsia" w:ascii="宋体" w:hAnsi="宋体"/>
          <w:color w:val="000000"/>
          <w:highlight w:val="none"/>
        </w:rPr>
        <w:t>三、承包人责任</w:t>
      </w:r>
      <w:bookmarkEnd w:id="1498"/>
      <w:bookmarkEnd w:id="1499"/>
    </w:p>
    <w:p w14:paraId="0B7BE647">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应与发包人保持正常的业务交往，按照有关法律法规和程序开展业务工作，严格执行工程建设的有关方针、政策，</w:t>
      </w:r>
      <w:r>
        <w:rPr>
          <w:rFonts w:hint="eastAsia" w:ascii="宋体" w:hAnsi="宋体"/>
          <w:color w:val="000000"/>
          <w:szCs w:val="28"/>
          <w:highlight w:val="none"/>
        </w:rPr>
        <w:t>执行工程建设</w:t>
      </w:r>
      <w:r>
        <w:rPr>
          <w:rFonts w:ascii="宋体" w:hAnsi="宋体"/>
          <w:color w:val="000000"/>
          <w:szCs w:val="28"/>
          <w:highlight w:val="none"/>
        </w:rPr>
        <w:t>强制性标准，并遵守以下规定：</w:t>
      </w:r>
    </w:p>
    <w:p w14:paraId="2B3DD636">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 xml:space="preserve">1 </w:t>
      </w:r>
      <w:r>
        <w:rPr>
          <w:rFonts w:ascii="宋体" w:hAnsi="宋体"/>
          <w:color w:val="000000"/>
          <w:szCs w:val="28"/>
          <w:highlight w:val="none"/>
        </w:rPr>
        <w:t>不得以任何理由向发包人及其工作人员索要、接受或赠送礼金、有价证券、贵重物品及回扣、好处费、感谢费等。</w:t>
      </w:r>
    </w:p>
    <w:p w14:paraId="7E4F93BB">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2</w:t>
      </w:r>
      <w:r>
        <w:rPr>
          <w:rFonts w:ascii="宋体" w:hAnsi="宋体"/>
          <w:color w:val="000000"/>
          <w:szCs w:val="28"/>
          <w:highlight w:val="none"/>
        </w:rPr>
        <w:t>不得以任何理由为发包人和相关单位报销应由对方或个人支付的费用。</w:t>
      </w:r>
    </w:p>
    <w:p w14:paraId="4DE35D07">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3</w:t>
      </w:r>
      <w:r>
        <w:rPr>
          <w:rFonts w:ascii="宋体" w:hAnsi="宋体"/>
          <w:color w:val="000000"/>
          <w:szCs w:val="28"/>
          <w:highlight w:val="none"/>
        </w:rPr>
        <w:t>不得接受或暗示为发包人、相关单位或个人装修住房、婚丧嫁娶、配偶子女的工作安排以及出国（境）、旅游等提供方便。</w:t>
      </w:r>
    </w:p>
    <w:p w14:paraId="2674A532">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4</w:t>
      </w:r>
      <w:r>
        <w:rPr>
          <w:rFonts w:ascii="宋体" w:hAnsi="宋体"/>
          <w:color w:val="000000"/>
          <w:szCs w:val="28"/>
          <w:highlight w:val="none"/>
        </w:rPr>
        <w:t>不得以任何理由为发包人、相关单位或个人组织有可能影响公正执行公务的宴请、健身、娱乐等活动。</w:t>
      </w:r>
    </w:p>
    <w:p w14:paraId="63F225DC">
      <w:pPr>
        <w:spacing w:line="400" w:lineRule="exact"/>
        <w:ind w:firstLine="420" w:firstLineChars="200"/>
        <w:rPr>
          <w:rFonts w:ascii="宋体" w:hAnsi="宋体"/>
          <w:color w:val="000000"/>
          <w:highlight w:val="none"/>
        </w:rPr>
      </w:pPr>
      <w:bookmarkStart w:id="1500" w:name="_Toc479505779"/>
      <w:bookmarkStart w:id="1501" w:name="_Toc480303506"/>
      <w:r>
        <w:rPr>
          <w:rFonts w:hint="eastAsia" w:ascii="宋体" w:hAnsi="宋体"/>
          <w:color w:val="000000"/>
          <w:highlight w:val="none"/>
        </w:rPr>
        <w:t>四、违约责任</w:t>
      </w:r>
      <w:bookmarkEnd w:id="1500"/>
      <w:bookmarkEnd w:id="1501"/>
    </w:p>
    <w:p w14:paraId="5BA359B0">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4</w:t>
      </w:r>
      <w:r>
        <w:rPr>
          <w:rFonts w:ascii="宋体" w:hAnsi="宋体"/>
          <w:color w:val="000000"/>
          <w:szCs w:val="28"/>
          <w:highlight w:val="none"/>
        </w:rPr>
        <w:t>.</w:t>
      </w:r>
      <w:r>
        <w:rPr>
          <w:rFonts w:hint="eastAsia" w:ascii="宋体" w:hAnsi="宋体"/>
          <w:color w:val="000000"/>
          <w:szCs w:val="28"/>
          <w:highlight w:val="none"/>
        </w:rPr>
        <w:t>1</w:t>
      </w:r>
      <w:r>
        <w:rPr>
          <w:rFonts w:ascii="宋体" w:hAnsi="宋体"/>
          <w:color w:val="000000"/>
          <w:szCs w:val="28"/>
          <w:highlight w:val="none"/>
        </w:rPr>
        <w:t>发包人工作人员有违反本责任书第一、二条责任行为的，依据有关法律</w:t>
      </w:r>
      <w:r>
        <w:rPr>
          <w:rFonts w:hint="eastAsia" w:ascii="宋体" w:hAnsi="宋体"/>
          <w:color w:val="000000"/>
          <w:szCs w:val="28"/>
          <w:highlight w:val="none"/>
        </w:rPr>
        <w:t>、</w:t>
      </w:r>
      <w:r>
        <w:rPr>
          <w:rFonts w:ascii="宋体" w:hAnsi="宋体"/>
          <w:color w:val="000000"/>
          <w:szCs w:val="28"/>
          <w:highlight w:val="none"/>
        </w:rPr>
        <w:t>法规给予处理；涉嫌犯罪的，移交司法机关追究刑事责任；给承包人单位造成经济损失的，应予以赔偿。</w:t>
      </w:r>
    </w:p>
    <w:p w14:paraId="24B49CF1">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4</w:t>
      </w:r>
      <w:r>
        <w:rPr>
          <w:rFonts w:ascii="宋体" w:hAnsi="宋体"/>
          <w:color w:val="000000"/>
          <w:szCs w:val="28"/>
          <w:highlight w:val="none"/>
        </w:rPr>
        <w:t>.</w:t>
      </w:r>
      <w:r>
        <w:rPr>
          <w:rFonts w:hint="eastAsia" w:ascii="宋体" w:hAnsi="宋体"/>
          <w:color w:val="000000"/>
          <w:szCs w:val="28"/>
          <w:highlight w:val="none"/>
        </w:rPr>
        <w:t xml:space="preserve">2 </w:t>
      </w:r>
      <w:r>
        <w:rPr>
          <w:rFonts w:ascii="宋体" w:hAnsi="宋体"/>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3FF58186">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4</w:t>
      </w:r>
      <w:r>
        <w:rPr>
          <w:rFonts w:ascii="宋体" w:hAnsi="宋体"/>
          <w:color w:val="000000"/>
          <w:szCs w:val="28"/>
          <w:highlight w:val="none"/>
        </w:rPr>
        <w:t>.</w:t>
      </w:r>
      <w:r>
        <w:rPr>
          <w:rFonts w:hint="eastAsia" w:ascii="宋体" w:hAnsi="宋体"/>
          <w:color w:val="000000"/>
          <w:szCs w:val="28"/>
          <w:highlight w:val="none"/>
        </w:rPr>
        <w:t xml:space="preserve">3 </w:t>
      </w:r>
      <w:r>
        <w:rPr>
          <w:rFonts w:ascii="宋体" w:hAnsi="宋体"/>
          <w:color w:val="000000"/>
          <w:szCs w:val="28"/>
          <w:highlight w:val="none"/>
        </w:rPr>
        <w:t>本责任书作为</w:t>
      </w:r>
      <w:r>
        <w:rPr>
          <w:rFonts w:hint="eastAsia" w:ascii="宋体" w:hAnsi="宋体"/>
          <w:color w:val="000000"/>
          <w:szCs w:val="28"/>
          <w:highlight w:val="none"/>
        </w:rPr>
        <w:t>建设</w:t>
      </w:r>
      <w:r>
        <w:rPr>
          <w:rFonts w:ascii="宋体" w:hAnsi="宋体"/>
          <w:color w:val="000000"/>
          <w:szCs w:val="28"/>
          <w:highlight w:val="none"/>
        </w:rPr>
        <w:t>工程合同的</w:t>
      </w:r>
      <w:r>
        <w:rPr>
          <w:rFonts w:hint="eastAsia" w:ascii="宋体" w:hAnsi="宋体"/>
          <w:color w:val="000000"/>
          <w:szCs w:val="28"/>
          <w:highlight w:val="none"/>
        </w:rPr>
        <w:t>组成部分</w:t>
      </w:r>
      <w:r>
        <w:rPr>
          <w:rFonts w:ascii="宋体" w:hAnsi="宋体"/>
          <w:color w:val="000000"/>
          <w:szCs w:val="28"/>
          <w:highlight w:val="none"/>
        </w:rPr>
        <w:t>，与</w:t>
      </w:r>
      <w:r>
        <w:rPr>
          <w:rFonts w:hint="eastAsia" w:ascii="宋体" w:hAnsi="宋体"/>
          <w:color w:val="000000"/>
          <w:szCs w:val="28"/>
          <w:highlight w:val="none"/>
        </w:rPr>
        <w:t>建设</w:t>
      </w:r>
      <w:r>
        <w:rPr>
          <w:rFonts w:ascii="宋体" w:hAnsi="宋体"/>
          <w:color w:val="000000"/>
          <w:szCs w:val="28"/>
          <w:highlight w:val="none"/>
        </w:rPr>
        <w:t>工程合同具有同等法律效力。经双方签署后立即生效。</w:t>
      </w:r>
    </w:p>
    <w:p w14:paraId="4876BF74">
      <w:pPr>
        <w:spacing w:line="400" w:lineRule="exact"/>
        <w:ind w:firstLine="420" w:firstLineChars="200"/>
        <w:rPr>
          <w:rFonts w:ascii="宋体" w:hAnsi="宋体"/>
          <w:color w:val="000000"/>
          <w:highlight w:val="none"/>
        </w:rPr>
      </w:pPr>
      <w:bookmarkStart w:id="1502" w:name="_Toc480303507"/>
      <w:bookmarkStart w:id="1503" w:name="_Toc479505780"/>
      <w:r>
        <w:rPr>
          <w:rFonts w:hint="eastAsia" w:ascii="宋体" w:hAnsi="宋体"/>
          <w:color w:val="000000"/>
          <w:highlight w:val="none"/>
        </w:rPr>
        <w:t>五、责任书有效期</w:t>
      </w:r>
      <w:bookmarkEnd w:id="1502"/>
      <w:bookmarkEnd w:id="1503"/>
    </w:p>
    <w:p w14:paraId="0E9BB3D0">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本责任书的有效期为双方签署之日起至该工程项目竣工验收合格时止。</w:t>
      </w:r>
    </w:p>
    <w:p w14:paraId="064DF0E8">
      <w:pPr>
        <w:spacing w:line="400" w:lineRule="exact"/>
        <w:ind w:firstLine="420" w:firstLineChars="200"/>
        <w:rPr>
          <w:rFonts w:ascii="宋体" w:hAnsi="宋体"/>
          <w:color w:val="000000"/>
          <w:highlight w:val="none"/>
        </w:rPr>
      </w:pPr>
      <w:bookmarkStart w:id="1504" w:name="_Toc480303508"/>
      <w:bookmarkStart w:id="1505" w:name="_Toc479505781"/>
      <w:r>
        <w:rPr>
          <w:rFonts w:hint="eastAsia" w:ascii="宋体" w:hAnsi="宋体"/>
          <w:color w:val="000000"/>
          <w:highlight w:val="none"/>
        </w:rPr>
        <w:t>六、责任书份数</w:t>
      </w:r>
      <w:bookmarkEnd w:id="1504"/>
      <w:bookmarkEnd w:id="1505"/>
    </w:p>
    <w:p w14:paraId="771FAC8D">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本责任书一式</w:t>
      </w:r>
      <w:r>
        <w:rPr>
          <w:rFonts w:hint="eastAsia" w:ascii="宋体" w:hAnsi="宋体"/>
          <w:color w:val="000000"/>
          <w:szCs w:val="28"/>
          <w:highlight w:val="none"/>
        </w:rPr>
        <w:t>二</w:t>
      </w:r>
      <w:r>
        <w:rPr>
          <w:rFonts w:ascii="宋体" w:hAnsi="宋体"/>
          <w:color w:val="000000"/>
          <w:szCs w:val="28"/>
          <w:highlight w:val="none"/>
        </w:rPr>
        <w:t>份，</w:t>
      </w:r>
      <w:r>
        <w:rPr>
          <w:rFonts w:hint="eastAsia" w:ascii="宋体" w:hAnsi="宋体"/>
          <w:color w:val="000000"/>
          <w:szCs w:val="28"/>
          <w:highlight w:val="none"/>
        </w:rPr>
        <w:t>发包人承包人</w:t>
      </w:r>
      <w:r>
        <w:rPr>
          <w:rFonts w:ascii="宋体" w:hAnsi="宋体"/>
          <w:color w:val="000000"/>
          <w:szCs w:val="28"/>
          <w:highlight w:val="none"/>
        </w:rPr>
        <w:t>各执一份，</w:t>
      </w:r>
      <w:r>
        <w:rPr>
          <w:rFonts w:hint="eastAsia" w:ascii="宋体" w:hAnsi="宋体"/>
          <w:color w:val="000000"/>
          <w:szCs w:val="28"/>
          <w:highlight w:val="none"/>
        </w:rPr>
        <w:t>具有同等效力</w:t>
      </w:r>
      <w:r>
        <w:rPr>
          <w:rFonts w:ascii="宋体" w:hAnsi="宋体"/>
          <w:color w:val="000000"/>
          <w:szCs w:val="28"/>
          <w:highlight w:val="none"/>
        </w:rPr>
        <w:t>。</w:t>
      </w:r>
    </w:p>
    <w:p w14:paraId="152B86E0">
      <w:pPr>
        <w:snapToGrid w:val="0"/>
        <w:spacing w:line="400" w:lineRule="exact"/>
        <w:rPr>
          <w:rFonts w:ascii="宋体" w:hAnsi="宋体"/>
          <w:color w:val="000000"/>
          <w:szCs w:val="28"/>
          <w:highlight w:val="none"/>
        </w:rPr>
      </w:pPr>
    </w:p>
    <w:p w14:paraId="41E1F759">
      <w:pPr>
        <w:snapToGrid w:val="0"/>
        <w:spacing w:line="400" w:lineRule="exact"/>
        <w:rPr>
          <w:rFonts w:ascii="宋体" w:hAnsi="宋体"/>
          <w:color w:val="000000"/>
          <w:highlight w:val="non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（公章）   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 xml:space="preserve">（公章） </w:t>
      </w:r>
    </w:p>
    <w:p w14:paraId="14DADF1C">
      <w:pPr>
        <w:snapToGrid w:val="0"/>
        <w:spacing w:line="400" w:lineRule="exact"/>
        <w:rPr>
          <w:rFonts w:ascii="宋体" w:hAnsi="宋体"/>
          <w:color w:val="000000"/>
          <w:highlight w:val="none"/>
        </w:rPr>
      </w:pPr>
      <w:r>
        <w:rPr>
          <w:rFonts w:hint="eastAsia" w:ascii="宋体" w:hAnsi="宋体"/>
          <w:color w:val="000000"/>
          <w:highlight w:val="none"/>
        </w:rPr>
        <w:t>法定地址：</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法定地址：</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2BADFD7B">
      <w:pPr>
        <w:snapToGrid w:val="0"/>
        <w:spacing w:line="400" w:lineRule="exact"/>
        <w:rPr>
          <w:rFonts w:ascii="宋体" w:hAnsi="宋体"/>
          <w:color w:val="000000"/>
          <w:highlight w:val="none"/>
        </w:rPr>
      </w:pPr>
      <w:r>
        <w:rPr>
          <w:rFonts w:hint="eastAsia" w:ascii="宋体" w:hAnsi="宋体"/>
          <w:color w:val="000000"/>
          <w:highlight w:val="none"/>
        </w:rPr>
        <w:t>法定代表人或其                       法定代表人或其</w:t>
      </w:r>
    </w:p>
    <w:p w14:paraId="4CE21606">
      <w:pPr>
        <w:snapToGrid w:val="0"/>
        <w:spacing w:line="400" w:lineRule="exact"/>
        <w:rPr>
          <w:rFonts w:ascii="宋体" w:hAnsi="宋体"/>
          <w:color w:val="000000"/>
          <w:highlight w:val="none"/>
        </w:rPr>
      </w:pP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 xml:space="preserve">（签字） </w:t>
      </w:r>
      <w:r>
        <w:rPr>
          <w:rFonts w:ascii="宋体" w:hAnsi="宋体"/>
          <w:color w:val="000000"/>
          <w:highlight w:val="none"/>
        </w:rPr>
        <w:t xml:space="preserve"> </w:t>
      </w: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（签字）</w:t>
      </w:r>
    </w:p>
    <w:p w14:paraId="1873C2D1">
      <w:pPr>
        <w:snapToGrid w:val="0"/>
        <w:spacing w:line="400" w:lineRule="exact"/>
        <w:rPr>
          <w:rFonts w:ascii="宋体" w:hAnsi="宋体"/>
          <w:color w:val="000000"/>
          <w:highlight w:val="none"/>
        </w:rPr>
      </w:pPr>
      <w:r>
        <w:rPr>
          <w:rFonts w:hint="eastAsia" w:ascii="宋体" w:hAnsi="宋体"/>
          <w:color w:val="000000"/>
          <w:highlight w:val="none"/>
        </w:rPr>
        <w:t>电话：</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电话：</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2C058F37">
      <w:pPr>
        <w:snapToGrid w:val="0"/>
        <w:spacing w:line="400" w:lineRule="exact"/>
        <w:rPr>
          <w:rFonts w:ascii="宋体" w:hAnsi="宋体"/>
          <w:color w:val="000000"/>
          <w:highlight w:val="none"/>
        </w:rPr>
      </w:pPr>
      <w:r>
        <w:rPr>
          <w:rFonts w:hint="eastAsia" w:ascii="宋体" w:hAnsi="宋体"/>
          <w:color w:val="000000"/>
          <w:highlight w:val="none"/>
        </w:rPr>
        <w:t>传真：</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传真：</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6C53E8CD">
      <w:pPr>
        <w:snapToGrid w:val="0"/>
        <w:spacing w:line="400" w:lineRule="exact"/>
        <w:rPr>
          <w:rFonts w:ascii="宋体" w:hAnsi="宋体"/>
          <w:color w:val="000000"/>
          <w:highlight w:val="none"/>
        </w:rPr>
      </w:pPr>
      <w:r>
        <w:rPr>
          <w:rFonts w:hint="eastAsia" w:ascii="宋体" w:hAnsi="宋体"/>
          <w:color w:val="000000"/>
          <w:highlight w:val="none"/>
        </w:rPr>
        <w:t>电子邮箱：</w:t>
      </w:r>
      <w:r>
        <w:rPr>
          <w:rFonts w:hint="eastAsia" w:ascii="宋体" w:hAnsi="宋体"/>
          <w:color w:val="000000"/>
          <w:highlight w:val="none"/>
          <w:u w:val="single"/>
        </w:rPr>
        <w:t xml:space="preserve">                        </w:t>
      </w:r>
      <w:r>
        <w:rPr>
          <w:rFonts w:hint="eastAsia" w:ascii="宋体" w:hAnsi="宋体"/>
          <w:color w:val="000000"/>
          <w:highlight w:val="none"/>
        </w:rPr>
        <w:t xml:space="preserve">   电子邮箱：</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6A16E6AC">
      <w:pPr>
        <w:snapToGrid w:val="0"/>
        <w:spacing w:line="400" w:lineRule="exact"/>
        <w:rPr>
          <w:rFonts w:ascii="宋体" w:hAnsi="宋体"/>
          <w:color w:val="000000"/>
          <w:highlight w:val="none"/>
        </w:rPr>
      </w:pPr>
      <w:r>
        <w:rPr>
          <w:rFonts w:hint="eastAsia" w:ascii="宋体" w:hAnsi="宋体"/>
          <w:color w:val="000000"/>
          <w:highlight w:val="none"/>
        </w:rPr>
        <w:t>开户银行：</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开户银行：</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0B9C4B66">
      <w:pPr>
        <w:snapToGrid w:val="0"/>
        <w:spacing w:line="400" w:lineRule="exact"/>
        <w:rPr>
          <w:rFonts w:ascii="宋体" w:hAnsi="宋体"/>
          <w:color w:val="000000"/>
          <w:highlight w:val="none"/>
        </w:rPr>
      </w:pPr>
      <w:r>
        <w:rPr>
          <w:rFonts w:hint="eastAsia" w:ascii="宋体" w:hAnsi="宋体"/>
          <w:color w:val="000000"/>
          <w:highlight w:val="none"/>
        </w:rPr>
        <w:t>帐号：</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帐号：</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060545A6">
      <w:pPr>
        <w:snapToGrid w:val="0"/>
        <w:spacing w:line="400" w:lineRule="exact"/>
        <w:rPr>
          <w:rFonts w:ascii="宋体" w:hAnsi="宋体"/>
          <w:color w:val="000000"/>
          <w:highlight w:val="none"/>
        </w:rPr>
      </w:pPr>
      <w:r>
        <w:rPr>
          <w:rFonts w:hint="eastAsia" w:ascii="宋体" w:hAnsi="宋体"/>
          <w:color w:val="000000"/>
          <w:highlight w:val="none"/>
        </w:rPr>
        <w:t>邮政编码：</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 xml:space="preserve"> 邮政编码：</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rPr>
        <w:t xml:space="preserve"> </w:t>
      </w:r>
    </w:p>
    <w:p w14:paraId="134DB09F">
      <w:pPr>
        <w:spacing w:line="400" w:lineRule="exact"/>
        <w:rPr>
          <w:rFonts w:ascii="宋体" w:hAnsi="宋体"/>
          <w:color w:val="000000"/>
          <w:highlight w:val="none"/>
        </w:rPr>
      </w:pPr>
      <w:r>
        <w:rPr>
          <w:rFonts w:hint="eastAsia" w:ascii="宋体" w:hAnsi="宋体"/>
          <w:color w:val="000000"/>
          <w:highlight w:val="none"/>
        </w:rPr>
        <w:t>监督单位：</w:t>
      </w:r>
      <w:r>
        <w:rPr>
          <w:rFonts w:hint="eastAsia" w:ascii="宋体" w:hAnsi="宋体"/>
          <w:color w:val="000000"/>
          <w:highlight w:val="none"/>
          <w:u w:val="single"/>
        </w:rPr>
        <w:t xml:space="preserve">                  </w:t>
      </w:r>
      <w:r>
        <w:rPr>
          <w:rFonts w:hint="eastAsia" w:ascii="宋体" w:hAnsi="宋体"/>
          <w:color w:val="000000"/>
          <w:highlight w:val="none"/>
        </w:rPr>
        <w:t>（盖章） 监督单位：</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（盖章）</w:t>
      </w:r>
    </w:p>
    <w:p w14:paraId="267D89E6">
      <w:pPr>
        <w:pStyle w:val="55"/>
        <w:rPr>
          <w:rFonts w:hAnsi="宋体"/>
          <w:color w:val="000000"/>
          <w:highlight w:val="none"/>
        </w:rPr>
      </w:pPr>
    </w:p>
    <w:p w14:paraId="391FF0A1">
      <w:pPr>
        <w:pStyle w:val="55"/>
        <w:rPr>
          <w:rFonts w:hAnsi="宋体"/>
          <w:color w:val="000000"/>
          <w:highlight w:val="none"/>
        </w:rPr>
      </w:pPr>
    </w:p>
    <w:p w14:paraId="195F338C">
      <w:pPr>
        <w:pStyle w:val="3"/>
        <w:ind w:left="426"/>
        <w:jc w:val="left"/>
        <w:rPr>
          <w:b w:val="0"/>
          <w:sz w:val="28"/>
          <w:szCs w:val="28"/>
          <w:highlight w:val="none"/>
        </w:rPr>
      </w:pPr>
      <w:bookmarkStart w:id="1506" w:name="_Toc22990"/>
      <w:r>
        <w:rPr>
          <w:rFonts w:hint="eastAsia"/>
          <w:b w:val="0"/>
          <w:sz w:val="28"/>
          <w:szCs w:val="28"/>
          <w:highlight w:val="none"/>
        </w:rPr>
        <w:t>附件七：施工安全生产协议书</w:t>
      </w:r>
      <w:bookmarkEnd w:id="1506"/>
    </w:p>
    <w:p w14:paraId="74493A47">
      <w:pPr>
        <w:spacing w:line="360" w:lineRule="auto"/>
        <w:ind w:firstLine="562" w:firstLineChars="200"/>
        <w:jc w:val="center"/>
        <w:rPr>
          <w:b/>
          <w:bCs/>
          <w:sz w:val="28"/>
          <w:szCs w:val="28"/>
          <w:highlight w:val="none"/>
        </w:rPr>
      </w:pPr>
      <w:r>
        <w:rPr>
          <w:rFonts w:hint="eastAsia"/>
          <w:b/>
          <w:bCs/>
          <w:sz w:val="28"/>
          <w:szCs w:val="28"/>
          <w:highlight w:val="none"/>
        </w:rPr>
        <w:t>安全生产协议书</w:t>
      </w:r>
    </w:p>
    <w:p w14:paraId="384DAD61">
      <w:pPr>
        <w:spacing w:line="360" w:lineRule="auto"/>
        <w:ind w:firstLine="420" w:firstLineChars="200"/>
        <w:rPr>
          <w:highlight w:val="none"/>
        </w:rPr>
      </w:pPr>
      <w:r>
        <w:rPr>
          <w:rFonts w:hint="eastAsia"/>
          <w:highlight w:val="none"/>
        </w:rPr>
        <w:t>为在</w:t>
      </w:r>
      <w:r>
        <w:rPr>
          <w:rFonts w:hint="eastAsia"/>
          <w:highlight w:val="none"/>
          <w:u w:val="single"/>
        </w:rPr>
        <w:t xml:space="preserve">                          </w:t>
      </w:r>
      <w:r>
        <w:rPr>
          <w:rFonts w:hint="eastAsia"/>
          <w:highlight w:val="none"/>
        </w:rPr>
        <w:t>施工合同的实施过程中创造安全、高效的施工环境，切实搞好本项目的安全管理工作，本项目发包人</w:t>
      </w:r>
      <w:r>
        <w:rPr>
          <w:rFonts w:hint="eastAsia"/>
          <w:highlight w:val="none"/>
          <w:u w:val="single"/>
        </w:rPr>
        <w:t xml:space="preserve">    </w:t>
      </w:r>
      <w:r>
        <w:rPr>
          <w:rFonts w:hint="eastAsia"/>
          <w:highlight w:val="none"/>
        </w:rPr>
        <w:t>（以下简称“发包人”）与承包人</w:t>
      </w:r>
      <w:r>
        <w:rPr>
          <w:rFonts w:hint="eastAsia"/>
          <w:highlight w:val="none"/>
          <w:u w:val="single"/>
        </w:rPr>
        <w:t xml:space="preserve">   </w:t>
      </w:r>
      <w:r>
        <w:rPr>
          <w:rFonts w:hint="eastAsia"/>
          <w:highlight w:val="none"/>
        </w:rPr>
        <w:t>（以下简称“承包人”）特此签订安全生产合同：</w:t>
      </w:r>
    </w:p>
    <w:p w14:paraId="1701382F">
      <w:pPr>
        <w:spacing w:line="360" w:lineRule="auto"/>
        <w:ind w:firstLine="420" w:firstLineChars="200"/>
        <w:rPr>
          <w:highlight w:val="none"/>
        </w:rPr>
      </w:pPr>
      <w:r>
        <w:rPr>
          <w:rFonts w:hint="eastAsia"/>
          <w:highlight w:val="none"/>
        </w:rPr>
        <w:t>1.发包人职责</w:t>
      </w:r>
    </w:p>
    <w:p w14:paraId="24D523AA">
      <w:pPr>
        <w:spacing w:line="360" w:lineRule="auto"/>
        <w:ind w:firstLine="420" w:firstLineChars="200"/>
        <w:rPr>
          <w:highlight w:val="none"/>
        </w:rPr>
      </w:pPr>
      <w:r>
        <w:rPr>
          <w:rFonts w:hint="eastAsia"/>
          <w:highlight w:val="none"/>
        </w:rPr>
        <w:t>（1）严格遵守国家有关安全生产的法律法规，认真执行工程承包合同中的有关安全要求。</w:t>
      </w:r>
    </w:p>
    <w:p w14:paraId="1FC5FA44">
      <w:pPr>
        <w:spacing w:line="360" w:lineRule="auto"/>
        <w:ind w:firstLine="420" w:firstLineChars="200"/>
        <w:rPr>
          <w:highlight w:val="none"/>
        </w:rPr>
      </w:pPr>
      <w:r>
        <w:rPr>
          <w:rFonts w:hint="eastAsia"/>
          <w:highlight w:val="none"/>
        </w:rPr>
        <w:t>（2）按照“安全第一、预防为主”和坚持“管生产必须管安全”的原则进行安全生产管理，做到生产与安全工作同时计划、布置、检查、总结和评比。</w:t>
      </w:r>
    </w:p>
    <w:p w14:paraId="091EBD73">
      <w:pPr>
        <w:spacing w:line="360" w:lineRule="auto"/>
        <w:ind w:firstLine="420" w:firstLineChars="200"/>
        <w:rPr>
          <w:highlight w:val="none"/>
        </w:rPr>
      </w:pPr>
      <w:r>
        <w:rPr>
          <w:rFonts w:hint="eastAsia"/>
          <w:highlight w:val="none"/>
        </w:rPr>
        <w:t>（3）重要的安全设施必须坚持与主体工程“三同时”的原则，即：同时设计、审批，同时施工，同时验收，投入使用。</w:t>
      </w:r>
    </w:p>
    <w:p w14:paraId="7B56A7D6">
      <w:pPr>
        <w:spacing w:line="360" w:lineRule="auto"/>
        <w:ind w:firstLine="420" w:firstLineChars="200"/>
        <w:rPr>
          <w:highlight w:val="none"/>
        </w:rPr>
      </w:pPr>
      <w:r>
        <w:rPr>
          <w:rFonts w:hint="eastAsia"/>
          <w:highlight w:val="none"/>
        </w:rPr>
        <w:t>（4）定期召开安全生产调度会，及时传达中央及地方有关安全生产的精神。</w:t>
      </w:r>
    </w:p>
    <w:p w14:paraId="4671AC63">
      <w:pPr>
        <w:spacing w:line="360" w:lineRule="auto"/>
        <w:ind w:firstLine="420" w:firstLineChars="200"/>
        <w:rPr>
          <w:highlight w:val="none"/>
        </w:rPr>
      </w:pPr>
      <w:r>
        <w:rPr>
          <w:rFonts w:hint="eastAsia"/>
          <w:highlight w:val="none"/>
        </w:rPr>
        <w:t>（5）组织对承包人施工现场安全生产检查，监督承包人及时处理发现的各种安全隐患。</w:t>
      </w:r>
    </w:p>
    <w:p w14:paraId="11EF1E52">
      <w:pPr>
        <w:spacing w:line="360" w:lineRule="auto"/>
        <w:ind w:firstLine="420" w:firstLineChars="200"/>
        <w:rPr>
          <w:highlight w:val="none"/>
        </w:rPr>
      </w:pPr>
      <w:r>
        <w:rPr>
          <w:rFonts w:hint="eastAsia"/>
          <w:highlight w:val="none"/>
        </w:rPr>
        <w:t>2.承包人职责</w:t>
      </w:r>
    </w:p>
    <w:p w14:paraId="1D6AE6CA">
      <w:pPr>
        <w:spacing w:line="360" w:lineRule="auto"/>
        <w:ind w:firstLine="420" w:firstLineChars="200"/>
        <w:rPr>
          <w:highlight w:val="none"/>
        </w:rPr>
      </w:pPr>
      <w:r>
        <w:rPr>
          <w:rFonts w:hint="eastAsia"/>
          <w:highlight w:val="none"/>
        </w:rPr>
        <w:t>（1）严格遵守《中华人民共和国安全生产法》、《建设工程安全生产管理条例》等国家有关安全生产的法律法规的规定。认真执行工程承包合同中的有关安全要求。</w:t>
      </w:r>
    </w:p>
    <w:p w14:paraId="2924934C">
      <w:pPr>
        <w:spacing w:line="360" w:lineRule="auto"/>
        <w:ind w:firstLine="420" w:firstLineChars="200"/>
        <w:rPr>
          <w:highlight w:val="none"/>
        </w:rPr>
      </w:pPr>
      <w:r>
        <w:rPr>
          <w:rFonts w:hint="eastAsia"/>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B33A21F">
      <w:pPr>
        <w:spacing w:line="360" w:lineRule="auto"/>
        <w:ind w:firstLine="420" w:firstLineChars="200"/>
        <w:rPr>
          <w:highlight w:val="none"/>
        </w:rPr>
      </w:pPr>
      <w:r>
        <w:rPr>
          <w:rFonts w:hint="eastAsia"/>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的发生。安全机构人员有权按有关规定发布指令，并采取保护性措施防止事故发生。</w:t>
      </w:r>
    </w:p>
    <w:p w14:paraId="06DF8576">
      <w:pPr>
        <w:spacing w:line="360" w:lineRule="auto"/>
        <w:ind w:firstLine="420" w:firstLineChars="200"/>
        <w:rPr>
          <w:highlight w:val="none"/>
        </w:rPr>
      </w:pPr>
      <w:r>
        <w:rPr>
          <w:rFonts w:hint="eastAsia"/>
          <w:highlight w:val="none"/>
        </w:rPr>
        <w:t>（4）承包人在任何时候都应采取各种合理的预防措施，防止其员工发生任何违法、违禁、暴力或妨碍治安的行为。</w:t>
      </w:r>
    </w:p>
    <w:p w14:paraId="480FBFA2">
      <w:pPr>
        <w:spacing w:line="360" w:lineRule="auto"/>
        <w:ind w:firstLine="420" w:firstLineChars="200"/>
        <w:rPr>
          <w:highlight w:val="none"/>
        </w:rPr>
      </w:pPr>
      <w:r>
        <w:rPr>
          <w:rFonts w:hint="eastAsia"/>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F37736F">
      <w:pPr>
        <w:spacing w:line="360" w:lineRule="auto"/>
        <w:ind w:firstLine="420" w:firstLineChars="200"/>
        <w:rPr>
          <w:highlight w:val="none"/>
        </w:rPr>
      </w:pPr>
      <w:r>
        <w:rPr>
          <w:rFonts w:hint="eastAsia"/>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D542B0A">
      <w:pPr>
        <w:spacing w:line="360" w:lineRule="auto"/>
        <w:ind w:firstLine="420" w:firstLineChars="200"/>
        <w:rPr>
          <w:highlight w:val="none"/>
        </w:rPr>
      </w:pPr>
      <w:r>
        <w:rPr>
          <w:rFonts w:hint="eastAsia"/>
          <w:highlight w:val="none"/>
        </w:rPr>
        <w:t>（7）操作人员上岗，必须按规定穿戴防护用品。施工负责人和安全检查员应随时检查劳动防护用品的穿戴情况，不按规定穿戴防护用品的人员不得上岗。</w:t>
      </w:r>
    </w:p>
    <w:p w14:paraId="1103DD93">
      <w:pPr>
        <w:spacing w:line="360" w:lineRule="auto"/>
        <w:ind w:firstLine="420" w:firstLineChars="200"/>
        <w:rPr>
          <w:highlight w:val="none"/>
        </w:rPr>
      </w:pPr>
      <w:r>
        <w:rPr>
          <w:rFonts w:hint="eastAsia"/>
          <w:highlight w:val="none"/>
        </w:rPr>
        <w:t>（8）所有施工机具设备和高空作业的设备均应定期检查，并有安全员的签字记录，保证其经常处于完好状态；不合格的机具、设备和劳动保护用品严禁使用：</w:t>
      </w:r>
    </w:p>
    <w:p w14:paraId="5C581A0E">
      <w:pPr>
        <w:spacing w:line="360" w:lineRule="auto"/>
        <w:ind w:firstLine="420" w:firstLineChars="200"/>
        <w:rPr>
          <w:highlight w:val="none"/>
        </w:rPr>
      </w:pPr>
      <w:r>
        <w:rPr>
          <w:rFonts w:hint="eastAsia"/>
          <w:highlight w:val="none"/>
        </w:rPr>
        <w:t>（9）施工中采用新技术、新工艺、新设备、新材料时，必须制定相应的安全技术措施，施工现场必须具有相关的安全标志牌。</w:t>
      </w:r>
    </w:p>
    <w:p w14:paraId="3AEC7A21">
      <w:pPr>
        <w:spacing w:line="360" w:lineRule="auto"/>
        <w:ind w:firstLine="420" w:firstLineChars="200"/>
        <w:rPr>
          <w:highlight w:val="none"/>
        </w:rPr>
      </w:pPr>
      <w:r>
        <w:rPr>
          <w:rFonts w:hint="eastAsia"/>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D16252C">
      <w:pPr>
        <w:spacing w:line="360" w:lineRule="auto"/>
        <w:ind w:firstLine="420" w:firstLineChars="200"/>
        <w:rPr>
          <w:highlight w:val="none"/>
        </w:rPr>
      </w:pPr>
      <w:r>
        <w:rPr>
          <w:rFonts w:hint="eastAsia"/>
          <w:highlight w:val="none"/>
        </w:rPr>
        <w:t>（11）安全生产费用按照相关规定使用和管理。</w:t>
      </w:r>
    </w:p>
    <w:p w14:paraId="759CD303">
      <w:pPr>
        <w:spacing w:line="360" w:lineRule="auto"/>
        <w:ind w:firstLine="420" w:firstLineChars="200"/>
        <w:rPr>
          <w:highlight w:val="none"/>
        </w:rPr>
      </w:pPr>
      <w:r>
        <w:rPr>
          <w:rFonts w:hint="eastAsia"/>
          <w:highlight w:val="none"/>
        </w:rPr>
        <w:t>3.违约责任</w:t>
      </w:r>
    </w:p>
    <w:p w14:paraId="1C58059D">
      <w:pPr>
        <w:spacing w:line="360" w:lineRule="auto"/>
        <w:ind w:firstLine="420" w:firstLineChars="200"/>
        <w:rPr>
          <w:highlight w:val="none"/>
        </w:rPr>
      </w:pPr>
      <w:r>
        <w:rPr>
          <w:rFonts w:hint="eastAsia"/>
          <w:highlight w:val="none"/>
        </w:rPr>
        <w:t>施工过程中由于承包人原因导致与当地村民发生矛盾，或由于违背安全施工所导致的安全事故均由承包人承担损失及相应费用。</w:t>
      </w:r>
    </w:p>
    <w:p w14:paraId="77DC24AF">
      <w:pPr>
        <w:spacing w:line="360" w:lineRule="auto"/>
        <w:ind w:firstLine="420" w:firstLineChars="200"/>
        <w:rPr>
          <w:highlight w:val="none"/>
        </w:rPr>
      </w:pPr>
      <w:r>
        <w:rPr>
          <w:rFonts w:hint="eastAsia"/>
          <w:highlight w:val="none"/>
        </w:rPr>
        <w:t>4.本合同由双方法定代表人或其授权的代理人签署并加盖单位章后生效，全部工程竣工验收后失效。</w:t>
      </w:r>
    </w:p>
    <w:p w14:paraId="537846CF">
      <w:pPr>
        <w:spacing w:line="360" w:lineRule="auto"/>
        <w:ind w:firstLine="420" w:firstLineChars="200"/>
        <w:rPr>
          <w:highlight w:val="none"/>
        </w:rPr>
      </w:pPr>
      <w:r>
        <w:rPr>
          <w:rFonts w:hint="eastAsia"/>
          <w:highlight w:val="none"/>
        </w:rPr>
        <w:t>5.本合同正本—式二份，双方各执—份。</w:t>
      </w:r>
      <w:r>
        <w:rPr>
          <w:rFonts w:hint="eastAsia" w:ascii="宋体" w:hAnsi="宋体"/>
          <w:highlight w:val="none"/>
        </w:rPr>
        <w:t>合同双方各执一份；副本一式</w:t>
      </w:r>
      <w:r>
        <w:rPr>
          <w:rFonts w:ascii="宋体" w:hAnsi="宋体"/>
          <w:highlight w:val="none"/>
          <w:u w:val="single"/>
        </w:rPr>
        <w:t xml:space="preserve">    </w:t>
      </w:r>
      <w:r>
        <w:rPr>
          <w:rFonts w:hint="eastAsia" w:ascii="宋体" w:hAnsi="宋体"/>
          <w:highlight w:val="none"/>
        </w:rPr>
        <w:t>份</w:t>
      </w:r>
      <w:r>
        <w:rPr>
          <w:rFonts w:hint="eastAsia"/>
          <w:highlight w:val="none"/>
        </w:rPr>
        <w:t>。当正本与副本的内容不一致时，以正本为准。</w:t>
      </w:r>
    </w:p>
    <w:p w14:paraId="48414924">
      <w:pPr>
        <w:rPr>
          <w:highlight w:val="none"/>
        </w:rPr>
      </w:pPr>
    </w:p>
    <w:p w14:paraId="0B9FD108">
      <w:pPr>
        <w:snapToGrid w:val="0"/>
        <w:spacing w:line="360" w:lineRule="auto"/>
        <w:rPr>
          <w:rFonts w:ascii="宋体"/>
          <w:highlight w:val="none"/>
        </w:rPr>
      </w:pPr>
      <w:r>
        <w:rPr>
          <w:rFonts w:hint="eastAsia" w:ascii="宋体" w:hAnsi="宋体"/>
          <w:highlight w:val="none"/>
        </w:rPr>
        <w:t>发包人：</w:t>
      </w:r>
      <w:r>
        <w:rPr>
          <w:rFonts w:ascii="宋体" w:hAnsi="宋体"/>
          <w:highlight w:val="none"/>
          <w:u w:val="single"/>
        </w:rPr>
        <w:t xml:space="preserve">                  </w:t>
      </w:r>
      <w:r>
        <w:rPr>
          <w:rFonts w:hint="eastAsia" w:ascii="宋体" w:hAnsi="宋体"/>
          <w:highlight w:val="none"/>
        </w:rPr>
        <w:t>（公章）</w:t>
      </w:r>
      <w:r>
        <w:rPr>
          <w:rFonts w:ascii="宋体" w:hAnsi="宋体"/>
          <w:highlight w:val="none"/>
        </w:rPr>
        <w:t xml:space="preserve">   </w:t>
      </w:r>
      <w:r>
        <w:rPr>
          <w:rFonts w:hint="eastAsia" w:ascii="宋体" w:hAnsi="宋体"/>
          <w:highlight w:val="none"/>
        </w:rPr>
        <w:t>承包人：</w:t>
      </w:r>
      <w:r>
        <w:rPr>
          <w:rFonts w:ascii="宋体" w:hAnsi="宋体"/>
          <w:highlight w:val="none"/>
          <w:u w:val="single"/>
        </w:rPr>
        <w:t xml:space="preserve">                           </w:t>
      </w:r>
      <w:r>
        <w:rPr>
          <w:rFonts w:hint="eastAsia" w:ascii="宋体" w:hAnsi="宋体"/>
          <w:highlight w:val="none"/>
        </w:rPr>
        <w:t>（公章）</w:t>
      </w:r>
      <w:r>
        <w:rPr>
          <w:rFonts w:ascii="宋体" w:hAnsi="宋体"/>
          <w:highlight w:val="none"/>
        </w:rPr>
        <w:t xml:space="preserve"> </w:t>
      </w:r>
    </w:p>
    <w:p w14:paraId="0D22E96A">
      <w:pPr>
        <w:snapToGrid w:val="0"/>
        <w:spacing w:line="360" w:lineRule="auto"/>
        <w:rPr>
          <w:rFonts w:ascii="宋体"/>
          <w:highlight w:val="none"/>
        </w:rPr>
      </w:pPr>
      <w:r>
        <w:rPr>
          <w:rFonts w:hint="eastAsia" w:ascii="宋体" w:hAnsi="宋体"/>
          <w:highlight w:val="none"/>
        </w:rPr>
        <w:t>法定地址：</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法定地址：</w:t>
      </w:r>
      <w:r>
        <w:rPr>
          <w:rFonts w:ascii="宋体" w:hAnsi="宋体"/>
          <w:highlight w:val="none"/>
          <w:u w:val="single"/>
        </w:rPr>
        <w:t xml:space="preserve">                                </w:t>
      </w:r>
    </w:p>
    <w:p w14:paraId="0F614241">
      <w:pPr>
        <w:snapToGrid w:val="0"/>
        <w:spacing w:line="360" w:lineRule="auto"/>
        <w:rPr>
          <w:rFonts w:ascii="宋体"/>
          <w:highlight w:val="none"/>
        </w:rPr>
      </w:pPr>
      <w:r>
        <w:rPr>
          <w:rFonts w:hint="eastAsia" w:ascii="宋体" w:hAnsi="宋体"/>
          <w:highlight w:val="none"/>
        </w:rPr>
        <w:t>法定代表人或其</w:t>
      </w:r>
      <w:r>
        <w:rPr>
          <w:rFonts w:ascii="宋体" w:hAnsi="宋体"/>
          <w:highlight w:val="none"/>
        </w:rPr>
        <w:t xml:space="preserve">                       </w:t>
      </w:r>
      <w:r>
        <w:rPr>
          <w:rFonts w:hint="eastAsia" w:ascii="宋体" w:hAnsi="宋体"/>
          <w:highlight w:val="none"/>
        </w:rPr>
        <w:t>法定代表人或其</w:t>
      </w:r>
    </w:p>
    <w:p w14:paraId="21377AAD">
      <w:pPr>
        <w:snapToGrid w:val="0"/>
        <w:spacing w:line="360" w:lineRule="auto"/>
        <w:rPr>
          <w:rFonts w:ascii="宋体"/>
          <w:highlight w:val="none"/>
        </w:rPr>
      </w:pPr>
      <w:r>
        <w:rPr>
          <w:rFonts w:hint="eastAsia" w:ascii="宋体" w:hAnsi="宋体"/>
          <w:highlight w:val="none"/>
        </w:rPr>
        <w:t>委托代理人：</w:t>
      </w:r>
      <w:r>
        <w:rPr>
          <w:rFonts w:ascii="宋体" w:hAnsi="宋体"/>
          <w:highlight w:val="none"/>
          <w:u w:val="single"/>
        </w:rPr>
        <w:t xml:space="preserve">         </w:t>
      </w:r>
      <w:r>
        <w:rPr>
          <w:rFonts w:hint="eastAsia" w:ascii="宋体" w:hAnsi="宋体"/>
          <w:highlight w:val="none"/>
        </w:rPr>
        <w:t>（签字或盖章）</w:t>
      </w:r>
      <w:r>
        <w:rPr>
          <w:rFonts w:ascii="宋体" w:hAnsi="宋体"/>
          <w:highlight w:val="none"/>
        </w:rPr>
        <w:t xml:space="preserve">  </w:t>
      </w:r>
      <w:r>
        <w:rPr>
          <w:rFonts w:hint="eastAsia" w:ascii="宋体" w:hAnsi="宋体"/>
          <w:highlight w:val="none"/>
        </w:rPr>
        <w:t>委托代理人：</w:t>
      </w:r>
      <w:r>
        <w:rPr>
          <w:rFonts w:ascii="宋体" w:hAnsi="宋体"/>
          <w:highlight w:val="none"/>
          <w:u w:val="single"/>
        </w:rPr>
        <w:t xml:space="preserve">                  </w:t>
      </w:r>
      <w:r>
        <w:rPr>
          <w:rFonts w:hint="eastAsia" w:ascii="宋体" w:hAnsi="宋体"/>
          <w:highlight w:val="none"/>
        </w:rPr>
        <w:t>（签字或盖章）</w:t>
      </w:r>
    </w:p>
    <w:p w14:paraId="686A0820">
      <w:pPr>
        <w:snapToGrid w:val="0"/>
        <w:spacing w:line="360" w:lineRule="auto"/>
        <w:rPr>
          <w:rFonts w:ascii="宋体"/>
          <w:highlight w:val="none"/>
        </w:rPr>
      </w:pPr>
      <w:r>
        <w:rPr>
          <w:rFonts w:hint="eastAsia" w:ascii="宋体" w:hAnsi="宋体"/>
          <w:highlight w:val="none"/>
        </w:rPr>
        <w:t>电话：</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电话：</w:t>
      </w:r>
      <w:r>
        <w:rPr>
          <w:rFonts w:ascii="宋体" w:hAnsi="宋体"/>
          <w:highlight w:val="none"/>
          <w:u w:val="single"/>
        </w:rPr>
        <w:t xml:space="preserve">                                              </w:t>
      </w:r>
    </w:p>
    <w:p w14:paraId="46C6A631">
      <w:pPr>
        <w:snapToGrid w:val="0"/>
        <w:spacing w:line="360" w:lineRule="auto"/>
        <w:rPr>
          <w:rFonts w:ascii="宋体"/>
          <w:highlight w:val="none"/>
        </w:rPr>
      </w:pPr>
      <w:r>
        <w:rPr>
          <w:rFonts w:hint="eastAsia" w:ascii="宋体" w:hAnsi="宋体"/>
          <w:highlight w:val="none"/>
        </w:rPr>
        <w:t>传真：</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传真：</w:t>
      </w:r>
      <w:r>
        <w:rPr>
          <w:rFonts w:ascii="宋体" w:hAnsi="宋体"/>
          <w:highlight w:val="none"/>
          <w:u w:val="single"/>
        </w:rPr>
        <w:t xml:space="preserve">                                                </w:t>
      </w:r>
    </w:p>
    <w:p w14:paraId="4DE27539">
      <w:pPr>
        <w:snapToGrid w:val="0"/>
        <w:spacing w:line="360" w:lineRule="auto"/>
        <w:rPr>
          <w:rFonts w:ascii="宋体"/>
          <w:highlight w:val="none"/>
        </w:rPr>
      </w:pPr>
      <w:r>
        <w:rPr>
          <w:rFonts w:hint="eastAsia" w:ascii="宋体" w:hAnsi="宋体"/>
          <w:highlight w:val="none"/>
        </w:rPr>
        <w:t>电子邮箱：</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电子邮箱：</w:t>
      </w:r>
      <w:r>
        <w:rPr>
          <w:rFonts w:ascii="宋体" w:hAnsi="宋体"/>
          <w:highlight w:val="none"/>
          <w:u w:val="single"/>
        </w:rPr>
        <w:t xml:space="preserve">                                        </w:t>
      </w:r>
    </w:p>
    <w:p w14:paraId="03B7FA3B">
      <w:pPr>
        <w:snapToGrid w:val="0"/>
        <w:spacing w:line="360" w:lineRule="auto"/>
        <w:rPr>
          <w:rFonts w:ascii="宋体"/>
          <w:highlight w:val="none"/>
        </w:rPr>
      </w:pPr>
      <w:r>
        <w:rPr>
          <w:rFonts w:hint="eastAsia" w:ascii="宋体" w:hAnsi="宋体"/>
          <w:highlight w:val="none"/>
        </w:rPr>
        <w:t>开户银行：</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开户银行：</w:t>
      </w:r>
      <w:r>
        <w:rPr>
          <w:rFonts w:ascii="宋体" w:hAnsi="宋体"/>
          <w:highlight w:val="none"/>
          <w:u w:val="single"/>
        </w:rPr>
        <w:t xml:space="preserve">                                        </w:t>
      </w:r>
    </w:p>
    <w:p w14:paraId="440759D6">
      <w:pPr>
        <w:snapToGrid w:val="0"/>
        <w:spacing w:line="360" w:lineRule="auto"/>
        <w:rPr>
          <w:rFonts w:ascii="宋体"/>
          <w:highlight w:val="none"/>
        </w:rPr>
      </w:pPr>
      <w:r>
        <w:rPr>
          <w:rFonts w:hint="eastAsia" w:ascii="宋体" w:hAnsi="宋体"/>
          <w:highlight w:val="none"/>
        </w:rPr>
        <w:t>帐号：</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帐号：</w:t>
      </w:r>
      <w:r>
        <w:rPr>
          <w:rFonts w:ascii="宋体" w:hAnsi="宋体"/>
          <w:highlight w:val="none"/>
          <w:u w:val="single"/>
        </w:rPr>
        <w:t xml:space="preserve">                                       </w:t>
      </w:r>
    </w:p>
    <w:p w14:paraId="690E4D9E">
      <w:pPr>
        <w:rPr>
          <w:highlight w:val="none"/>
        </w:rPr>
      </w:pPr>
      <w:r>
        <w:rPr>
          <w:rFonts w:hint="eastAsia" w:ascii="宋体" w:hAnsi="宋体"/>
          <w:highlight w:val="none"/>
        </w:rPr>
        <w:t>邮政编码：</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邮政编码：</w:t>
      </w:r>
      <w:r>
        <w:rPr>
          <w:rFonts w:ascii="宋体" w:hAnsi="宋体"/>
          <w:highlight w:val="none"/>
          <w:u w:val="single"/>
        </w:rPr>
        <w:t xml:space="preserve">                                 </w:t>
      </w:r>
    </w:p>
    <w:p w14:paraId="64C48F4C">
      <w:pPr>
        <w:rPr>
          <w:highlight w:val="none"/>
        </w:rPr>
      </w:pPr>
    </w:p>
    <w:p w14:paraId="63BA3BD6">
      <w:pPr>
        <w:rPr>
          <w:highlight w:val="none"/>
        </w:rPr>
        <w:sectPr>
          <w:headerReference r:id="rId25" w:type="default"/>
          <w:footerReference r:id="rId27" w:type="default"/>
          <w:headerReference r:id="rId26" w:type="even"/>
          <w:footerReference r:id="rId28" w:type="even"/>
          <w:pgSz w:w="11906" w:h="16838"/>
          <w:pgMar w:top="1440" w:right="1797" w:bottom="1440" w:left="1797" w:header="851" w:footer="992" w:gutter="0"/>
          <w:cols w:space="720" w:num="1"/>
          <w:docGrid w:type="lines" w:linePitch="312" w:charSpace="0"/>
        </w:sectPr>
      </w:pPr>
    </w:p>
    <w:p w14:paraId="7A9669CA">
      <w:pPr>
        <w:pStyle w:val="3"/>
        <w:ind w:left="426"/>
        <w:jc w:val="left"/>
        <w:rPr>
          <w:b w:val="0"/>
          <w:sz w:val="28"/>
          <w:szCs w:val="28"/>
          <w:highlight w:val="none"/>
        </w:rPr>
      </w:pPr>
      <w:bookmarkStart w:id="1507" w:name="_Toc18118"/>
      <w:r>
        <w:rPr>
          <w:rFonts w:hint="eastAsia"/>
          <w:b w:val="0"/>
          <w:sz w:val="28"/>
          <w:szCs w:val="28"/>
          <w:highlight w:val="none"/>
        </w:rPr>
        <w:t>附件八：北京市建设工程施工总承包单位法定代表人授权</w:t>
      </w:r>
      <w:bookmarkEnd w:id="1507"/>
    </w:p>
    <w:p w14:paraId="77655D8B">
      <w:pPr>
        <w:rPr>
          <w:highlight w:val="none"/>
        </w:rPr>
      </w:pPr>
    </w:p>
    <w:p w14:paraId="06C2A4BF">
      <w:pPr>
        <w:spacing w:line="360" w:lineRule="auto"/>
        <w:ind w:firstLine="482" w:firstLineChars="200"/>
        <w:jc w:val="center"/>
        <w:rPr>
          <w:b/>
          <w:sz w:val="24"/>
          <w:highlight w:val="none"/>
        </w:rPr>
      </w:pPr>
    </w:p>
    <w:p w14:paraId="7436E19D">
      <w:pPr>
        <w:spacing w:line="360" w:lineRule="auto"/>
        <w:ind w:firstLine="482" w:firstLineChars="200"/>
        <w:jc w:val="center"/>
        <w:rPr>
          <w:b/>
          <w:sz w:val="24"/>
          <w:highlight w:val="none"/>
        </w:rPr>
      </w:pPr>
      <w:r>
        <w:rPr>
          <w:b/>
          <w:sz w:val="24"/>
          <w:highlight w:val="none"/>
        </w:rPr>
        <w:t>北京市建设工程</w:t>
      </w:r>
    </w:p>
    <w:p w14:paraId="787A4702">
      <w:pPr>
        <w:spacing w:line="360" w:lineRule="auto"/>
        <w:ind w:firstLine="482" w:firstLineChars="200"/>
        <w:jc w:val="center"/>
        <w:rPr>
          <w:b/>
          <w:sz w:val="24"/>
          <w:highlight w:val="none"/>
        </w:rPr>
      </w:pPr>
      <w:r>
        <w:rPr>
          <w:b/>
          <w:sz w:val="24"/>
          <w:highlight w:val="none"/>
        </w:rPr>
        <w:t>施工总承包单位法定代表人授权</w:t>
      </w:r>
    </w:p>
    <w:p w14:paraId="0603050D">
      <w:pPr>
        <w:spacing w:line="360" w:lineRule="auto"/>
        <w:ind w:firstLine="482" w:firstLineChars="200"/>
        <w:jc w:val="center"/>
        <w:rPr>
          <w:b/>
          <w:sz w:val="24"/>
          <w:szCs w:val="28"/>
          <w:highlight w:val="none"/>
        </w:rPr>
      </w:pPr>
    </w:p>
    <w:p w14:paraId="3CE577CC">
      <w:pPr>
        <w:spacing w:line="360" w:lineRule="auto"/>
        <w:ind w:firstLine="420" w:firstLineChars="200"/>
        <w:rPr>
          <w:rFonts w:ascii="宋体" w:hAnsi="宋体"/>
          <w:szCs w:val="28"/>
          <w:highlight w:val="none"/>
        </w:rPr>
      </w:pPr>
      <w:r>
        <w:rPr>
          <w:rFonts w:ascii="宋体" w:hAnsi="宋体"/>
          <w:szCs w:val="28"/>
          <w:highlight w:val="none"/>
        </w:rPr>
        <w:t>兹授权</w:t>
      </w:r>
      <w:r>
        <w:rPr>
          <w:rFonts w:hint="eastAsia" w:ascii="宋体" w:hAnsi="宋体"/>
          <w:szCs w:val="28"/>
          <w:highlight w:val="none"/>
        </w:rPr>
        <w:t xml:space="preserve"> </w:t>
      </w:r>
      <w:r>
        <w:rPr>
          <w:rFonts w:hint="eastAsia" w:ascii="宋体" w:hAnsi="宋体"/>
          <w:szCs w:val="28"/>
          <w:highlight w:val="none"/>
          <w:u w:val="single"/>
        </w:rPr>
        <w:t xml:space="preserve">    </w:t>
      </w:r>
      <w:r>
        <w:rPr>
          <w:rFonts w:ascii="宋体" w:hAnsi="宋体"/>
          <w:szCs w:val="28"/>
          <w:highlight w:val="none"/>
        </w:rPr>
        <w:t>（姓名）担任</w:t>
      </w:r>
      <w:r>
        <w:rPr>
          <w:rFonts w:hint="eastAsia" w:ascii="宋体" w:hAnsi="宋体"/>
          <w:szCs w:val="28"/>
          <w:highlight w:val="none"/>
          <w:u w:val="single"/>
        </w:rPr>
        <w:t xml:space="preserve">        （</w:t>
      </w:r>
      <w:r>
        <w:rPr>
          <w:rFonts w:ascii="宋体" w:hAnsi="宋体"/>
          <w:szCs w:val="28"/>
          <w:highlight w:val="none"/>
        </w:rPr>
        <w:t>工程名称）施工总承包单位的项目</w:t>
      </w:r>
      <w:r>
        <w:rPr>
          <w:rFonts w:hint="eastAsia" w:ascii="宋体" w:hAnsi="宋体"/>
          <w:szCs w:val="28"/>
          <w:highlight w:val="none"/>
        </w:rPr>
        <w:t>经理</w:t>
      </w:r>
      <w:r>
        <w:rPr>
          <w:rFonts w:ascii="宋体" w:hAnsi="宋体"/>
          <w:szCs w:val="28"/>
          <w:highlight w:val="none"/>
        </w:rPr>
        <w:t>，对该工程项目的施工工作实施组织管理，依据国家和北京市有关法律法规及标准规范履行职责，并依法对该工程项目在设计使用年限内的工程质量承担相应终身责任。</w:t>
      </w:r>
    </w:p>
    <w:p w14:paraId="4A31B02A">
      <w:pPr>
        <w:spacing w:line="360" w:lineRule="auto"/>
        <w:ind w:firstLine="420" w:firstLineChars="200"/>
        <w:rPr>
          <w:szCs w:val="28"/>
          <w:highlight w:val="none"/>
        </w:rPr>
      </w:pPr>
      <w:r>
        <w:rPr>
          <w:szCs w:val="28"/>
          <w:highlight w:val="none"/>
        </w:rPr>
        <w:t xml:space="preserve">法定代表人承担被授权人在授权范围内履行职责产生的法律责任。本授权书自授权之日起生效。   </w:t>
      </w:r>
    </w:p>
    <w:tbl>
      <w:tblPr>
        <w:tblStyle w:val="8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066"/>
        <w:gridCol w:w="1588"/>
        <w:gridCol w:w="1134"/>
        <w:gridCol w:w="2608"/>
      </w:tblGrid>
      <w:tr w14:paraId="0933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14:paraId="6F401A0A">
            <w:pPr>
              <w:autoSpaceDE w:val="0"/>
              <w:autoSpaceDN w:val="0"/>
              <w:adjustRightInd w:val="0"/>
              <w:spacing w:line="480" w:lineRule="auto"/>
              <w:rPr>
                <w:szCs w:val="28"/>
                <w:highlight w:val="none"/>
              </w:rPr>
            </w:pPr>
            <w:r>
              <w:rPr>
                <w:szCs w:val="28"/>
                <w:highlight w:val="none"/>
              </w:rPr>
              <w:t>被授权人基本情况</w:t>
            </w:r>
          </w:p>
        </w:tc>
      </w:tr>
      <w:tr w14:paraId="4589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2786DF4A">
            <w:pPr>
              <w:spacing w:line="480" w:lineRule="auto"/>
              <w:rPr>
                <w:szCs w:val="28"/>
                <w:highlight w:val="none"/>
              </w:rPr>
            </w:pPr>
            <w:r>
              <w:rPr>
                <w:szCs w:val="28"/>
                <w:highlight w:val="none"/>
              </w:rPr>
              <w:t>姓名</w:t>
            </w:r>
          </w:p>
        </w:tc>
        <w:tc>
          <w:tcPr>
            <w:tcW w:w="2654" w:type="dxa"/>
            <w:gridSpan w:val="2"/>
            <w:vAlign w:val="center"/>
          </w:tcPr>
          <w:p w14:paraId="7C30DA78">
            <w:pPr>
              <w:spacing w:line="480" w:lineRule="auto"/>
              <w:rPr>
                <w:szCs w:val="28"/>
                <w:highlight w:val="none"/>
              </w:rPr>
            </w:pPr>
          </w:p>
        </w:tc>
        <w:tc>
          <w:tcPr>
            <w:tcW w:w="3742" w:type="dxa"/>
            <w:gridSpan w:val="2"/>
            <w:vAlign w:val="center"/>
          </w:tcPr>
          <w:p w14:paraId="793A1D75">
            <w:pPr>
              <w:spacing w:line="480" w:lineRule="auto"/>
              <w:rPr>
                <w:szCs w:val="28"/>
                <w:highlight w:val="none"/>
              </w:rPr>
            </w:pPr>
            <w:r>
              <w:rPr>
                <w:szCs w:val="28"/>
                <w:highlight w:val="none"/>
              </w:rPr>
              <w:t>身份证编号：</w:t>
            </w:r>
            <w:r>
              <w:rPr>
                <w:rFonts w:ascii="宋体" w:hAnsi="宋体"/>
                <w:szCs w:val="28"/>
                <w:highlight w:val="none"/>
              </w:rPr>
              <w:t xml:space="preserve"> </w:t>
            </w:r>
          </w:p>
        </w:tc>
      </w:tr>
      <w:tr w14:paraId="215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792D1D4">
            <w:pPr>
              <w:spacing w:line="480" w:lineRule="auto"/>
              <w:rPr>
                <w:szCs w:val="28"/>
                <w:highlight w:val="none"/>
              </w:rPr>
            </w:pPr>
            <w:r>
              <w:rPr>
                <w:szCs w:val="28"/>
                <w:highlight w:val="none"/>
              </w:rPr>
              <w:t>电话</w:t>
            </w:r>
          </w:p>
        </w:tc>
        <w:tc>
          <w:tcPr>
            <w:tcW w:w="2654" w:type="dxa"/>
            <w:gridSpan w:val="2"/>
            <w:vAlign w:val="center"/>
          </w:tcPr>
          <w:p w14:paraId="16887E25">
            <w:pPr>
              <w:spacing w:line="480" w:lineRule="auto"/>
              <w:rPr>
                <w:szCs w:val="28"/>
                <w:highlight w:val="none"/>
              </w:rPr>
            </w:pPr>
          </w:p>
        </w:tc>
        <w:tc>
          <w:tcPr>
            <w:tcW w:w="3742" w:type="dxa"/>
            <w:gridSpan w:val="2"/>
            <w:vAlign w:val="center"/>
          </w:tcPr>
          <w:p w14:paraId="0D5C19E7">
            <w:pPr>
              <w:rPr>
                <w:szCs w:val="28"/>
                <w:highlight w:val="none"/>
              </w:rPr>
            </w:pPr>
            <w:r>
              <w:rPr>
                <w:szCs w:val="28"/>
                <w:highlight w:val="none"/>
              </w:rPr>
              <w:t>户籍所在地：</w:t>
            </w:r>
          </w:p>
        </w:tc>
      </w:tr>
      <w:tr w14:paraId="09A6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Merge w:val="restart"/>
            <w:vAlign w:val="center"/>
          </w:tcPr>
          <w:p w14:paraId="220EB9C6">
            <w:pPr>
              <w:spacing w:line="480" w:lineRule="auto"/>
              <w:rPr>
                <w:szCs w:val="28"/>
                <w:highlight w:val="none"/>
              </w:rPr>
            </w:pPr>
            <w:r>
              <w:rPr>
                <w:szCs w:val="28"/>
                <w:highlight w:val="none"/>
              </w:rPr>
              <w:t>注册证书</w:t>
            </w:r>
          </w:p>
        </w:tc>
        <w:tc>
          <w:tcPr>
            <w:tcW w:w="1066" w:type="dxa"/>
            <w:vAlign w:val="center"/>
          </w:tcPr>
          <w:p w14:paraId="29F9A4F7">
            <w:pPr>
              <w:spacing w:line="480" w:lineRule="auto"/>
              <w:rPr>
                <w:szCs w:val="28"/>
                <w:highlight w:val="none"/>
              </w:rPr>
            </w:pPr>
            <w:r>
              <w:rPr>
                <w:szCs w:val="28"/>
                <w:highlight w:val="none"/>
              </w:rPr>
              <w:t>编号</w:t>
            </w:r>
          </w:p>
        </w:tc>
        <w:tc>
          <w:tcPr>
            <w:tcW w:w="1588" w:type="dxa"/>
            <w:vAlign w:val="center"/>
          </w:tcPr>
          <w:p w14:paraId="693A6EDF">
            <w:pPr>
              <w:spacing w:line="480" w:lineRule="auto"/>
              <w:rPr>
                <w:szCs w:val="28"/>
                <w:highlight w:val="none"/>
              </w:rPr>
            </w:pPr>
          </w:p>
        </w:tc>
        <w:tc>
          <w:tcPr>
            <w:tcW w:w="1134" w:type="dxa"/>
            <w:vAlign w:val="center"/>
          </w:tcPr>
          <w:p w14:paraId="01BC445F">
            <w:pPr>
              <w:spacing w:line="480" w:lineRule="auto"/>
              <w:rPr>
                <w:szCs w:val="28"/>
                <w:highlight w:val="none"/>
              </w:rPr>
            </w:pPr>
            <w:r>
              <w:rPr>
                <w:szCs w:val="28"/>
                <w:highlight w:val="none"/>
              </w:rPr>
              <w:t>类别</w:t>
            </w:r>
          </w:p>
        </w:tc>
        <w:tc>
          <w:tcPr>
            <w:tcW w:w="2608" w:type="dxa"/>
            <w:vAlign w:val="center"/>
          </w:tcPr>
          <w:p w14:paraId="2E979E72">
            <w:pPr>
              <w:spacing w:line="480" w:lineRule="auto"/>
              <w:rPr>
                <w:szCs w:val="28"/>
                <w:highlight w:val="none"/>
              </w:rPr>
            </w:pPr>
          </w:p>
        </w:tc>
      </w:tr>
      <w:tr w14:paraId="1B95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Merge w:val="continue"/>
            <w:vAlign w:val="center"/>
          </w:tcPr>
          <w:p w14:paraId="495E929D">
            <w:pPr>
              <w:spacing w:line="480" w:lineRule="auto"/>
              <w:rPr>
                <w:szCs w:val="28"/>
                <w:highlight w:val="none"/>
              </w:rPr>
            </w:pPr>
          </w:p>
        </w:tc>
        <w:tc>
          <w:tcPr>
            <w:tcW w:w="1066" w:type="dxa"/>
            <w:vAlign w:val="center"/>
          </w:tcPr>
          <w:p w14:paraId="4C2B60D5">
            <w:pPr>
              <w:spacing w:line="480" w:lineRule="auto"/>
              <w:rPr>
                <w:szCs w:val="28"/>
                <w:highlight w:val="none"/>
              </w:rPr>
            </w:pPr>
            <w:r>
              <w:rPr>
                <w:szCs w:val="28"/>
                <w:highlight w:val="none"/>
              </w:rPr>
              <w:t>专业</w:t>
            </w:r>
          </w:p>
        </w:tc>
        <w:tc>
          <w:tcPr>
            <w:tcW w:w="1588" w:type="dxa"/>
            <w:vAlign w:val="center"/>
          </w:tcPr>
          <w:p w14:paraId="372EB661">
            <w:pPr>
              <w:spacing w:line="480" w:lineRule="auto"/>
              <w:rPr>
                <w:szCs w:val="28"/>
                <w:highlight w:val="none"/>
              </w:rPr>
            </w:pPr>
          </w:p>
        </w:tc>
        <w:tc>
          <w:tcPr>
            <w:tcW w:w="1134" w:type="dxa"/>
            <w:vAlign w:val="center"/>
          </w:tcPr>
          <w:p w14:paraId="16176967">
            <w:pPr>
              <w:spacing w:line="480" w:lineRule="auto"/>
              <w:rPr>
                <w:szCs w:val="28"/>
                <w:highlight w:val="none"/>
              </w:rPr>
            </w:pPr>
            <w:r>
              <w:rPr>
                <w:szCs w:val="28"/>
                <w:highlight w:val="none"/>
              </w:rPr>
              <w:t>期限</w:t>
            </w:r>
          </w:p>
        </w:tc>
        <w:tc>
          <w:tcPr>
            <w:tcW w:w="2608" w:type="dxa"/>
            <w:vAlign w:val="center"/>
          </w:tcPr>
          <w:p w14:paraId="1B3356CF">
            <w:pPr>
              <w:spacing w:line="480" w:lineRule="auto"/>
              <w:rPr>
                <w:szCs w:val="28"/>
                <w:highlight w:val="none"/>
              </w:rPr>
            </w:pPr>
            <w:r>
              <w:rPr>
                <w:szCs w:val="28"/>
                <w:highlight w:val="none"/>
              </w:rPr>
              <w:t xml:space="preserve"> </w:t>
            </w:r>
          </w:p>
        </w:tc>
      </w:tr>
      <w:tr w14:paraId="0546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62C360EA">
            <w:pPr>
              <w:spacing w:line="480" w:lineRule="auto"/>
              <w:rPr>
                <w:szCs w:val="28"/>
                <w:highlight w:val="none"/>
              </w:rPr>
            </w:pPr>
            <w:r>
              <w:rPr>
                <w:szCs w:val="28"/>
                <w:highlight w:val="none"/>
              </w:rPr>
              <w:t>备注</w:t>
            </w:r>
          </w:p>
        </w:tc>
        <w:tc>
          <w:tcPr>
            <w:tcW w:w="6396" w:type="dxa"/>
            <w:gridSpan w:val="4"/>
            <w:vAlign w:val="center"/>
          </w:tcPr>
          <w:p w14:paraId="7C69E36C">
            <w:pPr>
              <w:spacing w:line="480" w:lineRule="auto"/>
              <w:rPr>
                <w:szCs w:val="28"/>
                <w:highlight w:val="none"/>
              </w:rPr>
            </w:pPr>
          </w:p>
        </w:tc>
      </w:tr>
      <w:tr w14:paraId="015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14:paraId="7EC5B289">
            <w:pPr>
              <w:spacing w:line="480" w:lineRule="auto"/>
              <w:rPr>
                <w:szCs w:val="28"/>
                <w:highlight w:val="none"/>
              </w:rPr>
            </w:pPr>
          </w:p>
        </w:tc>
      </w:tr>
    </w:tbl>
    <w:p w14:paraId="3D90FDD2">
      <w:pPr>
        <w:spacing w:line="360" w:lineRule="auto"/>
        <w:ind w:right="640" w:firstLine="480" w:firstLineChars="200"/>
        <w:jc w:val="right"/>
        <w:rPr>
          <w:sz w:val="24"/>
          <w:highlight w:val="none"/>
        </w:rPr>
      </w:pPr>
    </w:p>
    <w:p w14:paraId="7E66355B">
      <w:pPr>
        <w:spacing w:line="360" w:lineRule="auto"/>
        <w:ind w:right="10" w:firstLine="420" w:firstLineChars="200"/>
        <w:jc w:val="center"/>
        <w:rPr>
          <w:szCs w:val="21"/>
          <w:highlight w:val="none"/>
          <w:u w:val="single"/>
        </w:rPr>
      </w:pPr>
      <w:r>
        <w:rPr>
          <w:rFonts w:hint="eastAsia"/>
          <w:szCs w:val="21"/>
          <w:highlight w:val="none"/>
        </w:rPr>
        <w:t xml:space="preserve">               </w:t>
      </w:r>
      <w:r>
        <w:rPr>
          <w:szCs w:val="21"/>
          <w:highlight w:val="none"/>
        </w:rPr>
        <w:t>授权单位名称（公章）：</w:t>
      </w:r>
    </w:p>
    <w:p w14:paraId="3219E815">
      <w:pPr>
        <w:spacing w:line="360" w:lineRule="auto"/>
        <w:ind w:right="1270" w:firstLine="4725" w:firstLineChars="2250"/>
        <w:rPr>
          <w:rFonts w:eastAsia="Calibri"/>
          <w:szCs w:val="21"/>
          <w:highlight w:val="none"/>
        </w:rPr>
      </w:pPr>
      <w:r>
        <w:rPr>
          <w:szCs w:val="21"/>
          <w:highlight w:val="none"/>
        </w:rPr>
        <w:t>法定代表人（签字</w:t>
      </w:r>
      <w:r>
        <w:rPr>
          <w:rFonts w:hint="eastAsia"/>
          <w:szCs w:val="21"/>
          <w:highlight w:val="none"/>
        </w:rPr>
        <w:t>或盖章</w:t>
      </w:r>
      <w:r>
        <w:rPr>
          <w:szCs w:val="21"/>
          <w:highlight w:val="none"/>
        </w:rPr>
        <w:t>）：</w:t>
      </w:r>
    </w:p>
    <w:p w14:paraId="26E94991">
      <w:pPr>
        <w:spacing w:line="360" w:lineRule="auto"/>
        <w:ind w:right="660" w:firstLine="4725" w:firstLineChars="2250"/>
        <w:rPr>
          <w:rFonts w:eastAsia="Calibri"/>
          <w:szCs w:val="21"/>
          <w:highlight w:val="none"/>
        </w:rPr>
        <w:sectPr>
          <w:footerReference r:id="rId30" w:type="first"/>
          <w:footerReference r:id="rId29" w:type="default"/>
          <w:pgSz w:w="11906" w:h="16838"/>
          <w:pgMar w:top="1418" w:right="1134" w:bottom="1134" w:left="1134" w:header="851" w:footer="992" w:gutter="0"/>
          <w:cols w:space="720" w:num="1"/>
          <w:docGrid w:linePitch="312" w:charSpace="0"/>
        </w:sectPr>
      </w:pPr>
      <w:r>
        <w:rPr>
          <w:szCs w:val="21"/>
          <w:highlight w:val="none"/>
        </w:rPr>
        <w:t>授权日期：</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rFonts w:eastAsia="Calibri"/>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u w:val="single"/>
        </w:rPr>
        <w:t xml:space="preserve"> </w:t>
      </w:r>
      <w:r>
        <w:rPr>
          <w:szCs w:val="21"/>
          <w:highlight w:val="none"/>
        </w:rPr>
        <w:t>日</w:t>
      </w:r>
    </w:p>
    <w:p w14:paraId="5EB814A5">
      <w:pPr>
        <w:pStyle w:val="3"/>
        <w:ind w:left="426"/>
        <w:jc w:val="left"/>
        <w:rPr>
          <w:b w:val="0"/>
          <w:sz w:val="28"/>
          <w:szCs w:val="28"/>
          <w:highlight w:val="none"/>
        </w:rPr>
      </w:pPr>
      <w:bookmarkStart w:id="1508" w:name="_Toc4856"/>
      <w:r>
        <w:rPr>
          <w:rFonts w:hint="eastAsia"/>
          <w:b w:val="0"/>
          <w:sz w:val="28"/>
          <w:szCs w:val="28"/>
          <w:highlight w:val="none"/>
        </w:rPr>
        <w:t>附件九：北京市建设工程施工总承包单位项目负责人工程质量终身责任承诺书</w:t>
      </w:r>
      <w:bookmarkEnd w:id="1508"/>
    </w:p>
    <w:p w14:paraId="56FCD708">
      <w:pPr>
        <w:jc w:val="center"/>
        <w:rPr>
          <w:b/>
          <w:bCs/>
          <w:sz w:val="15"/>
          <w:szCs w:val="15"/>
          <w:highlight w:val="none"/>
        </w:rPr>
      </w:pPr>
      <w:r>
        <w:rPr>
          <w:b/>
          <w:bCs/>
          <w:sz w:val="48"/>
          <w:szCs w:val="48"/>
          <w:highlight w:val="none"/>
        </w:rPr>
        <w:t>北京市建设工程施工总承包单位</w:t>
      </w:r>
    </w:p>
    <w:p w14:paraId="3CD2269F">
      <w:pPr>
        <w:jc w:val="center"/>
        <w:rPr>
          <w:b/>
          <w:bCs/>
          <w:sz w:val="15"/>
          <w:szCs w:val="15"/>
          <w:highlight w:val="none"/>
        </w:rPr>
      </w:pPr>
    </w:p>
    <w:p w14:paraId="65207DFF">
      <w:pPr>
        <w:jc w:val="center"/>
        <w:rPr>
          <w:b/>
          <w:bCs/>
          <w:sz w:val="48"/>
          <w:szCs w:val="48"/>
          <w:highlight w:val="none"/>
        </w:rPr>
      </w:pPr>
      <w:r>
        <w:rPr>
          <w:b/>
          <w:bCs/>
          <w:sz w:val="48"/>
          <w:szCs w:val="48"/>
          <w:highlight w:val="none"/>
        </w:rPr>
        <w:t>项目负责人工程质量终身责任</w:t>
      </w:r>
    </w:p>
    <w:p w14:paraId="2A8E907B">
      <w:pPr>
        <w:rPr>
          <w:b/>
          <w:bCs/>
          <w:sz w:val="48"/>
          <w:szCs w:val="48"/>
          <w:highlight w:val="none"/>
        </w:rPr>
      </w:pPr>
    </w:p>
    <w:p w14:paraId="3A49874A">
      <w:pPr>
        <w:jc w:val="center"/>
        <w:rPr>
          <w:b/>
          <w:bCs/>
          <w:sz w:val="72"/>
          <w:szCs w:val="72"/>
          <w:highlight w:val="none"/>
        </w:rPr>
      </w:pPr>
      <w:r>
        <w:rPr>
          <w:b/>
          <w:bCs/>
          <w:sz w:val="72"/>
          <w:szCs w:val="72"/>
          <w:highlight w:val="none"/>
        </w:rPr>
        <w:t>承</w:t>
      </w:r>
    </w:p>
    <w:p w14:paraId="31D7FC19">
      <w:pPr>
        <w:jc w:val="center"/>
        <w:rPr>
          <w:b/>
          <w:bCs/>
          <w:sz w:val="72"/>
          <w:szCs w:val="72"/>
          <w:highlight w:val="none"/>
        </w:rPr>
      </w:pPr>
    </w:p>
    <w:p w14:paraId="45EF193B">
      <w:pPr>
        <w:jc w:val="center"/>
        <w:rPr>
          <w:b/>
          <w:bCs/>
          <w:sz w:val="72"/>
          <w:szCs w:val="72"/>
          <w:highlight w:val="none"/>
        </w:rPr>
      </w:pPr>
      <w:r>
        <w:rPr>
          <w:b/>
          <w:bCs/>
          <w:sz w:val="72"/>
          <w:szCs w:val="72"/>
          <w:highlight w:val="none"/>
        </w:rPr>
        <w:t>诺</w:t>
      </w:r>
    </w:p>
    <w:p w14:paraId="00A7D796">
      <w:pPr>
        <w:jc w:val="center"/>
        <w:rPr>
          <w:b/>
          <w:bCs/>
          <w:sz w:val="72"/>
          <w:szCs w:val="72"/>
          <w:highlight w:val="none"/>
        </w:rPr>
      </w:pPr>
    </w:p>
    <w:p w14:paraId="42063F3A">
      <w:pPr>
        <w:jc w:val="center"/>
        <w:rPr>
          <w:b/>
          <w:bCs/>
          <w:sz w:val="72"/>
          <w:szCs w:val="72"/>
          <w:highlight w:val="none"/>
        </w:rPr>
      </w:pPr>
      <w:r>
        <w:rPr>
          <w:b/>
          <w:bCs/>
          <w:sz w:val="72"/>
          <w:szCs w:val="72"/>
          <w:highlight w:val="none"/>
        </w:rPr>
        <w:t>书</w:t>
      </w:r>
    </w:p>
    <w:p w14:paraId="04B47495">
      <w:pPr>
        <w:jc w:val="left"/>
        <w:rPr>
          <w:b/>
          <w:bCs/>
          <w:sz w:val="32"/>
          <w:szCs w:val="32"/>
          <w:highlight w:val="none"/>
        </w:rPr>
      </w:pPr>
    </w:p>
    <w:p w14:paraId="19E93546">
      <w:pPr>
        <w:jc w:val="left"/>
        <w:rPr>
          <w:sz w:val="18"/>
          <w:szCs w:val="18"/>
          <w:highlight w:val="none"/>
        </w:rPr>
      </w:pPr>
      <w:r>
        <w:rPr>
          <w:sz w:val="36"/>
          <w:szCs w:val="36"/>
          <w:highlight w:val="none"/>
        </w:rPr>
        <w:t xml:space="preserve">         </w:t>
      </w:r>
    </w:p>
    <w:p w14:paraId="22AD7A4D">
      <w:pPr>
        <w:ind w:left="1807" w:hanging="1807" w:hangingChars="500"/>
        <w:jc w:val="left"/>
        <w:rPr>
          <w:b/>
          <w:bCs/>
          <w:sz w:val="36"/>
          <w:szCs w:val="36"/>
          <w:highlight w:val="none"/>
        </w:rPr>
      </w:pPr>
      <w:r>
        <w:rPr>
          <w:b/>
          <w:bCs/>
          <w:sz w:val="36"/>
          <w:szCs w:val="36"/>
          <w:highlight w:val="none"/>
        </w:rPr>
        <w:t xml:space="preserve">工程名称： </w:t>
      </w:r>
      <w:r>
        <w:rPr>
          <w:rFonts w:hint="eastAsia"/>
          <w:b/>
          <w:bCs/>
          <w:sz w:val="36"/>
          <w:szCs w:val="36"/>
          <w:highlight w:val="none"/>
          <w:u w:val="single"/>
        </w:rPr>
        <w:t xml:space="preserve">          </w:t>
      </w:r>
    </w:p>
    <w:p w14:paraId="74399477">
      <w:pPr>
        <w:jc w:val="left"/>
        <w:rPr>
          <w:b/>
          <w:bCs/>
          <w:sz w:val="36"/>
          <w:szCs w:val="36"/>
          <w:highlight w:val="none"/>
        </w:rPr>
      </w:pPr>
      <w:r>
        <w:rPr>
          <w:b/>
          <w:bCs/>
          <w:sz w:val="36"/>
          <w:szCs w:val="36"/>
          <w:highlight w:val="none"/>
        </w:rPr>
        <w:t>施工总承包单位：</w:t>
      </w:r>
      <w:r>
        <w:rPr>
          <w:rFonts w:hint="eastAsia"/>
          <w:b/>
          <w:bCs/>
          <w:sz w:val="36"/>
          <w:szCs w:val="36"/>
          <w:highlight w:val="none"/>
          <w:u w:val="single"/>
        </w:rPr>
        <w:t xml:space="preserve">          </w:t>
      </w:r>
    </w:p>
    <w:p w14:paraId="600197C8">
      <w:pPr>
        <w:jc w:val="left"/>
        <w:rPr>
          <w:b/>
          <w:bCs/>
          <w:sz w:val="36"/>
          <w:szCs w:val="36"/>
          <w:highlight w:val="none"/>
        </w:rPr>
      </w:pPr>
      <w:r>
        <w:rPr>
          <w:b/>
          <w:bCs/>
          <w:sz w:val="36"/>
          <w:szCs w:val="36"/>
          <w:highlight w:val="none"/>
        </w:rPr>
        <w:t>法定代表人</w:t>
      </w:r>
      <w:r>
        <w:rPr>
          <w:rFonts w:hint="eastAsia"/>
          <w:b/>
          <w:bCs/>
          <w:sz w:val="36"/>
          <w:szCs w:val="36"/>
          <w:highlight w:val="none"/>
        </w:rPr>
        <w:t>：</w:t>
      </w:r>
      <w:r>
        <w:rPr>
          <w:rFonts w:hint="eastAsia"/>
          <w:b/>
          <w:bCs/>
          <w:sz w:val="36"/>
          <w:szCs w:val="36"/>
          <w:highlight w:val="none"/>
          <w:u w:val="single"/>
        </w:rPr>
        <w:t xml:space="preserve">          </w:t>
      </w:r>
    </w:p>
    <w:p w14:paraId="3828CBEB">
      <w:pPr>
        <w:jc w:val="left"/>
        <w:rPr>
          <w:b/>
          <w:bCs/>
          <w:sz w:val="18"/>
          <w:szCs w:val="18"/>
          <w:highlight w:val="none"/>
        </w:rPr>
      </w:pPr>
      <w:r>
        <w:rPr>
          <w:b/>
          <w:bCs/>
          <w:sz w:val="36"/>
          <w:szCs w:val="36"/>
          <w:highlight w:val="none"/>
        </w:rPr>
        <w:t xml:space="preserve">项目负责人： </w:t>
      </w:r>
      <w:r>
        <w:rPr>
          <w:rFonts w:hint="eastAsia"/>
          <w:b/>
          <w:bCs/>
          <w:sz w:val="36"/>
          <w:szCs w:val="36"/>
          <w:highlight w:val="none"/>
          <w:u w:val="single"/>
        </w:rPr>
        <w:t xml:space="preserve">           </w:t>
      </w:r>
    </w:p>
    <w:p w14:paraId="1023BE4E">
      <w:pPr>
        <w:spacing w:line="360" w:lineRule="auto"/>
        <w:jc w:val="center"/>
        <w:rPr>
          <w:sz w:val="28"/>
          <w:szCs w:val="28"/>
          <w:highlight w:val="none"/>
        </w:rPr>
      </w:pPr>
      <w:r>
        <w:rPr>
          <w:highlight w:val="none"/>
        </w:rPr>
        <w:br w:type="page"/>
      </w:r>
      <w:r>
        <w:rPr>
          <w:b/>
          <w:bCs/>
          <w:sz w:val="28"/>
          <w:szCs w:val="28"/>
          <w:highlight w:val="none"/>
        </w:rPr>
        <w:t>承诺书</w:t>
      </w:r>
    </w:p>
    <w:p w14:paraId="46487833">
      <w:pPr>
        <w:spacing w:line="360" w:lineRule="auto"/>
        <w:jc w:val="center"/>
        <w:rPr>
          <w:szCs w:val="21"/>
          <w:highlight w:val="none"/>
        </w:rPr>
      </w:pPr>
    </w:p>
    <w:p w14:paraId="65380967">
      <w:pPr>
        <w:spacing w:line="360" w:lineRule="auto"/>
        <w:ind w:firstLine="630" w:firstLineChars="300"/>
        <w:rPr>
          <w:szCs w:val="21"/>
          <w:highlight w:val="none"/>
          <w:u w:val="single"/>
        </w:rPr>
      </w:pPr>
      <w:r>
        <w:rPr>
          <w:szCs w:val="21"/>
          <w:highlight w:val="none"/>
        </w:rPr>
        <w:t>本人</w:t>
      </w:r>
      <w:r>
        <w:rPr>
          <w:rFonts w:hint="eastAsia"/>
          <w:szCs w:val="21"/>
          <w:highlight w:val="none"/>
          <w:u w:val="single"/>
        </w:rPr>
        <w:t xml:space="preserve">     </w:t>
      </w:r>
      <w:r>
        <w:rPr>
          <w:szCs w:val="21"/>
          <w:highlight w:val="none"/>
          <w:u w:val="single"/>
        </w:rPr>
        <w:t xml:space="preserve"> </w:t>
      </w:r>
      <w:r>
        <w:rPr>
          <w:szCs w:val="21"/>
          <w:highlight w:val="none"/>
        </w:rPr>
        <w:t>（身份证编号</w:t>
      </w:r>
      <w:r>
        <w:rPr>
          <w:rFonts w:hint="eastAsia"/>
          <w:szCs w:val="21"/>
          <w:highlight w:val="none"/>
          <w:u w:val="single"/>
        </w:rPr>
        <w:t xml:space="preserve">          </w:t>
      </w:r>
      <w:r>
        <w:rPr>
          <w:szCs w:val="21"/>
          <w:highlight w:val="none"/>
          <w:u w:val="single"/>
        </w:rPr>
        <w:t xml:space="preserve"> </w:t>
      </w:r>
      <w:r>
        <w:rPr>
          <w:szCs w:val="21"/>
          <w:highlight w:val="none"/>
        </w:rPr>
        <w:t>）受</w:t>
      </w:r>
      <w:r>
        <w:rPr>
          <w:rFonts w:hint="eastAsia"/>
          <w:szCs w:val="21"/>
          <w:highlight w:val="none"/>
          <w:u w:val="single"/>
        </w:rPr>
        <w:t xml:space="preserve">        </w:t>
      </w:r>
      <w:r>
        <w:rPr>
          <w:szCs w:val="21"/>
          <w:highlight w:val="none"/>
        </w:rPr>
        <w:t>单位（法定代表人：</w:t>
      </w:r>
      <w:r>
        <w:rPr>
          <w:rFonts w:hint="eastAsia"/>
          <w:bCs/>
          <w:szCs w:val="21"/>
          <w:highlight w:val="none"/>
          <w:u w:val="single"/>
        </w:rPr>
        <w:t xml:space="preserve">    </w:t>
      </w:r>
      <w:r>
        <w:rPr>
          <w:szCs w:val="21"/>
          <w:highlight w:val="none"/>
        </w:rPr>
        <w:t>授权），担任</w:t>
      </w:r>
      <w:r>
        <w:rPr>
          <w:rFonts w:hint="eastAsia"/>
          <w:szCs w:val="21"/>
          <w:highlight w:val="none"/>
          <w:u w:val="single"/>
        </w:rPr>
        <w:t xml:space="preserve">        （</w:t>
      </w:r>
      <w:r>
        <w:rPr>
          <w:szCs w:val="21"/>
          <w:highlight w:val="none"/>
        </w:rPr>
        <w:t>工程名称）的施工总承包单位项目负责人（项目经理），对该工程项目的施工工作实施组织管理，并依法对该工程项目在设计使用年限内的工程质量承担相应终身责任。本人将严格遵守职业道德，并代表施工总承包单位和我本人作出如下郑重承诺：</w:t>
      </w:r>
    </w:p>
    <w:p w14:paraId="31CD9C32">
      <w:pPr>
        <w:spacing w:line="360" w:lineRule="auto"/>
        <w:ind w:firstLine="630" w:firstLineChars="300"/>
        <w:rPr>
          <w:szCs w:val="21"/>
          <w:highlight w:val="none"/>
        </w:rPr>
      </w:pPr>
      <w:r>
        <w:rPr>
          <w:szCs w:val="21"/>
          <w:highlight w:val="none"/>
        </w:rPr>
        <w:t>一、严格按照《建筑法》、《中华人民共和国城乡规划法》、《建设工程质量管理条例》等国家和北京市有关建设工程的法律法规、标准规范、文件规定和工程设计文件、合同约定，认真履行施工总承包单位项目负责人的职责和义务。保证不违反法律法规和标准规范，不降低建设工程施工质量。</w:t>
      </w:r>
    </w:p>
    <w:p w14:paraId="37EDF398">
      <w:pPr>
        <w:spacing w:line="360" w:lineRule="auto"/>
        <w:ind w:firstLine="630" w:firstLineChars="300"/>
        <w:rPr>
          <w:szCs w:val="21"/>
          <w:highlight w:val="none"/>
        </w:rPr>
      </w:pPr>
      <w:r>
        <w:rPr>
          <w:szCs w:val="21"/>
          <w:highlight w:val="none"/>
        </w:rPr>
        <w:t>二、本人持有符合规定且有效的执业资格注册证书，在符合注册许可范围和聘用单位资质等级许可范围内进行执业。保证不以他人名义执业，不让其他人员借名替代，不超越许可范围执业。保证不违法分包，不与分包单位串通、弄虚作假、降低工程质量。</w:t>
      </w:r>
    </w:p>
    <w:p w14:paraId="3EA6E85C">
      <w:pPr>
        <w:spacing w:line="360" w:lineRule="auto"/>
        <w:ind w:firstLine="630" w:firstLineChars="300"/>
        <w:rPr>
          <w:szCs w:val="21"/>
          <w:highlight w:val="none"/>
        </w:rPr>
      </w:pPr>
      <w:r>
        <w:rPr>
          <w:szCs w:val="21"/>
          <w:highlight w:val="none"/>
        </w:rPr>
        <w:t>三、建立健全质量管理体系，按有关规定配备施工现场管理人员，保证相关人员持证上岗，落实质量责任制，保证不让分包单位以包代管；建立健全教育培训制度，保证不让未经教育培训或者考核不合格的人员上岗作业。</w:t>
      </w:r>
    </w:p>
    <w:p w14:paraId="242CD89B">
      <w:pPr>
        <w:spacing w:line="360" w:lineRule="auto"/>
        <w:ind w:firstLine="630" w:firstLineChars="300"/>
        <w:rPr>
          <w:szCs w:val="21"/>
          <w:highlight w:val="none"/>
        </w:rPr>
      </w:pPr>
      <w:r>
        <w:rPr>
          <w:szCs w:val="21"/>
          <w:highlight w:val="none"/>
        </w:rPr>
        <w:t>四、对应当实行抽样检测的建筑材料、商品混凝土、混凝土预制构件、建筑构配件和设备等，在建设单位或者监理单位见证下取样送检，经检测合格后使用；保证取样、封样、送检工作不弄虚作假；未经检验、检验不合格或者未经签字确认的，保证不在工程上使用或者安装。</w:t>
      </w:r>
    </w:p>
    <w:p w14:paraId="677E7B36">
      <w:pPr>
        <w:spacing w:line="360" w:lineRule="auto"/>
        <w:ind w:firstLine="630" w:firstLineChars="300"/>
        <w:rPr>
          <w:szCs w:val="21"/>
          <w:highlight w:val="none"/>
        </w:rPr>
      </w:pPr>
      <w:r>
        <w:rPr>
          <w:szCs w:val="21"/>
          <w:highlight w:val="none"/>
        </w:rPr>
        <w:t>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件和图纸有差错的，保证及时提出意见和建议。</w:t>
      </w:r>
    </w:p>
    <w:p w14:paraId="7A49BCB3">
      <w:pPr>
        <w:spacing w:line="360" w:lineRule="auto"/>
        <w:ind w:firstLine="630" w:firstLineChars="300"/>
        <w:rPr>
          <w:szCs w:val="21"/>
          <w:highlight w:val="none"/>
        </w:rPr>
      </w:pPr>
      <w:r>
        <w:rPr>
          <w:szCs w:val="21"/>
          <w:highlight w:val="none"/>
        </w:rPr>
        <w:t>六、保证使用北京市工商局和市住房和城乡建设委联合监制的《北京市预拌混凝土买卖合同》，签订后，严格执行。保证不签订阴阳合同，不在混凝土拌合物中加水或其它组分。</w:t>
      </w:r>
    </w:p>
    <w:p w14:paraId="79D9296B">
      <w:pPr>
        <w:spacing w:line="360" w:lineRule="auto"/>
        <w:ind w:firstLine="630" w:firstLineChars="300"/>
        <w:rPr>
          <w:szCs w:val="21"/>
          <w:highlight w:val="none"/>
        </w:rPr>
      </w:pPr>
      <w:r>
        <w:rPr>
          <w:szCs w:val="21"/>
          <w:highlight w:val="none"/>
        </w:rPr>
        <w:t>七、愿意接受政府建设主管部门和有关单位的检查、考核、指导。保证对存在的问题和隐患按要求整改，并按规定接受处理。</w:t>
      </w:r>
    </w:p>
    <w:p w14:paraId="1B16DA98">
      <w:pPr>
        <w:spacing w:line="360" w:lineRule="auto"/>
        <w:ind w:firstLine="630" w:firstLineChars="300"/>
        <w:rPr>
          <w:szCs w:val="21"/>
          <w:highlight w:val="none"/>
        </w:rPr>
      </w:pPr>
    </w:p>
    <w:p w14:paraId="56CCC246">
      <w:pPr>
        <w:topLinePunct/>
        <w:jc w:val="center"/>
        <w:rPr>
          <w:b/>
          <w:bCs/>
          <w:sz w:val="28"/>
          <w:szCs w:val="28"/>
          <w:highlight w:val="none"/>
        </w:rPr>
      </w:pPr>
    </w:p>
    <w:p w14:paraId="0845D518">
      <w:pPr>
        <w:topLinePunct/>
        <w:jc w:val="center"/>
        <w:rPr>
          <w:b/>
          <w:bCs/>
          <w:sz w:val="28"/>
          <w:szCs w:val="28"/>
          <w:highlight w:val="none"/>
        </w:rPr>
      </w:pPr>
    </w:p>
    <w:p w14:paraId="7A0CAF24">
      <w:pPr>
        <w:topLinePunct/>
        <w:jc w:val="center"/>
        <w:rPr>
          <w:b/>
          <w:bCs/>
          <w:sz w:val="28"/>
          <w:szCs w:val="28"/>
          <w:highlight w:val="none"/>
        </w:rPr>
      </w:pPr>
    </w:p>
    <w:p w14:paraId="53A7E579">
      <w:pPr>
        <w:topLinePunct/>
        <w:jc w:val="center"/>
        <w:rPr>
          <w:b/>
          <w:bCs/>
          <w:sz w:val="28"/>
          <w:szCs w:val="28"/>
          <w:highlight w:val="none"/>
        </w:rPr>
      </w:pPr>
    </w:p>
    <w:p w14:paraId="6B1B3449">
      <w:pPr>
        <w:topLinePunct/>
        <w:jc w:val="center"/>
        <w:rPr>
          <w:b/>
          <w:bCs/>
          <w:sz w:val="28"/>
          <w:szCs w:val="28"/>
          <w:highlight w:val="none"/>
        </w:rPr>
      </w:pPr>
    </w:p>
    <w:p w14:paraId="0DB1D2DA">
      <w:pPr>
        <w:topLinePunct/>
        <w:jc w:val="center"/>
        <w:rPr>
          <w:b/>
          <w:bCs/>
          <w:sz w:val="28"/>
          <w:szCs w:val="28"/>
          <w:highlight w:val="none"/>
        </w:rPr>
      </w:pPr>
    </w:p>
    <w:p w14:paraId="79F2B242">
      <w:pPr>
        <w:topLinePunct/>
        <w:jc w:val="center"/>
        <w:rPr>
          <w:b/>
          <w:bCs/>
          <w:sz w:val="28"/>
          <w:szCs w:val="28"/>
          <w:highlight w:val="none"/>
        </w:rPr>
      </w:pPr>
    </w:p>
    <w:p w14:paraId="6EAD8F9A">
      <w:pPr>
        <w:topLinePunct/>
        <w:jc w:val="center"/>
        <w:rPr>
          <w:b/>
          <w:bCs/>
          <w:sz w:val="28"/>
          <w:szCs w:val="28"/>
          <w:highlight w:val="none"/>
        </w:rPr>
      </w:pPr>
    </w:p>
    <w:p w14:paraId="136AEA14">
      <w:pPr>
        <w:topLinePunct/>
        <w:jc w:val="center"/>
        <w:rPr>
          <w:b/>
          <w:bCs/>
          <w:sz w:val="28"/>
          <w:szCs w:val="28"/>
          <w:highlight w:val="none"/>
        </w:rPr>
      </w:pPr>
    </w:p>
    <w:p w14:paraId="07A2C0BC">
      <w:pPr>
        <w:topLinePunct/>
        <w:jc w:val="center"/>
        <w:rPr>
          <w:b/>
          <w:bCs/>
          <w:sz w:val="28"/>
          <w:szCs w:val="28"/>
          <w:highlight w:val="none"/>
        </w:rPr>
      </w:pPr>
    </w:p>
    <w:p w14:paraId="09C89A02">
      <w:pPr>
        <w:topLinePunct/>
        <w:jc w:val="center"/>
        <w:rPr>
          <w:b/>
          <w:bCs/>
          <w:sz w:val="28"/>
          <w:szCs w:val="28"/>
          <w:highlight w:val="none"/>
        </w:rPr>
      </w:pPr>
      <w:r>
        <w:rPr>
          <w:b/>
          <w:bCs/>
          <w:sz w:val="28"/>
          <w:szCs w:val="28"/>
          <w:highlight w:val="none"/>
        </w:rPr>
        <w:t>承诺人信息</w:t>
      </w:r>
    </w:p>
    <w:tbl>
      <w:tblPr>
        <w:tblStyle w:val="8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46"/>
        <w:gridCol w:w="1715"/>
        <w:gridCol w:w="1716"/>
        <w:gridCol w:w="1718"/>
      </w:tblGrid>
      <w:tr w14:paraId="593F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3" w:type="dxa"/>
            <w:vAlign w:val="center"/>
          </w:tcPr>
          <w:p w14:paraId="6FC8EA8F">
            <w:pPr>
              <w:topLinePunct/>
              <w:jc w:val="center"/>
              <w:rPr>
                <w:bCs/>
                <w:szCs w:val="21"/>
                <w:highlight w:val="none"/>
              </w:rPr>
            </w:pPr>
            <w:r>
              <w:rPr>
                <w:bCs/>
                <w:szCs w:val="21"/>
                <w:highlight w:val="none"/>
              </w:rPr>
              <w:t>姓名</w:t>
            </w:r>
          </w:p>
        </w:tc>
        <w:tc>
          <w:tcPr>
            <w:tcW w:w="2046" w:type="dxa"/>
            <w:vAlign w:val="center"/>
          </w:tcPr>
          <w:p w14:paraId="09DB53C2">
            <w:pPr>
              <w:topLinePunct/>
              <w:jc w:val="center"/>
              <w:rPr>
                <w:rFonts w:ascii="宋体" w:hAnsi="宋体"/>
                <w:bCs/>
                <w:szCs w:val="21"/>
                <w:highlight w:val="none"/>
              </w:rPr>
            </w:pPr>
          </w:p>
        </w:tc>
        <w:tc>
          <w:tcPr>
            <w:tcW w:w="1715" w:type="dxa"/>
            <w:vAlign w:val="center"/>
          </w:tcPr>
          <w:p w14:paraId="3E28EADB">
            <w:pPr>
              <w:topLinePunct/>
              <w:jc w:val="center"/>
              <w:rPr>
                <w:rFonts w:ascii="宋体" w:hAnsi="宋体"/>
                <w:bCs/>
                <w:szCs w:val="21"/>
                <w:highlight w:val="none"/>
              </w:rPr>
            </w:pPr>
            <w:r>
              <w:rPr>
                <w:rFonts w:ascii="宋体" w:hAnsi="宋体"/>
                <w:bCs/>
                <w:szCs w:val="21"/>
                <w:highlight w:val="none"/>
              </w:rPr>
              <w:t>身份证编号</w:t>
            </w:r>
          </w:p>
        </w:tc>
        <w:tc>
          <w:tcPr>
            <w:tcW w:w="3434" w:type="dxa"/>
            <w:gridSpan w:val="2"/>
            <w:vAlign w:val="center"/>
          </w:tcPr>
          <w:p w14:paraId="42C6A1EF">
            <w:pPr>
              <w:topLinePunct/>
              <w:jc w:val="center"/>
              <w:rPr>
                <w:rFonts w:ascii="宋体" w:hAnsi="宋体"/>
                <w:bCs/>
                <w:szCs w:val="21"/>
                <w:highlight w:val="none"/>
              </w:rPr>
            </w:pPr>
          </w:p>
        </w:tc>
      </w:tr>
      <w:tr w14:paraId="6CB3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3" w:type="dxa"/>
            <w:vAlign w:val="center"/>
          </w:tcPr>
          <w:p w14:paraId="66DBB6B0">
            <w:pPr>
              <w:topLinePunct/>
              <w:jc w:val="center"/>
              <w:rPr>
                <w:bCs/>
                <w:szCs w:val="21"/>
                <w:highlight w:val="none"/>
              </w:rPr>
            </w:pPr>
            <w:r>
              <w:rPr>
                <w:bCs/>
                <w:szCs w:val="21"/>
                <w:highlight w:val="none"/>
              </w:rPr>
              <w:t>电话</w:t>
            </w:r>
          </w:p>
        </w:tc>
        <w:tc>
          <w:tcPr>
            <w:tcW w:w="2046" w:type="dxa"/>
            <w:vAlign w:val="center"/>
          </w:tcPr>
          <w:p w14:paraId="15FC5F92">
            <w:pPr>
              <w:topLinePunct/>
              <w:jc w:val="center"/>
              <w:rPr>
                <w:bCs/>
                <w:szCs w:val="21"/>
                <w:highlight w:val="none"/>
              </w:rPr>
            </w:pPr>
          </w:p>
        </w:tc>
        <w:tc>
          <w:tcPr>
            <w:tcW w:w="1715" w:type="dxa"/>
            <w:vAlign w:val="center"/>
          </w:tcPr>
          <w:p w14:paraId="0DEB3185">
            <w:pPr>
              <w:topLinePunct/>
              <w:jc w:val="center"/>
              <w:rPr>
                <w:bCs/>
                <w:szCs w:val="21"/>
                <w:highlight w:val="none"/>
              </w:rPr>
            </w:pPr>
            <w:r>
              <w:rPr>
                <w:bCs/>
                <w:szCs w:val="21"/>
                <w:highlight w:val="none"/>
              </w:rPr>
              <w:t>户籍所在地</w:t>
            </w:r>
          </w:p>
        </w:tc>
        <w:tc>
          <w:tcPr>
            <w:tcW w:w="3434" w:type="dxa"/>
            <w:gridSpan w:val="2"/>
            <w:vAlign w:val="center"/>
          </w:tcPr>
          <w:p w14:paraId="12D767C1">
            <w:pPr>
              <w:topLinePunct/>
              <w:jc w:val="center"/>
              <w:rPr>
                <w:bCs/>
                <w:szCs w:val="21"/>
                <w:highlight w:val="none"/>
              </w:rPr>
            </w:pPr>
          </w:p>
        </w:tc>
      </w:tr>
      <w:tr w14:paraId="7CDF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3" w:type="dxa"/>
            <w:vMerge w:val="restart"/>
            <w:vAlign w:val="center"/>
          </w:tcPr>
          <w:p w14:paraId="5060878A">
            <w:pPr>
              <w:topLinePunct/>
              <w:jc w:val="center"/>
              <w:rPr>
                <w:bCs/>
                <w:szCs w:val="21"/>
                <w:highlight w:val="none"/>
              </w:rPr>
            </w:pPr>
            <w:r>
              <w:rPr>
                <w:bCs/>
                <w:szCs w:val="21"/>
                <w:highlight w:val="none"/>
              </w:rPr>
              <w:t>注册</w:t>
            </w:r>
          </w:p>
          <w:p w14:paraId="223C8A95">
            <w:pPr>
              <w:topLinePunct/>
              <w:jc w:val="center"/>
              <w:rPr>
                <w:bCs/>
                <w:szCs w:val="21"/>
                <w:highlight w:val="none"/>
              </w:rPr>
            </w:pPr>
            <w:r>
              <w:rPr>
                <w:bCs/>
                <w:szCs w:val="21"/>
                <w:highlight w:val="none"/>
              </w:rPr>
              <w:t>证书</w:t>
            </w:r>
          </w:p>
        </w:tc>
        <w:tc>
          <w:tcPr>
            <w:tcW w:w="2046" w:type="dxa"/>
            <w:vAlign w:val="center"/>
          </w:tcPr>
          <w:p w14:paraId="079D3A9E">
            <w:pPr>
              <w:topLinePunct/>
              <w:jc w:val="center"/>
              <w:rPr>
                <w:bCs/>
                <w:szCs w:val="21"/>
                <w:highlight w:val="none"/>
              </w:rPr>
            </w:pPr>
            <w:r>
              <w:rPr>
                <w:bCs/>
                <w:szCs w:val="21"/>
                <w:highlight w:val="none"/>
              </w:rPr>
              <w:t>编号</w:t>
            </w:r>
          </w:p>
        </w:tc>
        <w:tc>
          <w:tcPr>
            <w:tcW w:w="1715" w:type="dxa"/>
            <w:vAlign w:val="center"/>
          </w:tcPr>
          <w:p w14:paraId="35DE73A0">
            <w:pPr>
              <w:spacing w:line="480" w:lineRule="auto"/>
              <w:rPr>
                <w:szCs w:val="21"/>
                <w:highlight w:val="none"/>
              </w:rPr>
            </w:pPr>
          </w:p>
        </w:tc>
        <w:tc>
          <w:tcPr>
            <w:tcW w:w="1716" w:type="dxa"/>
            <w:vAlign w:val="center"/>
          </w:tcPr>
          <w:p w14:paraId="32068BC1">
            <w:pPr>
              <w:topLinePunct/>
              <w:jc w:val="center"/>
              <w:rPr>
                <w:bCs/>
                <w:szCs w:val="21"/>
                <w:highlight w:val="none"/>
              </w:rPr>
            </w:pPr>
            <w:r>
              <w:rPr>
                <w:bCs/>
                <w:szCs w:val="21"/>
                <w:highlight w:val="none"/>
              </w:rPr>
              <w:t>类别</w:t>
            </w:r>
          </w:p>
        </w:tc>
        <w:tc>
          <w:tcPr>
            <w:tcW w:w="1718" w:type="dxa"/>
            <w:vAlign w:val="center"/>
          </w:tcPr>
          <w:p w14:paraId="402C41A8">
            <w:pPr>
              <w:spacing w:line="480" w:lineRule="auto"/>
              <w:rPr>
                <w:szCs w:val="21"/>
                <w:highlight w:val="none"/>
              </w:rPr>
            </w:pPr>
          </w:p>
        </w:tc>
      </w:tr>
      <w:tr w14:paraId="74C8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3" w:type="dxa"/>
            <w:vMerge w:val="continue"/>
            <w:vAlign w:val="center"/>
          </w:tcPr>
          <w:p w14:paraId="2970A144">
            <w:pPr>
              <w:topLinePunct/>
              <w:jc w:val="center"/>
              <w:rPr>
                <w:bCs/>
                <w:szCs w:val="21"/>
                <w:highlight w:val="none"/>
              </w:rPr>
            </w:pPr>
          </w:p>
        </w:tc>
        <w:tc>
          <w:tcPr>
            <w:tcW w:w="2046" w:type="dxa"/>
            <w:vAlign w:val="center"/>
          </w:tcPr>
          <w:p w14:paraId="60E76B84">
            <w:pPr>
              <w:topLinePunct/>
              <w:jc w:val="center"/>
              <w:rPr>
                <w:bCs/>
                <w:szCs w:val="21"/>
                <w:highlight w:val="none"/>
              </w:rPr>
            </w:pPr>
            <w:r>
              <w:rPr>
                <w:bCs/>
                <w:szCs w:val="21"/>
                <w:highlight w:val="none"/>
              </w:rPr>
              <w:t>专业</w:t>
            </w:r>
          </w:p>
        </w:tc>
        <w:tc>
          <w:tcPr>
            <w:tcW w:w="1715" w:type="dxa"/>
            <w:vAlign w:val="center"/>
          </w:tcPr>
          <w:p w14:paraId="2914A18A">
            <w:pPr>
              <w:spacing w:line="480" w:lineRule="auto"/>
              <w:rPr>
                <w:szCs w:val="21"/>
                <w:highlight w:val="none"/>
              </w:rPr>
            </w:pPr>
          </w:p>
        </w:tc>
        <w:tc>
          <w:tcPr>
            <w:tcW w:w="1716" w:type="dxa"/>
            <w:vAlign w:val="center"/>
          </w:tcPr>
          <w:p w14:paraId="1785E4E8">
            <w:pPr>
              <w:topLinePunct/>
              <w:jc w:val="center"/>
              <w:rPr>
                <w:bCs/>
                <w:szCs w:val="21"/>
                <w:highlight w:val="none"/>
              </w:rPr>
            </w:pPr>
            <w:r>
              <w:rPr>
                <w:bCs/>
                <w:szCs w:val="21"/>
                <w:highlight w:val="none"/>
              </w:rPr>
              <w:t>期限</w:t>
            </w:r>
          </w:p>
        </w:tc>
        <w:tc>
          <w:tcPr>
            <w:tcW w:w="1718" w:type="dxa"/>
            <w:vAlign w:val="center"/>
          </w:tcPr>
          <w:p w14:paraId="06AB4D7C">
            <w:pPr>
              <w:spacing w:line="480" w:lineRule="auto"/>
              <w:rPr>
                <w:szCs w:val="21"/>
                <w:highlight w:val="none"/>
              </w:rPr>
            </w:pPr>
          </w:p>
        </w:tc>
      </w:tr>
      <w:tr w14:paraId="1F5B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3" w:type="dxa"/>
            <w:vAlign w:val="center"/>
          </w:tcPr>
          <w:p w14:paraId="4152C5AE">
            <w:pPr>
              <w:topLinePunct/>
              <w:jc w:val="center"/>
              <w:rPr>
                <w:bCs/>
                <w:szCs w:val="21"/>
                <w:highlight w:val="none"/>
              </w:rPr>
            </w:pPr>
            <w:r>
              <w:rPr>
                <w:bCs/>
                <w:szCs w:val="21"/>
                <w:highlight w:val="none"/>
              </w:rPr>
              <w:t>备注</w:t>
            </w:r>
          </w:p>
        </w:tc>
        <w:tc>
          <w:tcPr>
            <w:tcW w:w="7195" w:type="dxa"/>
            <w:gridSpan w:val="4"/>
            <w:vAlign w:val="center"/>
          </w:tcPr>
          <w:p w14:paraId="1F767B0E">
            <w:pPr>
              <w:topLinePunct/>
              <w:rPr>
                <w:bCs/>
                <w:szCs w:val="21"/>
                <w:highlight w:val="none"/>
              </w:rPr>
            </w:pPr>
          </w:p>
        </w:tc>
      </w:tr>
    </w:tbl>
    <w:p w14:paraId="169F9275">
      <w:pPr>
        <w:rPr>
          <w:szCs w:val="21"/>
          <w:highlight w:val="none"/>
        </w:rPr>
      </w:pPr>
      <w:r>
        <w:rPr>
          <w:highlight w:val="none"/>
        </w:rPr>
        <w:drawing>
          <wp:anchor distT="0" distB="0" distL="114300" distR="114300" simplePos="0" relativeHeight="251662336" behindDoc="0" locked="0" layoutInCell="1" allowOverlap="1">
            <wp:simplePos x="0" y="0"/>
            <wp:positionH relativeFrom="column">
              <wp:posOffset>-398145</wp:posOffset>
            </wp:positionH>
            <wp:positionV relativeFrom="paragraph">
              <wp:posOffset>141605</wp:posOffset>
            </wp:positionV>
            <wp:extent cx="6227445" cy="3608705"/>
            <wp:effectExtent l="0" t="0" r="5715" b="3175"/>
            <wp:wrapNone/>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51"/>
                    <a:stretch>
                      <a:fillRect/>
                    </a:stretch>
                  </pic:blipFill>
                  <pic:spPr>
                    <a:xfrm>
                      <a:off x="0" y="0"/>
                      <a:ext cx="6227445" cy="3608705"/>
                    </a:xfrm>
                    <a:prstGeom prst="rect">
                      <a:avLst/>
                    </a:prstGeom>
                    <a:noFill/>
                    <a:ln>
                      <a:noFill/>
                    </a:ln>
                  </pic:spPr>
                </pic:pic>
              </a:graphicData>
            </a:graphic>
          </wp:anchor>
        </w:drawing>
      </w:r>
    </w:p>
    <w:p w14:paraId="02C251BF">
      <w:pPr>
        <w:rPr>
          <w:szCs w:val="21"/>
          <w:highlight w:val="none"/>
        </w:rPr>
      </w:pPr>
    </w:p>
    <w:p w14:paraId="73C6CB8C">
      <w:pPr>
        <w:rPr>
          <w:szCs w:val="21"/>
          <w:highlight w:val="none"/>
        </w:rPr>
      </w:pPr>
    </w:p>
    <w:p w14:paraId="2C7BBEC9">
      <w:pPr>
        <w:rPr>
          <w:szCs w:val="21"/>
          <w:highlight w:val="none"/>
        </w:rPr>
      </w:pPr>
    </w:p>
    <w:p w14:paraId="2252F86B">
      <w:pPr>
        <w:rPr>
          <w:szCs w:val="21"/>
          <w:highlight w:val="none"/>
        </w:rPr>
      </w:pPr>
    </w:p>
    <w:p w14:paraId="6410DAB7">
      <w:pPr>
        <w:rPr>
          <w:szCs w:val="21"/>
          <w:highlight w:val="none"/>
        </w:rPr>
      </w:pPr>
    </w:p>
    <w:p w14:paraId="75A38102">
      <w:pPr>
        <w:rPr>
          <w:szCs w:val="21"/>
          <w:highlight w:val="none"/>
        </w:rPr>
      </w:pPr>
    </w:p>
    <w:p w14:paraId="1C992476">
      <w:pPr>
        <w:rPr>
          <w:szCs w:val="21"/>
          <w:highlight w:val="none"/>
        </w:rPr>
      </w:pPr>
    </w:p>
    <w:p w14:paraId="3A188AB9">
      <w:pPr>
        <w:rPr>
          <w:szCs w:val="21"/>
          <w:highlight w:val="none"/>
        </w:rPr>
      </w:pPr>
    </w:p>
    <w:p w14:paraId="5A8EBC76">
      <w:pPr>
        <w:rPr>
          <w:szCs w:val="21"/>
          <w:highlight w:val="none"/>
        </w:rPr>
      </w:pPr>
    </w:p>
    <w:p w14:paraId="30E0F23B">
      <w:pPr>
        <w:rPr>
          <w:szCs w:val="21"/>
          <w:highlight w:val="none"/>
        </w:rPr>
      </w:pPr>
    </w:p>
    <w:p w14:paraId="40B98279">
      <w:pPr>
        <w:rPr>
          <w:szCs w:val="21"/>
          <w:highlight w:val="none"/>
        </w:rPr>
      </w:pPr>
    </w:p>
    <w:p w14:paraId="27CF28E9">
      <w:pPr>
        <w:rPr>
          <w:szCs w:val="21"/>
          <w:highlight w:val="none"/>
        </w:rPr>
      </w:pPr>
    </w:p>
    <w:p w14:paraId="51613B06">
      <w:pPr>
        <w:rPr>
          <w:szCs w:val="21"/>
          <w:highlight w:val="none"/>
        </w:rPr>
      </w:pPr>
    </w:p>
    <w:p w14:paraId="1A2240DB">
      <w:pPr>
        <w:rPr>
          <w:szCs w:val="21"/>
          <w:highlight w:val="none"/>
        </w:rPr>
      </w:pPr>
    </w:p>
    <w:p w14:paraId="2F1EC5B6">
      <w:pPr>
        <w:rPr>
          <w:szCs w:val="21"/>
          <w:highlight w:val="none"/>
        </w:rPr>
      </w:pPr>
    </w:p>
    <w:p w14:paraId="4A939AC7">
      <w:pPr>
        <w:rPr>
          <w:szCs w:val="21"/>
          <w:highlight w:val="none"/>
        </w:rPr>
      </w:pPr>
      <w:r>
        <w:rPr>
          <w:szCs w:val="21"/>
          <w:highlight w:val="none"/>
        </w:rPr>
        <w:t>承诺人（签字）             法定代表人（签字）             单位盖章（公章）</w:t>
      </w:r>
    </w:p>
    <w:p w14:paraId="1BA59EF5">
      <w:pPr>
        <w:rPr>
          <w:szCs w:val="21"/>
          <w:highlight w:val="none"/>
        </w:rPr>
      </w:pPr>
      <w:r>
        <w:rPr>
          <w:rFonts w:hint="eastAsia"/>
          <w:szCs w:val="21"/>
          <w:highlight w:val="none"/>
        </w:rPr>
        <w:t>承诺人签名：                  法定代表人签字或盖章：                单位公章：</w:t>
      </w:r>
    </w:p>
    <w:p w14:paraId="3BCFEE9A">
      <w:pPr>
        <w:rPr>
          <w:szCs w:val="21"/>
          <w:highlight w:val="none"/>
        </w:rPr>
      </w:pPr>
      <w:r>
        <w:rPr>
          <w:rFonts w:hint="eastAsia"/>
          <w:szCs w:val="21"/>
          <w:highlight w:val="none"/>
        </w:rPr>
        <w:t>签</w:t>
      </w:r>
      <w:r>
        <w:rPr>
          <w:szCs w:val="21"/>
          <w:highlight w:val="none"/>
        </w:rPr>
        <w:t>执业印章</w:t>
      </w:r>
      <w:r>
        <w:rPr>
          <w:rFonts w:hint="eastAsia"/>
          <w:szCs w:val="21"/>
          <w:highlight w:val="none"/>
        </w:rPr>
        <w:t>：</w:t>
      </w:r>
      <w:r>
        <w:rPr>
          <w:szCs w:val="21"/>
          <w:highlight w:val="none"/>
        </w:rPr>
        <w:t xml:space="preserve">                                              </w:t>
      </w:r>
    </w:p>
    <w:p w14:paraId="33015C5E">
      <w:pPr>
        <w:ind w:firstLine="630" w:firstLineChars="300"/>
        <w:rPr>
          <w:szCs w:val="21"/>
          <w:highlight w:val="none"/>
        </w:rPr>
      </w:pPr>
    </w:p>
    <w:p w14:paraId="5641547E">
      <w:pPr>
        <w:ind w:firstLine="630" w:firstLineChars="300"/>
        <w:jc w:val="right"/>
        <w:rPr>
          <w:highlight w:val="none"/>
        </w:rPr>
      </w:pPr>
      <w:r>
        <w:rPr>
          <w:rFonts w:hint="eastAsia"/>
          <w:szCs w:val="21"/>
          <w:highlight w:val="none"/>
        </w:rPr>
        <w:t xml:space="preserve"> </w:t>
      </w:r>
      <w:r>
        <w:rPr>
          <w:szCs w:val="21"/>
          <w:highlight w:val="none"/>
        </w:rPr>
        <w:t xml:space="preserve">年 </w:t>
      </w:r>
      <w:r>
        <w:rPr>
          <w:rFonts w:hint="eastAsia"/>
          <w:szCs w:val="21"/>
          <w:highlight w:val="none"/>
        </w:rPr>
        <w:t xml:space="preserve">   </w:t>
      </w:r>
      <w:r>
        <w:rPr>
          <w:szCs w:val="21"/>
          <w:highlight w:val="none"/>
        </w:rPr>
        <w:t>月</w:t>
      </w:r>
      <w:r>
        <w:rPr>
          <w:rFonts w:hint="eastAsia"/>
          <w:szCs w:val="21"/>
          <w:highlight w:val="none"/>
        </w:rPr>
        <w:t xml:space="preserve">    </w:t>
      </w:r>
      <w:r>
        <w:rPr>
          <w:szCs w:val="21"/>
          <w:highlight w:val="none"/>
        </w:rPr>
        <w:t>日</w:t>
      </w:r>
    </w:p>
    <w:p w14:paraId="23535784">
      <w:pPr>
        <w:spacing w:line="360" w:lineRule="auto"/>
        <w:rPr>
          <w:szCs w:val="21"/>
          <w:highlight w:val="none"/>
        </w:rPr>
      </w:pPr>
    </w:p>
    <w:p w14:paraId="4F513274">
      <w:pPr>
        <w:spacing w:line="360" w:lineRule="auto"/>
        <w:ind w:firstLine="630" w:firstLineChars="300"/>
        <w:rPr>
          <w:szCs w:val="21"/>
          <w:highlight w:val="none"/>
        </w:rPr>
      </w:pPr>
    </w:p>
    <w:p w14:paraId="79095B43">
      <w:pPr>
        <w:ind w:firstLine="630" w:firstLineChars="300"/>
        <w:rPr>
          <w:szCs w:val="21"/>
          <w:highlight w:val="none"/>
        </w:rPr>
      </w:pPr>
    </w:p>
    <w:p w14:paraId="76FF1259">
      <w:pPr>
        <w:rPr>
          <w:szCs w:val="21"/>
          <w:highlight w:val="none"/>
        </w:rPr>
      </w:pPr>
    </w:p>
    <w:p w14:paraId="326FC7A9">
      <w:pPr>
        <w:rPr>
          <w:szCs w:val="21"/>
          <w:highlight w:val="none"/>
        </w:rPr>
      </w:pPr>
      <w:r>
        <w:rPr>
          <w:szCs w:val="21"/>
          <w:highlight w:val="none"/>
        </w:rPr>
        <w:t>承诺人（签字）             法定代表人（签字）             单位盖章（公章）</w:t>
      </w:r>
    </w:p>
    <w:p w14:paraId="054B6475">
      <w:pPr>
        <w:rPr>
          <w:szCs w:val="21"/>
          <w:highlight w:val="none"/>
        </w:rPr>
      </w:pPr>
    </w:p>
    <w:p w14:paraId="3859899D">
      <w:pPr>
        <w:rPr>
          <w:szCs w:val="21"/>
          <w:highlight w:val="none"/>
        </w:rPr>
      </w:pPr>
      <w:r>
        <w:rPr>
          <w:rFonts w:hint="eastAsia"/>
          <w:szCs w:val="21"/>
          <w:highlight w:val="none"/>
        </w:rPr>
        <w:t>承诺人签名：                  法定代表人签字或盖章：                单位公章：</w:t>
      </w:r>
    </w:p>
    <w:p w14:paraId="5E010CD9">
      <w:pPr>
        <w:rPr>
          <w:szCs w:val="21"/>
          <w:highlight w:val="none"/>
        </w:rPr>
      </w:pPr>
    </w:p>
    <w:p w14:paraId="6956BF3D">
      <w:pPr>
        <w:rPr>
          <w:szCs w:val="21"/>
          <w:highlight w:val="none"/>
        </w:rPr>
      </w:pPr>
      <w:r>
        <w:rPr>
          <w:rFonts w:hint="eastAsia"/>
          <w:szCs w:val="21"/>
          <w:highlight w:val="none"/>
        </w:rPr>
        <w:t>签</w:t>
      </w:r>
      <w:r>
        <w:rPr>
          <w:szCs w:val="21"/>
          <w:highlight w:val="none"/>
        </w:rPr>
        <w:t>执业印章</w:t>
      </w:r>
      <w:r>
        <w:rPr>
          <w:rFonts w:hint="eastAsia"/>
          <w:szCs w:val="21"/>
          <w:highlight w:val="none"/>
        </w:rPr>
        <w:t>：</w:t>
      </w:r>
      <w:r>
        <w:rPr>
          <w:szCs w:val="21"/>
          <w:highlight w:val="none"/>
        </w:rPr>
        <w:t xml:space="preserve">                                              </w:t>
      </w:r>
    </w:p>
    <w:p w14:paraId="3FF38245">
      <w:pPr>
        <w:ind w:firstLine="630" w:firstLineChars="300"/>
        <w:rPr>
          <w:szCs w:val="21"/>
          <w:highlight w:val="none"/>
        </w:rPr>
      </w:pPr>
    </w:p>
    <w:p w14:paraId="7BD9553F">
      <w:pPr>
        <w:ind w:firstLine="630" w:firstLineChars="300"/>
        <w:jc w:val="right"/>
        <w:rPr>
          <w:highlight w:val="none"/>
        </w:rPr>
      </w:pPr>
      <w:r>
        <w:rPr>
          <w:rFonts w:hint="eastAsia"/>
          <w:szCs w:val="21"/>
          <w:highlight w:val="none"/>
        </w:rPr>
        <w:t xml:space="preserve"> </w:t>
      </w:r>
      <w:r>
        <w:rPr>
          <w:szCs w:val="21"/>
          <w:highlight w:val="none"/>
        </w:rPr>
        <w:t xml:space="preserve">年 </w:t>
      </w:r>
      <w:r>
        <w:rPr>
          <w:rFonts w:hint="eastAsia"/>
          <w:szCs w:val="21"/>
          <w:highlight w:val="none"/>
        </w:rPr>
        <w:t xml:space="preserve">   </w:t>
      </w:r>
      <w:r>
        <w:rPr>
          <w:szCs w:val="21"/>
          <w:highlight w:val="none"/>
        </w:rPr>
        <w:t>月</w:t>
      </w:r>
      <w:r>
        <w:rPr>
          <w:rFonts w:hint="eastAsia"/>
          <w:szCs w:val="21"/>
          <w:highlight w:val="none"/>
        </w:rPr>
        <w:t xml:space="preserve">    </w:t>
      </w:r>
      <w:r>
        <w:rPr>
          <w:szCs w:val="21"/>
          <w:highlight w:val="none"/>
        </w:rPr>
        <w:t>日</w:t>
      </w:r>
    </w:p>
    <w:p w14:paraId="257F6B3F">
      <w:pPr>
        <w:rPr>
          <w:highlight w:val="none"/>
        </w:rPr>
      </w:pPr>
    </w:p>
    <w:p w14:paraId="3D1997BB">
      <w:pPr>
        <w:spacing w:line="360" w:lineRule="auto"/>
        <w:jc w:val="center"/>
        <w:outlineLvl w:val="0"/>
        <w:rPr>
          <w:b/>
          <w:color w:val="000000" w:themeColor="text1"/>
          <w:sz w:val="36"/>
          <w:szCs w:val="36"/>
          <w:highlight w:val="none"/>
          <w14:textFill>
            <w14:solidFill>
              <w14:schemeClr w14:val="tx1"/>
            </w14:solidFill>
          </w14:textFill>
        </w:rPr>
        <w:sectPr>
          <w:headerReference r:id="rId31" w:type="default"/>
          <w:footerReference r:id="rId32" w:type="default"/>
          <w:pgSz w:w="11907" w:h="16840"/>
          <w:pgMar w:top="1418" w:right="1134" w:bottom="1418" w:left="1701" w:header="851" w:footer="851" w:gutter="0"/>
          <w:pgNumType w:fmt="decimal"/>
          <w:cols w:space="720" w:num="1"/>
          <w:docGrid w:linePitch="462" w:charSpace="0"/>
        </w:sectPr>
      </w:pPr>
    </w:p>
    <w:bookmarkEnd w:id="548"/>
    <w:bookmarkEnd w:id="549"/>
    <w:bookmarkEnd w:id="550"/>
    <w:bookmarkEnd w:id="551"/>
    <w:bookmarkEnd w:id="552"/>
    <w:bookmarkEnd w:id="553"/>
    <w:bookmarkEnd w:id="554"/>
    <w:p w14:paraId="7978C73B">
      <w:pPr>
        <w:rPr>
          <w:rFonts w:hint="eastAsia" w:ascii="宋体" w:hAnsi="宋体" w:eastAsia="宋体" w:cs="宋体"/>
          <w:b/>
          <w:sz w:val="36"/>
          <w:szCs w:val="36"/>
          <w:highlight w:val="none"/>
        </w:rPr>
      </w:pP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1509" w:name="_Hlk102135587"/>
      <w:r>
        <w:rPr>
          <w:rFonts w:hint="eastAsia" w:ascii="宋体" w:hAnsi="宋体" w:eastAsia="宋体" w:cs="宋体"/>
          <w:b/>
          <w:sz w:val="36"/>
          <w:szCs w:val="36"/>
          <w:highlight w:val="none"/>
        </w:rPr>
        <w:t>响应文件格式</w:t>
      </w:r>
      <w:bookmarkEnd w:id="547"/>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509"/>
      <w:bookmarkStart w:id="1510" w:name="_Toc265228397"/>
      <w:bookmarkStart w:id="1511" w:name="_Toc226965749"/>
      <w:bookmarkStart w:id="1512" w:name="_Toc226337255"/>
      <w:bookmarkStart w:id="1513" w:name="_Toc127151558"/>
      <w:bookmarkStart w:id="1514" w:name="_Toc142311060"/>
      <w:bookmarkStart w:id="1515" w:name="_Toc305158827"/>
      <w:bookmarkStart w:id="1516" w:name="_Toc150480796"/>
      <w:bookmarkStart w:id="1517" w:name="_Toc195842924"/>
      <w:bookmarkStart w:id="1518" w:name="_Toc226965832"/>
      <w:bookmarkStart w:id="1519" w:name="_Toc264969249"/>
      <w:bookmarkStart w:id="1520" w:name="_Toc226309803"/>
      <w:bookmarkStart w:id="1521" w:name="_Toc150774763"/>
      <w:bookmarkStart w:id="1522" w:name="_Toc305158901"/>
      <w:bookmarkStart w:id="1523"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86"/>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headerReference r:id="rId33" w:type="default"/>
          <w:footerReference r:id="rId3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36" w:type="first"/>
          <w:footerReference r:id="rId38" w:type="first"/>
          <w:headerReference r:id="rId35" w:type="even"/>
          <w:footerReference r:id="rId37"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4"/>
        <w:spacing w:line="379" w:lineRule="auto"/>
        <w:rPr>
          <w:rFonts w:hint="eastAsia" w:ascii="宋体" w:hAnsi="宋体" w:eastAsia="宋体" w:cs="宋体"/>
          <w:highlight w:val="none"/>
        </w:rPr>
      </w:pPr>
    </w:p>
    <w:p w14:paraId="598A135A">
      <w:pPr>
        <w:pStyle w:val="34"/>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4"/>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39" w:type="default"/>
          <w:footerReference r:id="rId40"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41" w:type="default"/>
          <w:pgSz w:w="11907" w:h="16840"/>
          <w:pgMar w:top="1183" w:right="1133" w:bottom="1057" w:left="1701" w:header="841" w:footer="886" w:gutter="0"/>
          <w:pgNumType w:fmt="decimal"/>
          <w:cols w:space="720" w:num="1"/>
        </w:sectPr>
      </w:pPr>
    </w:p>
    <w:p w14:paraId="5C22193C">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 其他特定资格要求</w:t>
      </w:r>
    </w:p>
    <w:p w14:paraId="7E288401">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eastAsia="宋体" w:cs="宋体"/>
          <w:sz w:val="24"/>
          <w:szCs w:val="24"/>
          <w:highlight w:val="none"/>
        </w:rPr>
        <w:br w:type="textWrapping"/>
      </w:r>
      <w:r>
        <w:rPr>
          <w:rFonts w:hint="eastAsia" w:ascii="宋体" w:hAnsi="宋体" w:cs="宋体"/>
          <w:sz w:val="24"/>
          <w:highlight w:val="none"/>
        </w:rPr>
        <w:t>（1）</w:t>
      </w:r>
      <w:r>
        <w:rPr>
          <w:rFonts w:hint="eastAsia" w:ascii="宋体" w:hAnsi="宋体"/>
          <w:sz w:val="24"/>
          <w:highlight w:val="none"/>
        </w:rPr>
        <w:t>供应商应具有独立法人资格并依法取得企业营业执照，营业执照处于有效期；</w:t>
      </w:r>
    </w:p>
    <w:p w14:paraId="38D40B9C">
      <w:pPr>
        <w:pStyle w:val="55"/>
        <w:keepNext w:val="0"/>
        <w:keepLines w:val="0"/>
        <w:pageBreakBefore w:val="0"/>
        <w:kinsoku/>
        <w:wordWrap/>
        <w:overflowPunct/>
        <w:topLinePunct w:val="0"/>
        <w:bidi w:val="0"/>
        <w:spacing w:line="360" w:lineRule="auto"/>
        <w:textAlignment w:val="auto"/>
        <w:rPr>
          <w:highlight w:val="none"/>
        </w:rPr>
      </w:pPr>
      <w:r>
        <w:rPr>
          <w:rFonts w:hint="eastAsia" w:hAnsi="宋体" w:cs="宋体"/>
          <w:sz w:val="24"/>
          <w:szCs w:val="24"/>
          <w:highlight w:val="none"/>
        </w:rPr>
        <w:t>（2）</w:t>
      </w:r>
      <w:r>
        <w:rPr>
          <w:rFonts w:hint="eastAsia" w:hAnsi="宋体"/>
          <w:sz w:val="24"/>
          <w:szCs w:val="24"/>
          <w:highlight w:val="none"/>
        </w:rPr>
        <w:t>外省市施工企业须具有《外省市建筑企业来京施工备案表》且在有效期内；</w:t>
      </w:r>
    </w:p>
    <w:p w14:paraId="5F782E4D">
      <w:pPr>
        <w:keepNext w:val="0"/>
        <w:keepLines w:val="0"/>
        <w:pageBreakBefore w:val="0"/>
        <w:kinsoku/>
        <w:wordWrap/>
        <w:overflowPunct/>
        <w:topLinePunct w:val="0"/>
        <w:bidi w:val="0"/>
        <w:spacing w:line="360" w:lineRule="auto"/>
        <w:textAlignment w:val="auto"/>
        <w:rPr>
          <w:rFonts w:hint="eastAsia" w:ascii="宋体" w:hAnsi="宋体" w:eastAsia="宋体"/>
          <w:sz w:val="24"/>
          <w:highlight w:val="none"/>
          <w:u w:val="none"/>
          <w:lang w:eastAsia="zh-CN"/>
        </w:rPr>
      </w:pPr>
      <w:r>
        <w:rPr>
          <w:rFonts w:hint="eastAsia" w:ascii="宋体" w:hAnsi="宋体" w:cs="宋体"/>
          <w:sz w:val="24"/>
          <w:highlight w:val="none"/>
        </w:rPr>
        <w:t>（3）</w:t>
      </w:r>
      <w:r>
        <w:rPr>
          <w:rFonts w:hint="eastAsia" w:ascii="宋体" w:hAnsi="宋体"/>
          <w:sz w:val="24"/>
          <w:highlight w:val="none"/>
          <w:lang w:eastAsia="zh-CN"/>
        </w:rPr>
        <w:t>供应商须具备</w:t>
      </w:r>
      <w:r>
        <w:rPr>
          <w:rFonts w:hint="eastAsia" w:ascii="宋体" w:hAnsi="宋体"/>
          <w:sz w:val="24"/>
          <w:highlight w:val="none"/>
          <w:lang w:eastAsia="zh-CN"/>
        </w:rPr>
        <w:t>建筑工程施工总承包三级（</w:t>
      </w:r>
      <w:r>
        <w:rPr>
          <w:rFonts w:hint="eastAsia" w:ascii="宋体" w:hAnsi="宋体"/>
          <w:sz w:val="24"/>
          <w:highlight w:val="none"/>
          <w:lang w:eastAsia="zh-CN"/>
        </w:rPr>
        <w:t>含）以上企业资质，并在人员、设备、资金等方面具有相应的施工能力；</w:t>
      </w:r>
    </w:p>
    <w:p w14:paraId="55553532">
      <w:pPr>
        <w:keepNext w:val="0"/>
        <w:keepLines w:val="0"/>
        <w:pageBreakBefore w:val="0"/>
        <w:kinsoku/>
        <w:wordWrap/>
        <w:overflowPunct/>
        <w:topLinePunct w:val="0"/>
        <w:bidi w:val="0"/>
        <w:spacing w:line="360" w:lineRule="auto"/>
        <w:textAlignment w:val="auto"/>
        <w:rPr>
          <w:rFonts w:ascii="宋体" w:hAnsi="宋体"/>
          <w:sz w:val="24"/>
          <w:highlight w:val="none"/>
          <w:u w:val="none"/>
        </w:rPr>
      </w:pPr>
      <w:r>
        <w:rPr>
          <w:rFonts w:hint="eastAsia" w:ascii="宋体" w:hAnsi="宋体" w:cs="Arial"/>
          <w:sz w:val="24"/>
          <w:highlight w:val="none"/>
          <w:u w:val="none"/>
        </w:rPr>
        <w:t>（4</w:t>
      </w:r>
      <w:r>
        <w:rPr>
          <w:rFonts w:hint="eastAsia" w:ascii="宋体" w:hAnsi="宋体"/>
          <w:sz w:val="24"/>
          <w:highlight w:val="none"/>
          <w:u w:val="none"/>
        </w:rPr>
        <w:t>）</w:t>
      </w:r>
      <w:r>
        <w:rPr>
          <w:rFonts w:hint="eastAsia" w:ascii="宋体" w:hAnsi="宋体"/>
          <w:sz w:val="24"/>
          <w:highlight w:val="none"/>
          <w:u w:val="none"/>
          <w:lang w:eastAsia="zh-CN"/>
        </w:rPr>
        <w:t>供应商拟派项目经理须具有</w:t>
      </w:r>
      <w:r>
        <w:rPr>
          <w:rFonts w:hint="eastAsia" w:ascii="宋体" w:hAnsi="宋体"/>
          <w:sz w:val="24"/>
          <w:highlight w:val="none"/>
          <w:u w:val="none"/>
          <w:lang w:eastAsia="zh-CN"/>
        </w:rPr>
        <w:t>建筑工程专业二级（含）以</w:t>
      </w:r>
      <w:r>
        <w:rPr>
          <w:rFonts w:hint="eastAsia" w:ascii="宋体" w:hAnsi="宋体"/>
          <w:sz w:val="24"/>
          <w:highlight w:val="none"/>
          <w:u w:val="none"/>
          <w:lang w:eastAsia="zh-CN"/>
        </w:rPr>
        <w:t>上注册建造师执业资格，具备有效的安全生产考核合格证书（B本）</w:t>
      </w:r>
      <w:r>
        <w:rPr>
          <w:rFonts w:hint="eastAsia" w:ascii="宋体" w:hAnsi="宋体"/>
          <w:sz w:val="24"/>
          <w:highlight w:val="none"/>
          <w:u w:val="none"/>
        </w:rPr>
        <w:t>，</w:t>
      </w:r>
      <w:r>
        <w:rPr>
          <w:rFonts w:hint="eastAsia" w:ascii="宋体" w:hAnsi="宋体"/>
          <w:b/>
          <w:bCs/>
          <w:sz w:val="24"/>
          <w:highlight w:val="none"/>
          <w:u w:val="none"/>
        </w:rPr>
        <w:t>且在确定中标人时未担任其他在施建设工程的项目经理</w:t>
      </w:r>
      <w:r>
        <w:rPr>
          <w:rFonts w:hint="eastAsia" w:ascii="宋体" w:hAnsi="宋体"/>
          <w:sz w:val="24"/>
          <w:highlight w:val="none"/>
          <w:u w:val="none"/>
        </w:rPr>
        <w:t>；</w:t>
      </w:r>
    </w:p>
    <w:p w14:paraId="6D0DF9A7">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（5）供应商具有安全生产许可证且处于有效期；</w:t>
      </w:r>
    </w:p>
    <w:p w14:paraId="47B5283E">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（6）企业信誉和财务状况良好，有足够的资金能力来承担本项目的实施，没有处于被责令停业，投标资格被取消，财产被接管、冻结，破产状态，在最近三年内没有骗取中标和严重违约及重大工程质量问题；</w:t>
      </w:r>
    </w:p>
    <w:p w14:paraId="36AD8A73">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（7）单位负责人为同一人或者存在直接控股、管理关系的不同供应商，不得同时参加本项目；为本项目提供整体设计、规范编制或者项目管理、监理、检测等服务的供应商，不得再参加本项目的投标；</w:t>
      </w:r>
    </w:p>
    <w:p w14:paraId="07F55846">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p w14:paraId="33383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42" w:type="default"/>
          <w:footerReference r:id="rId43"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5"/>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1524" w:name="_Hlt520273711"/>
      <w:bookmarkEnd w:id="1524"/>
      <w:bookmarkStart w:id="1525" w:name="_Hlt520274393"/>
      <w:bookmarkEnd w:id="1525"/>
      <w:bookmarkStart w:id="1526" w:name="_Hlt520274121"/>
      <w:bookmarkEnd w:id="1526"/>
      <w:bookmarkStart w:id="1527" w:name="_Hlt520343392"/>
      <w:bookmarkEnd w:id="1527"/>
      <w:bookmarkStart w:id="1528" w:name="_Hlt520350918"/>
      <w:bookmarkEnd w:id="1528"/>
      <w:bookmarkStart w:id="1529" w:name="_Hlt520355504"/>
      <w:bookmarkEnd w:id="1529"/>
      <w:bookmarkStart w:id="1530" w:name="_Hlt520274407"/>
      <w:bookmarkEnd w:id="1530"/>
      <w:bookmarkStart w:id="1531" w:name="_Hlt520271212"/>
      <w:bookmarkEnd w:id="1531"/>
      <w:bookmarkStart w:id="1532" w:name="_Hlt520343000"/>
      <w:bookmarkEnd w:id="1532"/>
      <w:bookmarkStart w:id="1533" w:name="_Hlt520274065"/>
      <w:bookmarkEnd w:id="1533"/>
      <w:bookmarkStart w:id="1534" w:name="_Toc480942349"/>
      <w:bookmarkStart w:id="1535" w:name="_Ref467988698"/>
      <w:bookmarkStart w:id="1536" w:name="_Toc127151556"/>
      <w:bookmarkStart w:id="1537" w:name="_Toc226309800"/>
      <w:bookmarkStart w:id="1538" w:name="_Toc520356217"/>
      <w:bookmarkStart w:id="1539" w:name="_Toc226965746"/>
      <w:bookmarkStart w:id="1540" w:name="_Toc226965829"/>
      <w:bookmarkStart w:id="1541" w:name="_Toc195842921"/>
      <w:bookmarkStart w:id="1542" w:name="_Toc150480794"/>
      <w:bookmarkStart w:id="1543" w:name="_Toc142311058"/>
      <w:bookmarkStart w:id="1544" w:name="_Toc150774761"/>
      <w:bookmarkStart w:id="1545" w:name="_Toc226337252"/>
      <w:r>
        <w:rPr>
          <w:rFonts w:hint="eastAsia" w:ascii="宋体" w:hAnsi="宋体" w:eastAsia="宋体" w:cs="宋体"/>
          <w:sz w:val="24"/>
          <w:highlight w:val="none"/>
        </w:rPr>
        <w:t xml:space="preserve">4  </w:t>
      </w:r>
      <w:bookmarkEnd w:id="1534"/>
      <w:bookmarkEnd w:id="1535"/>
      <w:r>
        <w:rPr>
          <w:rFonts w:hint="eastAsia" w:ascii="宋体" w:hAnsi="宋体" w:eastAsia="宋体" w:cs="宋体"/>
          <w:sz w:val="24"/>
          <w:highlight w:val="none"/>
        </w:rPr>
        <w:t>响应书</w:t>
      </w:r>
      <w:bookmarkEnd w:id="1536"/>
      <w:bookmarkEnd w:id="1537"/>
      <w:bookmarkEnd w:id="1538"/>
      <w:bookmarkEnd w:id="1539"/>
      <w:bookmarkEnd w:id="1540"/>
      <w:bookmarkEnd w:id="1541"/>
      <w:bookmarkEnd w:id="1542"/>
      <w:bookmarkEnd w:id="1543"/>
      <w:bookmarkEnd w:id="1544"/>
      <w:bookmarkEnd w:id="1545"/>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1546" w:name="_Hlt520355938"/>
      <w:bookmarkEnd w:id="1546"/>
      <w:bookmarkStart w:id="1547" w:name="_Hlt520356243"/>
      <w:bookmarkEnd w:id="1547"/>
      <w:bookmarkStart w:id="1548" w:name="_Toc226337253"/>
      <w:bookmarkStart w:id="1549" w:name="_Ref467988705"/>
      <w:bookmarkStart w:id="1550" w:name="_Toc150774762"/>
      <w:bookmarkStart w:id="1551" w:name="_Toc305158825"/>
      <w:bookmarkStart w:id="1552" w:name="_Toc520356218"/>
      <w:bookmarkStart w:id="1553" w:name="_Toc150480795"/>
      <w:bookmarkStart w:id="1554" w:name="_Toc226965830"/>
      <w:bookmarkStart w:id="1555" w:name="_Toc265228395"/>
      <w:bookmarkStart w:id="1556" w:name="_Toc264969247"/>
      <w:bookmarkStart w:id="1557" w:name="_Toc195842922"/>
      <w:bookmarkStart w:id="1558" w:name="_Toc142311059"/>
      <w:bookmarkStart w:id="1559" w:name="_Toc226309801"/>
      <w:bookmarkStart w:id="1560" w:name="_Toc480942350"/>
      <w:bookmarkStart w:id="1561" w:name="_Toc305158899"/>
      <w:bookmarkStart w:id="1562" w:name="_Toc226965747"/>
      <w:bookmarkStart w:id="1563" w:name="_Toc127151557"/>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highlight w:val="none"/>
        </w:rPr>
      </w:pPr>
    </w:p>
    <w:p w14:paraId="274950C2">
      <w:pPr>
        <w:pStyle w:val="34"/>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16D183C4">
      <w:pPr>
        <w:spacing w:line="360" w:lineRule="exact"/>
        <w:jc w:val="center"/>
        <w:rPr>
          <w:rFonts w:hint="eastAsia" w:ascii="宋体" w:hAnsi="宋体" w:eastAsia="宋体" w:cs="宋体"/>
          <w:b/>
          <w:color w:val="000000"/>
          <w:sz w:val="36"/>
          <w:szCs w:val="36"/>
          <w:highlight w:val="none"/>
        </w:rPr>
      </w:pPr>
      <w:bookmarkStart w:id="1564" w:name="_Toc226309802"/>
      <w:bookmarkStart w:id="1565" w:name="_Toc164608672"/>
      <w:bookmarkStart w:id="1566" w:name="_Toc226337254"/>
      <w:bookmarkStart w:id="1567" w:name="_Toc265228396"/>
      <w:bookmarkStart w:id="1568" w:name="_Toc264969248"/>
      <w:bookmarkStart w:id="1569" w:name="_Toc305158900"/>
      <w:bookmarkStart w:id="1570" w:name="_Toc164608827"/>
      <w:bookmarkStart w:id="1571" w:name="_Toc305158826"/>
      <w:bookmarkStart w:id="1572" w:name="_Toc226965831"/>
      <w:bookmarkStart w:id="1573" w:name="_Toc195842923"/>
      <w:bookmarkStart w:id="1574" w:name="_Toc226965748"/>
      <w:r>
        <w:rPr>
          <w:rFonts w:hint="eastAsia" w:ascii="宋体" w:hAnsi="宋体" w:eastAsia="宋体" w:cs="宋体"/>
          <w:b/>
          <w:color w:val="000000"/>
          <w:sz w:val="36"/>
          <w:szCs w:val="36"/>
          <w:highlight w:val="none"/>
        </w:rPr>
        <w:t>报价一览表</w:t>
      </w:r>
      <w:bookmarkEnd w:id="1564"/>
      <w:bookmarkEnd w:id="1565"/>
      <w:bookmarkEnd w:id="1566"/>
      <w:bookmarkEnd w:id="1567"/>
      <w:bookmarkEnd w:id="1568"/>
      <w:bookmarkEnd w:id="1569"/>
      <w:bookmarkEnd w:id="1570"/>
      <w:bookmarkEnd w:id="1571"/>
      <w:bookmarkEnd w:id="1572"/>
      <w:bookmarkEnd w:id="1573"/>
      <w:bookmarkEnd w:id="1574"/>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AD2CF9C">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r>
        <w:rPr>
          <w:rFonts w:hint="eastAsia"/>
          <w:sz w:val="24"/>
          <w:highlight w:val="none"/>
        </w:rPr>
        <w:t>报价明细表</w:t>
      </w:r>
    </w:p>
    <w:p w14:paraId="35213985">
      <w:pPr>
        <w:pStyle w:val="34"/>
        <w:spacing w:before="9"/>
        <w:rPr>
          <w:sz w:val="29"/>
          <w:highlight w:val="none"/>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7AF8EDD4">
      <w:pPr>
        <w:autoSpaceDE w:val="0"/>
        <w:autoSpaceDN w:val="0"/>
        <w:adjustRightInd w:val="0"/>
        <w:snapToGrid w:val="0"/>
        <w:spacing w:before="25" w:after="25" w:line="360" w:lineRule="auto"/>
        <w:rPr>
          <w:sz w:val="24"/>
          <w:highlight w:val="none"/>
        </w:rPr>
      </w:pPr>
    </w:p>
    <w:p w14:paraId="2122B2B8">
      <w:pPr>
        <w:pStyle w:val="55"/>
        <w:rPr>
          <w:sz w:val="24"/>
          <w:highlight w:val="none"/>
        </w:rPr>
      </w:pPr>
    </w:p>
    <w:p w14:paraId="5612E0FB">
      <w:pPr>
        <w:pStyle w:val="55"/>
        <w:rPr>
          <w:sz w:val="24"/>
          <w:highlight w:val="none"/>
        </w:rPr>
      </w:pPr>
    </w:p>
    <w:p w14:paraId="409DC132">
      <w:pPr>
        <w:pStyle w:val="55"/>
        <w:rPr>
          <w:sz w:val="24"/>
          <w:highlight w:val="none"/>
        </w:rPr>
      </w:pPr>
    </w:p>
    <w:p w14:paraId="2FD47DD2">
      <w:pPr>
        <w:pStyle w:val="55"/>
        <w:rPr>
          <w:sz w:val="24"/>
          <w:highlight w:val="none"/>
        </w:rPr>
      </w:pPr>
    </w:p>
    <w:p w14:paraId="3051471B">
      <w:pPr>
        <w:pStyle w:val="55"/>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1575" w:name="_Toc69746430"/>
      <w:r>
        <w:rPr>
          <w:sz w:val="24"/>
          <w:highlight w:val="none"/>
        </w:rPr>
        <w:t>业绩案例一</w:t>
      </w:r>
      <w:r>
        <w:rPr>
          <w:color w:val="000000"/>
          <w:highlight w:val="none"/>
        </w:rPr>
        <w:t>览表</w:t>
      </w:r>
      <w:bookmarkEnd w:id="1575"/>
    </w:p>
    <w:p w14:paraId="3B8AA5EF">
      <w:pPr>
        <w:pStyle w:val="5"/>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4"/>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4"/>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6"/>
        <w:rPr>
          <w:rFonts w:hAnsi="宋体"/>
          <w:bCs/>
          <w:highlight w:val="none"/>
        </w:rPr>
        <w:sectPr>
          <w:headerReference r:id="rId44" w:type="default"/>
          <w:footerReference r:id="rId45"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5"/>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5"/>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5"/>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70912D72">
      <w:pPr>
        <w:tabs>
          <w:tab w:val="left" w:pos="360"/>
        </w:tabs>
        <w:snapToGrid w:val="0"/>
        <w:spacing w:line="360" w:lineRule="auto"/>
        <w:outlineLvl w:val="1"/>
        <w:rPr>
          <w:sz w:val="24"/>
          <w:highlight w:val="none"/>
        </w:r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46" w:type="default"/>
          <w:footerReference r:id="rId47"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bookmarkEnd w:id="1523"/>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1576" w:name="_Toc31978"/>
      <w:r>
        <w:rPr>
          <w:rFonts w:hint="eastAsia" w:ascii="宋体" w:hAnsi="宋体" w:eastAsia="宋体" w:cs="宋体"/>
          <w:b w:val="0"/>
          <w:bCs w:val="0"/>
          <w:sz w:val="24"/>
          <w:highlight w:val="none"/>
          <w:shd w:val="clear" w:color="auto" w:fill="FFFFFF"/>
        </w:rPr>
        <w:t>工信部联企业〔2011〕300号</w:t>
      </w:r>
      <w:bookmarkEnd w:id="1576"/>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w:t>
      </w:r>
      <w:r>
        <w:rPr>
          <w:rFonts w:hint="eastAsia" w:ascii="宋体" w:hAnsi="宋体" w:eastAsia="宋体" w:cs="宋体"/>
          <w:b/>
          <w:bCs/>
          <w:kern w:val="0"/>
          <w:sz w:val="24"/>
          <w:szCs w:val="24"/>
          <w:highlight w:val="none"/>
          <w:shd w:val="clear" w:color="auto" w:fill="FFFFFF"/>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7F1A57A">
      <w:pPr>
        <w:pStyle w:val="55"/>
        <w:ind w:firstLine="480"/>
        <w:jc w:val="right"/>
        <w:rPr>
          <w:rFonts w:hint="eastAsia" w:ascii="宋体" w:hAnsi="宋体"/>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858E">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B739">
    <w:pPr>
      <w:pStyle w:val="55"/>
      <w:jc w:val="center"/>
    </w:pPr>
    <w:r>
      <w:fldChar w:fldCharType="begin"/>
    </w:r>
    <w:r>
      <w:instrText xml:space="preserve">PAGE   \* MERGEFORMAT</w:instrText>
    </w:r>
    <w:r>
      <w:fldChar w:fldCharType="separate"/>
    </w:r>
    <w:r>
      <w:rPr>
        <w:lang w:val="zh-CN"/>
      </w:rPr>
      <w:t>31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B9A2">
    <w:pPr>
      <w:pStyle w:val="55"/>
      <w:jc w:val="center"/>
    </w:pPr>
    <w:r>
      <w:fldChar w:fldCharType="begin"/>
    </w:r>
    <w:r>
      <w:instrText xml:space="preserve"> PAGE   \* MERGEFORMAT </w:instrText>
    </w:r>
    <w:r>
      <w:fldChar w:fldCharType="separate"/>
    </w:r>
    <w:r>
      <w:rPr>
        <w:lang w:val="zh-CN"/>
      </w:rPr>
      <w:t>80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7526">
    <w:pPr>
      <w:pStyle w:val="55"/>
      <w:jc w:val="center"/>
    </w:pPr>
    <w:r>
      <w:fldChar w:fldCharType="begin"/>
    </w:r>
    <w:r>
      <w:instrText xml:space="preserve">PAGE   \* MERGEFORMAT</w:instrText>
    </w:r>
    <w:r>
      <w:fldChar w:fldCharType="separate"/>
    </w:r>
    <w:r>
      <w:rPr>
        <w:lang w:val="zh-CN"/>
      </w:rPr>
      <w:t>2</w:t>
    </w:r>
    <w:r>
      <w:fldChar w:fldCharType="end"/>
    </w:r>
  </w:p>
  <w:p w14:paraId="1F301590">
    <w:pPr>
      <w:pStyle w:val="55"/>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C223">
    <w:pPr>
      <w:pStyle w:val="55"/>
      <w:jc w:val="center"/>
    </w:pPr>
    <w:r>
      <w:fldChar w:fldCharType="begin"/>
    </w:r>
    <w:r>
      <w:instrText xml:space="preserve">PAGE   \* MERGEFORMAT</w:instrText>
    </w:r>
    <w:r>
      <w:fldChar w:fldCharType="separate"/>
    </w:r>
    <w:r>
      <w:rPr>
        <w:lang w:val="zh-CN"/>
      </w:rPr>
      <w:t>2</w:t>
    </w:r>
    <w:r>
      <w:fldChar w:fldCharType="end"/>
    </w:r>
  </w:p>
  <w:p w14:paraId="5F1985D1">
    <w:pPr>
      <w:pStyle w:val="55"/>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8A6BE">
    <w:pPr>
      <w:pStyle w:val="5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C0EC0F">
                          <w:pPr>
                            <w:pStyle w:val="5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FC0EC0F">
                    <w:pPr>
                      <w:pStyle w:val="5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22F4">
    <w:pPr>
      <w:pStyle w:val="5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1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3FDC7416">
                          <w:pPr>
                            <w:pStyle w:val="55"/>
                            <w:jc w:val="center"/>
                          </w:pPr>
                          <w:r>
                            <w:fldChar w:fldCharType="begin"/>
                          </w:r>
                          <w:r>
                            <w:instrText xml:space="preserve"> PAGE   \* MERGEFORMAT </w:instrText>
                          </w:r>
                          <w:r>
                            <w:fldChar w:fldCharType="separate"/>
                          </w:r>
                          <w:r>
                            <w:rPr>
                              <w:lang w:val="zh-CN"/>
                            </w:rPr>
                            <w:t>100</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d3KV/w8CAAARBAAADgAAAGRycy9lMm9Eb2MueG1srVNLbtswEN0X6B0I&#10;7mtZTtIGguUgjeGiQPoB0h6AoiiLqMQhhrQl9wDtDbrKpvuey+fokJLcNN1k0Y0wImfezHvzuLzq&#10;24btFToNJufpbM6ZMhJKbbY5//xp8+KSM+eFKUUDRuX8oBy/Wj1/tuxsphZQQ1MqZARiXNbZnNfe&#10;2yxJnKxVK9wMrDJ0WQG2wtMvbpMSRUfobZMs5vOXSQdYWgSpnKPT9XDJR0R8CiBUlZZqDXLXKuMH&#10;VFSN8ETJ1do6vorTVpWS/kNVOeVZk3Ni6uOXmlBchG+yWopsi8LWWo4jiKeM8IhTK7ShpieotfCC&#10;7VD/A9VqieCg8jMJbTIQiYoQi3T+SJu7WlgVuZDUzp5Ed/8PVr7ff0SmS3JCypkRLW38+OP78f7X&#10;8ec3dhb06azLKO3OUqLvX0NPuZGrs7cgvzhm4KYWZquuEaGrlShpvjRUJg9KBxwXQIruHZTUR+w8&#10;RKC+wjaIR3IwQqfdHE67Ub1nMrR8tZhfXnAm6So9S8/PL2IHkU3FFp1/o6BlIcg50uojuNjfOh+G&#10;EdmUEnoZ2OimietvzF8HlDicqOifsTpQCdMPPHxf9KM0BZQHIoUweIteFgU14FfOOvJVzg09I86a&#10;t4ZkCRacApyCYgqEkVSYc8/ZEN74wao7i3pbE+4k/DVJt9GRVhhsmGEUnJwS2Y6uDlZ8+B+z/rzk&#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d3KV/w8CAAARBAAADgAAAAAAAAABACAAAAAe&#10;AQAAZHJzL2Uyb0RvYy54bWxQSwUGAAAAAAYABgBZAQAAnwUAAAAA&#10;">
              <v:fill on="f" focussize="0,0"/>
              <v:stroke on="f"/>
              <v:imagedata o:title=""/>
              <o:lock v:ext="edit" aspectratio="f"/>
              <v:textbox inset="0mm,0mm,0mm,0mm" style="mso-fit-shape-to-text:t;">
                <w:txbxContent>
                  <w:p w14:paraId="3FDC7416">
                    <w:pPr>
                      <w:pStyle w:val="55"/>
                      <w:jc w:val="center"/>
                    </w:pPr>
                    <w:r>
                      <w:fldChar w:fldCharType="begin"/>
                    </w:r>
                    <w:r>
                      <w:instrText xml:space="preserve"> PAGE   \* MERGEFORMAT </w:instrText>
                    </w:r>
                    <w:r>
                      <w:fldChar w:fldCharType="separate"/>
                    </w:r>
                    <w:r>
                      <w:rPr>
                        <w:lang w:val="zh-CN"/>
                      </w:rPr>
                      <w:t>100</w:t>
                    </w:r>
                    <w:r>
                      <w:rPr>
                        <w:lang w:val="zh-CN"/>
                      </w:rPr>
                      <w:fldChar w:fldCharType="end"/>
                    </w:r>
                  </w:p>
                </w:txbxContent>
              </v:textbox>
            </v:shape>
          </w:pict>
        </mc:Fallback>
      </mc:AlternateContent>
    </w:r>
  </w:p>
  <w:p w14:paraId="6E88C5FA">
    <w:pPr>
      <w:pStyle w:val="55"/>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E66A">
    <w:pPr>
      <w:pStyle w:val="55"/>
      <w:jc w:val="center"/>
    </w:pPr>
    <w:r>
      <w:fldChar w:fldCharType="begin"/>
    </w:r>
    <w:r>
      <w:instrText xml:space="preserve"> PAGE   \* MERGEFORMAT </w:instrText>
    </w:r>
    <w:r>
      <w:fldChar w:fldCharType="separate"/>
    </w:r>
    <w:r>
      <w:rPr>
        <w:lang w:val="zh-CN"/>
      </w:rPr>
      <w:t>123</w:t>
    </w:r>
    <w:r>
      <w:rPr>
        <w:lang w:val="zh-CN"/>
      </w:rPr>
      <w:fldChar w:fldCharType="end"/>
    </w:r>
  </w:p>
  <w:p w14:paraId="4FB62DCC">
    <w:pPr>
      <w:pStyle w:val="55"/>
      <w:tabs>
        <w:tab w:val="left" w:pos="4668"/>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B84E">
    <w:pPr>
      <w:pStyle w:val="55"/>
      <w:spacing w:beforeLines="0" w:afterLines="0"/>
      <w:rPr>
        <w:rFonts w:hint="default"/>
        <w:sz w:val="18"/>
        <w:szCs w:val="20"/>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FC34C">
                          <w:pPr>
                            <w:pStyle w:val="55"/>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B9FC34C">
                    <w:pPr>
                      <w:pStyle w:val="55"/>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EF44F">
                          <w:pPr>
                            <w:pStyle w:val="5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E4EF44F">
                    <w:pPr>
                      <w:pStyle w:val="5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6686D">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C6686D">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34"/>
      <w:spacing w:line="189" w:lineRule="auto"/>
      <w:ind w:left="4439"/>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6AC35">
                          <w:pPr>
                            <w:pStyle w:val="55"/>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0B6AC35">
                    <w:pPr>
                      <w:pStyle w:val="55"/>
                    </w:pPr>
                    <w:r>
                      <w:fldChar w:fldCharType="begin"/>
                    </w:r>
                    <w:r>
                      <w:instrText xml:space="preserve"> PAGE  \* MERGEFORMAT </w:instrText>
                    </w:r>
                    <w:r>
                      <w:fldChar w:fldCharType="separate"/>
                    </w:r>
                    <w:r>
                      <w:t>142</w:t>
                    </w:r>
                    <w:r>
                      <w:fldChar w:fldCharType="end"/>
                    </w:r>
                  </w:p>
                </w:txbxContent>
              </v:textbox>
            </v:shape>
          </w:pict>
        </mc:Fallback>
      </mc:AlternateContent>
    </w:r>
    <w:r>
      <w:rPr>
        <w:spacing w:val="6"/>
        <w:sz w:val="18"/>
        <w:szCs w:val="18"/>
      </w:rPr>
      <w:t>50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34"/>
      <w:spacing w:line="187"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056E3">
                          <w:pPr>
                            <w:pStyle w:val="55"/>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056E3">
                    <w:pPr>
                      <w:pStyle w:val="55"/>
                    </w:pPr>
                    <w:r>
                      <w:fldChar w:fldCharType="begin"/>
                    </w:r>
                    <w:r>
                      <w:instrText xml:space="preserve"> PAGE  \* MERGEFORMAT </w:instrText>
                    </w:r>
                    <w:r>
                      <w:fldChar w:fldCharType="separate"/>
                    </w:r>
                    <w:r>
                      <w:t>145</w:t>
                    </w:r>
                    <w:r>
                      <w:fldChar w:fldCharType="end"/>
                    </w:r>
                  </w:p>
                </w:txbxContent>
              </v:textbox>
            </v:shape>
          </w:pict>
        </mc:Fallback>
      </mc:AlternateContent>
    </w:r>
    <w:r>
      <w:rPr>
        <w:spacing w:val="6"/>
        <w:sz w:val="18"/>
        <w:szCs w:val="18"/>
      </w:rPr>
      <w:t>54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B6262">
                          <w:pPr>
                            <w:pStyle w:val="55"/>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2B6262">
                    <w:pPr>
                      <w:pStyle w:val="55"/>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C57A2">
                          <w:pPr>
                            <w:pStyle w:val="55"/>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6C57A2">
                    <w:pPr>
                      <w:pStyle w:val="55"/>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55A74">
                          <w:pPr>
                            <w:pStyle w:val="55"/>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3955A74">
                    <w:pPr>
                      <w:pStyle w:val="55"/>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D1EFB">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AD1EFB">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9F7CE">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89F7CE">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8776">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D08776">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98D26">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398D26">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A29A3">
                          <w:pPr>
                            <w:pStyle w:val="5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CA29A3">
                    <w:pPr>
                      <w:pStyle w:val="55"/>
                    </w:pPr>
                    <w:r>
                      <w:fldChar w:fldCharType="begin"/>
                    </w:r>
                    <w:r>
                      <w:instrText xml:space="preserve"> PAGE  \* MERGEFORMAT </w:instrText>
                    </w:r>
                    <w:r>
                      <w:fldChar w:fldCharType="separate"/>
                    </w:r>
                    <w:r>
                      <w:t>32</w:t>
                    </w:r>
                    <w:r>
                      <w:fldChar w:fldCharType="end"/>
                    </w:r>
                  </w:p>
                </w:txbxContent>
              </v:textbox>
            </v:shape>
          </w:pict>
        </mc:Fallback>
      </mc:AlternateContent>
    </w:r>
    <w:r>
      <w:rPr>
        <w:rFonts w:ascii="Arial" w:hAnsi="Arial" w:eastAsia="Arial" w:cs="Arial"/>
        <w:spacing w:val="3"/>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5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DD06A">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8DD06A">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77FC">
    <w:pPr>
      <w:pStyle w:val="57"/>
      <w:pBdr>
        <w:bottom w:val="none" w:color="auto" w:sz="0" w:space="1"/>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2150">
    <w:pPr>
      <w:pStyle w:val="57"/>
      <w:pBdr>
        <w:bottom w:val="none" w:color="auto" w:sz="0" w:space="1"/>
      </w:pBdr>
      <w:jc w:val="right"/>
      <w:rPr>
        <w:kern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A846A">
    <w:pPr>
      <w:pStyle w:val="5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B0AE">
    <w:pPr>
      <w:pStyle w:val="57"/>
      <w:pBdr>
        <w:bottom w:val="none" w:color="auto" w:sz="0" w:space="0"/>
      </w:pBdr>
      <w:spacing w:beforeLines="0" w:afterLines="0"/>
      <w:rPr>
        <w:rFonts w:hint="default"/>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B3E75196"/>
    <w:multiLevelType w:val="singleLevel"/>
    <w:tmpl w:val="B3E75196"/>
    <w:lvl w:ilvl="0" w:tentative="0">
      <w:start w:val="4"/>
      <w:numFmt w:val="decimal"/>
      <w:suff w:val="nothing"/>
      <w:lvlText w:val="（%1）"/>
      <w:lvlJc w:val="left"/>
    </w:lvl>
  </w:abstractNum>
  <w:abstractNum w:abstractNumId="1">
    <w:nsid w:val="FA27E0EF"/>
    <w:multiLevelType w:val="singleLevel"/>
    <w:tmpl w:val="FA27E0EF"/>
    <w:lvl w:ilvl="0" w:tentative="0">
      <w:start w:val="4"/>
      <w:numFmt w:val="chineseCounting"/>
      <w:suff w:val="space"/>
      <w:lvlText w:val="第%1章"/>
      <w:lvlJc w:val="left"/>
      <w:rPr>
        <w:rFonts w:hint="eastAsia"/>
      </w:rPr>
    </w:lvl>
  </w:abstractNum>
  <w:abstractNum w:abstractNumId="2">
    <w:nsid w:val="FFFFFF7C"/>
    <w:multiLevelType w:val="singleLevel"/>
    <w:tmpl w:val="FFFFFF7C"/>
    <w:lvl w:ilvl="0" w:tentative="0">
      <w:start w:val="1"/>
      <w:numFmt w:val="decimal"/>
      <w:lvlText w:val="%1."/>
      <w:lvlJc w:val="left"/>
      <w:pPr>
        <w:tabs>
          <w:tab w:val="left" w:pos="786"/>
        </w:tabs>
        <w:ind w:left="786" w:hanging="36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1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6">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0">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7">
    <w:nsid w:val="01610A6E"/>
    <w:multiLevelType w:val="multilevel"/>
    <w:tmpl w:val="01610A6E"/>
    <w:lvl w:ilvl="0" w:tentative="0">
      <w:start w:val="1"/>
      <w:numFmt w:val="lowerLetter"/>
      <w:lvlText w:val="(%1)"/>
      <w:lvlJc w:val="left"/>
      <w:pPr>
        <w:tabs>
          <w:tab w:val="left" w:pos="855"/>
        </w:tabs>
        <w:ind w:left="855" w:hanging="375"/>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09CC08AD"/>
    <w:multiLevelType w:val="multilevel"/>
    <w:tmpl w:val="09CC08AD"/>
    <w:lvl w:ilvl="0" w:tentative="0">
      <w:start w:val="11"/>
      <w:numFmt w:val="decimal"/>
      <w:lvlText w:val="%1"/>
      <w:lvlJc w:val="left"/>
      <w:pPr>
        <w:ind w:left="420" w:hanging="420"/>
      </w:pPr>
      <w:rPr>
        <w:rFonts w:hint="default"/>
      </w:rPr>
    </w:lvl>
    <w:lvl w:ilvl="1" w:tentative="0">
      <w:start w:val="2"/>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163058E4"/>
    <w:multiLevelType w:val="multilevel"/>
    <w:tmpl w:val="163058E4"/>
    <w:lvl w:ilvl="0" w:tentative="0">
      <w:start w:val="4"/>
      <w:numFmt w:val="decimal"/>
      <w:lvlText w:val="%1"/>
      <w:lvlJc w:val="left"/>
      <w:pPr>
        <w:ind w:hanging="737"/>
      </w:pPr>
      <w:rPr>
        <w:rFonts w:hint="default"/>
      </w:rPr>
    </w:lvl>
    <w:lvl w:ilvl="1" w:tentative="0">
      <w:start w:val="1"/>
      <w:numFmt w:val="decimal"/>
      <w:lvlText w:val="%1.%2"/>
      <w:lvlJc w:val="left"/>
      <w:pPr>
        <w:ind w:hanging="737"/>
      </w:pPr>
      <w:rPr>
        <w:rFonts w:hint="default"/>
      </w:rPr>
    </w:lvl>
    <w:lvl w:ilvl="2" w:tentative="0">
      <w:start w:val="1"/>
      <w:numFmt w:val="decimal"/>
      <w:lvlText w:val="%1.%2.%3"/>
      <w:lvlJc w:val="left"/>
      <w:pPr>
        <w:ind w:hanging="737"/>
      </w:pPr>
      <w:rPr>
        <w:rFonts w:hint="default" w:ascii="宋体" w:hAnsi="宋体" w:eastAsia="宋体"/>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6">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9">
    <w:nsid w:val="20033FEA"/>
    <w:multiLevelType w:val="multilevel"/>
    <w:tmpl w:val="20033FEA"/>
    <w:lvl w:ilvl="0" w:tentative="0">
      <w:start w:val="1"/>
      <w:numFmt w:val="decimal"/>
      <w:lvlText w:val="%1、"/>
      <w:lvlJc w:val="left"/>
      <w:pPr>
        <w:tabs>
          <w:tab w:val="left" w:pos="465"/>
        </w:tabs>
        <w:ind w:left="465" w:hanging="360"/>
      </w:pPr>
      <w:rPr>
        <w:rFonts w:hint="default"/>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40">
    <w:nsid w:val="24A34389"/>
    <w:multiLevelType w:val="multilevel"/>
    <w:tmpl w:val="24A34389"/>
    <w:lvl w:ilvl="0" w:tentative="0">
      <w:start w:val="1"/>
      <w:numFmt w:val="decimal"/>
      <w:lvlText w:val="%1"/>
      <w:lvlJc w:val="left"/>
      <w:pPr>
        <w:ind w:left="525" w:hanging="525"/>
      </w:pPr>
      <w:rPr>
        <w:rFonts w:hint="default"/>
      </w:rPr>
    </w:lvl>
    <w:lvl w:ilvl="1" w:tentative="0">
      <w:start w:val="1"/>
      <w:numFmt w:val="decimal"/>
      <w:lvlText w:val="%1.%2"/>
      <w:lvlJc w:val="left"/>
      <w:pPr>
        <w:ind w:left="525" w:hanging="525"/>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1">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2">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4">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6">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9">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50">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1">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3ABF74B4"/>
    <w:multiLevelType w:val="multilevel"/>
    <w:tmpl w:val="3ABF74B4"/>
    <w:lvl w:ilvl="0" w:tentative="0">
      <w:start w:val="18"/>
      <w:numFmt w:val="decimal"/>
      <w:lvlText w:val="%1"/>
      <w:lvlJc w:val="left"/>
      <w:pPr>
        <w:ind w:left="420" w:hanging="420"/>
      </w:pPr>
      <w:rPr>
        <w:rFonts w:hint="default"/>
      </w:rPr>
    </w:lvl>
    <w:lvl w:ilvl="1" w:tentative="0">
      <w:start w:val="6"/>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3">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54">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5">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6">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7">
    <w:nsid w:val="44FC3251"/>
    <w:multiLevelType w:val="multilevel"/>
    <w:tmpl w:val="44FC3251"/>
    <w:lvl w:ilvl="0" w:tentative="0">
      <w:start w:val="17"/>
      <w:numFmt w:val="decimal"/>
      <w:lvlText w:val="%1"/>
      <w:lvlJc w:val="left"/>
      <w:pPr>
        <w:ind w:hanging="720"/>
      </w:pPr>
      <w:rPr>
        <w:rFonts w:hint="default"/>
      </w:rPr>
    </w:lvl>
    <w:lvl w:ilvl="1" w:tentative="0">
      <w:start w:val="1"/>
      <w:numFmt w:val="decimal"/>
      <w:lvlText w:val="%1.%2"/>
      <w:lvlJc w:val="left"/>
      <w:pPr>
        <w:ind w:hanging="720"/>
      </w:pPr>
      <w:rPr>
        <w:rFonts w:hint="default" w:ascii="宋体" w:hAnsi="宋体" w:eastAsia="宋体"/>
        <w:sz w:val="24"/>
        <w:szCs w:val="24"/>
      </w:rPr>
    </w:lvl>
    <w:lvl w:ilvl="2" w:tentative="0">
      <w:start w:val="1"/>
      <w:numFmt w:val="decimal"/>
      <w:lvlText w:val="%1.%2.%3"/>
      <w:lvlJc w:val="left"/>
      <w:pPr>
        <w:ind w:hanging="843"/>
      </w:pPr>
      <w:rPr>
        <w:rFonts w:hint="default" w:ascii="宋体" w:hAnsi="宋体" w:eastAsia="宋体"/>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8">
    <w:nsid w:val="46074A6C"/>
    <w:multiLevelType w:val="multilevel"/>
    <w:tmpl w:val="46074A6C"/>
    <w:lvl w:ilvl="0" w:tentative="0">
      <w:start w:val="16"/>
      <w:numFmt w:val="decimal"/>
      <w:lvlText w:val="%1"/>
      <w:lvlJc w:val="left"/>
      <w:pPr>
        <w:ind w:hanging="946"/>
      </w:pPr>
      <w:rPr>
        <w:rFonts w:hint="default"/>
      </w:rPr>
    </w:lvl>
    <w:lvl w:ilvl="1" w:tentative="0">
      <w:start w:val="1"/>
      <w:numFmt w:val="decimal"/>
      <w:lvlText w:val="%1.%2"/>
      <w:lvlJc w:val="left"/>
      <w:pPr>
        <w:ind w:hanging="946"/>
      </w:pPr>
      <w:rPr>
        <w:rFonts w:hint="default"/>
      </w:rPr>
    </w:lvl>
    <w:lvl w:ilvl="2" w:tentative="0">
      <w:start w:val="1"/>
      <w:numFmt w:val="decimal"/>
      <w:lvlText w:val="%1.%2.%3"/>
      <w:lvlJc w:val="left"/>
      <w:pPr>
        <w:ind w:hanging="946"/>
      </w:pPr>
      <w:rPr>
        <w:rFonts w:hint="default"/>
      </w:rPr>
    </w:lvl>
    <w:lvl w:ilvl="3" w:tentative="0">
      <w:start w:val="1"/>
      <w:numFmt w:val="decimal"/>
      <w:lvlText w:val="%1.%2.%3.%4"/>
      <w:lvlJc w:val="left"/>
      <w:pPr>
        <w:ind w:hanging="946"/>
      </w:pPr>
      <w:rPr>
        <w:rFonts w:hint="default" w:ascii="宋体" w:hAnsi="宋体" w:eastAsia="宋体"/>
        <w:sz w:val="21"/>
        <w:szCs w:val="21"/>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9">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60">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2">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3">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572602AB"/>
    <w:multiLevelType w:val="multilevel"/>
    <w:tmpl w:val="572602AB"/>
    <w:lvl w:ilvl="0" w:tentative="0">
      <w:start w:val="4"/>
      <w:numFmt w:val="decimal"/>
      <w:lvlText w:val="%1"/>
      <w:lvlJc w:val="left"/>
      <w:pPr>
        <w:ind w:left="630" w:hanging="630"/>
      </w:pPr>
      <w:rPr>
        <w:rFonts w:hint="default"/>
      </w:rPr>
    </w:lvl>
    <w:lvl w:ilvl="1" w:tentative="0">
      <w:start w:val="3"/>
      <w:numFmt w:val="decimal"/>
      <w:lvlText w:val="%1.%2"/>
      <w:lvlJc w:val="left"/>
      <w:pPr>
        <w:ind w:left="840" w:hanging="630"/>
      </w:pPr>
      <w:rPr>
        <w:rFonts w:hint="default"/>
      </w:rPr>
    </w:lvl>
    <w:lvl w:ilvl="2" w:tentative="0">
      <w:start w:val="10"/>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65">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6">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7">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8">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9">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70">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61F070C7"/>
    <w:multiLevelType w:val="multilevel"/>
    <w:tmpl w:val="61F070C7"/>
    <w:lvl w:ilvl="0" w:tentative="0">
      <w:start w:val="15"/>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2">
    <w:nsid w:val="699E0E44"/>
    <w:multiLevelType w:val="multilevel"/>
    <w:tmpl w:val="699E0E44"/>
    <w:lvl w:ilvl="0" w:tentative="0">
      <w:start w:val="15"/>
      <w:numFmt w:val="decimal"/>
      <w:lvlText w:val="%1"/>
      <w:lvlJc w:val="left"/>
      <w:pPr>
        <w:ind w:left="420" w:hanging="420"/>
      </w:pPr>
      <w:rPr>
        <w:rFonts w:hint="default"/>
      </w:rPr>
    </w:lvl>
    <w:lvl w:ilvl="1" w:tentative="0">
      <w:start w:val="6"/>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3">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74">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75">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76">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7">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8">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9">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80">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1">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82">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83">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4">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5">
    <w:nsid w:val="7FD85456"/>
    <w:multiLevelType w:val="multilevel"/>
    <w:tmpl w:val="7FD85456"/>
    <w:lvl w:ilvl="0" w:tentative="0">
      <w:start w:val="1"/>
      <w:numFmt w:val="decimal"/>
      <w:lvlText w:val="%1"/>
      <w:lvlJc w:val="left"/>
      <w:pPr>
        <w:ind w:left="360" w:hanging="360"/>
      </w:pPr>
      <w:rPr>
        <w:rFonts w:hint="default"/>
      </w:rPr>
    </w:lvl>
    <w:lvl w:ilvl="1" w:tentative="0">
      <w:start w:val="8"/>
      <w:numFmt w:val="decimal"/>
      <w:lvlText w:val="%1.%2"/>
      <w:lvlJc w:val="left"/>
      <w:pPr>
        <w:ind w:left="360" w:hanging="360"/>
      </w:pPr>
      <w:rPr>
        <w:rFonts w:hint="default"/>
        <w:sz w:val="24"/>
        <w:szCs w:val="24"/>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6"/>
  </w:num>
  <w:num w:numId="3">
    <w:abstractNumId w:val="8"/>
  </w:num>
  <w:num w:numId="4">
    <w:abstractNumId w:val="5"/>
  </w:num>
  <w:num w:numId="5">
    <w:abstractNumId w:val="3"/>
  </w:num>
  <w:num w:numId="6">
    <w:abstractNumId w:val="75"/>
  </w:num>
  <w:num w:numId="7">
    <w:abstractNumId w:val="2"/>
  </w:num>
  <w:num w:numId="8">
    <w:abstractNumId w:val="9"/>
  </w:num>
  <w:num w:numId="9">
    <w:abstractNumId w:val="7"/>
  </w:num>
  <w:num w:numId="10">
    <w:abstractNumId w:val="28"/>
  </w:num>
  <w:num w:numId="11">
    <w:abstractNumId w:val="37"/>
  </w:num>
  <w:num w:numId="12">
    <w:abstractNumId w:val="62"/>
  </w:num>
  <w:num w:numId="13">
    <w:abstractNumId w:val="41"/>
  </w:num>
  <w:num w:numId="14">
    <w:abstractNumId w:val="68"/>
  </w:num>
  <w:num w:numId="15">
    <w:abstractNumId w:val="69"/>
  </w:num>
  <w:num w:numId="16">
    <w:abstractNumId w:val="30"/>
  </w:num>
  <w:num w:numId="17">
    <w:abstractNumId w:val="46"/>
  </w:num>
  <w:num w:numId="18">
    <w:abstractNumId w:val="31"/>
  </w:num>
  <w:num w:numId="19">
    <w:abstractNumId w:val="67"/>
  </w:num>
  <w:num w:numId="20">
    <w:abstractNumId w:val="54"/>
  </w:num>
  <w:num w:numId="21">
    <w:abstractNumId w:val="25"/>
  </w:num>
  <w:num w:numId="22">
    <w:abstractNumId w:val="61"/>
  </w:num>
  <w:num w:numId="23">
    <w:abstractNumId w:val="79"/>
  </w:num>
  <w:num w:numId="24">
    <w:abstractNumId w:val="13"/>
  </w:num>
  <w:num w:numId="25">
    <w:abstractNumId w:val="21"/>
  </w:num>
  <w:num w:numId="26">
    <w:abstractNumId w:val="24"/>
  </w:num>
  <w:num w:numId="27">
    <w:abstractNumId w:val="48"/>
  </w:num>
  <w:num w:numId="28">
    <w:abstractNumId w:val="19"/>
  </w:num>
  <w:num w:numId="29">
    <w:abstractNumId w:val="22"/>
  </w:num>
  <w:num w:numId="30">
    <w:abstractNumId w:val="78"/>
  </w:num>
  <w:num w:numId="31">
    <w:abstractNumId w:val="10"/>
  </w:num>
  <w:num w:numId="32">
    <w:abstractNumId w:val="82"/>
  </w:num>
  <w:num w:numId="33">
    <w:abstractNumId w:val="14"/>
  </w:num>
  <w:num w:numId="34">
    <w:abstractNumId w:val="49"/>
  </w:num>
  <w:num w:numId="35">
    <w:abstractNumId w:val="12"/>
  </w:num>
  <w:num w:numId="36">
    <w:abstractNumId w:val="23"/>
  </w:num>
  <w:num w:numId="37">
    <w:abstractNumId w:val="70"/>
  </w:num>
  <w:num w:numId="38">
    <w:abstractNumId w:val="11"/>
  </w:num>
  <w:num w:numId="39">
    <w:abstractNumId w:val="81"/>
  </w:num>
  <w:num w:numId="40">
    <w:abstractNumId w:val="16"/>
  </w:num>
  <w:num w:numId="41">
    <w:abstractNumId w:val="55"/>
  </w:num>
  <w:num w:numId="42">
    <w:abstractNumId w:val="32"/>
  </w:num>
  <w:num w:numId="43">
    <w:abstractNumId w:val="15"/>
  </w:num>
  <w:num w:numId="44">
    <w:abstractNumId w:val="84"/>
  </w:num>
  <w:num w:numId="45">
    <w:abstractNumId w:val="43"/>
  </w:num>
  <w:num w:numId="46">
    <w:abstractNumId w:val="63"/>
  </w:num>
  <w:num w:numId="47">
    <w:abstractNumId w:val="20"/>
  </w:num>
  <w:num w:numId="48">
    <w:abstractNumId w:val="47"/>
  </w:num>
  <w:num w:numId="49">
    <w:abstractNumId w:val="66"/>
  </w:num>
  <w:num w:numId="50">
    <w:abstractNumId w:val="42"/>
  </w:num>
  <w:num w:numId="51">
    <w:abstractNumId w:val="53"/>
  </w:num>
  <w:num w:numId="52">
    <w:abstractNumId w:val="17"/>
  </w:num>
  <w:num w:numId="53">
    <w:abstractNumId w:val="36"/>
  </w:num>
  <w:num w:numId="54">
    <w:abstractNumId w:val="29"/>
  </w:num>
  <w:num w:numId="55">
    <w:abstractNumId w:val="65"/>
  </w:num>
  <w:num w:numId="56">
    <w:abstractNumId w:val="18"/>
  </w:num>
  <w:num w:numId="57">
    <w:abstractNumId w:val="60"/>
  </w:num>
  <w:num w:numId="58">
    <w:abstractNumId w:val="38"/>
  </w:num>
  <w:num w:numId="59">
    <w:abstractNumId w:val="74"/>
  </w:num>
  <w:num w:numId="60">
    <w:abstractNumId w:val="50"/>
  </w:num>
  <w:num w:numId="61">
    <w:abstractNumId w:val="51"/>
  </w:num>
  <w:num w:numId="62">
    <w:abstractNumId w:val="44"/>
  </w:num>
  <w:num w:numId="63">
    <w:abstractNumId w:val="76"/>
  </w:num>
  <w:num w:numId="64">
    <w:abstractNumId w:val="73"/>
  </w:num>
  <w:num w:numId="65">
    <w:abstractNumId w:val="59"/>
  </w:num>
  <w:num w:numId="66">
    <w:abstractNumId w:val="56"/>
  </w:num>
  <w:num w:numId="67">
    <w:abstractNumId w:val="80"/>
  </w:num>
  <w:num w:numId="68">
    <w:abstractNumId w:val="83"/>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34"/>
  </w:num>
  <w:num w:numId="70">
    <w:abstractNumId w:val="26"/>
  </w:num>
  <w:num w:numId="71">
    <w:abstractNumId w:val="77"/>
  </w:num>
  <w:num w:numId="72">
    <w:abstractNumId w:val="1"/>
  </w:num>
  <w:num w:numId="73">
    <w:abstractNumId w:val="40"/>
  </w:num>
  <w:num w:numId="74">
    <w:abstractNumId w:val="85"/>
  </w:num>
  <w:num w:numId="75">
    <w:abstractNumId w:val="35"/>
  </w:num>
  <w:num w:numId="76">
    <w:abstractNumId w:val="64"/>
  </w:num>
  <w:num w:numId="77">
    <w:abstractNumId w:val="33"/>
  </w:num>
  <w:num w:numId="78">
    <w:abstractNumId w:val="71"/>
  </w:num>
  <w:num w:numId="79">
    <w:abstractNumId w:val="72"/>
  </w:num>
  <w:num w:numId="80">
    <w:abstractNumId w:val="58"/>
  </w:num>
  <w:num w:numId="81">
    <w:abstractNumId w:val="57"/>
  </w:num>
  <w:num w:numId="82">
    <w:abstractNumId w:val="52"/>
  </w:num>
  <w:num w:numId="83">
    <w:abstractNumId w:val="27"/>
  </w:num>
  <w:num w:numId="84">
    <w:abstractNumId w:val="0"/>
  </w:num>
  <w:num w:numId="85">
    <w:abstractNumId w:val="39"/>
  </w:num>
  <w:num w:numId="8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6C4"/>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3A676B0"/>
    <w:rsid w:val="03DF44F2"/>
    <w:rsid w:val="03EF2612"/>
    <w:rsid w:val="04901C66"/>
    <w:rsid w:val="04B644F6"/>
    <w:rsid w:val="052063CA"/>
    <w:rsid w:val="05283EA9"/>
    <w:rsid w:val="05976809"/>
    <w:rsid w:val="07127150"/>
    <w:rsid w:val="074D05EF"/>
    <w:rsid w:val="078B414B"/>
    <w:rsid w:val="07CB7F01"/>
    <w:rsid w:val="07F615C4"/>
    <w:rsid w:val="08597468"/>
    <w:rsid w:val="08704312"/>
    <w:rsid w:val="08870408"/>
    <w:rsid w:val="08E64200"/>
    <w:rsid w:val="08F01F28"/>
    <w:rsid w:val="09650257"/>
    <w:rsid w:val="099B4B67"/>
    <w:rsid w:val="09E8742D"/>
    <w:rsid w:val="0A565C1B"/>
    <w:rsid w:val="0A64326C"/>
    <w:rsid w:val="0AA8768C"/>
    <w:rsid w:val="0AB67AAA"/>
    <w:rsid w:val="0B062139"/>
    <w:rsid w:val="0B571D7F"/>
    <w:rsid w:val="0B660C1A"/>
    <w:rsid w:val="0C1447ED"/>
    <w:rsid w:val="0C174E30"/>
    <w:rsid w:val="0C40232D"/>
    <w:rsid w:val="0CE00A95"/>
    <w:rsid w:val="0EFC7153"/>
    <w:rsid w:val="0F30513C"/>
    <w:rsid w:val="0FBE3F41"/>
    <w:rsid w:val="1088747A"/>
    <w:rsid w:val="10B04DA9"/>
    <w:rsid w:val="11067E06"/>
    <w:rsid w:val="11EF623B"/>
    <w:rsid w:val="12732B24"/>
    <w:rsid w:val="12763269"/>
    <w:rsid w:val="129A3460"/>
    <w:rsid w:val="130F3848"/>
    <w:rsid w:val="13826402"/>
    <w:rsid w:val="148765EB"/>
    <w:rsid w:val="14951E1C"/>
    <w:rsid w:val="14E31122"/>
    <w:rsid w:val="15485AA9"/>
    <w:rsid w:val="15860B4C"/>
    <w:rsid w:val="16B03286"/>
    <w:rsid w:val="16E15B36"/>
    <w:rsid w:val="17F93E0B"/>
    <w:rsid w:val="184E71FB"/>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B3779A"/>
    <w:rsid w:val="1ED146E2"/>
    <w:rsid w:val="1EDF14C7"/>
    <w:rsid w:val="1F465F14"/>
    <w:rsid w:val="1F8C3AFF"/>
    <w:rsid w:val="20AF2743"/>
    <w:rsid w:val="21DC02BE"/>
    <w:rsid w:val="22295A28"/>
    <w:rsid w:val="22E40D45"/>
    <w:rsid w:val="232E5C5F"/>
    <w:rsid w:val="235B5EFE"/>
    <w:rsid w:val="236944A9"/>
    <w:rsid w:val="236D492B"/>
    <w:rsid w:val="239E00B4"/>
    <w:rsid w:val="23F34EA3"/>
    <w:rsid w:val="251E74A4"/>
    <w:rsid w:val="25323643"/>
    <w:rsid w:val="254A0D20"/>
    <w:rsid w:val="25B46341"/>
    <w:rsid w:val="25CB59E7"/>
    <w:rsid w:val="25F5040C"/>
    <w:rsid w:val="260F621B"/>
    <w:rsid w:val="26745221"/>
    <w:rsid w:val="267840D6"/>
    <w:rsid w:val="267F0CA1"/>
    <w:rsid w:val="26B431AC"/>
    <w:rsid w:val="27633660"/>
    <w:rsid w:val="27843CE5"/>
    <w:rsid w:val="281431DC"/>
    <w:rsid w:val="284243AB"/>
    <w:rsid w:val="28593B9C"/>
    <w:rsid w:val="289478CD"/>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304F795F"/>
    <w:rsid w:val="30B71DED"/>
    <w:rsid w:val="30C0589B"/>
    <w:rsid w:val="3135465C"/>
    <w:rsid w:val="3198380B"/>
    <w:rsid w:val="31D10829"/>
    <w:rsid w:val="323C3534"/>
    <w:rsid w:val="325725C7"/>
    <w:rsid w:val="32A914C8"/>
    <w:rsid w:val="32EB653A"/>
    <w:rsid w:val="33CB12A8"/>
    <w:rsid w:val="34512C92"/>
    <w:rsid w:val="34775202"/>
    <w:rsid w:val="34921DC5"/>
    <w:rsid w:val="34A002E0"/>
    <w:rsid w:val="34B86754"/>
    <w:rsid w:val="36141226"/>
    <w:rsid w:val="3693127B"/>
    <w:rsid w:val="36A35D65"/>
    <w:rsid w:val="36D52B97"/>
    <w:rsid w:val="37423F42"/>
    <w:rsid w:val="376F4AC9"/>
    <w:rsid w:val="378F3DA1"/>
    <w:rsid w:val="37E55010"/>
    <w:rsid w:val="37FFB8D8"/>
    <w:rsid w:val="39240DE3"/>
    <w:rsid w:val="398C0410"/>
    <w:rsid w:val="3A4E58D3"/>
    <w:rsid w:val="3B1B17F9"/>
    <w:rsid w:val="3B2D05A1"/>
    <w:rsid w:val="3B347BD6"/>
    <w:rsid w:val="3B6B48F3"/>
    <w:rsid w:val="3BCB6780"/>
    <w:rsid w:val="3C7F0AD8"/>
    <w:rsid w:val="3C955459"/>
    <w:rsid w:val="3CA03B35"/>
    <w:rsid w:val="3CB225E1"/>
    <w:rsid w:val="3CD6030E"/>
    <w:rsid w:val="3D6A0B0C"/>
    <w:rsid w:val="3E813AE9"/>
    <w:rsid w:val="3F2006FA"/>
    <w:rsid w:val="3F543CB9"/>
    <w:rsid w:val="3FE94F8F"/>
    <w:rsid w:val="3FEC682B"/>
    <w:rsid w:val="3FF5F3AE"/>
    <w:rsid w:val="41226AC7"/>
    <w:rsid w:val="413E1E21"/>
    <w:rsid w:val="4151103E"/>
    <w:rsid w:val="41711897"/>
    <w:rsid w:val="42323FCC"/>
    <w:rsid w:val="42895954"/>
    <w:rsid w:val="429A2A3A"/>
    <w:rsid w:val="42A15B78"/>
    <w:rsid w:val="42CD0A98"/>
    <w:rsid w:val="431A0C09"/>
    <w:rsid w:val="432A5FEB"/>
    <w:rsid w:val="43946474"/>
    <w:rsid w:val="44386B2C"/>
    <w:rsid w:val="44740266"/>
    <w:rsid w:val="44C77869"/>
    <w:rsid w:val="4540559D"/>
    <w:rsid w:val="4557590C"/>
    <w:rsid w:val="4607616F"/>
    <w:rsid w:val="468C5E13"/>
    <w:rsid w:val="477E7266"/>
    <w:rsid w:val="47984DFB"/>
    <w:rsid w:val="47BA5463"/>
    <w:rsid w:val="47D81274"/>
    <w:rsid w:val="47FD38A8"/>
    <w:rsid w:val="480E2158"/>
    <w:rsid w:val="481F66B0"/>
    <w:rsid w:val="484C255F"/>
    <w:rsid w:val="48831153"/>
    <w:rsid w:val="48A01F11"/>
    <w:rsid w:val="48AB18A5"/>
    <w:rsid w:val="48B241F6"/>
    <w:rsid w:val="48D82045"/>
    <w:rsid w:val="49F94957"/>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96D3B9B"/>
    <w:rsid w:val="5972490F"/>
    <w:rsid w:val="598D42A4"/>
    <w:rsid w:val="59BE1C7F"/>
    <w:rsid w:val="5A0233C6"/>
    <w:rsid w:val="5B1F0AEB"/>
    <w:rsid w:val="5B1F58B2"/>
    <w:rsid w:val="5C466C57"/>
    <w:rsid w:val="5D196598"/>
    <w:rsid w:val="5DB90D63"/>
    <w:rsid w:val="5DC50820"/>
    <w:rsid w:val="5DE2241E"/>
    <w:rsid w:val="5E3D49CC"/>
    <w:rsid w:val="5E56695E"/>
    <w:rsid w:val="5E5C2864"/>
    <w:rsid w:val="5E734892"/>
    <w:rsid w:val="5E88199B"/>
    <w:rsid w:val="5EBC22AF"/>
    <w:rsid w:val="5EFC71A3"/>
    <w:rsid w:val="5F073306"/>
    <w:rsid w:val="5F5F73B9"/>
    <w:rsid w:val="601C7024"/>
    <w:rsid w:val="605C4EB2"/>
    <w:rsid w:val="60885CA7"/>
    <w:rsid w:val="60DA364F"/>
    <w:rsid w:val="61377DF9"/>
    <w:rsid w:val="61872B6E"/>
    <w:rsid w:val="619F1F36"/>
    <w:rsid w:val="62191281"/>
    <w:rsid w:val="62467BC8"/>
    <w:rsid w:val="62E05DA5"/>
    <w:rsid w:val="63FB06CA"/>
    <w:rsid w:val="640A5F1F"/>
    <w:rsid w:val="645C36D2"/>
    <w:rsid w:val="65164655"/>
    <w:rsid w:val="658B50AB"/>
    <w:rsid w:val="65A25A5D"/>
    <w:rsid w:val="662E0B47"/>
    <w:rsid w:val="663F6A42"/>
    <w:rsid w:val="679445D1"/>
    <w:rsid w:val="6838144E"/>
    <w:rsid w:val="6845026A"/>
    <w:rsid w:val="68AA7398"/>
    <w:rsid w:val="68EA0173"/>
    <w:rsid w:val="69A04061"/>
    <w:rsid w:val="69D93A29"/>
    <w:rsid w:val="69EB6C34"/>
    <w:rsid w:val="6A02360A"/>
    <w:rsid w:val="6AB4472C"/>
    <w:rsid w:val="6B767B8A"/>
    <w:rsid w:val="6BFF1D48"/>
    <w:rsid w:val="6C2C3852"/>
    <w:rsid w:val="6C3A079D"/>
    <w:rsid w:val="6C88515B"/>
    <w:rsid w:val="6CCD7854"/>
    <w:rsid w:val="6CF50B68"/>
    <w:rsid w:val="6D1E5033"/>
    <w:rsid w:val="6D317DF2"/>
    <w:rsid w:val="6D9A4065"/>
    <w:rsid w:val="6DDD3B13"/>
    <w:rsid w:val="6E7B2948"/>
    <w:rsid w:val="6FDA7681"/>
    <w:rsid w:val="704020FA"/>
    <w:rsid w:val="706F54D7"/>
    <w:rsid w:val="7085489A"/>
    <w:rsid w:val="70DC121A"/>
    <w:rsid w:val="71894177"/>
    <w:rsid w:val="719670F5"/>
    <w:rsid w:val="71F675E2"/>
    <w:rsid w:val="728E30E2"/>
    <w:rsid w:val="72BA78C6"/>
    <w:rsid w:val="72E22D58"/>
    <w:rsid w:val="7354659D"/>
    <w:rsid w:val="73571880"/>
    <w:rsid w:val="742C597A"/>
    <w:rsid w:val="74321F08"/>
    <w:rsid w:val="74E3119F"/>
    <w:rsid w:val="75135111"/>
    <w:rsid w:val="752E10BB"/>
    <w:rsid w:val="756C3507"/>
    <w:rsid w:val="758B1445"/>
    <w:rsid w:val="77AE10BF"/>
    <w:rsid w:val="77C21B10"/>
    <w:rsid w:val="78192D36"/>
    <w:rsid w:val="78FC1544"/>
    <w:rsid w:val="798E2128"/>
    <w:rsid w:val="7AB30796"/>
    <w:rsid w:val="7AE244DA"/>
    <w:rsid w:val="7B1623D5"/>
    <w:rsid w:val="7B174A92"/>
    <w:rsid w:val="7BBF3F84"/>
    <w:rsid w:val="7BC57958"/>
    <w:rsid w:val="7C0949AD"/>
    <w:rsid w:val="7C5B7D3F"/>
    <w:rsid w:val="7D0A1DD7"/>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5"/>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5">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5"/>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6"/>
    <w:qFormat/>
    <w:uiPriority w:val="0"/>
    <w:rPr>
      <w:rFonts w:ascii="宋体" w:eastAsia="宋体"/>
      <w:b/>
      <w:sz w:val="24"/>
      <w:u w:val="single"/>
      <w:lang w:val="en-US" w:eastAsia="zh-CN" w:bidi="ar-SA"/>
    </w:rPr>
  </w:style>
  <w:style w:type="character" w:customStyle="1" w:styleId="154">
    <w:name w:val="标题 4 字符2"/>
    <w:link w:val="7"/>
    <w:qFormat/>
    <w:uiPriority w:val="0"/>
    <w:rPr>
      <w:rFonts w:ascii="Arial" w:hAnsi="Arial" w:eastAsia="黑体"/>
      <w:b/>
      <w:sz w:val="28"/>
    </w:rPr>
  </w:style>
  <w:style w:type="character" w:customStyle="1" w:styleId="155">
    <w:name w:val="标题 5 字符1"/>
    <w:link w:val="8"/>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5"/>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5"/>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6"/>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6"/>
    <w:next w:val="7"/>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5"/>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6"/>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7"/>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6"/>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5"/>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8"/>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5"/>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6"/>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5"/>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7"/>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5"/>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5"/>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5"/>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8"/>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5"/>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6"/>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7"/>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5"/>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8"/>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5"/>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5"/>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5"/>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6"/>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8"/>
    <w:qFormat/>
    <w:uiPriority w:val="0"/>
    <w:pPr>
      <w:numPr>
        <w:ilvl w:val="3"/>
        <w:numId w:val="67"/>
      </w:numPr>
      <w:spacing w:before="0" w:after="0" w:line="360" w:lineRule="auto"/>
    </w:pPr>
    <w:rPr>
      <w:rFonts w:hAnsi="Calibri"/>
      <w:sz w:val="24"/>
    </w:rPr>
  </w:style>
  <w:style w:type="paragraph" w:customStyle="1" w:styleId="2013">
    <w:name w:val="标题4-技术需求"/>
    <w:basedOn w:val="7"/>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3.png"/><Relationship Id="rId50" Type="http://schemas.openxmlformats.org/officeDocument/2006/relationships/image" Target="media/image2.png"/><Relationship Id="rId5" Type="http://schemas.openxmlformats.org/officeDocument/2006/relationships/footer" Target="footer1.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25.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header" Target="header19.xml"/><Relationship Id="rId43" Type="http://schemas.openxmlformats.org/officeDocument/2006/relationships/footer" Target="footer23.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155</Pages>
  <Words>15286</Words>
  <Characters>16209</Characters>
  <Lines>418</Lines>
  <Paragraphs>117</Paragraphs>
  <TotalTime>10</TotalTime>
  <ScaleCrop>false</ScaleCrop>
  <LinksUpToDate>false</LinksUpToDate>
  <CharactersWithSpaces>16739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2025-11-25T06:47:07Z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3618D63D66E347EFB037020590B3EC33_13</vt:lpwstr>
  </property>
  <property fmtid="{D5CDD505-2E9C-101B-9397-08002B2CF9AE}" pid="4" name="KSOTemplateDocerSaveRecord">
    <vt:lpwstr>eyJoZGlkIjoiZjdhYmIxYjRlM2I1NDBkZjE3NjViODM2ZTIzNThmZGEiLCJ1c2VySWQiOiIxNTUwMzU2MDE3In0=</vt:lpwstr>
  </property>
</Properties>
</file>