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CD3AC08">
      <w:pPr>
        <w:spacing w:line="360" w:lineRule="auto"/>
        <w:ind w:firstLine="420" w:firstLineChars="0"/>
        <w:rPr>
          <w:rFonts w:asciiTheme="minorEastAsia" w:hAnsiTheme="minorEastAsia" w:eastAsiaTheme="minorEastAsia"/>
          <w:color w:val="auto"/>
          <w:sz w:val="44"/>
          <w:szCs w:val="44"/>
          <w:highlight w:val="none"/>
        </w:rPr>
      </w:pPr>
      <w:r>
        <w:rPr>
          <w:rFonts w:hint="eastAsia" w:eastAsia="宋体"/>
          <w:color w:val="auto"/>
          <w:sz w:val="60"/>
          <w:szCs w:val="60"/>
          <w:highlight w:val="none"/>
          <w:lang w:eastAsia="zh-CN"/>
        </w:rPr>
        <w:drawing>
          <wp:inline distT="0" distB="0" distL="114300" distR="114300">
            <wp:extent cx="1631950" cy="1504950"/>
            <wp:effectExtent l="0" t="0" r="6350" b="0"/>
            <wp:docPr id="2" name="图片 2" descr="中规咨询竖式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中规咨询竖式logo"/>
                    <pic:cNvPicPr>
                      <a:picLocks noChangeAspect="1"/>
                    </pic:cNvPicPr>
                  </pic:nvPicPr>
                  <pic:blipFill>
                    <a:blip r:embed="rId22"/>
                    <a:stretch>
                      <a:fillRect/>
                    </a:stretch>
                  </pic:blipFill>
                  <pic:spPr>
                    <a:xfrm>
                      <a:off x="0" y="0"/>
                      <a:ext cx="1631950" cy="1504950"/>
                    </a:xfrm>
                    <a:prstGeom prst="rect">
                      <a:avLst/>
                    </a:prstGeom>
                  </pic:spPr>
                </pic:pic>
              </a:graphicData>
            </a:graphic>
          </wp:inline>
        </w:drawing>
      </w:r>
    </w:p>
    <w:p w14:paraId="6878A4B9">
      <w:pPr>
        <w:spacing w:line="360" w:lineRule="auto"/>
        <w:ind w:firstLine="220" w:firstLineChars="50"/>
        <w:rPr>
          <w:rFonts w:hint="eastAsia" w:ascii="仿宋" w:hAnsi="仿宋" w:eastAsia="仿宋" w:cs="仿宋"/>
          <w:color w:val="auto"/>
          <w:sz w:val="44"/>
          <w:szCs w:val="44"/>
          <w:highlight w:val="none"/>
        </w:rPr>
      </w:pPr>
    </w:p>
    <w:p w14:paraId="516439F0">
      <w:pPr>
        <w:spacing w:line="360" w:lineRule="auto"/>
        <w:rPr>
          <w:rFonts w:hint="eastAsia" w:ascii="仿宋" w:hAnsi="仿宋" w:eastAsia="仿宋" w:cs="仿宋"/>
          <w:color w:val="auto"/>
          <w:sz w:val="44"/>
          <w:szCs w:val="44"/>
          <w:highlight w:val="none"/>
        </w:rPr>
      </w:pPr>
    </w:p>
    <w:p w14:paraId="0E1E7AA4">
      <w:pPr>
        <w:spacing w:line="360" w:lineRule="auto"/>
        <w:jc w:val="both"/>
        <w:rPr>
          <w:rFonts w:hint="eastAsia" w:ascii="仿宋" w:hAnsi="仿宋" w:eastAsia="仿宋" w:cs="仿宋"/>
          <w:b/>
          <w:bCs/>
          <w:color w:val="auto"/>
          <w:sz w:val="52"/>
          <w:szCs w:val="52"/>
          <w:highlight w:val="none"/>
        </w:rPr>
      </w:pPr>
    </w:p>
    <w:p w14:paraId="5FF2285E">
      <w:pPr>
        <w:spacing w:line="360" w:lineRule="auto"/>
        <w:jc w:val="center"/>
        <w:rPr>
          <w:rFonts w:hint="eastAsia"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招标文件</w:t>
      </w:r>
    </w:p>
    <w:p w14:paraId="4A3D225F">
      <w:pPr>
        <w:jc w:val="center"/>
        <w:rPr>
          <w:rFonts w:hint="eastAsia" w:ascii="仿宋" w:hAnsi="仿宋" w:eastAsia="仿宋" w:cs="仿宋"/>
          <w:b/>
          <w:bCs/>
          <w:color w:val="auto"/>
          <w:sz w:val="60"/>
          <w:szCs w:val="60"/>
          <w:highlight w:val="none"/>
        </w:rPr>
      </w:pPr>
    </w:p>
    <w:p w14:paraId="40D97E89">
      <w:pPr>
        <w:jc w:val="both"/>
        <w:rPr>
          <w:rFonts w:hint="eastAsia" w:ascii="仿宋" w:hAnsi="仿宋" w:eastAsia="仿宋" w:cs="仿宋"/>
          <w:b/>
          <w:bCs/>
          <w:color w:val="auto"/>
          <w:sz w:val="60"/>
          <w:szCs w:val="60"/>
          <w:highlight w:val="none"/>
        </w:rPr>
      </w:pPr>
    </w:p>
    <w:p w14:paraId="7766FD79">
      <w:pPr>
        <w:spacing w:line="360" w:lineRule="auto"/>
        <w:jc w:val="center"/>
        <w:rPr>
          <w:rFonts w:hint="eastAsia" w:ascii="仿宋" w:hAnsi="仿宋" w:eastAsia="仿宋" w:cs="仿宋"/>
          <w:color w:val="auto"/>
          <w:sz w:val="60"/>
          <w:szCs w:val="60"/>
          <w:highlight w:val="none"/>
        </w:rPr>
      </w:pPr>
    </w:p>
    <w:p w14:paraId="0F97CD86">
      <w:pPr>
        <w:spacing w:line="360" w:lineRule="auto"/>
        <w:jc w:val="center"/>
        <w:rPr>
          <w:rFonts w:hint="eastAsia" w:ascii="仿宋" w:hAnsi="仿宋" w:eastAsia="仿宋" w:cs="仿宋"/>
          <w:color w:val="auto"/>
          <w:sz w:val="32"/>
          <w:szCs w:val="32"/>
          <w:highlight w:val="none"/>
        </w:rPr>
      </w:pPr>
    </w:p>
    <w:p w14:paraId="287BCCC9">
      <w:pPr>
        <w:tabs>
          <w:tab w:val="left" w:pos="3240"/>
          <w:tab w:val="left" w:pos="3420"/>
        </w:tabs>
        <w:spacing w:line="360" w:lineRule="auto"/>
        <w:ind w:left="1416" w:hanging="1510" w:hangingChars="472"/>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lang w:val="en-US" w:eastAsia="zh-CN"/>
        </w:rPr>
        <w:t>标包</w:t>
      </w:r>
      <w:r>
        <w:rPr>
          <w:rFonts w:hint="eastAsia" w:ascii="仿宋" w:hAnsi="仿宋" w:eastAsia="仿宋" w:cs="仿宋"/>
          <w:bCs/>
          <w:color w:val="auto"/>
          <w:sz w:val="32"/>
          <w:szCs w:val="32"/>
          <w:highlight w:val="none"/>
        </w:rPr>
        <w:t>名称：</w:t>
      </w:r>
      <w:r>
        <w:rPr>
          <w:rFonts w:hint="eastAsia" w:ascii="仿宋" w:hAnsi="仿宋" w:eastAsia="仿宋" w:cs="仿宋"/>
          <w:bCs/>
          <w:color w:val="auto"/>
          <w:sz w:val="32"/>
          <w:szCs w:val="32"/>
          <w:highlight w:val="none"/>
          <w:lang w:eastAsia="zh-CN"/>
        </w:rPr>
        <w:t>2026年北京市朝阳区教育服务保障中心及其所属幼儿园</w:t>
      </w:r>
    </w:p>
    <w:p w14:paraId="4B12359D">
      <w:pPr>
        <w:tabs>
          <w:tab w:val="left" w:pos="3240"/>
          <w:tab w:val="left" w:pos="3420"/>
        </w:tabs>
        <w:spacing w:line="360" w:lineRule="auto"/>
        <w:ind w:left="1416" w:hanging="1510" w:hangingChars="472"/>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lang w:eastAsia="zh-CN"/>
        </w:rPr>
        <w:t>保安服务项目</w:t>
      </w:r>
      <w:r>
        <w:rPr>
          <w:rFonts w:hint="eastAsia" w:ascii="仿宋" w:hAnsi="仿宋" w:eastAsia="仿宋" w:cs="仿宋"/>
          <w:bCs/>
          <w:color w:val="auto"/>
          <w:sz w:val="32"/>
          <w:szCs w:val="32"/>
          <w:highlight w:val="none"/>
        </w:rPr>
        <w:t>（一标包）</w:t>
      </w:r>
    </w:p>
    <w:p w14:paraId="7E458F30">
      <w:pPr>
        <w:tabs>
          <w:tab w:val="left" w:pos="3240"/>
          <w:tab w:val="left" w:pos="3420"/>
        </w:tabs>
        <w:spacing w:line="360" w:lineRule="auto"/>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项目编号：</w:t>
      </w:r>
      <w:r>
        <w:rPr>
          <w:rFonts w:hint="eastAsia" w:ascii="仿宋" w:hAnsi="仿宋" w:eastAsia="仿宋" w:cs="仿宋"/>
          <w:bCs/>
          <w:color w:val="auto"/>
          <w:sz w:val="32"/>
          <w:szCs w:val="32"/>
          <w:highlight w:val="none"/>
          <w:lang w:eastAsia="zh-CN"/>
        </w:rPr>
        <w:t>11010525210200026591-XM001</w:t>
      </w:r>
    </w:p>
    <w:p w14:paraId="4CE9CA97">
      <w:pPr>
        <w:tabs>
          <w:tab w:val="left" w:pos="3240"/>
          <w:tab w:val="left" w:pos="3420"/>
        </w:tabs>
        <w:spacing w:line="360" w:lineRule="auto"/>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 购 人：</w:t>
      </w:r>
      <w:r>
        <w:rPr>
          <w:rFonts w:hint="eastAsia" w:ascii="仿宋" w:hAnsi="仿宋" w:eastAsia="仿宋" w:cs="仿宋"/>
          <w:bCs/>
          <w:color w:val="auto"/>
          <w:sz w:val="32"/>
          <w:szCs w:val="32"/>
          <w:highlight w:val="none"/>
          <w:lang w:eastAsia="zh-CN"/>
        </w:rPr>
        <w:t>北京市朝阳区教育服务保障中心</w:t>
      </w:r>
    </w:p>
    <w:p w14:paraId="7E048DB7">
      <w:pPr>
        <w:widowControl/>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采购代理机构：</w:t>
      </w:r>
      <w:r>
        <w:rPr>
          <w:rFonts w:hint="eastAsia" w:ascii="仿宋" w:hAnsi="仿宋" w:eastAsia="仿宋" w:cs="仿宋"/>
          <w:bCs/>
          <w:color w:val="auto"/>
          <w:sz w:val="32"/>
          <w:szCs w:val="32"/>
          <w:highlight w:val="none"/>
          <w:lang w:eastAsia="zh-CN"/>
        </w:rPr>
        <w:t>中归咨询管理（北京）有限公司</w:t>
      </w:r>
    </w:p>
    <w:p w14:paraId="4E9DD778">
      <w:pPr>
        <w:widowControl/>
        <w:jc w:val="left"/>
        <w:rPr>
          <w:rFonts w:asciiTheme="minorEastAsia" w:hAnsiTheme="minorEastAsia" w:eastAsiaTheme="minorEastAsia"/>
          <w:bCs/>
          <w:color w:val="auto"/>
          <w:sz w:val="30"/>
          <w:szCs w:val="30"/>
          <w:highlight w:val="none"/>
        </w:rPr>
      </w:pPr>
      <w:r>
        <w:rPr>
          <w:rFonts w:asciiTheme="minorEastAsia" w:hAnsiTheme="minorEastAsia" w:eastAsiaTheme="minorEastAsia"/>
          <w:bCs/>
          <w:color w:val="auto"/>
          <w:sz w:val="30"/>
          <w:szCs w:val="30"/>
          <w:highlight w:val="none"/>
        </w:rPr>
        <w:br w:type="page"/>
      </w:r>
    </w:p>
    <w:p w14:paraId="23EC0EE4">
      <w:pPr>
        <w:widowControl/>
        <w:jc w:val="left"/>
        <w:rPr>
          <w:rFonts w:asciiTheme="minorEastAsia" w:hAnsiTheme="minorEastAsia" w:eastAsiaTheme="minorEastAsia"/>
          <w:b/>
          <w:bCs/>
          <w:color w:val="auto"/>
          <w:sz w:val="30"/>
          <w:szCs w:val="30"/>
          <w:highlight w:val="none"/>
        </w:rPr>
      </w:pPr>
    </w:p>
    <w:p w14:paraId="161019B8">
      <w:pPr>
        <w:spacing w:line="360" w:lineRule="auto"/>
        <w:jc w:val="center"/>
        <w:outlineLvl w:val="0"/>
        <w:rPr>
          <w:rFonts w:hint="eastAsia" w:ascii="仿宋" w:hAnsi="仿宋" w:eastAsia="仿宋" w:cs="仿宋"/>
          <w:b/>
          <w:color w:val="auto"/>
          <w:sz w:val="48"/>
          <w:szCs w:val="48"/>
          <w:highlight w:val="none"/>
        </w:rPr>
      </w:pPr>
      <w:bookmarkStart w:id="0" w:name="_Toc99301418"/>
      <w:r>
        <w:rPr>
          <w:rFonts w:hint="eastAsia" w:ascii="仿宋" w:hAnsi="仿宋" w:eastAsia="仿宋" w:cs="仿宋"/>
          <w:b/>
          <w:color w:val="auto"/>
          <w:sz w:val="48"/>
          <w:szCs w:val="48"/>
          <w:highlight w:val="none"/>
        </w:rPr>
        <w:t>目  录</w:t>
      </w:r>
      <w:bookmarkEnd w:id="0"/>
    </w:p>
    <w:p w14:paraId="7FC37E68">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TOC \o "1-1" \h \z \u </w:instrText>
      </w:r>
      <w:r>
        <w:rPr>
          <w:rStyle w:val="53"/>
          <w:rFonts w:hint="eastAsia" w:ascii="仿宋" w:hAnsi="仿宋" w:eastAsia="仿宋" w:cs="仿宋"/>
          <w:color w:val="auto"/>
          <w:sz w:val="28"/>
          <w:szCs w:val="28"/>
          <w:highlight w:val="none"/>
        </w:rPr>
        <w:fldChar w:fldCharType="separate"/>
      </w:r>
    </w:p>
    <w:p w14:paraId="2CAB154B">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"_Toc99301419"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第一章   投标邀请</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_Toc99301419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E1D6213">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"_Toc99301420"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第二章   投标人须知</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_Toc99301420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5</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7BDF1DD4">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"_Toc99301421"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第三章   资格审查</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_Toc99301421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21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9317067">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"_Toc99301423"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第四章   评标程序、评标方法和评标标准</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_Toc99301423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23</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7E315D6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"_Toc99301424"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第五章   采购需求</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_Toc99301424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33</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6A1F950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"_Toc99301425"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第六章   拟签订的合同文本</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_Toc99301425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36</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12E3F94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"_Toc99301426"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第七章   投标文件格式</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_Toc99301426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45</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DFB9DDB">
      <w:pPr>
        <w:pStyle w:val="32"/>
        <w:tabs>
          <w:tab w:val="right" w:leader="dot" w:pos="9639"/>
          <w:tab w:val="clear" w:pos="8937"/>
        </w:tabs>
        <w:spacing w:line="360" w:lineRule="auto"/>
        <w:rPr>
          <w:rFonts w:hint="eastAsia" w:ascii="仿宋" w:hAnsi="仿宋" w:eastAsia="仿宋" w:cs="仿宋"/>
          <w:color w:val="auto"/>
          <w:sz w:val="28"/>
          <w:szCs w:val="28"/>
          <w:highlight w:val="none"/>
        </w:rPr>
      </w:pPr>
      <w:r>
        <w:rPr>
          <w:rStyle w:val="53"/>
          <w:rFonts w:hint="eastAsia" w:ascii="仿宋" w:hAnsi="仿宋" w:eastAsia="仿宋" w:cs="仿宋"/>
          <w:color w:val="auto"/>
          <w:sz w:val="28"/>
          <w:szCs w:val="28"/>
          <w:highlight w:val="none"/>
        </w:rPr>
        <w:fldChar w:fldCharType="end"/>
      </w:r>
    </w:p>
    <w:p w14:paraId="2732E8CE">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注：采购文件条款中以 “■”形式标记的内容适用于本项目，以“□”形式标记的内容不适用于本项目。</w:t>
      </w:r>
    </w:p>
    <w:p w14:paraId="6223C632">
      <w:pPr>
        <w:pStyle w:val="32"/>
        <w:spacing w:line="360" w:lineRule="auto"/>
        <w:rPr>
          <w:rFonts w:asciiTheme="minorEastAsia" w:hAnsiTheme="minorEastAsia" w:eastAsiaTheme="minorEastAsia"/>
          <w:b w:val="0"/>
          <w:color w:val="auto"/>
          <w:highlight w:val="none"/>
        </w:rPr>
      </w:pPr>
    </w:p>
    <w:p w14:paraId="23940238">
      <w:pPr>
        <w:spacing w:line="360" w:lineRule="auto"/>
        <w:jc w:val="center"/>
        <w:outlineLvl w:val="0"/>
        <w:rPr>
          <w:rFonts w:asciiTheme="minorEastAsia" w:hAnsiTheme="minorEastAsia" w:eastAsiaTheme="minorEastAsia"/>
          <w:b/>
          <w:color w:val="auto"/>
          <w:sz w:val="36"/>
          <w:szCs w:val="36"/>
          <w:highlight w:val="none"/>
        </w:rPr>
        <w:sectPr>
          <w:type w:val="nextColumn"/>
          <w:pgSz w:w="11907" w:h="16840"/>
          <w:pgMar w:top="1440" w:right="1080" w:bottom="1440" w:left="1080" w:header="851" w:footer="851" w:gutter="0"/>
          <w:pgNumType w:start="0"/>
          <w:cols w:space="720" w:num="1"/>
          <w:titlePg/>
          <w:docGrid w:linePitch="462" w:charSpace="0"/>
        </w:sectPr>
      </w:pPr>
      <w:bookmarkStart w:id="1" w:name="_Toc99301419"/>
    </w:p>
    <w:p w14:paraId="3EE876B8">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第一章   投标邀请</w:t>
      </w:r>
      <w:bookmarkEnd w:id="1"/>
    </w:p>
    <w:p w14:paraId="3E426158">
      <w:pPr>
        <w:pStyle w:val="3"/>
        <w:tabs>
          <w:tab w:val="left" w:pos="1260"/>
        </w:tabs>
        <w:spacing w:before="0" w:line="360" w:lineRule="auto"/>
        <w:jc w:val="left"/>
        <w:rPr>
          <w:rFonts w:hint="eastAsia" w:ascii="仿宋" w:hAnsi="仿宋" w:eastAsia="仿宋" w:cs="仿宋"/>
          <w:color w:val="auto"/>
          <w:sz w:val="24"/>
          <w:szCs w:val="24"/>
          <w:highlight w:val="none"/>
        </w:rPr>
      </w:pPr>
      <w:bookmarkStart w:id="2" w:name="_Toc35393621"/>
      <w:bookmarkStart w:id="3" w:name="_Toc28359079"/>
      <w:bookmarkStart w:id="4" w:name="_Toc28359002"/>
      <w:bookmarkStart w:id="5" w:name="_Toc35393790"/>
      <w:bookmarkStart w:id="6" w:name="_Hlk24379207"/>
      <w:r>
        <w:rPr>
          <w:rFonts w:hint="eastAsia" w:ascii="仿宋" w:hAnsi="仿宋" w:eastAsia="仿宋" w:cs="仿宋"/>
          <w:color w:val="auto"/>
          <w:sz w:val="24"/>
          <w:szCs w:val="24"/>
          <w:highlight w:val="none"/>
        </w:rPr>
        <w:t>一、项目基本情况</w:t>
      </w:r>
      <w:bookmarkEnd w:id="2"/>
      <w:bookmarkEnd w:id="3"/>
      <w:bookmarkEnd w:id="4"/>
      <w:bookmarkEnd w:id="5"/>
    </w:p>
    <w:p w14:paraId="46E0904A">
      <w:pPr>
        <w:tabs>
          <w:tab w:val="left" w:pos="1260"/>
        </w:tabs>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1.项目编号：</w:t>
      </w:r>
      <w:r>
        <w:rPr>
          <w:rFonts w:hint="eastAsia" w:ascii="仿宋" w:hAnsi="仿宋" w:eastAsia="仿宋" w:cs="仿宋"/>
          <w:color w:val="auto"/>
          <w:sz w:val="24"/>
          <w:highlight w:val="none"/>
          <w:u w:val="single"/>
          <w:lang w:eastAsia="zh-CN"/>
        </w:rPr>
        <w:t>11010525210200026591-XM001</w:t>
      </w:r>
    </w:p>
    <w:p w14:paraId="615D568B">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2.项目名称：</w:t>
      </w:r>
      <w:r>
        <w:rPr>
          <w:rFonts w:hint="eastAsia" w:ascii="仿宋" w:hAnsi="仿宋" w:eastAsia="仿宋" w:cs="仿宋"/>
          <w:color w:val="auto"/>
          <w:sz w:val="24"/>
          <w:highlight w:val="none"/>
          <w:u w:val="single"/>
          <w:lang w:eastAsia="zh-CN"/>
        </w:rPr>
        <w:t>2026年北京市朝阳区教育服务保障中心及其所属幼儿园保安服务项目</w:t>
      </w:r>
    </w:p>
    <w:bookmarkEnd w:id="6"/>
    <w:p w14:paraId="6857C3E5">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3.项目预算金额：</w:t>
      </w:r>
      <w:r>
        <w:rPr>
          <w:rFonts w:hint="eastAsia" w:ascii="仿宋" w:hAnsi="仿宋" w:eastAsia="仿宋" w:cs="仿宋"/>
          <w:color w:val="auto"/>
          <w:sz w:val="24"/>
          <w:highlight w:val="none"/>
          <w:u w:val="single"/>
          <w:lang w:eastAsia="zh-CN"/>
        </w:rPr>
        <w:t>828.36</w:t>
      </w:r>
      <w:r>
        <w:rPr>
          <w:rFonts w:hint="eastAsia" w:ascii="仿宋" w:hAnsi="仿宋" w:eastAsia="仿宋" w:cs="仿宋"/>
          <w:color w:val="auto"/>
          <w:sz w:val="24"/>
          <w:highlight w:val="none"/>
          <w:lang w:eastAsia="zh-CN"/>
        </w:rPr>
        <w:t>万元</w:t>
      </w:r>
    </w:p>
    <w:p w14:paraId="50167D5D">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4.采购需求：</w:t>
      </w:r>
    </w:p>
    <w:tbl>
      <w:tblPr>
        <w:tblStyle w:val="45"/>
        <w:tblW w:w="497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2414"/>
        <w:gridCol w:w="1525"/>
        <w:gridCol w:w="992"/>
        <w:gridCol w:w="3998"/>
      </w:tblGrid>
      <w:tr w14:paraId="5D0B6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489" w:type="pct"/>
            <w:vAlign w:val="center"/>
          </w:tcPr>
          <w:p w14:paraId="43DCE737">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1219" w:type="pct"/>
            <w:vAlign w:val="center"/>
          </w:tcPr>
          <w:p w14:paraId="287BF404">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标包</w:t>
            </w:r>
            <w:r>
              <w:rPr>
                <w:rFonts w:hint="eastAsia" w:ascii="仿宋" w:hAnsi="仿宋" w:eastAsia="仿宋" w:cs="仿宋"/>
                <w:bCs/>
                <w:color w:val="auto"/>
                <w:sz w:val="21"/>
                <w:szCs w:val="21"/>
                <w:highlight w:val="none"/>
              </w:rPr>
              <w:t>名称</w:t>
            </w:r>
          </w:p>
        </w:tc>
        <w:tc>
          <w:tcPr>
            <w:tcW w:w="770" w:type="pct"/>
            <w:vAlign w:val="center"/>
          </w:tcPr>
          <w:p w14:paraId="602205EA">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采购</w:t>
            </w:r>
            <w:r>
              <w:rPr>
                <w:rFonts w:hint="eastAsia" w:ascii="仿宋" w:hAnsi="仿宋" w:eastAsia="仿宋" w:cs="仿宋"/>
                <w:bCs/>
                <w:color w:val="auto"/>
                <w:sz w:val="21"/>
                <w:szCs w:val="21"/>
                <w:highlight w:val="none"/>
                <w:lang w:val="en-US" w:eastAsia="zh-CN"/>
              </w:rPr>
              <w:t>标</w:t>
            </w:r>
            <w:r>
              <w:rPr>
                <w:rFonts w:hint="eastAsia" w:ascii="仿宋" w:hAnsi="仿宋" w:eastAsia="仿宋" w:cs="仿宋"/>
                <w:bCs/>
                <w:color w:val="auto"/>
                <w:sz w:val="21"/>
                <w:szCs w:val="21"/>
                <w:highlight w:val="none"/>
              </w:rPr>
              <w:t>包预算金额（万元）</w:t>
            </w:r>
          </w:p>
        </w:tc>
        <w:tc>
          <w:tcPr>
            <w:tcW w:w="501" w:type="pct"/>
            <w:vAlign w:val="center"/>
          </w:tcPr>
          <w:p w14:paraId="651A9D75">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数量</w:t>
            </w:r>
          </w:p>
        </w:tc>
        <w:tc>
          <w:tcPr>
            <w:tcW w:w="2019" w:type="pct"/>
            <w:vAlign w:val="center"/>
          </w:tcPr>
          <w:p w14:paraId="73E170DE">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简要技术需求或服务要求</w:t>
            </w:r>
          </w:p>
        </w:tc>
      </w:tr>
      <w:tr w14:paraId="3A015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112E2B7F">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一标包</w:t>
            </w:r>
          </w:p>
        </w:tc>
        <w:tc>
          <w:tcPr>
            <w:tcW w:w="1219" w:type="pct"/>
            <w:vAlign w:val="center"/>
          </w:tcPr>
          <w:p w14:paraId="2395FB0E">
            <w:pPr>
              <w:jc w:val="center"/>
              <w:rPr>
                <w:rFonts w:hint="eastAsia" w:ascii="仿宋" w:hAnsi="仿宋" w:eastAsia="仿宋" w:cs="仿宋"/>
                <w:bCs/>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一标包</w:t>
            </w:r>
            <w:r>
              <w:rPr>
                <w:rFonts w:hint="eastAsia" w:ascii="仿宋" w:hAnsi="仿宋" w:eastAsia="仿宋" w:cs="仿宋"/>
                <w:color w:val="auto"/>
                <w:sz w:val="21"/>
                <w:szCs w:val="21"/>
                <w:highlight w:val="none"/>
                <w:lang w:eastAsia="zh-CN"/>
              </w:rPr>
              <w:t>）</w:t>
            </w:r>
          </w:p>
        </w:tc>
        <w:tc>
          <w:tcPr>
            <w:tcW w:w="770" w:type="pct"/>
            <w:vAlign w:val="center"/>
          </w:tcPr>
          <w:p w14:paraId="60054217">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501" w:type="pct"/>
            <w:vAlign w:val="center"/>
          </w:tcPr>
          <w:p w14:paraId="423B4B9C">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5E418722">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为青荷里园、祈东园、安馨园、晨风园、百子园、裕民园提供安保服务，具体详见招标文件第五章采购需求。</w:t>
            </w:r>
          </w:p>
        </w:tc>
      </w:tr>
      <w:tr w14:paraId="3CE13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489" w:type="pct"/>
            <w:vAlign w:val="center"/>
          </w:tcPr>
          <w:p w14:paraId="1FE6F67A">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二标包</w:t>
            </w:r>
          </w:p>
        </w:tc>
        <w:tc>
          <w:tcPr>
            <w:tcW w:w="1219" w:type="pct"/>
            <w:vAlign w:val="center"/>
          </w:tcPr>
          <w:p w14:paraId="47EA9575">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二标包</w:t>
            </w:r>
            <w:r>
              <w:rPr>
                <w:rFonts w:hint="eastAsia" w:ascii="仿宋" w:hAnsi="仿宋" w:eastAsia="仿宋" w:cs="仿宋"/>
                <w:color w:val="auto"/>
                <w:sz w:val="21"/>
                <w:szCs w:val="21"/>
                <w:highlight w:val="none"/>
                <w:lang w:eastAsia="zh-CN"/>
              </w:rPr>
              <w:t>）</w:t>
            </w:r>
          </w:p>
        </w:tc>
        <w:tc>
          <w:tcPr>
            <w:tcW w:w="770" w:type="pct"/>
            <w:vAlign w:val="center"/>
          </w:tcPr>
          <w:p w14:paraId="24F2AFD8">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501" w:type="pct"/>
            <w:vAlign w:val="center"/>
          </w:tcPr>
          <w:p w14:paraId="4FAA19DF">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169A9626">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为华翰北（C区）园、华翰南（D区）园、汇景园、天璞园、东风苑园、奥林园提供安保服务，具体详见招标文件第五章采购需求。</w:t>
            </w:r>
          </w:p>
        </w:tc>
      </w:tr>
      <w:tr w14:paraId="2037F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0C69C044">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三标包</w:t>
            </w:r>
          </w:p>
        </w:tc>
        <w:tc>
          <w:tcPr>
            <w:tcW w:w="1219" w:type="pct"/>
            <w:vAlign w:val="center"/>
          </w:tcPr>
          <w:p w14:paraId="02B93C49">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三标包</w:t>
            </w:r>
            <w:r>
              <w:rPr>
                <w:rFonts w:hint="eastAsia" w:ascii="仿宋" w:hAnsi="仿宋" w:eastAsia="仿宋" w:cs="仿宋"/>
                <w:color w:val="auto"/>
                <w:sz w:val="21"/>
                <w:szCs w:val="21"/>
                <w:highlight w:val="none"/>
                <w:lang w:eastAsia="zh-CN"/>
              </w:rPr>
              <w:t>）</w:t>
            </w:r>
          </w:p>
        </w:tc>
        <w:tc>
          <w:tcPr>
            <w:tcW w:w="770" w:type="pct"/>
            <w:vAlign w:val="center"/>
          </w:tcPr>
          <w:p w14:paraId="578A2C50">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501" w:type="pct"/>
            <w:vAlign w:val="center"/>
          </w:tcPr>
          <w:p w14:paraId="59ABB845">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5067CCF9">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为林萃园、东洲园、丽都园、惠新贸大园、冬晟园、瑞福园提供安保服务，具体详见招标文件第五章采购需求。</w:t>
            </w:r>
          </w:p>
        </w:tc>
      </w:tr>
      <w:tr w14:paraId="1BBB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17FA1E22">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四标包</w:t>
            </w:r>
          </w:p>
        </w:tc>
        <w:tc>
          <w:tcPr>
            <w:tcW w:w="1219" w:type="pct"/>
            <w:vAlign w:val="center"/>
          </w:tcPr>
          <w:p w14:paraId="6ACF6F31">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四标包</w:t>
            </w:r>
            <w:r>
              <w:rPr>
                <w:rFonts w:hint="eastAsia" w:ascii="仿宋" w:hAnsi="仿宋" w:eastAsia="仿宋" w:cs="仿宋"/>
                <w:color w:val="auto"/>
                <w:sz w:val="21"/>
                <w:szCs w:val="21"/>
                <w:highlight w:val="none"/>
                <w:lang w:eastAsia="zh-CN"/>
              </w:rPr>
              <w:t>）</w:t>
            </w:r>
          </w:p>
        </w:tc>
        <w:tc>
          <w:tcPr>
            <w:tcW w:w="770" w:type="pct"/>
            <w:vAlign w:val="center"/>
          </w:tcPr>
          <w:p w14:paraId="7DD682A3">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159.3</w:t>
            </w:r>
          </w:p>
        </w:tc>
        <w:tc>
          <w:tcPr>
            <w:tcW w:w="501" w:type="pct"/>
            <w:vAlign w:val="center"/>
          </w:tcPr>
          <w:p w14:paraId="3BC0A213">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13D957DD">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为望京园、瑞祥园、瑞平东园、瑞平西园、嘉悦园提供安保服务，具体详见招标文件第五章采购需求。</w:t>
            </w:r>
          </w:p>
        </w:tc>
      </w:tr>
      <w:tr w14:paraId="6199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244D78CB">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五标包</w:t>
            </w:r>
          </w:p>
        </w:tc>
        <w:tc>
          <w:tcPr>
            <w:tcW w:w="1219" w:type="pct"/>
            <w:vAlign w:val="center"/>
          </w:tcPr>
          <w:p w14:paraId="2F039E5C">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五标包</w:t>
            </w:r>
            <w:r>
              <w:rPr>
                <w:rFonts w:hint="eastAsia" w:ascii="仿宋" w:hAnsi="仿宋" w:eastAsia="仿宋" w:cs="仿宋"/>
                <w:color w:val="auto"/>
                <w:sz w:val="21"/>
                <w:szCs w:val="21"/>
                <w:highlight w:val="none"/>
                <w:lang w:eastAsia="zh-CN"/>
              </w:rPr>
              <w:t>）</w:t>
            </w:r>
          </w:p>
        </w:tc>
        <w:tc>
          <w:tcPr>
            <w:tcW w:w="770" w:type="pct"/>
            <w:vAlign w:val="center"/>
          </w:tcPr>
          <w:p w14:paraId="6918A497">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31.86</w:t>
            </w:r>
          </w:p>
        </w:tc>
        <w:tc>
          <w:tcPr>
            <w:tcW w:w="501" w:type="pct"/>
            <w:vAlign w:val="center"/>
          </w:tcPr>
          <w:p w14:paraId="316F2601">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79808082">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为双桥址提供安保服务，具体详见招标文件第五章采购需求。</w:t>
            </w:r>
          </w:p>
        </w:tc>
      </w:tr>
      <w:tr w14:paraId="26489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489" w:type="pct"/>
            <w:vAlign w:val="center"/>
          </w:tcPr>
          <w:p w14:paraId="5A272C13">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六标包</w:t>
            </w:r>
          </w:p>
        </w:tc>
        <w:tc>
          <w:tcPr>
            <w:tcW w:w="1219" w:type="pct"/>
            <w:vAlign w:val="center"/>
          </w:tcPr>
          <w:p w14:paraId="098899EA">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六标包</w:t>
            </w:r>
            <w:r>
              <w:rPr>
                <w:rFonts w:hint="eastAsia" w:ascii="仿宋" w:hAnsi="仿宋" w:eastAsia="仿宋" w:cs="仿宋"/>
                <w:color w:val="auto"/>
                <w:sz w:val="21"/>
                <w:szCs w:val="21"/>
                <w:highlight w:val="none"/>
                <w:lang w:eastAsia="zh-CN"/>
              </w:rPr>
              <w:t>）</w:t>
            </w:r>
          </w:p>
        </w:tc>
        <w:tc>
          <w:tcPr>
            <w:tcW w:w="770" w:type="pct"/>
            <w:shd w:val="clear" w:color="auto" w:fill="auto"/>
            <w:vAlign w:val="center"/>
          </w:tcPr>
          <w:p w14:paraId="7D419AAE">
            <w:pPr>
              <w:jc w:val="center"/>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sz w:val="21"/>
                <w:szCs w:val="21"/>
                <w:highlight w:val="none"/>
                <w:lang w:val="en-US" w:eastAsia="zh-CN"/>
              </w:rPr>
              <w:t>63.72</w:t>
            </w:r>
          </w:p>
        </w:tc>
        <w:tc>
          <w:tcPr>
            <w:tcW w:w="501" w:type="pct"/>
            <w:shd w:val="clear" w:color="auto" w:fill="auto"/>
            <w:vAlign w:val="center"/>
          </w:tcPr>
          <w:p w14:paraId="2CCFFEA8">
            <w:pPr>
              <w:jc w:val="center"/>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7AFF0D02">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为团结湖址、新源里址、恒安大厦址提供安保服务，具体详见招标文件第五章采购需求。</w:t>
            </w:r>
          </w:p>
        </w:tc>
      </w:tr>
    </w:tbl>
    <w:p w14:paraId="58246D12">
      <w:pPr>
        <w:tabs>
          <w:tab w:val="left" w:pos="1260"/>
        </w:tabs>
        <w:spacing w:line="360" w:lineRule="auto"/>
        <w:ind w:firstLine="480" w:firstLineChars="200"/>
        <w:rPr>
          <w:rFonts w:hint="eastAsia" w:ascii="仿宋" w:hAnsi="仿宋" w:eastAsia="仿宋" w:cs="仿宋"/>
          <w:color w:val="auto"/>
          <w:sz w:val="24"/>
          <w:highlight w:val="none"/>
        </w:rPr>
      </w:pPr>
    </w:p>
    <w:p w14:paraId="7286BE37">
      <w:pPr>
        <w:tabs>
          <w:tab w:val="left" w:pos="1260"/>
        </w:tabs>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5.合同履行期限：</w:t>
      </w:r>
      <w:r>
        <w:rPr>
          <w:rFonts w:hint="eastAsia" w:ascii="仿宋" w:hAnsi="仿宋" w:eastAsia="仿宋" w:cs="仿宋"/>
          <w:color w:val="auto"/>
          <w:sz w:val="24"/>
          <w:highlight w:val="none"/>
          <w:u w:val="single"/>
          <w:lang w:eastAsia="zh-CN"/>
        </w:rPr>
        <w:t>一年，计划于2026年01月01日起至2026年12月31日止，最终以合同约定时间为准</w:t>
      </w:r>
      <w:r>
        <w:rPr>
          <w:rFonts w:hint="eastAsia" w:ascii="仿宋" w:hAnsi="仿宋" w:eastAsia="仿宋" w:cs="仿宋"/>
          <w:color w:val="auto"/>
          <w:sz w:val="24"/>
          <w:highlight w:val="none"/>
          <w:lang w:eastAsia="zh-CN"/>
        </w:rPr>
        <w:t>。</w:t>
      </w:r>
    </w:p>
    <w:p w14:paraId="54F75B8F">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6.本项目是否接受联合体投标：□是  ■否。</w:t>
      </w:r>
    </w:p>
    <w:p w14:paraId="2A7B7590">
      <w:pPr>
        <w:pStyle w:val="3"/>
        <w:tabs>
          <w:tab w:val="left" w:pos="1260"/>
        </w:tabs>
        <w:spacing w:before="0" w:line="360" w:lineRule="auto"/>
        <w:jc w:val="left"/>
        <w:rPr>
          <w:rFonts w:hint="eastAsia" w:ascii="仿宋" w:hAnsi="仿宋" w:eastAsia="仿宋" w:cs="仿宋"/>
          <w:color w:val="auto"/>
          <w:sz w:val="24"/>
          <w:szCs w:val="24"/>
          <w:highlight w:val="none"/>
        </w:rPr>
      </w:pPr>
      <w:bookmarkStart w:id="7" w:name="_Toc35393791"/>
      <w:bookmarkStart w:id="8" w:name="_Toc28359080"/>
      <w:bookmarkStart w:id="9" w:name="_Toc35393622"/>
      <w:bookmarkStart w:id="10" w:name="_Toc28359003"/>
      <w:r>
        <w:rPr>
          <w:rFonts w:hint="eastAsia" w:ascii="仿宋" w:hAnsi="仿宋" w:eastAsia="仿宋" w:cs="仿宋"/>
          <w:color w:val="auto"/>
          <w:sz w:val="24"/>
          <w:szCs w:val="24"/>
          <w:highlight w:val="none"/>
        </w:rPr>
        <w:t>二、申请人的资格要求（须同时满足）</w:t>
      </w:r>
      <w:bookmarkEnd w:id="7"/>
      <w:bookmarkEnd w:id="8"/>
      <w:bookmarkEnd w:id="9"/>
      <w:bookmarkEnd w:id="10"/>
    </w:p>
    <w:p w14:paraId="33CDCD7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1.满足《中华人民共和国政府采购法》第二十二条规定；</w:t>
      </w:r>
    </w:p>
    <w:p w14:paraId="40599CB9">
      <w:pPr>
        <w:tabs>
          <w:tab w:val="left" w:pos="1260"/>
        </w:tabs>
        <w:spacing w:line="360" w:lineRule="auto"/>
        <w:ind w:firstLine="480" w:firstLineChars="200"/>
        <w:rPr>
          <w:rFonts w:hint="eastAsia" w:ascii="仿宋" w:hAnsi="仿宋" w:eastAsia="仿宋" w:cs="仿宋"/>
          <w:color w:val="auto"/>
          <w:sz w:val="24"/>
          <w:highlight w:val="none"/>
        </w:rPr>
      </w:pPr>
      <w:bookmarkStart w:id="11" w:name="_Toc28359004"/>
      <w:bookmarkStart w:id="12" w:name="_Toc28359081"/>
      <w:r>
        <w:rPr>
          <w:rFonts w:hint="eastAsia" w:ascii="仿宋" w:hAnsi="仿宋" w:eastAsia="仿宋" w:cs="仿宋"/>
          <w:color w:val="auto"/>
          <w:sz w:val="24"/>
          <w:highlight w:val="none"/>
        </w:rPr>
        <w:t>2.落实政府采购政策需满足的资格要求：</w:t>
      </w:r>
    </w:p>
    <w:p w14:paraId="7D1D86D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 中小企业政策</w:t>
      </w:r>
    </w:p>
    <w:p w14:paraId="75CE9387">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□本项目不专门面向中小企业预留采购份额。</w:t>
      </w:r>
    </w:p>
    <w:p w14:paraId="58BE02D0">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■本项目专门面向  □中小 ■小微 企业采购。即：提供的货物全部由符合政策要求的中小/小微企业制造、服务全部由符合政策要求的中小/小微企业承接。</w:t>
      </w:r>
    </w:p>
    <w:p w14:paraId="2EC2EFB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□本项目预留部分采购项目预算专门面向中小企业采购。对于预留份额，提供的货物由符合政策要求的中小企业制造、服务由符合政策要求的中小企业承接。预留份额通过以下措施进行：无。</w:t>
      </w:r>
    </w:p>
    <w:p w14:paraId="51C63777">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 其它落实政府采购政策的资格要求（如有）：</w:t>
      </w:r>
      <w:r>
        <w:rPr>
          <w:rFonts w:hint="eastAsia" w:ascii="仿宋" w:hAnsi="仿宋" w:eastAsia="仿宋" w:cs="仿宋"/>
          <w:color w:val="auto"/>
          <w:sz w:val="24"/>
          <w:highlight w:val="none"/>
          <w:u w:val="single"/>
        </w:rPr>
        <w:t>无</w:t>
      </w:r>
      <w:r>
        <w:rPr>
          <w:rFonts w:hint="eastAsia" w:ascii="仿宋" w:hAnsi="仿宋" w:eastAsia="仿宋" w:cs="仿宋"/>
          <w:color w:val="auto"/>
          <w:sz w:val="24"/>
          <w:highlight w:val="none"/>
        </w:rPr>
        <w:t>。</w:t>
      </w:r>
    </w:p>
    <w:p w14:paraId="70C38958">
      <w:pPr>
        <w:tabs>
          <w:tab w:val="left" w:pos="1260"/>
        </w:tabs>
        <w:spacing w:line="360" w:lineRule="auto"/>
        <w:ind w:firstLine="480" w:firstLineChars="200"/>
        <w:rPr>
          <w:rFonts w:hint="eastAsia" w:ascii="仿宋" w:hAnsi="仿宋" w:eastAsia="仿宋" w:cs="仿宋"/>
          <w:i/>
          <w:iCs/>
          <w:color w:val="auto"/>
          <w:sz w:val="24"/>
          <w:highlight w:val="none"/>
          <w:u w:val="single"/>
        </w:rPr>
      </w:pPr>
      <w:r>
        <w:rPr>
          <w:rFonts w:hint="eastAsia" w:ascii="仿宋" w:hAnsi="仿宋" w:eastAsia="仿宋" w:cs="仿宋"/>
          <w:color w:val="auto"/>
          <w:sz w:val="24"/>
          <w:highlight w:val="none"/>
        </w:rPr>
        <w:t>3.本项目的特定资格要求：</w:t>
      </w:r>
    </w:p>
    <w:p w14:paraId="394A62B8">
      <w:pPr>
        <w:tabs>
          <w:tab w:val="left" w:pos="900"/>
          <w:tab w:val="left" w:pos="1134"/>
          <w:tab w:val="left" w:pos="1260"/>
          <w:tab w:val="left" w:pos="1589"/>
          <w:tab w:val="left" w:pos="5521"/>
        </w:tabs>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3.1本项目是否属于政府购买服务：</w:t>
      </w:r>
    </w:p>
    <w:p w14:paraId="4A82D158">
      <w:pPr>
        <w:tabs>
          <w:tab w:val="left" w:pos="900"/>
          <w:tab w:val="left" w:pos="1134"/>
          <w:tab w:val="left" w:pos="1260"/>
          <w:tab w:val="left" w:pos="1589"/>
          <w:tab w:val="left" w:pos="5521"/>
        </w:tabs>
        <w:snapToGrid w:val="0"/>
        <w:spacing w:line="360" w:lineRule="auto"/>
        <w:ind w:left="991" w:leftChars="472" w:firstLine="2"/>
        <w:rPr>
          <w:rFonts w:hint="eastAsia" w:ascii="仿宋" w:hAnsi="仿宋" w:eastAsia="仿宋" w:cs="仿宋"/>
          <w:color w:val="auto"/>
          <w:sz w:val="24"/>
          <w:highlight w:val="none"/>
        </w:rPr>
      </w:pPr>
      <w:r>
        <w:rPr>
          <w:rFonts w:hint="eastAsia" w:ascii="仿宋" w:hAnsi="仿宋" w:eastAsia="仿宋" w:cs="仿宋"/>
          <w:color w:val="auto"/>
          <w:sz w:val="24"/>
          <w:highlight w:val="none"/>
        </w:rPr>
        <w:t>■否</w:t>
      </w:r>
    </w:p>
    <w:p w14:paraId="2930A4C5">
      <w:pPr>
        <w:tabs>
          <w:tab w:val="left" w:pos="900"/>
          <w:tab w:val="left" w:pos="1134"/>
          <w:tab w:val="left" w:pos="1260"/>
          <w:tab w:val="left" w:pos="1589"/>
          <w:tab w:val="left" w:pos="5521"/>
        </w:tabs>
        <w:snapToGrid w:val="0"/>
        <w:spacing w:line="360" w:lineRule="auto"/>
        <w:ind w:left="991" w:leftChars="472" w:firstLine="2"/>
        <w:rPr>
          <w:rFonts w:hint="eastAsia" w:ascii="仿宋" w:hAnsi="仿宋" w:eastAsia="仿宋" w:cs="仿宋"/>
          <w:color w:val="auto"/>
          <w:sz w:val="24"/>
          <w:highlight w:val="none"/>
        </w:rPr>
      </w:pPr>
      <w:r>
        <w:rPr>
          <w:rFonts w:hint="eastAsia" w:ascii="仿宋" w:hAnsi="仿宋" w:eastAsia="仿宋" w:cs="仿宋"/>
          <w:color w:val="auto"/>
          <w:sz w:val="24"/>
          <w:highlight w:val="none"/>
        </w:rPr>
        <w:t>□是，公益一类事业单位、使用事业编制且由财政拨款保障的群团组织，不得作为承接主体；</w:t>
      </w:r>
    </w:p>
    <w:p w14:paraId="005241F6">
      <w:pPr>
        <w:tabs>
          <w:tab w:val="left" w:pos="900"/>
          <w:tab w:val="left" w:pos="1134"/>
          <w:tab w:val="left" w:pos="1260"/>
          <w:tab w:val="left" w:pos="1589"/>
          <w:tab w:val="left" w:pos="5521"/>
        </w:tabs>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3.2其他特定资格要求：</w:t>
      </w:r>
      <w:r>
        <w:rPr>
          <w:rFonts w:hint="eastAsia" w:ascii="仿宋" w:hAnsi="仿宋" w:eastAsia="仿宋" w:cs="仿宋"/>
          <w:color w:val="auto"/>
          <w:sz w:val="24"/>
          <w:highlight w:val="none"/>
          <w:u w:val="single"/>
        </w:rPr>
        <w:t>供应商须具备北京市公安机关核发的《保安服务许可证》</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u w:val="single"/>
        </w:rPr>
        <w:t>北京市行政区域外的服务企业应在北京市公安机关备案。</w:t>
      </w:r>
    </w:p>
    <w:bookmarkEnd w:id="11"/>
    <w:bookmarkEnd w:id="12"/>
    <w:p w14:paraId="70B407C2">
      <w:pPr>
        <w:pStyle w:val="3"/>
        <w:widowControl/>
        <w:tabs>
          <w:tab w:val="left" w:pos="1260"/>
        </w:tabs>
        <w:spacing w:before="0" w:line="360" w:lineRule="auto"/>
        <w:jc w:val="left"/>
        <w:rPr>
          <w:rFonts w:hint="eastAsia" w:ascii="仿宋" w:hAnsi="仿宋" w:eastAsia="仿宋" w:cs="仿宋"/>
          <w:color w:val="auto"/>
          <w:sz w:val="24"/>
          <w:szCs w:val="24"/>
          <w:highlight w:val="none"/>
        </w:rPr>
      </w:pPr>
      <w:bookmarkStart w:id="13" w:name="_Toc35393623"/>
      <w:bookmarkStart w:id="14" w:name="_Toc35393792"/>
      <w:r>
        <w:rPr>
          <w:rFonts w:hint="eastAsia" w:ascii="仿宋" w:hAnsi="仿宋" w:eastAsia="仿宋" w:cs="仿宋"/>
          <w:color w:val="auto"/>
          <w:sz w:val="24"/>
          <w:szCs w:val="24"/>
          <w:highlight w:val="none"/>
        </w:rPr>
        <w:t>三、获取招标文件</w:t>
      </w:r>
      <w:bookmarkEnd w:id="13"/>
      <w:bookmarkEnd w:id="14"/>
    </w:p>
    <w:p w14:paraId="24525000">
      <w:pPr>
        <w:tabs>
          <w:tab w:val="left" w:pos="1260"/>
        </w:tabs>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1.时间：</w:t>
      </w:r>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10</w:t>
      </w:r>
      <w:r>
        <w:rPr>
          <w:rFonts w:hint="eastAsia" w:ascii="仿宋" w:hAnsi="仿宋" w:eastAsia="仿宋" w:cs="仿宋"/>
          <w:color w:val="auto"/>
          <w:sz w:val="24"/>
          <w:highlight w:val="none"/>
          <w:u w:val="single"/>
          <w:lang w:bidi="ar"/>
        </w:rPr>
        <w:t>日</w:t>
      </w:r>
      <w:r>
        <w:rPr>
          <w:rFonts w:hint="eastAsia" w:ascii="仿宋" w:hAnsi="仿宋" w:eastAsia="仿宋" w:cs="仿宋"/>
          <w:color w:val="auto"/>
          <w:sz w:val="24"/>
          <w:highlight w:val="none"/>
          <w:lang w:bidi="ar"/>
        </w:rPr>
        <w:t>至</w:t>
      </w:r>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17</w:t>
      </w:r>
      <w:r>
        <w:rPr>
          <w:rFonts w:hint="eastAsia" w:ascii="仿宋" w:hAnsi="仿宋" w:eastAsia="仿宋" w:cs="仿宋"/>
          <w:color w:val="auto"/>
          <w:sz w:val="24"/>
          <w:highlight w:val="none"/>
          <w:u w:val="single"/>
          <w:lang w:bidi="ar"/>
        </w:rPr>
        <w:t>日</w:t>
      </w:r>
      <w:r>
        <w:rPr>
          <w:rFonts w:hint="eastAsia" w:ascii="仿宋" w:hAnsi="仿宋" w:eastAsia="仿宋" w:cs="仿宋"/>
          <w:color w:val="auto"/>
          <w:sz w:val="24"/>
          <w:highlight w:val="none"/>
          <w:lang w:bidi="ar"/>
        </w:rPr>
        <w:t>，每天上午</w:t>
      </w:r>
      <w:r>
        <w:rPr>
          <w:rFonts w:hint="eastAsia" w:ascii="仿宋" w:hAnsi="仿宋" w:eastAsia="仿宋" w:cs="仿宋"/>
          <w:color w:val="auto"/>
          <w:sz w:val="24"/>
          <w:highlight w:val="none"/>
          <w:u w:val="single"/>
          <w:lang w:val="en-US" w:eastAsia="zh-CN" w:bidi="ar"/>
        </w:rPr>
        <w:t>08</w:t>
      </w:r>
      <w:r>
        <w:rPr>
          <w:rFonts w:hint="eastAsia" w:ascii="仿宋" w:hAnsi="仿宋" w:eastAsia="仿宋" w:cs="仿宋"/>
          <w:color w:val="auto"/>
          <w:sz w:val="24"/>
          <w:highlight w:val="none"/>
          <w:u w:val="single"/>
          <w:lang w:bidi="ar"/>
        </w:rPr>
        <w:t>:</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至12:00</w:t>
      </w:r>
      <w:r>
        <w:rPr>
          <w:rFonts w:hint="eastAsia" w:ascii="仿宋" w:hAnsi="仿宋" w:eastAsia="仿宋" w:cs="仿宋"/>
          <w:color w:val="auto"/>
          <w:sz w:val="24"/>
          <w:highlight w:val="none"/>
          <w:lang w:bidi="ar"/>
        </w:rPr>
        <w:t>，下午</w:t>
      </w:r>
      <w:r>
        <w:rPr>
          <w:rFonts w:hint="eastAsia" w:ascii="仿宋" w:hAnsi="仿宋" w:eastAsia="仿宋" w:cs="仿宋"/>
          <w:color w:val="auto"/>
          <w:sz w:val="24"/>
          <w:highlight w:val="none"/>
          <w:u w:val="single"/>
          <w:lang w:bidi="ar"/>
        </w:rPr>
        <w:t>12:00至</w:t>
      </w:r>
      <w:r>
        <w:rPr>
          <w:rFonts w:hint="eastAsia" w:ascii="仿宋" w:hAnsi="仿宋" w:eastAsia="仿宋" w:cs="仿宋"/>
          <w:color w:val="auto"/>
          <w:sz w:val="24"/>
          <w:highlight w:val="none"/>
          <w:u w:val="single"/>
          <w:lang w:val="en-US" w:eastAsia="zh-CN" w:bidi="ar"/>
        </w:rPr>
        <w:t>17</w:t>
      </w:r>
      <w:r>
        <w:rPr>
          <w:rFonts w:hint="eastAsia" w:ascii="仿宋" w:hAnsi="仿宋" w:eastAsia="仿宋" w:cs="仿宋"/>
          <w:color w:val="auto"/>
          <w:sz w:val="24"/>
          <w:highlight w:val="none"/>
          <w:u w:val="single"/>
          <w:lang w:bidi="ar"/>
        </w:rPr>
        <w:t>:</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lang w:bidi="ar"/>
        </w:rPr>
        <w:t>（北京时间，法定节假日除外）。</w:t>
      </w:r>
    </w:p>
    <w:p w14:paraId="3C74BB77">
      <w:pPr>
        <w:tabs>
          <w:tab w:val="left" w:pos="1260"/>
        </w:tabs>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2.地点：北京市政府采购电子交易平台</w:t>
      </w:r>
    </w:p>
    <w:p w14:paraId="1C9194A6">
      <w:pPr>
        <w:widowControl/>
        <w:tabs>
          <w:tab w:val="left" w:pos="1260"/>
        </w:tabs>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3.方式：供应商使用CA数字证书或电子营业执照登录北京市政府采购电子交易平台（http://zbcg-bjzc.zhongcy.com/bjczj-portal-site/index.html#/home）获取电子版招标文件。</w:t>
      </w:r>
    </w:p>
    <w:p w14:paraId="5EAB3B2C">
      <w:pPr>
        <w:widowControl/>
        <w:tabs>
          <w:tab w:val="left" w:pos="1260"/>
        </w:tabs>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4.售价：0元。</w:t>
      </w:r>
    </w:p>
    <w:p w14:paraId="0B050C4D">
      <w:pPr>
        <w:pStyle w:val="3"/>
        <w:widowControl/>
        <w:tabs>
          <w:tab w:val="left" w:pos="1260"/>
        </w:tabs>
        <w:spacing w:before="0" w:line="360" w:lineRule="auto"/>
        <w:jc w:val="left"/>
        <w:rPr>
          <w:rFonts w:hint="eastAsia" w:ascii="仿宋" w:hAnsi="仿宋" w:eastAsia="仿宋" w:cs="仿宋"/>
          <w:color w:val="auto"/>
          <w:sz w:val="24"/>
          <w:szCs w:val="24"/>
          <w:highlight w:val="none"/>
        </w:rPr>
      </w:pPr>
      <w:bookmarkStart w:id="15" w:name="_Toc28359005"/>
      <w:bookmarkStart w:id="16" w:name="_Toc28359082"/>
      <w:bookmarkStart w:id="17" w:name="_Toc35393624"/>
      <w:bookmarkStart w:id="18" w:name="_Toc35393793"/>
      <w:r>
        <w:rPr>
          <w:rFonts w:hint="eastAsia" w:ascii="仿宋" w:hAnsi="仿宋" w:eastAsia="仿宋" w:cs="仿宋"/>
          <w:color w:val="auto"/>
          <w:sz w:val="24"/>
          <w:szCs w:val="24"/>
          <w:highlight w:val="none"/>
        </w:rPr>
        <w:t>四、提交投标文件</w:t>
      </w:r>
      <w:bookmarkEnd w:id="15"/>
      <w:bookmarkEnd w:id="16"/>
      <w:r>
        <w:rPr>
          <w:rFonts w:hint="eastAsia" w:ascii="仿宋" w:hAnsi="仿宋" w:eastAsia="仿宋" w:cs="仿宋"/>
          <w:color w:val="auto"/>
          <w:sz w:val="24"/>
          <w:szCs w:val="24"/>
          <w:highlight w:val="none"/>
        </w:rPr>
        <w:t>截止时间、开标时间和地点</w:t>
      </w:r>
      <w:bookmarkEnd w:id="17"/>
      <w:bookmarkEnd w:id="18"/>
    </w:p>
    <w:p w14:paraId="621A3C01">
      <w:pPr>
        <w:tabs>
          <w:tab w:val="left" w:pos="1260"/>
        </w:tabs>
        <w:spacing w:line="360" w:lineRule="auto"/>
        <w:ind w:firstLine="480" w:firstLineChars="200"/>
        <w:rPr>
          <w:rFonts w:hint="eastAsia" w:ascii="仿宋" w:hAnsi="仿宋" w:eastAsia="仿宋" w:cs="仿宋"/>
          <w:bCs/>
          <w:color w:val="auto"/>
          <w:sz w:val="24"/>
          <w:highlight w:val="none"/>
          <w:u w:val="single"/>
        </w:rPr>
      </w:pPr>
      <w:r>
        <w:rPr>
          <w:rFonts w:hint="eastAsia" w:ascii="仿宋" w:hAnsi="仿宋" w:eastAsia="仿宋" w:cs="仿宋"/>
          <w:color w:val="auto"/>
          <w:sz w:val="24"/>
          <w:highlight w:val="none"/>
          <w:lang w:bidi="ar"/>
        </w:rPr>
        <w:t>投标截止时间、开标时间：</w:t>
      </w:r>
      <w:bookmarkStart w:id="19" w:name="OLE_LINK6"/>
      <w:bookmarkStart w:id="20" w:name="OLE_LINK5"/>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日</w:t>
      </w:r>
      <w:bookmarkEnd w:id="19"/>
      <w:bookmarkEnd w:id="20"/>
      <w:r>
        <w:rPr>
          <w:rFonts w:hint="eastAsia" w:ascii="仿宋" w:hAnsi="仿宋" w:eastAsia="仿宋" w:cs="仿宋"/>
          <w:color w:val="auto"/>
          <w:sz w:val="24"/>
          <w:highlight w:val="none"/>
          <w:u w:val="single"/>
          <w:lang w:val="en-US" w:eastAsia="zh-CN" w:bidi="ar"/>
        </w:rPr>
        <w:t>13</w:t>
      </w:r>
      <w:r>
        <w:rPr>
          <w:rFonts w:hint="eastAsia" w:ascii="仿宋" w:hAnsi="仿宋" w:eastAsia="仿宋" w:cs="仿宋"/>
          <w:color w:val="auto"/>
          <w:sz w:val="24"/>
          <w:highlight w:val="none"/>
          <w:u w:val="single"/>
          <w:lang w:bidi="ar"/>
        </w:rPr>
        <w:t>点</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分</w:t>
      </w:r>
      <w:r>
        <w:rPr>
          <w:rFonts w:hint="eastAsia" w:ascii="仿宋" w:hAnsi="仿宋" w:eastAsia="仿宋" w:cs="仿宋"/>
          <w:bCs/>
          <w:color w:val="auto"/>
          <w:sz w:val="24"/>
          <w:highlight w:val="none"/>
          <w:lang w:bidi="ar"/>
        </w:rPr>
        <w:t>（北京时间）</w:t>
      </w:r>
      <w:r>
        <w:rPr>
          <w:rFonts w:hint="eastAsia" w:ascii="仿宋" w:hAnsi="仿宋" w:eastAsia="仿宋" w:cs="仿宋"/>
          <w:iCs/>
          <w:color w:val="auto"/>
          <w:sz w:val="24"/>
          <w:highlight w:val="none"/>
          <w:lang w:bidi="ar"/>
        </w:rPr>
        <w:t>。</w:t>
      </w:r>
    </w:p>
    <w:p w14:paraId="7152EF81">
      <w:pPr>
        <w:tabs>
          <w:tab w:val="left" w:pos="1260"/>
        </w:tabs>
        <w:wordWrap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地点：北京市政府采购电子交易平台（http://zbcg-bjzc.zhongcy.com/bjczj-portal-site/index.html#/home）</w:t>
      </w:r>
    </w:p>
    <w:p w14:paraId="6470D42C">
      <w:pPr>
        <w:tabs>
          <w:tab w:val="left" w:pos="1260"/>
        </w:tabs>
        <w:spacing w:line="360" w:lineRule="auto"/>
        <w:ind w:firstLine="480" w:firstLineChars="200"/>
        <w:rPr>
          <w:rFonts w:hint="eastAsia" w:ascii="仿宋" w:hAnsi="仿宋" w:eastAsia="仿宋" w:cs="仿宋"/>
          <w:color w:val="auto"/>
          <w:sz w:val="24"/>
          <w:highlight w:val="none"/>
          <w:lang w:val="zh-TW" w:bidi="ar"/>
        </w:rPr>
      </w:pPr>
      <w:r>
        <w:rPr>
          <w:rFonts w:hint="eastAsia" w:ascii="仿宋" w:hAnsi="仿宋" w:eastAsia="仿宋" w:cs="仿宋"/>
          <w:color w:val="auto"/>
          <w:sz w:val="24"/>
          <w:highlight w:val="none"/>
          <w:lang w:bidi="ar"/>
        </w:rPr>
        <w:t>注：</w:t>
      </w:r>
      <w:r>
        <w:rPr>
          <w:rFonts w:hint="eastAsia" w:ascii="仿宋" w:hAnsi="仿宋" w:eastAsia="仿宋" w:cs="仿宋"/>
          <w:color w:val="auto"/>
          <w:sz w:val="24"/>
          <w:highlight w:val="none"/>
          <w:u w:val="single"/>
          <w:lang w:bidi="ar"/>
        </w:rPr>
        <w:t>本项目采用远程电子开标方式；为了方便投标人提高解密效率，请投标人在各自的电脑终端，登录北京市电子交易平台进行投标文件解密及参加电子开标</w:t>
      </w:r>
      <w:r>
        <w:rPr>
          <w:rFonts w:hint="eastAsia" w:ascii="仿宋" w:hAnsi="仿宋" w:eastAsia="仿宋" w:cs="仿宋"/>
          <w:color w:val="auto"/>
          <w:sz w:val="24"/>
          <w:highlight w:val="none"/>
          <w:u w:val="single"/>
          <w:lang w:val="zh-TW" w:bidi="ar"/>
        </w:rPr>
        <w:t>。</w:t>
      </w:r>
      <w:r>
        <w:rPr>
          <w:rFonts w:hint="eastAsia" w:ascii="仿宋" w:hAnsi="仿宋" w:eastAsia="仿宋" w:cs="仿宋"/>
          <w:color w:val="auto"/>
          <w:sz w:val="24"/>
          <w:highlight w:val="none"/>
          <w:u w:val="single"/>
          <w:lang w:val="en-US" w:eastAsia="zh-CN" w:bidi="ar"/>
        </w:rPr>
        <w:t>本项目不</w:t>
      </w:r>
      <w:r>
        <w:rPr>
          <w:rFonts w:hint="eastAsia" w:ascii="仿宋" w:hAnsi="仿宋" w:eastAsia="仿宋" w:cs="仿宋"/>
          <w:color w:val="auto"/>
          <w:sz w:val="24"/>
          <w:highlight w:val="none"/>
          <w:u w:val="single"/>
          <w:lang w:val="zh-TW" w:bidi="ar"/>
        </w:rPr>
        <w:t>接受纸质投标文件，无须投标人到达现场</w:t>
      </w:r>
      <w:r>
        <w:rPr>
          <w:rFonts w:hint="eastAsia" w:ascii="仿宋" w:hAnsi="仿宋" w:eastAsia="仿宋" w:cs="仿宋"/>
          <w:color w:val="auto"/>
          <w:sz w:val="24"/>
          <w:highlight w:val="none"/>
          <w:lang w:val="zh-TW" w:bidi="ar"/>
        </w:rPr>
        <w:t>。</w:t>
      </w:r>
    </w:p>
    <w:p w14:paraId="7C3735DB">
      <w:pPr>
        <w:pStyle w:val="3"/>
        <w:tabs>
          <w:tab w:val="left" w:pos="1260"/>
        </w:tabs>
        <w:spacing w:before="0" w:line="360" w:lineRule="auto"/>
        <w:jc w:val="left"/>
        <w:rPr>
          <w:rFonts w:hint="eastAsia" w:ascii="仿宋" w:hAnsi="仿宋" w:eastAsia="仿宋" w:cs="仿宋"/>
          <w:color w:val="auto"/>
          <w:sz w:val="24"/>
          <w:szCs w:val="24"/>
          <w:highlight w:val="none"/>
        </w:rPr>
      </w:pPr>
      <w:bookmarkStart w:id="21" w:name="_Toc28359084"/>
      <w:bookmarkStart w:id="22" w:name="_Toc35393794"/>
      <w:bookmarkStart w:id="23" w:name="_Toc35393625"/>
      <w:bookmarkStart w:id="24" w:name="_Toc28359007"/>
      <w:r>
        <w:rPr>
          <w:rFonts w:hint="eastAsia" w:ascii="仿宋" w:hAnsi="仿宋" w:eastAsia="仿宋" w:cs="仿宋"/>
          <w:color w:val="auto"/>
          <w:sz w:val="24"/>
          <w:szCs w:val="24"/>
          <w:highlight w:val="none"/>
        </w:rPr>
        <w:t>五、公告期限</w:t>
      </w:r>
      <w:bookmarkEnd w:id="21"/>
      <w:bookmarkEnd w:id="22"/>
      <w:bookmarkEnd w:id="23"/>
      <w:bookmarkEnd w:id="24"/>
    </w:p>
    <w:p w14:paraId="1EC99E39">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自本公告发布之日起5个工作日。</w:t>
      </w:r>
    </w:p>
    <w:p w14:paraId="25054DAB">
      <w:pPr>
        <w:pStyle w:val="3"/>
        <w:spacing w:before="0" w:line="360" w:lineRule="auto"/>
        <w:jc w:val="left"/>
        <w:rPr>
          <w:rFonts w:hint="eastAsia" w:ascii="仿宋" w:hAnsi="仿宋" w:eastAsia="仿宋" w:cs="仿宋"/>
          <w:color w:val="auto"/>
          <w:sz w:val="24"/>
          <w:szCs w:val="24"/>
          <w:highlight w:val="none"/>
        </w:rPr>
      </w:pPr>
      <w:bookmarkStart w:id="25" w:name="_Toc35393626"/>
      <w:bookmarkStart w:id="26" w:name="_Toc35393795"/>
      <w:r>
        <w:rPr>
          <w:rFonts w:hint="eastAsia" w:ascii="仿宋" w:hAnsi="仿宋" w:eastAsia="仿宋" w:cs="仿宋"/>
          <w:color w:val="auto"/>
          <w:sz w:val="24"/>
          <w:szCs w:val="24"/>
          <w:highlight w:val="none"/>
        </w:rPr>
        <w:t>六、其他补充事宜</w:t>
      </w:r>
      <w:bookmarkEnd w:id="25"/>
      <w:bookmarkEnd w:id="26"/>
    </w:p>
    <w:p w14:paraId="7D8C199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1.本项目需要落实的政府采购政策：</w:t>
      </w:r>
      <w:r>
        <w:rPr>
          <w:rFonts w:hint="eastAsia" w:ascii="仿宋" w:hAnsi="仿宋" w:eastAsia="仿宋" w:cs="仿宋"/>
          <w:color w:val="auto"/>
          <w:sz w:val="24"/>
          <w:highlight w:val="none"/>
          <w:u w:val="single"/>
          <w:lang w:bidi="ar"/>
        </w:rPr>
        <w:t>节约能源，保护环境，扶持不发达地区和少数民族地区，促进中小企业发展，支持监狱、戒毒企业发展，促进残疾人就业，支持科技创新、绿色发展，优先采购贫困地区农副产品、支持本国产业、维护国家安全等政府采购政策（不适用者除外）</w:t>
      </w:r>
      <w:r>
        <w:rPr>
          <w:rFonts w:hint="eastAsia" w:ascii="仿宋" w:hAnsi="仿宋" w:eastAsia="仿宋" w:cs="仿宋"/>
          <w:color w:val="auto"/>
          <w:sz w:val="24"/>
          <w:highlight w:val="none"/>
          <w:lang w:bidi="ar"/>
        </w:rPr>
        <w:t>。</w:t>
      </w:r>
      <w:r>
        <w:rPr>
          <w:rFonts w:hint="eastAsia" w:ascii="仿宋" w:hAnsi="仿宋" w:eastAsia="仿宋" w:cs="仿宋"/>
          <w:color w:val="auto"/>
          <w:sz w:val="24"/>
          <w:highlight w:val="none"/>
        </w:rPr>
        <w:t xml:space="preserve"> </w:t>
      </w:r>
    </w:p>
    <w:p w14:paraId="06BAF267">
      <w:pPr>
        <w:widowControl/>
        <w:adjustRightInd w:val="0"/>
        <w:snapToGrid w:val="0"/>
        <w:spacing w:line="360" w:lineRule="auto"/>
        <w:ind w:firstLine="482" w:firstLineChars="200"/>
        <w:jc w:val="left"/>
        <w:rPr>
          <w:rFonts w:hint="eastAsia" w:ascii="仿宋" w:hAnsi="仿宋" w:eastAsia="仿宋" w:cs="仿宋"/>
          <w:bCs/>
          <w:color w:val="auto"/>
          <w:sz w:val="24"/>
          <w:highlight w:val="none"/>
          <w:lang w:bidi="ar"/>
        </w:rPr>
      </w:pPr>
      <w:r>
        <w:rPr>
          <w:rFonts w:hint="eastAsia" w:ascii="仿宋" w:hAnsi="仿宋" w:eastAsia="仿宋" w:cs="仿宋"/>
          <w:b/>
          <w:bCs/>
          <w:color w:val="auto"/>
          <w:sz w:val="24"/>
          <w:highlight w:val="none"/>
          <w:lang w:bidi="ar"/>
        </w:rPr>
        <w:t>2.本项目采用全流程电子化采购方式</w:t>
      </w:r>
      <w:r>
        <w:rPr>
          <w:rFonts w:hint="eastAsia" w:ascii="仿宋" w:hAnsi="仿宋" w:eastAsia="仿宋" w:cs="仿宋"/>
          <w:color w:val="auto"/>
          <w:sz w:val="24"/>
          <w:highlight w:val="none"/>
          <w:lang w:bidi="ar"/>
        </w:rPr>
        <w:t>，请供应商认真学习北京市政府采购电子交易平台发布的相关操作手册（供应商可在交易平台下载相关手册），办理CA数字证书或电子营业执照、进行北京市政府采购电子交易平台注册绑定，并认真核实</w:t>
      </w:r>
      <w:r>
        <w:rPr>
          <w:rFonts w:hint="eastAsia" w:ascii="仿宋" w:hAnsi="仿宋" w:eastAsia="仿宋" w:cs="仿宋"/>
          <w:bCs/>
          <w:color w:val="auto"/>
          <w:sz w:val="24"/>
          <w:highlight w:val="none"/>
          <w:lang w:bidi="ar"/>
        </w:rPr>
        <w:t>CA数字证书</w:t>
      </w:r>
      <w:r>
        <w:rPr>
          <w:rFonts w:hint="eastAsia" w:ascii="仿宋" w:hAnsi="仿宋" w:eastAsia="仿宋" w:cs="仿宋"/>
          <w:color w:val="auto"/>
          <w:sz w:val="24"/>
          <w:highlight w:val="none"/>
          <w:lang w:bidi="ar"/>
        </w:rPr>
        <w:t>或电子营业执照</w:t>
      </w:r>
      <w:r>
        <w:rPr>
          <w:rFonts w:hint="eastAsia" w:ascii="仿宋" w:hAnsi="仿宋" w:eastAsia="仿宋" w:cs="仿宋"/>
          <w:bCs/>
          <w:color w:val="auto"/>
          <w:sz w:val="24"/>
          <w:highlight w:val="none"/>
          <w:lang w:bidi="ar"/>
        </w:rPr>
        <w:t>情况确认是否符合本项目电子化采购流程要求。</w:t>
      </w:r>
    </w:p>
    <w:p w14:paraId="67DEDD3F">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CA数字证书服务热线 010-58511086</w:t>
      </w:r>
    </w:p>
    <w:p w14:paraId="2CAE0662">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电子营业执照服务热线 400-699-7000</w:t>
      </w:r>
    </w:p>
    <w:p w14:paraId="33FAAD68">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技术支持服务热线    010-86483801</w:t>
      </w:r>
    </w:p>
    <w:p w14:paraId="455E0420">
      <w:pPr>
        <w:widowControl/>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2.1办理CA数字证书或电子营业执照</w:t>
      </w:r>
    </w:p>
    <w:p w14:paraId="7752DEBB">
      <w:pPr>
        <w:widowControl/>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供应商登录北京市政府采购电子交易平台查阅 “用户指南”—“操作指南”—“市场主体CA办理操作流程指引”/“电子营业执照使用指南”，按照程序要求办理。</w:t>
      </w:r>
    </w:p>
    <w:p w14:paraId="638D25FC">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2.2注册</w:t>
      </w:r>
    </w:p>
    <w:p w14:paraId="451ED99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供应商登录北京市政府采购电子交易平台“用户指南”—“操作指南”—“市场主体注册入库操作流程指引”进行自助注册绑定。</w:t>
      </w:r>
    </w:p>
    <w:p w14:paraId="501940B8">
      <w:pPr>
        <w:widowControl/>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2.3驱动、客户端下载</w:t>
      </w:r>
    </w:p>
    <w:p w14:paraId="37C7A41A">
      <w:pPr>
        <w:widowControl/>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供应商登录北京市政府采购电子交易平台“用户指南”—“工具下载”—“招标采购系统文件驱动安装包”下载相关驱动。</w:t>
      </w:r>
    </w:p>
    <w:p w14:paraId="7B4FC475">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供应商登录北京市政府采购电子交易平台“用户指南”—“工具下载”—“投标文件编制工具”下载相关客户端。</w:t>
      </w:r>
    </w:p>
    <w:p w14:paraId="266F8470">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2.4 获取电子招标文件</w:t>
      </w:r>
    </w:p>
    <w:p w14:paraId="100B5736">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供应商使用CA数字证书或电子营业执照登录北京市政府采购电子交易平台获取电子招标文件。</w:t>
      </w:r>
    </w:p>
    <w:p w14:paraId="4151C13C">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6EC9AB7D">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2.5编制电子投标文件</w:t>
      </w:r>
    </w:p>
    <w:p w14:paraId="4D166343">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供应商应使用电子投标客户端编制电子投标文件并进行线上投标，供应商电子投标文件需要加密并加盖电子签章</w:t>
      </w:r>
      <w:r>
        <w:rPr>
          <w:rFonts w:hint="eastAsia" w:ascii="仿宋" w:hAnsi="仿宋" w:eastAsia="仿宋" w:cs="仿宋"/>
          <w:bCs/>
          <w:color w:val="auto"/>
          <w:sz w:val="24"/>
          <w:highlight w:val="none"/>
          <w:lang w:bidi="ar"/>
        </w:rPr>
        <w:t>，如无法按照要求在电子投标文件中加盖电子签章和加密，请及时通过技术支持服务热线联系技术人员</w:t>
      </w:r>
      <w:r>
        <w:rPr>
          <w:rFonts w:hint="eastAsia" w:ascii="仿宋" w:hAnsi="仿宋" w:eastAsia="仿宋" w:cs="仿宋"/>
          <w:color w:val="auto"/>
          <w:sz w:val="24"/>
          <w:highlight w:val="none"/>
          <w:lang w:bidi="ar"/>
        </w:rPr>
        <w:t>。</w:t>
      </w:r>
    </w:p>
    <w:p w14:paraId="28F8BE38">
      <w:pPr>
        <w:widowControl/>
        <w:spacing w:line="360" w:lineRule="auto"/>
        <w:ind w:firstLine="480" w:firstLineChars="200"/>
        <w:jc w:val="left"/>
        <w:rPr>
          <w:rFonts w:hint="eastAsia" w:ascii="仿宋" w:hAnsi="仿宋" w:eastAsia="仿宋" w:cs="仿宋"/>
          <w:color w:val="auto"/>
          <w:sz w:val="24"/>
          <w:highlight w:val="none"/>
          <w:lang w:val="zh-TW" w:bidi="ar"/>
        </w:rPr>
      </w:pPr>
      <w:r>
        <w:rPr>
          <w:rFonts w:hint="eastAsia" w:ascii="仿宋" w:hAnsi="仿宋" w:eastAsia="仿宋" w:cs="仿宋"/>
          <w:color w:val="auto"/>
          <w:sz w:val="24"/>
          <w:highlight w:val="none"/>
          <w:lang w:val="zh-TW" w:bidi="ar"/>
        </w:rPr>
        <w:t>2</w:t>
      </w:r>
      <w:r>
        <w:rPr>
          <w:rFonts w:hint="eastAsia" w:ascii="仿宋" w:hAnsi="仿宋" w:eastAsia="仿宋" w:cs="仿宋"/>
          <w:color w:val="auto"/>
          <w:sz w:val="24"/>
          <w:highlight w:val="none"/>
          <w:lang w:val="zh-TW" w:eastAsia="zh-TW" w:bidi="ar"/>
        </w:rPr>
        <w:t>.6</w:t>
      </w:r>
      <w:r>
        <w:rPr>
          <w:rFonts w:hint="eastAsia" w:ascii="仿宋" w:hAnsi="仿宋" w:eastAsia="仿宋" w:cs="仿宋"/>
          <w:color w:val="auto"/>
          <w:sz w:val="24"/>
          <w:highlight w:val="none"/>
          <w:lang w:val="zh-TW" w:bidi="ar"/>
        </w:rPr>
        <w:t>提交电子投标文件</w:t>
      </w:r>
    </w:p>
    <w:p w14:paraId="1B47985F">
      <w:pPr>
        <w:widowControl/>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供应商应于投标截止时间前在北京市政府采购电子交易平台提交电子投标文件，上传电子投标文件过程中请保持与互联网的连接畅通。</w:t>
      </w:r>
    </w:p>
    <w:p w14:paraId="3BADE678">
      <w:pPr>
        <w:widowControl/>
        <w:spacing w:line="360" w:lineRule="auto"/>
        <w:ind w:firstLine="480" w:firstLineChars="200"/>
        <w:jc w:val="left"/>
        <w:rPr>
          <w:rFonts w:hint="eastAsia" w:ascii="仿宋" w:hAnsi="仿宋" w:eastAsia="仿宋" w:cs="仿宋"/>
          <w:color w:val="auto"/>
          <w:sz w:val="24"/>
          <w:highlight w:val="none"/>
          <w:lang w:eastAsia="zh-TW" w:bidi="ar"/>
        </w:rPr>
      </w:pPr>
      <w:r>
        <w:rPr>
          <w:rFonts w:hint="eastAsia" w:ascii="仿宋" w:hAnsi="仿宋" w:eastAsia="仿宋" w:cs="仿宋"/>
          <w:color w:val="auto"/>
          <w:sz w:val="24"/>
          <w:highlight w:val="none"/>
          <w:lang w:val="zh-TW" w:bidi="ar"/>
        </w:rPr>
        <w:t>2.</w:t>
      </w:r>
      <w:r>
        <w:rPr>
          <w:rFonts w:hint="eastAsia" w:ascii="仿宋" w:hAnsi="仿宋" w:eastAsia="仿宋" w:cs="仿宋"/>
          <w:color w:val="auto"/>
          <w:sz w:val="24"/>
          <w:highlight w:val="none"/>
          <w:lang w:val="zh-TW" w:eastAsia="zh-TW" w:bidi="ar"/>
        </w:rPr>
        <w:t>7</w:t>
      </w:r>
      <w:r>
        <w:rPr>
          <w:rFonts w:hint="eastAsia" w:ascii="仿宋" w:hAnsi="仿宋" w:eastAsia="仿宋" w:cs="仿宋"/>
          <w:color w:val="auto"/>
          <w:sz w:val="24"/>
          <w:highlight w:val="none"/>
          <w:lang w:val="zh-TW" w:bidi="ar"/>
        </w:rPr>
        <w:t>电子开标</w:t>
      </w:r>
    </w:p>
    <w:p w14:paraId="353092AD">
      <w:pPr>
        <w:spacing w:line="360" w:lineRule="auto"/>
        <w:ind w:firstLine="480" w:firstLineChars="200"/>
        <w:rPr>
          <w:rFonts w:hint="eastAsia" w:ascii="仿宋" w:hAnsi="仿宋" w:eastAsia="仿宋" w:cs="仿宋"/>
          <w:color w:val="auto"/>
          <w:sz w:val="24"/>
          <w:highlight w:val="none"/>
          <w:lang w:eastAsia="zh-TW"/>
        </w:rPr>
      </w:pPr>
      <w:r>
        <w:rPr>
          <w:rFonts w:hint="eastAsia" w:ascii="仿宋" w:hAnsi="仿宋" w:eastAsia="仿宋" w:cs="仿宋"/>
          <w:color w:val="auto"/>
          <w:sz w:val="24"/>
          <w:highlight w:val="none"/>
          <w:lang w:val="zh-TW" w:bidi="ar"/>
        </w:rPr>
        <w:t>供应商使用 CA 数字证书或电子营业执照登录北京市政府采购电子交易平台进行电子开标。</w:t>
      </w:r>
    </w:p>
    <w:p w14:paraId="79764F72">
      <w:pPr>
        <w:pStyle w:val="3"/>
        <w:spacing w:before="0" w:line="360" w:lineRule="auto"/>
        <w:jc w:val="left"/>
        <w:rPr>
          <w:rFonts w:hint="eastAsia" w:ascii="仿宋" w:hAnsi="仿宋" w:eastAsia="仿宋" w:cs="仿宋"/>
          <w:color w:val="auto"/>
          <w:sz w:val="24"/>
          <w:szCs w:val="24"/>
          <w:highlight w:val="none"/>
        </w:rPr>
      </w:pPr>
      <w:bookmarkStart w:id="27" w:name="_Toc35393627"/>
      <w:bookmarkStart w:id="28" w:name="_Toc28359008"/>
      <w:bookmarkStart w:id="29" w:name="_Toc35393796"/>
      <w:bookmarkStart w:id="30" w:name="_Toc28359085"/>
      <w:r>
        <w:rPr>
          <w:rFonts w:hint="eastAsia" w:ascii="仿宋" w:hAnsi="仿宋" w:eastAsia="仿宋" w:cs="仿宋"/>
          <w:color w:val="auto"/>
          <w:sz w:val="24"/>
          <w:szCs w:val="24"/>
          <w:highlight w:val="none"/>
        </w:rPr>
        <w:t>七、对本次招标提出询问，请按以下方式联系。</w:t>
      </w:r>
      <w:bookmarkEnd w:id="27"/>
      <w:bookmarkEnd w:id="28"/>
      <w:bookmarkEnd w:id="29"/>
      <w:bookmarkEnd w:id="30"/>
    </w:p>
    <w:p w14:paraId="607E597B">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1.采购人信息</w:t>
      </w:r>
    </w:p>
    <w:p w14:paraId="2AA292B6">
      <w:pPr>
        <w:spacing w:line="360" w:lineRule="auto"/>
        <w:ind w:left="1079" w:leftChars="371" w:hanging="300" w:hangingChars="125"/>
        <w:jc w:val="left"/>
        <w:rPr>
          <w:rFonts w:hint="eastAsia" w:ascii="仿宋" w:hAnsi="仿宋" w:eastAsia="仿宋" w:cs="仿宋"/>
          <w:color w:val="auto"/>
          <w:sz w:val="24"/>
          <w:highlight w:val="none"/>
          <w:lang w:eastAsia="zh-CN"/>
        </w:rPr>
      </w:pPr>
      <w:bookmarkStart w:id="31" w:name="_Toc28359009"/>
      <w:bookmarkStart w:id="32" w:name="_Toc28359086"/>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lang w:eastAsia="zh-CN"/>
        </w:rPr>
        <w:t>北京市朝阳区教育服务保障中心</w:t>
      </w:r>
    </w:p>
    <w:p w14:paraId="2BF826B2">
      <w:pPr>
        <w:spacing w:line="360" w:lineRule="auto"/>
        <w:ind w:left="1079" w:leftChars="371" w:hanging="300" w:hangingChars="125"/>
        <w:jc w:val="left"/>
        <w:rPr>
          <w:rFonts w:hint="eastAsia" w:ascii="仿宋" w:hAnsi="仿宋" w:eastAsia="仿宋" w:cs="仿宋"/>
          <w:color w:val="auto"/>
          <w:sz w:val="24"/>
          <w:highlight w:val="none"/>
          <w:u w:val="none"/>
          <w:lang w:eastAsia="zh-CN"/>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lang w:eastAsia="zh-CN"/>
        </w:rPr>
        <w:t>北京市朝阳区团结湖北二条5号楼朝阳教育服务保障中心</w:t>
      </w:r>
    </w:p>
    <w:p w14:paraId="5B167DC9">
      <w:pPr>
        <w:spacing w:line="360" w:lineRule="auto"/>
        <w:ind w:left="1079" w:leftChars="371" w:hanging="300" w:hangingChars="125"/>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lang w:val="en-US" w:eastAsia="zh-CN"/>
        </w:rPr>
        <w:t xml:space="preserve">马老师 </w:t>
      </w:r>
      <w:r>
        <w:rPr>
          <w:rStyle w:val="263"/>
          <w:rFonts w:hint="eastAsia" w:ascii="仿宋" w:hAnsi="仿宋" w:eastAsia="仿宋" w:cs="仿宋"/>
          <w:color w:val="auto"/>
          <w:sz w:val="24"/>
          <w:highlight w:val="none"/>
          <w:u w:val="single"/>
          <w:lang w:eastAsia="zh-CN"/>
        </w:rPr>
        <w:t>010-65007866</w:t>
      </w:r>
    </w:p>
    <w:p w14:paraId="77BF2739">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2.采购代理机构信息</w:t>
      </w:r>
      <w:bookmarkEnd w:id="31"/>
      <w:bookmarkEnd w:id="32"/>
    </w:p>
    <w:p w14:paraId="2E93820B">
      <w:pPr>
        <w:spacing w:line="360" w:lineRule="auto"/>
        <w:ind w:left="1079" w:leftChars="371" w:hanging="300" w:hangingChars="125"/>
        <w:jc w:val="left"/>
        <w:rPr>
          <w:rFonts w:hint="eastAsia" w:ascii="仿宋" w:hAnsi="仿宋" w:eastAsia="仿宋" w:cs="仿宋"/>
          <w:color w:val="auto"/>
          <w:sz w:val="24"/>
          <w:highlight w:val="none"/>
          <w:lang w:eastAsia="zh-CN"/>
        </w:rPr>
      </w:pPr>
      <w:bookmarkStart w:id="33" w:name="_Toc28359087"/>
      <w:bookmarkStart w:id="34" w:name="_Toc28359010"/>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lang w:eastAsia="zh-CN"/>
        </w:rPr>
        <w:t>中归咨询管理（北京）有限公司</w:t>
      </w:r>
    </w:p>
    <w:p w14:paraId="6A3274FB">
      <w:pPr>
        <w:spacing w:line="360" w:lineRule="auto"/>
        <w:ind w:left="1079" w:leftChars="371" w:hanging="300" w:hangingChars="125"/>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lang w:eastAsia="zh-CN"/>
        </w:rPr>
        <w:t>北京市北京经济技术开发区嘉创二路6号10幢</w:t>
      </w:r>
    </w:p>
    <w:p w14:paraId="054C9C1A">
      <w:pPr>
        <w:spacing w:line="360" w:lineRule="auto"/>
        <w:ind w:left="1079" w:leftChars="371" w:hanging="300" w:hangingChars="125"/>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lang w:eastAsia="zh-CN"/>
        </w:rPr>
        <w:t>师博科 010-53606938</w:t>
      </w:r>
    </w:p>
    <w:p w14:paraId="71E34CD6">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3.项目联系方式</w:t>
      </w:r>
      <w:bookmarkEnd w:id="33"/>
      <w:bookmarkEnd w:id="34"/>
    </w:p>
    <w:p w14:paraId="4315DE8D">
      <w:pPr>
        <w:spacing w:line="360" w:lineRule="auto"/>
        <w:ind w:left="1079" w:leftChars="371" w:hanging="300" w:hangingChars="12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项目联系人：</w:t>
      </w:r>
      <w:r>
        <w:rPr>
          <w:rFonts w:hint="eastAsia" w:ascii="仿宋" w:hAnsi="仿宋" w:eastAsia="仿宋" w:cs="仿宋"/>
          <w:color w:val="auto"/>
          <w:sz w:val="24"/>
          <w:highlight w:val="none"/>
          <w:u w:val="single"/>
          <w:lang w:eastAsia="zh-CN"/>
        </w:rPr>
        <w:t>师博科</w:t>
      </w:r>
    </w:p>
    <w:p w14:paraId="2135EEEC">
      <w:pPr>
        <w:spacing w:line="360" w:lineRule="auto"/>
        <w:ind w:left="1079" w:leftChars="371" w:hanging="300" w:hangingChars="12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r>
        <w:rPr>
          <w:rFonts w:hint="eastAsia" w:ascii="仿宋" w:hAnsi="仿宋" w:eastAsia="仿宋" w:cs="仿宋"/>
          <w:color w:val="auto"/>
          <w:sz w:val="24"/>
          <w:highlight w:val="none"/>
          <w:u w:val="single"/>
          <w:lang w:eastAsia="zh-CN"/>
        </w:rPr>
        <w:t>010-53606938</w:t>
      </w:r>
    </w:p>
    <w:p w14:paraId="127A5AF1">
      <w:pPr>
        <w:spacing w:line="360" w:lineRule="auto"/>
        <w:ind w:firstLine="5880" w:firstLineChars="2450"/>
        <w:jc w:val="right"/>
        <w:rPr>
          <w:rFonts w:asciiTheme="minorEastAsia" w:hAnsiTheme="minorEastAsia" w:eastAsiaTheme="minorEastAsia"/>
          <w:color w:val="auto"/>
          <w:sz w:val="24"/>
          <w:highlight w:val="none"/>
        </w:rPr>
      </w:pPr>
    </w:p>
    <w:p w14:paraId="0AFDFA89">
      <w:pPr>
        <w:spacing w:line="360" w:lineRule="auto"/>
        <w:jc w:val="center"/>
        <w:outlineLvl w:val="0"/>
        <w:rPr>
          <w:rFonts w:hint="eastAsia" w:ascii="仿宋" w:hAnsi="仿宋" w:eastAsia="仿宋" w:cs="仿宋"/>
          <w:b/>
          <w:color w:val="auto"/>
          <w:sz w:val="32"/>
          <w:szCs w:val="32"/>
          <w:highlight w:val="none"/>
        </w:rPr>
      </w:pPr>
      <w:r>
        <w:rPr>
          <w:rFonts w:asciiTheme="minorEastAsia" w:hAnsiTheme="minorEastAsia" w:eastAsiaTheme="minorEastAsia"/>
          <w:color w:val="auto"/>
          <w:sz w:val="24"/>
          <w:highlight w:val="none"/>
        </w:rPr>
        <w:br w:type="page"/>
      </w:r>
      <w:bookmarkStart w:id="35" w:name="_Toc305158928"/>
      <w:bookmarkStart w:id="36" w:name="_Toc512937850"/>
      <w:bookmarkStart w:id="37" w:name="_Toc195842950"/>
      <w:bookmarkStart w:id="38" w:name="_Toc127151777"/>
      <w:bookmarkStart w:id="39" w:name="_Toc305158854"/>
      <w:bookmarkStart w:id="40" w:name="_Toc226965856"/>
      <w:bookmarkStart w:id="41" w:name="_Toc127161488"/>
      <w:bookmarkStart w:id="42" w:name="_Toc265228423"/>
      <w:bookmarkStart w:id="43" w:name="_Toc264969275"/>
      <w:bookmarkStart w:id="44" w:name="_Toc353825548"/>
      <w:bookmarkStart w:id="45" w:name="_Toc99301420"/>
      <w:bookmarkStart w:id="46" w:name="_Toc150774783"/>
      <w:bookmarkStart w:id="47" w:name="_Toc353873938"/>
      <w:r>
        <w:rPr>
          <w:rFonts w:hint="eastAsia" w:ascii="仿宋" w:hAnsi="仿宋" w:eastAsia="仿宋" w:cs="仿宋"/>
          <w:b/>
          <w:color w:val="auto"/>
          <w:sz w:val="36"/>
          <w:szCs w:val="36"/>
          <w:highlight w:val="none"/>
        </w:rPr>
        <w:t>第二章   投标人须知</w:t>
      </w:r>
      <w:bookmarkEnd w:id="35"/>
      <w:bookmarkEnd w:id="36"/>
      <w:bookmarkEnd w:id="37"/>
      <w:bookmarkEnd w:id="38"/>
      <w:bookmarkEnd w:id="39"/>
      <w:bookmarkEnd w:id="40"/>
      <w:bookmarkEnd w:id="41"/>
      <w:bookmarkEnd w:id="42"/>
      <w:bookmarkEnd w:id="43"/>
      <w:bookmarkEnd w:id="44"/>
      <w:bookmarkEnd w:id="45"/>
      <w:bookmarkEnd w:id="46"/>
      <w:bookmarkEnd w:id="47"/>
    </w:p>
    <w:p w14:paraId="38679109">
      <w:pPr>
        <w:pStyle w:val="3"/>
        <w:tabs>
          <w:tab w:val="center" w:pos="4592"/>
          <w:tab w:val="left" w:pos="7860"/>
        </w:tabs>
        <w:spacing w:before="0" w:line="360" w:lineRule="auto"/>
        <w:rPr>
          <w:rFonts w:hint="eastAsia" w:ascii="仿宋" w:hAnsi="仿宋" w:eastAsia="仿宋" w:cs="仿宋"/>
          <w:color w:val="auto"/>
          <w:sz w:val="28"/>
          <w:highlight w:val="none"/>
        </w:rPr>
      </w:pPr>
      <w:bookmarkStart w:id="48" w:name="_Toc127151519"/>
      <w:bookmarkStart w:id="49" w:name="_Toc151190146"/>
      <w:bookmarkStart w:id="50" w:name="_Toc151193617"/>
      <w:bookmarkStart w:id="51" w:name="_Toc226309763"/>
      <w:bookmarkStart w:id="52" w:name="_Toc127151720"/>
      <w:bookmarkStart w:id="53" w:name="_Toc195842884"/>
      <w:bookmarkStart w:id="54" w:name="_Toc127161433"/>
      <w:bookmarkStart w:id="55" w:name="_Toc520356144"/>
      <w:bookmarkStart w:id="56" w:name="_Toc150480757"/>
      <w:bookmarkStart w:id="57" w:name="_Toc151193761"/>
      <w:bookmarkStart w:id="58" w:name="_Toc226337215"/>
      <w:bookmarkStart w:id="59" w:name="_Toc164229360"/>
      <w:bookmarkStart w:id="60" w:name="_Toc151193833"/>
      <w:bookmarkStart w:id="61" w:name="_Toc151193689"/>
      <w:bookmarkStart w:id="62" w:name="_Toc164608788"/>
      <w:bookmarkStart w:id="63" w:name="_Toc150509270"/>
      <w:bookmarkStart w:id="64" w:name="_Toc164229214"/>
      <w:bookmarkStart w:id="65" w:name="_Toc142311021"/>
      <w:bookmarkStart w:id="66" w:name="_Toc226965709"/>
      <w:bookmarkStart w:id="67" w:name="_Toc226965792"/>
      <w:bookmarkStart w:id="68" w:name="_Toc150774619"/>
      <w:bookmarkStart w:id="69" w:name="_Toc164351613"/>
      <w:bookmarkStart w:id="70" w:name="_Toc149720812"/>
      <w:bookmarkStart w:id="71" w:name="_Toc164608633"/>
      <w:bookmarkStart w:id="72" w:name="_Toc150774724"/>
      <w:bookmarkStart w:id="73" w:name="_Toc151193907"/>
      <w:r>
        <w:rPr>
          <w:rFonts w:hint="eastAsia" w:ascii="仿宋" w:hAnsi="仿宋" w:eastAsia="仿宋" w:cs="仿宋"/>
          <w:color w:val="auto"/>
          <w:sz w:val="28"/>
          <w:highlight w:val="none"/>
        </w:rPr>
        <w:t>投标人须知资料表</w:t>
      </w:r>
    </w:p>
    <w:p w14:paraId="78C024E3">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本表是对投标人须知的具体补充和修改，如有矛盾，均以本资料表为准。</w:t>
      </w:r>
    </w:p>
    <w:tbl>
      <w:tblPr>
        <w:tblStyle w:val="45"/>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772"/>
        <w:gridCol w:w="6792"/>
      </w:tblGrid>
      <w:tr w14:paraId="3698D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blHeader/>
          <w:jc w:val="center"/>
        </w:trPr>
        <w:tc>
          <w:tcPr>
            <w:tcW w:w="1069" w:type="dxa"/>
            <w:vAlign w:val="center"/>
          </w:tcPr>
          <w:p w14:paraId="0B2E1070">
            <w:pPr>
              <w:jc w:val="center"/>
              <w:rPr>
                <w:rFonts w:hint="eastAsia" w:ascii="仿宋" w:hAnsi="仿宋" w:eastAsia="仿宋" w:cs="仿宋"/>
                <w:b/>
                <w:bCs/>
                <w:color w:val="auto"/>
                <w:sz w:val="24"/>
                <w:highlight w:val="none"/>
              </w:rPr>
            </w:pPr>
            <w:r>
              <w:rPr>
                <w:rFonts w:hint="eastAsia" w:ascii="仿宋" w:hAnsi="仿宋" w:eastAsia="仿宋" w:cs="仿宋"/>
                <w:b/>
                <w:color w:val="auto"/>
                <w:sz w:val="24"/>
                <w:highlight w:val="none"/>
              </w:rPr>
              <w:t>条款号</w:t>
            </w:r>
          </w:p>
        </w:tc>
        <w:tc>
          <w:tcPr>
            <w:tcW w:w="1772" w:type="dxa"/>
            <w:vAlign w:val="center"/>
          </w:tcPr>
          <w:p w14:paraId="79665A72">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条目</w:t>
            </w:r>
          </w:p>
        </w:tc>
        <w:tc>
          <w:tcPr>
            <w:tcW w:w="6792" w:type="dxa"/>
            <w:vAlign w:val="center"/>
          </w:tcPr>
          <w:p w14:paraId="3CE590DC">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内容</w:t>
            </w:r>
          </w:p>
        </w:tc>
      </w:tr>
      <w:tr w14:paraId="1364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6728669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w:t>
            </w:r>
          </w:p>
        </w:tc>
        <w:tc>
          <w:tcPr>
            <w:tcW w:w="1772" w:type="dxa"/>
            <w:vAlign w:val="center"/>
          </w:tcPr>
          <w:p w14:paraId="5D22AC56">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w:t>
            </w:r>
          </w:p>
        </w:tc>
        <w:tc>
          <w:tcPr>
            <w:tcW w:w="6792" w:type="dxa"/>
            <w:vAlign w:val="center"/>
          </w:tcPr>
          <w:p w14:paraId="5BB93743">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w:t>
            </w:r>
          </w:p>
          <w:p w14:paraId="2BA2068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■服务</w:t>
            </w:r>
          </w:p>
          <w:p w14:paraId="6BB5700C">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□货物</w:t>
            </w:r>
          </w:p>
        </w:tc>
      </w:tr>
      <w:tr w14:paraId="0F11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79F3EAD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w:t>
            </w:r>
          </w:p>
        </w:tc>
        <w:tc>
          <w:tcPr>
            <w:tcW w:w="1772" w:type="dxa"/>
            <w:vAlign w:val="center"/>
          </w:tcPr>
          <w:p w14:paraId="5ECD8B1C">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科研仪器设备</w:t>
            </w:r>
          </w:p>
        </w:tc>
        <w:tc>
          <w:tcPr>
            <w:tcW w:w="6792" w:type="dxa"/>
            <w:vAlign w:val="center"/>
          </w:tcPr>
          <w:p w14:paraId="6439F7B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是否属于科研仪器设备采购项目：</w:t>
            </w:r>
          </w:p>
          <w:p w14:paraId="368238BF">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□是</w:t>
            </w:r>
          </w:p>
          <w:p w14:paraId="342E855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■否</w:t>
            </w:r>
          </w:p>
        </w:tc>
      </w:tr>
      <w:tr w14:paraId="747C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191A869A">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w:t>
            </w:r>
          </w:p>
        </w:tc>
        <w:tc>
          <w:tcPr>
            <w:tcW w:w="1772" w:type="dxa"/>
            <w:vAlign w:val="center"/>
          </w:tcPr>
          <w:p w14:paraId="77938CE3">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核心产品</w:t>
            </w:r>
          </w:p>
        </w:tc>
        <w:tc>
          <w:tcPr>
            <w:tcW w:w="6792" w:type="dxa"/>
            <w:vAlign w:val="center"/>
          </w:tcPr>
          <w:p w14:paraId="414089C6">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szCs w:val="24"/>
                <w:highlight w:val="none"/>
              </w:rPr>
              <w:t>关于核心产品本项目不适用。</w:t>
            </w:r>
          </w:p>
          <w:p w14:paraId="41902874">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szCs w:val="24"/>
                <w:highlight w:val="none"/>
              </w:rPr>
              <w:t>本项目为单一产品采购项目。</w:t>
            </w:r>
          </w:p>
          <w:p w14:paraId="18153DB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本项目为非单一产品采购项目，核心产品为：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none"/>
              </w:rPr>
              <w:t>。</w:t>
            </w:r>
          </w:p>
        </w:tc>
      </w:tr>
      <w:tr w14:paraId="53618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Merge w:val="restart"/>
            <w:vAlign w:val="center"/>
          </w:tcPr>
          <w:p w14:paraId="1209FDE7">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w:t>
            </w:r>
          </w:p>
        </w:tc>
        <w:tc>
          <w:tcPr>
            <w:tcW w:w="1772" w:type="dxa"/>
            <w:vAlign w:val="center"/>
          </w:tcPr>
          <w:p w14:paraId="3D13538D">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现场考察</w:t>
            </w:r>
          </w:p>
        </w:tc>
        <w:tc>
          <w:tcPr>
            <w:tcW w:w="6792" w:type="dxa"/>
            <w:vAlign w:val="center"/>
          </w:tcPr>
          <w:p w14:paraId="2DCBDED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■不组织</w:t>
            </w:r>
          </w:p>
          <w:p w14:paraId="73897C3C">
            <w:pPr>
              <w:spacing w:line="276" w:lineRule="auto"/>
              <w:jc w:val="left"/>
              <w:rPr>
                <w:rFonts w:hint="eastAsia" w:ascii="仿宋" w:hAnsi="仿宋" w:eastAsia="仿宋" w:cs="仿宋"/>
                <w:bCs/>
                <w:color w:val="auto"/>
                <w:sz w:val="24"/>
                <w:highlight w:val="none"/>
              </w:rPr>
            </w:pPr>
            <w:r>
              <w:rPr>
                <w:rFonts w:hint="eastAsia" w:ascii="仿宋" w:hAnsi="仿宋" w:eastAsia="仿宋" w:cs="仿宋"/>
                <w:color w:val="auto"/>
                <w:sz w:val="24"/>
                <w:highlight w:val="none"/>
              </w:rPr>
              <w:t>□组织，考察时间：/年/月/日/</w:t>
            </w:r>
            <w:r>
              <w:rPr>
                <w:rFonts w:hint="eastAsia" w:ascii="仿宋" w:hAnsi="仿宋" w:eastAsia="仿宋" w:cs="仿宋"/>
                <w:bCs/>
                <w:color w:val="auto"/>
                <w:sz w:val="24"/>
                <w:highlight w:val="none"/>
              </w:rPr>
              <w:t>点</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分</w:t>
            </w:r>
          </w:p>
          <w:p w14:paraId="78982262">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考察地点：/。</w:t>
            </w:r>
          </w:p>
        </w:tc>
      </w:tr>
      <w:tr w14:paraId="4428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Merge w:val="continue"/>
            <w:vAlign w:val="center"/>
          </w:tcPr>
          <w:p w14:paraId="0E6D3FA1">
            <w:pPr>
              <w:pStyle w:val="25"/>
              <w:adjustRightInd w:val="0"/>
              <w:snapToGrid w:val="0"/>
              <w:spacing w:line="276" w:lineRule="auto"/>
              <w:jc w:val="center"/>
              <w:rPr>
                <w:rFonts w:hint="eastAsia" w:ascii="仿宋" w:hAnsi="仿宋" w:eastAsia="仿宋" w:cs="仿宋"/>
                <w:color w:val="auto"/>
                <w:sz w:val="24"/>
                <w:szCs w:val="24"/>
                <w:highlight w:val="none"/>
              </w:rPr>
            </w:pPr>
          </w:p>
        </w:tc>
        <w:tc>
          <w:tcPr>
            <w:tcW w:w="1772" w:type="dxa"/>
            <w:vAlign w:val="center"/>
          </w:tcPr>
          <w:p w14:paraId="77668EC5">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开标前答疑会</w:t>
            </w:r>
          </w:p>
        </w:tc>
        <w:tc>
          <w:tcPr>
            <w:tcW w:w="6792" w:type="dxa"/>
            <w:vAlign w:val="center"/>
          </w:tcPr>
          <w:p w14:paraId="2CC7FAF6">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■不召开</w:t>
            </w:r>
          </w:p>
          <w:p w14:paraId="7EC8319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□召开，召开时间：/年/月/日/</w:t>
            </w:r>
            <w:r>
              <w:rPr>
                <w:rFonts w:hint="eastAsia" w:ascii="仿宋" w:hAnsi="仿宋" w:eastAsia="仿宋" w:cs="仿宋"/>
                <w:bCs/>
                <w:color w:val="auto"/>
                <w:sz w:val="24"/>
                <w:highlight w:val="none"/>
              </w:rPr>
              <w:t>点</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分</w:t>
            </w:r>
          </w:p>
          <w:p w14:paraId="283A8F3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召开地点：/。</w:t>
            </w:r>
          </w:p>
        </w:tc>
      </w:tr>
      <w:tr w14:paraId="7E0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0F8FCDA1">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w:t>
            </w:r>
          </w:p>
        </w:tc>
        <w:tc>
          <w:tcPr>
            <w:tcW w:w="1772" w:type="dxa"/>
            <w:vAlign w:val="center"/>
          </w:tcPr>
          <w:p w14:paraId="5818AEBF">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样品</w:t>
            </w:r>
          </w:p>
        </w:tc>
        <w:tc>
          <w:tcPr>
            <w:tcW w:w="6792" w:type="dxa"/>
            <w:vAlign w:val="center"/>
          </w:tcPr>
          <w:p w14:paraId="726144C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投标样品递交：</w:t>
            </w:r>
          </w:p>
          <w:p w14:paraId="1A6DDA4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■不需要</w:t>
            </w:r>
          </w:p>
          <w:p w14:paraId="5DF2781C">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□需要，具体要求如下：</w:t>
            </w:r>
          </w:p>
          <w:p w14:paraId="4E670E97">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（1）样品制作的标准和要求：/；</w:t>
            </w:r>
          </w:p>
          <w:p w14:paraId="2C722CE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（2）是否需要随样品提交相关检测报告：</w:t>
            </w:r>
          </w:p>
          <w:p w14:paraId="2D0874FF">
            <w:pPr>
              <w:spacing w:line="276" w:lineRule="auto"/>
              <w:ind w:firstLine="600" w:firstLineChars="2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□不需要</w:t>
            </w:r>
          </w:p>
          <w:p w14:paraId="0E74BDB8">
            <w:pPr>
              <w:spacing w:line="276" w:lineRule="auto"/>
              <w:ind w:firstLine="600" w:firstLineChars="2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□需要</w:t>
            </w:r>
          </w:p>
          <w:p w14:paraId="47BAB5C1">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（3）样品递交要求：/；</w:t>
            </w:r>
          </w:p>
          <w:p w14:paraId="43126779">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（4）未中标人样品退还：/；</w:t>
            </w:r>
          </w:p>
          <w:p w14:paraId="6B97778E">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（5）中标人样品保管、封存及退还：/；</w:t>
            </w:r>
          </w:p>
          <w:p w14:paraId="1BA0FB5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（6）其他要求（如有）：/。</w:t>
            </w:r>
          </w:p>
        </w:tc>
      </w:tr>
      <w:tr w14:paraId="36081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1069" w:type="dxa"/>
            <w:vAlign w:val="center"/>
          </w:tcPr>
          <w:p w14:paraId="13F9E3EF">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5.2.5</w:t>
            </w:r>
          </w:p>
        </w:tc>
        <w:tc>
          <w:tcPr>
            <w:tcW w:w="1772" w:type="dxa"/>
            <w:vAlign w:val="center"/>
          </w:tcPr>
          <w:p w14:paraId="744A2801">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标的所属行业</w:t>
            </w:r>
          </w:p>
        </w:tc>
        <w:tc>
          <w:tcPr>
            <w:tcW w:w="6792" w:type="dxa"/>
            <w:vAlign w:val="center"/>
          </w:tcPr>
          <w:p w14:paraId="4B2CDCCF">
            <w:pPr>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本项目采购标的对应的中小企业划分标准所属行业：</w:t>
            </w:r>
          </w:p>
          <w:tbl>
            <w:tblPr>
              <w:tblStyle w:val="45"/>
              <w:tblW w:w="6573" w:type="dxa"/>
              <w:jc w:val="center"/>
              <w:tblLayout w:type="fixed"/>
              <w:tblCellMar>
                <w:top w:w="0" w:type="dxa"/>
                <w:left w:w="108" w:type="dxa"/>
                <w:bottom w:w="0" w:type="dxa"/>
                <w:right w:w="108" w:type="dxa"/>
              </w:tblCellMar>
            </w:tblPr>
            <w:tblGrid>
              <w:gridCol w:w="948"/>
              <w:gridCol w:w="3365"/>
              <w:gridCol w:w="2260"/>
            </w:tblGrid>
            <w:tr w14:paraId="5D8EBF08">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A9E1B">
                  <w:pPr>
                    <w:widowControl/>
                    <w:jc w:val="center"/>
                    <w:rPr>
                      <w:rFonts w:hint="default" w:ascii="仿宋" w:hAnsi="仿宋" w:eastAsia="仿宋" w:cs="仿宋"/>
                      <w:b/>
                      <w:bCs/>
                      <w:color w:val="auto"/>
                      <w:kern w:val="0"/>
                      <w:sz w:val="24"/>
                      <w:szCs w:val="22"/>
                      <w:highlight w:val="none"/>
                      <w:lang w:val="en-US" w:eastAsia="zh-CN"/>
                    </w:rPr>
                  </w:pPr>
                  <w:r>
                    <w:rPr>
                      <w:rFonts w:hint="eastAsia" w:ascii="仿宋" w:hAnsi="仿宋" w:eastAsia="仿宋" w:cs="仿宋"/>
                      <w:bCs/>
                      <w:color w:val="auto"/>
                      <w:sz w:val="24"/>
                      <w:szCs w:val="22"/>
                      <w:highlight w:val="none"/>
                      <w:lang w:val="en-US" w:eastAsia="zh-CN"/>
                    </w:rPr>
                    <w:t>标包号</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42B75">
                  <w:pPr>
                    <w:widowControl/>
                    <w:jc w:val="center"/>
                    <w:rPr>
                      <w:rFonts w:hint="eastAsia" w:ascii="仿宋" w:hAnsi="仿宋" w:eastAsia="仿宋" w:cs="仿宋"/>
                      <w:b/>
                      <w:bCs/>
                      <w:color w:val="auto"/>
                      <w:kern w:val="0"/>
                      <w:sz w:val="24"/>
                      <w:szCs w:val="22"/>
                      <w:highlight w:val="none"/>
                    </w:rPr>
                  </w:pPr>
                  <w:r>
                    <w:rPr>
                      <w:rFonts w:hint="eastAsia" w:ascii="仿宋" w:hAnsi="仿宋" w:eastAsia="仿宋" w:cs="仿宋"/>
                      <w:bCs/>
                      <w:color w:val="auto"/>
                      <w:sz w:val="24"/>
                      <w:szCs w:val="22"/>
                      <w:highlight w:val="none"/>
                      <w:lang w:val="en-US" w:eastAsia="zh-CN"/>
                    </w:rPr>
                    <w:t>标包</w:t>
                  </w:r>
                  <w:r>
                    <w:rPr>
                      <w:rFonts w:hint="eastAsia" w:ascii="仿宋" w:hAnsi="仿宋" w:eastAsia="仿宋" w:cs="仿宋"/>
                      <w:bCs/>
                      <w:color w:val="auto"/>
                      <w:sz w:val="24"/>
                      <w:szCs w:val="22"/>
                      <w:highlight w:val="none"/>
                    </w:rPr>
                    <w:t>名称</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6C085">
                  <w:pPr>
                    <w:widowControl/>
                    <w:jc w:val="center"/>
                    <w:rPr>
                      <w:rFonts w:hint="eastAsia" w:ascii="仿宋" w:hAnsi="仿宋" w:eastAsia="仿宋" w:cs="仿宋"/>
                      <w:b/>
                      <w:bCs/>
                      <w:color w:val="auto"/>
                      <w:kern w:val="0"/>
                      <w:sz w:val="24"/>
                      <w:szCs w:val="22"/>
                      <w:highlight w:val="none"/>
                    </w:rPr>
                  </w:pPr>
                  <w:r>
                    <w:rPr>
                      <w:rFonts w:hint="eastAsia" w:ascii="仿宋" w:hAnsi="仿宋" w:eastAsia="仿宋" w:cs="仿宋"/>
                      <w:color w:val="auto"/>
                      <w:sz w:val="24"/>
                      <w:szCs w:val="22"/>
                      <w:highlight w:val="none"/>
                    </w:rPr>
                    <w:t>中小企业划分标准所属行业</w:t>
                  </w:r>
                </w:p>
              </w:tc>
            </w:tr>
            <w:tr w14:paraId="4DDDD403">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38AAC">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eastAsia="zh-CN"/>
                    </w:rPr>
                    <w:t>一标包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FDB91">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sz w:val="24"/>
                      <w:highlight w:val="none"/>
                      <w:lang w:eastAsia="zh-CN"/>
                    </w:rPr>
                    <w:t>2026年北京市朝阳区教育服务保障中心及其所属幼儿园保安服务项目（一标包）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8307C">
                  <w:pPr>
                    <w:widowControl/>
                    <w:jc w:val="center"/>
                    <w:rPr>
                      <w:rFonts w:hint="eastAsia" w:ascii="仿宋" w:hAnsi="仿宋" w:eastAsia="仿宋" w:cs="仿宋"/>
                      <w:color w:val="auto"/>
                      <w:kern w:val="2"/>
                      <w:sz w:val="24"/>
                      <w:szCs w:val="24"/>
                      <w:highlight w:val="none"/>
                    </w:rPr>
                  </w:pPr>
                  <w:r>
                    <w:rPr>
                      <w:rFonts w:hint="eastAsia" w:ascii="仿宋" w:hAnsi="仿宋" w:eastAsia="仿宋" w:cs="仿宋"/>
                      <w:bCs w:val="0"/>
                      <w:color w:val="auto"/>
                      <w:sz w:val="24"/>
                      <w:highlight w:val="none"/>
                    </w:rPr>
                    <w:t>租赁和商务服务业</w:t>
                  </w:r>
                </w:p>
              </w:tc>
            </w:tr>
            <w:tr w14:paraId="66AC18F0">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C2A87">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二</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2F1FC">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二</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9DCB9">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3ADE0602">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554AB">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三</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9FDD2">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三</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D3A1A">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2955DF8C">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3343D">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四</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F7B4B">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四</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49BCF">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7040433B">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FE2B1">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五</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BB3F3">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五</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FF44B">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57685CFA">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4BCBF">
                  <w:pPr>
                    <w:widowControl/>
                    <w:jc w:val="center"/>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六</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4E97F">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六</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927FF">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6984C560">
              <w:tblPrEx>
                <w:tblCellMar>
                  <w:top w:w="0" w:type="dxa"/>
                  <w:left w:w="108" w:type="dxa"/>
                  <w:bottom w:w="0" w:type="dxa"/>
                  <w:right w:w="108" w:type="dxa"/>
                </w:tblCellMar>
              </w:tblPrEx>
              <w:trPr>
                <w:trHeight w:val="512"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F13D79">
                  <w:pPr>
                    <w:jc w:val="left"/>
                    <w:rPr>
                      <w:rFonts w:hint="eastAsia" w:ascii="仿宋" w:hAnsi="仿宋" w:eastAsia="仿宋" w:cs="仿宋"/>
                      <w:color w:val="auto"/>
                      <w:kern w:val="2"/>
                      <w:sz w:val="24"/>
                      <w:szCs w:val="24"/>
                      <w:highlight w:val="none"/>
                    </w:rPr>
                  </w:pPr>
                  <w:r>
                    <w:rPr>
                      <w:rFonts w:hint="eastAsia" w:ascii="仿宋" w:hAnsi="仿宋" w:eastAsia="仿宋" w:cs="仿宋"/>
                      <w:b/>
                      <w:color w:val="auto"/>
                      <w:sz w:val="24"/>
                      <w:highlight w:val="none"/>
                    </w:rPr>
                    <w:t>其划型标准如下：</w:t>
                  </w:r>
                  <w:r>
                    <w:rPr>
                      <w:rFonts w:hint="eastAsia" w:ascii="仿宋" w:hAnsi="仿宋" w:eastAsia="仿宋" w:cs="仿宋"/>
                      <w:bCs/>
                      <w:color w:val="auto"/>
                      <w:sz w:val="24"/>
                      <w:highlight w:val="none"/>
                      <w:u w:val="single"/>
                    </w:rPr>
                    <w:t>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仿宋" w:hAnsi="仿宋" w:eastAsia="仿宋" w:cs="仿宋"/>
                      <w:bCs/>
                      <w:color w:val="auto"/>
                      <w:sz w:val="24"/>
                      <w:highlight w:val="none"/>
                    </w:rPr>
                    <w:t>。</w:t>
                  </w:r>
                </w:p>
              </w:tc>
            </w:tr>
          </w:tbl>
          <w:p w14:paraId="201E6379">
            <w:pPr>
              <w:jc w:val="left"/>
              <w:rPr>
                <w:rFonts w:hint="eastAsia" w:ascii="仿宋" w:hAnsi="仿宋" w:eastAsia="仿宋" w:cs="仿宋"/>
                <w:color w:val="auto"/>
                <w:sz w:val="24"/>
                <w:highlight w:val="none"/>
              </w:rPr>
            </w:pPr>
          </w:p>
        </w:tc>
      </w:tr>
      <w:tr w14:paraId="4AEE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510F1E03">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highlight w:val="none"/>
              </w:rPr>
              <w:br w:type="page"/>
            </w:r>
            <w:r>
              <w:rPr>
                <w:rFonts w:hint="eastAsia" w:ascii="仿宋" w:hAnsi="仿宋" w:eastAsia="仿宋" w:cs="仿宋"/>
                <w:color w:val="auto"/>
                <w:sz w:val="24"/>
                <w:szCs w:val="24"/>
                <w:highlight w:val="none"/>
              </w:rPr>
              <w:t>11.2</w:t>
            </w:r>
          </w:p>
        </w:tc>
        <w:tc>
          <w:tcPr>
            <w:tcW w:w="1772" w:type="dxa"/>
            <w:vAlign w:val="center"/>
          </w:tcPr>
          <w:p w14:paraId="1C1DA2A9">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w:t>
            </w:r>
          </w:p>
        </w:tc>
        <w:tc>
          <w:tcPr>
            <w:tcW w:w="6792" w:type="dxa"/>
            <w:vAlign w:val="center"/>
          </w:tcPr>
          <w:p w14:paraId="4BF82843">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投标报价的特殊规定：无</w:t>
            </w:r>
          </w:p>
        </w:tc>
      </w:tr>
      <w:tr w14:paraId="732F5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069" w:type="dxa"/>
            <w:vAlign w:val="center"/>
          </w:tcPr>
          <w:p w14:paraId="3A550FF1">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w:t>
            </w:r>
          </w:p>
        </w:tc>
        <w:tc>
          <w:tcPr>
            <w:tcW w:w="1772" w:type="dxa"/>
            <w:vMerge w:val="restart"/>
            <w:vAlign w:val="center"/>
          </w:tcPr>
          <w:p w14:paraId="1D99E5B5">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w:t>
            </w:r>
          </w:p>
        </w:tc>
        <w:tc>
          <w:tcPr>
            <w:tcW w:w="6792" w:type="dxa"/>
            <w:vAlign w:val="center"/>
          </w:tcPr>
          <w:p w14:paraId="4C5C1C8D">
            <w:pPr>
              <w:pStyle w:val="25"/>
              <w:adjustRightInd w:val="0"/>
              <w:snapToGrid w:val="0"/>
              <w:spacing w:line="276"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投标保证金金额：</w:t>
            </w:r>
          </w:p>
          <w:p w14:paraId="4668F5B8">
            <w:pPr>
              <w:pStyle w:val="25"/>
              <w:adjustRightInd w:val="0"/>
              <w:snapToGrid w:val="0"/>
              <w:spacing w:line="276"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一标包：投标保证金人民币叁万捌仟贰佰元；</w:t>
            </w:r>
          </w:p>
          <w:p w14:paraId="495F0A61">
            <w:pPr>
              <w:pStyle w:val="25"/>
              <w:adjustRightInd w:val="0"/>
              <w:snapToGrid w:val="0"/>
              <w:spacing w:line="276"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二标包：投标保证金人民币叁万捌仟壹佰元；</w:t>
            </w:r>
          </w:p>
          <w:p w14:paraId="06DC1FAF">
            <w:pPr>
              <w:pStyle w:val="25"/>
              <w:adjustRightInd w:val="0"/>
              <w:snapToGrid w:val="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三标包：投标保证金人民币叁万捌仟元；</w:t>
            </w:r>
          </w:p>
          <w:p w14:paraId="271A3559">
            <w:pPr>
              <w:pStyle w:val="25"/>
              <w:adjustRightInd w:val="0"/>
              <w:snapToGrid w:val="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四标包：投标保证金人民币叁万壹仟元；</w:t>
            </w:r>
          </w:p>
          <w:p w14:paraId="032988DC">
            <w:pPr>
              <w:pStyle w:val="25"/>
              <w:adjustRightInd w:val="0"/>
              <w:snapToGrid w:val="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五标包：投标保证金人民币陆仟元；</w:t>
            </w:r>
          </w:p>
          <w:p w14:paraId="69EDA2EB">
            <w:pPr>
              <w:pStyle w:val="25"/>
              <w:adjustRightInd w:val="0"/>
              <w:snapToGrid w:val="0"/>
              <w:rPr>
                <w:rFonts w:hint="eastAsia" w:ascii="仿宋" w:hAnsi="仿宋" w:eastAsia="仿宋" w:cs="仿宋"/>
                <w:color w:val="auto"/>
                <w:sz w:val="24"/>
                <w:highlight w:val="none"/>
              </w:rPr>
            </w:pPr>
            <w:r>
              <w:rPr>
                <w:rFonts w:hint="eastAsia" w:ascii="仿宋" w:hAnsi="仿宋" w:eastAsia="仿宋" w:cs="仿宋"/>
                <w:b w:val="0"/>
                <w:bCs w:val="0"/>
                <w:color w:val="auto"/>
                <w:sz w:val="24"/>
                <w:szCs w:val="24"/>
                <w:highlight w:val="none"/>
                <w:lang w:val="en-US" w:eastAsia="zh-CN"/>
              </w:rPr>
              <w:t>六标包：投标保证金人民币壹万贰仟元；</w:t>
            </w:r>
            <w:r>
              <w:rPr>
                <w:rFonts w:hint="eastAsia" w:ascii="仿宋" w:hAnsi="仿宋" w:eastAsia="仿宋" w:cs="仿宋"/>
                <w:b/>
                <w:bCs/>
                <w:color w:val="auto"/>
                <w:sz w:val="24"/>
                <w:szCs w:val="24"/>
                <w:highlight w:val="none"/>
                <w:lang w:val="en-US" w:eastAsia="zh-CN"/>
              </w:rPr>
              <w:br w:type="textWrapping"/>
            </w:r>
            <w:r>
              <w:rPr>
                <w:rFonts w:hint="eastAsia" w:ascii="仿宋" w:hAnsi="仿宋" w:eastAsia="仿宋" w:cs="仿宋"/>
                <w:b/>
                <w:bCs/>
                <w:color w:val="auto"/>
                <w:sz w:val="24"/>
                <w:szCs w:val="24"/>
                <w:highlight w:val="none"/>
              </w:rPr>
              <w:t>投标保证金收受人信息：</w:t>
            </w:r>
          </w:p>
          <w:p w14:paraId="24E21956">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开户人名称：中归咨询管理（北京）有限公司</w:t>
            </w:r>
          </w:p>
          <w:p w14:paraId="240D4391">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开户银行：兴业银行股份有限公司北京怀柔支行</w:t>
            </w:r>
          </w:p>
          <w:p w14:paraId="31867F1C">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账号：321620100100039649</w:t>
            </w:r>
          </w:p>
          <w:p w14:paraId="24E1459E">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行号：309100001629</w:t>
            </w:r>
          </w:p>
          <w:p w14:paraId="6B45D9DA">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交换号：011822879</w:t>
            </w:r>
          </w:p>
          <w:p w14:paraId="68267079">
            <w:pPr>
              <w:pStyle w:val="25"/>
              <w:adjustRightInd w:val="0"/>
              <w:snapToGrid w:val="0"/>
              <w:spacing w:line="276"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u w:val="single"/>
                <w:lang w:val="en-US" w:eastAsia="zh-CN"/>
              </w:rPr>
              <w:t>（注：采用电汇方式缴纳保证金时务必注明“项目名称+保证金”，未注明的财务部门不予受理，后果由投标人自行承担；若字符过长请备注项目名称后六字+保证金）</w:t>
            </w:r>
            <w:r>
              <w:rPr>
                <w:rFonts w:hint="eastAsia" w:ascii="仿宋" w:hAnsi="仿宋" w:eastAsia="仿宋" w:cs="仿宋"/>
                <w:color w:val="auto"/>
                <w:sz w:val="24"/>
                <w:szCs w:val="24"/>
                <w:highlight w:val="none"/>
              </w:rPr>
              <w:t>。</w:t>
            </w:r>
          </w:p>
        </w:tc>
      </w:tr>
      <w:tr w14:paraId="323A2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040F7FEB">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12.8.2</w:t>
            </w:r>
          </w:p>
        </w:tc>
        <w:tc>
          <w:tcPr>
            <w:tcW w:w="1772" w:type="dxa"/>
            <w:vMerge w:val="continue"/>
            <w:vAlign w:val="center"/>
          </w:tcPr>
          <w:p w14:paraId="70A844C7">
            <w:pPr>
              <w:spacing w:line="276" w:lineRule="auto"/>
              <w:jc w:val="center"/>
              <w:rPr>
                <w:rFonts w:hint="eastAsia" w:ascii="仿宋" w:hAnsi="仿宋" w:eastAsia="仿宋" w:cs="仿宋"/>
                <w:color w:val="auto"/>
                <w:sz w:val="24"/>
                <w:highlight w:val="none"/>
              </w:rPr>
            </w:pPr>
          </w:p>
        </w:tc>
        <w:tc>
          <w:tcPr>
            <w:tcW w:w="6792" w:type="dxa"/>
            <w:vAlign w:val="center"/>
          </w:tcPr>
          <w:p w14:paraId="47124252">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投标保证金可以不予退还的其他情形：</w:t>
            </w:r>
          </w:p>
          <w:p w14:paraId="5BCB7247">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□无</w:t>
            </w:r>
          </w:p>
          <w:p w14:paraId="4308AB0C">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■有，具体情形：</w:t>
            </w:r>
          </w:p>
          <w:p w14:paraId="440AC219">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（1）在投标有效期内，投标人擅自撤销投标文件的；</w:t>
            </w:r>
          </w:p>
          <w:p w14:paraId="0DDFD602">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（2）中标人不按本须知的规定与采购人签订合同的；</w:t>
            </w:r>
          </w:p>
          <w:p w14:paraId="58A21F59">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（3）中标人擅自放弃中标的。</w:t>
            </w:r>
          </w:p>
        </w:tc>
      </w:tr>
      <w:tr w14:paraId="0D71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069" w:type="dxa"/>
            <w:vAlign w:val="center"/>
          </w:tcPr>
          <w:p w14:paraId="32216D30">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w:t>
            </w:r>
          </w:p>
        </w:tc>
        <w:tc>
          <w:tcPr>
            <w:tcW w:w="1772" w:type="dxa"/>
            <w:vAlign w:val="center"/>
          </w:tcPr>
          <w:p w14:paraId="1BA30D54">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w:t>
            </w:r>
          </w:p>
        </w:tc>
        <w:tc>
          <w:tcPr>
            <w:tcW w:w="6792" w:type="dxa"/>
            <w:vAlign w:val="center"/>
          </w:tcPr>
          <w:p w14:paraId="6F5C715F">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自提交投标文件的截止之日起算【</w:t>
            </w:r>
            <w:r>
              <w:rPr>
                <w:rFonts w:hint="eastAsia" w:ascii="仿宋" w:hAnsi="仿宋" w:eastAsia="仿宋" w:cs="仿宋"/>
                <w:color w:val="auto"/>
                <w:sz w:val="24"/>
                <w:highlight w:val="none"/>
                <w:u w:val="single"/>
              </w:rPr>
              <w:t>90</w:t>
            </w:r>
            <w:r>
              <w:rPr>
                <w:rFonts w:hint="eastAsia" w:ascii="仿宋" w:hAnsi="仿宋" w:eastAsia="仿宋" w:cs="仿宋"/>
                <w:color w:val="auto"/>
                <w:sz w:val="24"/>
                <w:highlight w:val="none"/>
              </w:rPr>
              <w:t>】日历天。</w:t>
            </w:r>
          </w:p>
        </w:tc>
      </w:tr>
      <w:tr w14:paraId="033E1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069" w:type="dxa"/>
            <w:vAlign w:val="center"/>
          </w:tcPr>
          <w:p w14:paraId="6DCA42E4">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18.2</w:t>
            </w:r>
          </w:p>
        </w:tc>
        <w:tc>
          <w:tcPr>
            <w:tcW w:w="1772" w:type="dxa"/>
            <w:vAlign w:val="center"/>
          </w:tcPr>
          <w:p w14:paraId="3500A0FF">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解密时间</w:t>
            </w:r>
          </w:p>
        </w:tc>
        <w:tc>
          <w:tcPr>
            <w:tcW w:w="6792" w:type="dxa"/>
            <w:vAlign w:val="center"/>
          </w:tcPr>
          <w:p w14:paraId="3D8DBABD">
            <w:pPr>
              <w:spacing w:line="276" w:lineRule="auto"/>
              <w:jc w:val="left"/>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解密时间：</w:t>
            </w:r>
            <w:r>
              <w:rPr>
                <w:rFonts w:hint="eastAsia" w:ascii="仿宋" w:hAnsi="仿宋" w:eastAsia="仿宋" w:cs="仿宋"/>
                <w:color w:val="auto"/>
                <w:sz w:val="24"/>
                <w:highlight w:val="none"/>
                <w:lang w:val="en-US" w:eastAsia="zh-CN"/>
              </w:rPr>
              <w:t>每个标包</w:t>
            </w:r>
            <w:r>
              <w:rPr>
                <w:rFonts w:hint="eastAsia" w:ascii="仿宋" w:hAnsi="仿宋" w:eastAsia="仿宋" w:cs="仿宋"/>
                <w:color w:val="auto"/>
                <w:sz w:val="24"/>
                <w:highlight w:val="none"/>
                <w:u w:val="single"/>
                <w:lang w:val="en-US" w:eastAsia="zh-CN"/>
              </w:rPr>
              <w:t>30</w:t>
            </w:r>
            <w:r>
              <w:rPr>
                <w:rFonts w:hint="eastAsia" w:ascii="仿宋" w:hAnsi="仿宋" w:eastAsia="仿宋" w:cs="仿宋"/>
                <w:color w:val="auto"/>
                <w:sz w:val="24"/>
                <w:highlight w:val="none"/>
              </w:rPr>
              <w:t>分钟</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各标包同时解密。</w:t>
            </w:r>
          </w:p>
        </w:tc>
      </w:tr>
      <w:tr w14:paraId="5085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4" w:hRule="atLeast"/>
          <w:jc w:val="center"/>
        </w:trPr>
        <w:tc>
          <w:tcPr>
            <w:tcW w:w="1069" w:type="dxa"/>
            <w:vAlign w:val="center"/>
          </w:tcPr>
          <w:p w14:paraId="68F3D939">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22.1</w:t>
            </w:r>
          </w:p>
        </w:tc>
        <w:tc>
          <w:tcPr>
            <w:tcW w:w="1772" w:type="dxa"/>
            <w:vAlign w:val="center"/>
          </w:tcPr>
          <w:p w14:paraId="4EAE5993">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确定中标人</w:t>
            </w:r>
          </w:p>
        </w:tc>
        <w:tc>
          <w:tcPr>
            <w:tcW w:w="6792" w:type="dxa"/>
            <w:vAlign w:val="center"/>
          </w:tcPr>
          <w:p w14:paraId="089DA5F0">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中标候选人并列的，采购人是否委托评标委员会确定中标人：</w:t>
            </w:r>
          </w:p>
          <w:p w14:paraId="7C298ADF">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否</w:t>
            </w:r>
          </w:p>
          <w:p w14:paraId="3E8348F5">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□是</w:t>
            </w:r>
          </w:p>
          <w:p w14:paraId="0C6BF75E">
            <w:pPr>
              <w:pStyle w:val="25"/>
              <w:adjustRightInd w:val="0"/>
              <w:snapToGrid w:val="0"/>
              <w:spacing w:line="276" w:lineRule="auto"/>
              <w:rPr>
                <w:rFonts w:hint="eastAsia" w:ascii="仿宋" w:hAnsi="仿宋" w:eastAsia="仿宋" w:cs="仿宋"/>
                <w:color w:val="auto"/>
                <w:highlight w:val="none"/>
              </w:rPr>
            </w:pPr>
            <w:r>
              <w:rPr>
                <w:rFonts w:hint="eastAsia" w:ascii="仿宋" w:hAnsi="仿宋" w:eastAsia="仿宋" w:cs="仿宋"/>
                <w:color w:val="auto"/>
                <w:sz w:val="24"/>
                <w:highlight w:val="none"/>
              </w:rPr>
              <w:t>中标候选人并列的，按照以下方式确定中标人：</w:t>
            </w:r>
            <w:r>
              <w:rPr>
                <w:rFonts w:hint="eastAsia" w:ascii="仿宋" w:hAnsi="仿宋" w:eastAsia="仿宋" w:cs="仿宋"/>
                <w:color w:val="auto"/>
                <w:highlight w:val="none"/>
              </w:rPr>
              <w:t xml:space="preserve"> </w:t>
            </w:r>
          </w:p>
          <w:p w14:paraId="4CCFD21D">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得分且投标报价均相同的，以【</w:t>
            </w:r>
            <w:r>
              <w:rPr>
                <w:rFonts w:hint="eastAsia" w:ascii="仿宋" w:hAnsi="仿宋" w:eastAsia="仿宋" w:cs="仿宋"/>
                <w:color w:val="auto"/>
                <w:sz w:val="24"/>
                <w:highlight w:val="none"/>
                <w:u w:val="single"/>
              </w:rPr>
              <w:t>技术部分</w:t>
            </w:r>
            <w:r>
              <w:rPr>
                <w:rFonts w:hint="eastAsia" w:ascii="仿宋" w:hAnsi="仿宋" w:eastAsia="仿宋" w:cs="仿宋"/>
                <w:color w:val="auto"/>
                <w:sz w:val="24"/>
                <w:highlight w:val="none"/>
              </w:rPr>
              <w:t>】得分高者为中标人</w:t>
            </w:r>
          </w:p>
          <w:p w14:paraId="20536A4F">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□随机抽取</w:t>
            </w:r>
          </w:p>
        </w:tc>
      </w:tr>
      <w:tr w14:paraId="2AB9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08FB63B6">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25.5</w:t>
            </w:r>
          </w:p>
        </w:tc>
        <w:tc>
          <w:tcPr>
            <w:tcW w:w="1772" w:type="dxa"/>
            <w:vAlign w:val="center"/>
          </w:tcPr>
          <w:p w14:paraId="2DDAEA6E">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分包</w:t>
            </w:r>
          </w:p>
        </w:tc>
        <w:tc>
          <w:tcPr>
            <w:tcW w:w="6792" w:type="dxa"/>
            <w:vAlign w:val="center"/>
          </w:tcPr>
          <w:p w14:paraId="5497FA7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本项目的非主体、非关键性工作是否允许分包： </w:t>
            </w:r>
          </w:p>
          <w:p w14:paraId="0CE98E9D">
            <w:pPr>
              <w:spacing w:line="276" w:lineRule="auto"/>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不允许</w:t>
            </w:r>
          </w:p>
          <w:p w14:paraId="06AC79D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□允许，具体要求：</w:t>
            </w:r>
          </w:p>
          <w:p w14:paraId="7A1B3C9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（1）可以分包履行的具体内容：/；</w:t>
            </w:r>
          </w:p>
          <w:p w14:paraId="0FC55728">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（2）允许分包的金额或者比例：/；</w:t>
            </w:r>
          </w:p>
          <w:p w14:paraId="106E9CF3">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（3）其他要求：/。</w:t>
            </w:r>
          </w:p>
        </w:tc>
      </w:tr>
      <w:tr w14:paraId="54F1F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2ED33F9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25.6</w:t>
            </w:r>
          </w:p>
        </w:tc>
        <w:tc>
          <w:tcPr>
            <w:tcW w:w="1772" w:type="dxa"/>
            <w:vAlign w:val="center"/>
          </w:tcPr>
          <w:p w14:paraId="760F0CD4">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政采贷</w:t>
            </w:r>
          </w:p>
        </w:tc>
        <w:tc>
          <w:tcPr>
            <w:tcW w:w="6792" w:type="dxa"/>
            <w:vAlign w:val="center"/>
          </w:tcPr>
          <w:p w14:paraId="29693C3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14:paraId="0BA4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69" w:type="dxa"/>
            <w:vAlign w:val="center"/>
          </w:tcPr>
          <w:p w14:paraId="467C9C35">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26.1.1</w:t>
            </w:r>
          </w:p>
        </w:tc>
        <w:tc>
          <w:tcPr>
            <w:tcW w:w="1772" w:type="dxa"/>
            <w:vAlign w:val="center"/>
          </w:tcPr>
          <w:p w14:paraId="3EADA949">
            <w:pPr>
              <w:spacing w:line="276" w:lineRule="auto"/>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询问</w:t>
            </w:r>
            <w:r>
              <w:rPr>
                <w:rFonts w:hint="eastAsia" w:ascii="仿宋" w:hAnsi="仿宋" w:eastAsia="仿宋" w:cs="仿宋"/>
                <w:color w:val="auto"/>
                <w:sz w:val="24"/>
                <w:highlight w:val="none"/>
                <w:lang w:val="en-US" w:eastAsia="zh-CN"/>
              </w:rPr>
              <w:t>及质疑</w:t>
            </w:r>
          </w:p>
        </w:tc>
        <w:tc>
          <w:tcPr>
            <w:tcW w:w="6792" w:type="dxa"/>
            <w:vAlign w:val="center"/>
          </w:tcPr>
          <w:p w14:paraId="018C3BDE">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询问提出形式：电话形式询问；</w:t>
            </w:r>
          </w:p>
          <w:p w14:paraId="6608007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质疑提出形式：我司只接受纸质质疑函原件，不接受邮寄形式，如有质疑将原件送到我司并拨打联系电话递交，</w:t>
            </w:r>
            <w:r>
              <w:rPr>
                <w:rFonts w:hint="eastAsia" w:ascii="仿宋" w:hAnsi="仿宋" w:eastAsia="仿宋" w:cs="仿宋"/>
                <w:color w:val="auto"/>
                <w:sz w:val="24"/>
                <w:highlight w:val="none"/>
                <w:lang w:val="en-US" w:eastAsia="zh-CN"/>
              </w:rPr>
              <w:t>在法定时限</w:t>
            </w:r>
            <w:r>
              <w:rPr>
                <w:rFonts w:hint="eastAsia" w:ascii="仿宋" w:hAnsi="仿宋" w:eastAsia="仿宋" w:cs="仿宋"/>
                <w:color w:val="auto"/>
                <w:sz w:val="24"/>
                <w:highlight w:val="none"/>
              </w:rPr>
              <w:t>内我司做出答复。</w:t>
            </w:r>
          </w:p>
        </w:tc>
      </w:tr>
      <w:tr w14:paraId="2257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35CCA606">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26.3</w:t>
            </w:r>
          </w:p>
        </w:tc>
        <w:tc>
          <w:tcPr>
            <w:tcW w:w="1772" w:type="dxa"/>
            <w:vAlign w:val="center"/>
          </w:tcPr>
          <w:p w14:paraId="31BBFF81">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联系方式</w:t>
            </w:r>
          </w:p>
        </w:tc>
        <w:tc>
          <w:tcPr>
            <w:tcW w:w="6792" w:type="dxa"/>
            <w:vAlign w:val="center"/>
          </w:tcPr>
          <w:p w14:paraId="1C47A71B">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接收询问和质疑的联系方式</w:t>
            </w:r>
          </w:p>
          <w:p w14:paraId="633ED9AC">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联系部门：</w:t>
            </w:r>
            <w:r>
              <w:rPr>
                <w:rFonts w:hint="eastAsia" w:ascii="仿宋" w:hAnsi="仿宋" w:eastAsia="仿宋" w:cs="仿宋"/>
                <w:color w:val="auto"/>
                <w:sz w:val="24"/>
                <w:szCs w:val="24"/>
                <w:highlight w:val="none"/>
                <w:u w:val="single"/>
                <w:lang w:val="en-US" w:eastAsia="zh-CN"/>
              </w:rPr>
              <w:t>项目五部</w:t>
            </w:r>
            <w:r>
              <w:rPr>
                <w:rFonts w:hint="eastAsia" w:ascii="仿宋" w:hAnsi="仿宋" w:eastAsia="仿宋" w:cs="仿宋"/>
                <w:color w:val="auto"/>
                <w:sz w:val="24"/>
                <w:szCs w:val="24"/>
                <w:highlight w:val="none"/>
              </w:rPr>
              <w:t>；</w:t>
            </w:r>
          </w:p>
          <w:p w14:paraId="3915F95F">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lang w:eastAsia="zh-CN"/>
              </w:rPr>
              <w:t>010-53606938</w:t>
            </w:r>
            <w:r>
              <w:rPr>
                <w:rFonts w:hint="eastAsia" w:ascii="仿宋" w:hAnsi="仿宋" w:eastAsia="仿宋" w:cs="仿宋"/>
                <w:color w:val="auto"/>
                <w:sz w:val="24"/>
                <w:szCs w:val="24"/>
                <w:highlight w:val="none"/>
              </w:rPr>
              <w:t>；</w:t>
            </w:r>
          </w:p>
          <w:p w14:paraId="06A570B6">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通讯地址：</w:t>
            </w:r>
            <w:r>
              <w:rPr>
                <w:rFonts w:hint="eastAsia" w:ascii="仿宋" w:hAnsi="仿宋" w:eastAsia="仿宋" w:cs="仿宋"/>
                <w:color w:val="auto"/>
                <w:sz w:val="24"/>
                <w:szCs w:val="24"/>
                <w:highlight w:val="none"/>
                <w:u w:val="single"/>
                <w:lang w:eastAsia="zh-CN"/>
              </w:rPr>
              <w:t>北京市北京经济技术开发区嘉创二路6号10幢</w:t>
            </w:r>
            <w:r>
              <w:rPr>
                <w:rFonts w:hint="eastAsia" w:ascii="仿宋" w:hAnsi="仿宋" w:eastAsia="仿宋" w:cs="仿宋"/>
                <w:color w:val="auto"/>
                <w:sz w:val="24"/>
                <w:szCs w:val="24"/>
                <w:highlight w:val="none"/>
                <w:lang w:eastAsia="zh-CN"/>
              </w:rPr>
              <w:t>。</w:t>
            </w:r>
          </w:p>
        </w:tc>
      </w:tr>
      <w:tr w14:paraId="07EC0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5EBB41A8">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w:t>
            </w:r>
          </w:p>
        </w:tc>
        <w:tc>
          <w:tcPr>
            <w:tcW w:w="1772" w:type="dxa"/>
            <w:tcBorders>
              <w:top w:val="single" w:color="auto" w:sz="4" w:space="0"/>
              <w:left w:val="single" w:color="auto" w:sz="4" w:space="0"/>
              <w:bottom w:val="single" w:color="auto" w:sz="4" w:space="0"/>
              <w:right w:val="single" w:color="auto" w:sz="4" w:space="0"/>
            </w:tcBorders>
            <w:vAlign w:val="center"/>
          </w:tcPr>
          <w:p w14:paraId="7D80B3D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代理费</w:t>
            </w:r>
          </w:p>
        </w:tc>
        <w:tc>
          <w:tcPr>
            <w:tcW w:w="6792" w:type="dxa"/>
            <w:tcBorders>
              <w:top w:val="single" w:color="auto" w:sz="4" w:space="0"/>
              <w:left w:val="single" w:color="auto" w:sz="4" w:space="0"/>
              <w:bottom w:val="single" w:color="auto" w:sz="4" w:space="0"/>
              <w:right w:val="single" w:color="auto" w:sz="4" w:space="0"/>
            </w:tcBorders>
            <w:vAlign w:val="center"/>
          </w:tcPr>
          <w:p w14:paraId="152594AD">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收费对象：</w:t>
            </w:r>
          </w:p>
          <w:p w14:paraId="3A9E32A5">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p w14:paraId="7D53DB07">
            <w:pPr>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中</w:t>
            </w:r>
            <w:r>
              <w:rPr>
                <w:rFonts w:hint="eastAsia" w:ascii="仿宋" w:hAnsi="仿宋" w:eastAsia="仿宋" w:cs="仿宋"/>
                <w:color w:val="auto"/>
                <w:sz w:val="24"/>
                <w:szCs w:val="24"/>
                <w:highlight w:val="none"/>
                <w:lang w:val="en-US" w:eastAsia="zh-CN"/>
              </w:rPr>
              <w:t>标</w:t>
            </w:r>
            <w:r>
              <w:rPr>
                <w:rFonts w:hint="eastAsia" w:ascii="仿宋" w:hAnsi="仿宋" w:eastAsia="仿宋" w:cs="仿宋"/>
                <w:color w:val="auto"/>
                <w:sz w:val="24"/>
                <w:szCs w:val="24"/>
                <w:highlight w:val="none"/>
                <w:lang w:eastAsia="zh-CN"/>
              </w:rPr>
              <w:t>人</w:t>
            </w:r>
          </w:p>
          <w:p w14:paraId="177D6209">
            <w:pPr>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收费标准：</w:t>
            </w:r>
            <w:r>
              <w:rPr>
                <w:rFonts w:hint="eastAsia" w:ascii="仿宋" w:hAnsi="仿宋" w:eastAsia="仿宋" w:cs="仿宋"/>
                <w:color w:val="auto"/>
                <w:sz w:val="24"/>
                <w:szCs w:val="24"/>
                <w:highlight w:val="none"/>
                <w:u w:val="single"/>
              </w:rPr>
              <w:t>按照国家计委颁布的《招标代理服务收费管理暂行办法》(计价格[2002]1980号)和国家发改委办公厅颁布的《国家发改委办公厅关于招标代理服务收费有关问题的通知》(发改办价格[2003]857号)的规定标准向中标人收取招标代理服务费，以每个包/标段的中标/成交金额为计算基数，采用差额定率累进方式计算代理服务费收取，具体收费标准见下表</w:t>
            </w:r>
            <w:r>
              <w:rPr>
                <w:rFonts w:hint="eastAsia" w:ascii="仿宋" w:hAnsi="仿宋" w:eastAsia="仿宋" w:cs="仿宋"/>
                <w:color w:val="auto"/>
                <w:sz w:val="24"/>
                <w:szCs w:val="24"/>
                <w:highlight w:val="none"/>
                <w:lang w:eastAsia="zh-CN"/>
              </w:rPr>
              <w:t>：</w:t>
            </w:r>
          </w:p>
          <w:tbl>
            <w:tblPr>
              <w:tblStyle w:val="45"/>
              <w:tblW w:w="4992" w:type="pct"/>
              <w:jc w:val="center"/>
              <w:tblCellSpacing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95"/>
              <w:gridCol w:w="1394"/>
              <w:gridCol w:w="1345"/>
              <w:gridCol w:w="1312"/>
            </w:tblGrid>
            <w:tr w14:paraId="2283A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blCellSpacing w:w="0" w:type="dxa"/>
                <w:jc w:val="center"/>
              </w:trPr>
              <w:tc>
                <w:tcPr>
                  <w:tcW w:w="1905" w:type="pct"/>
                  <w:tcBorders>
                    <w:tl2br w:val="nil"/>
                    <w:tr2bl w:val="nil"/>
                  </w:tcBorders>
                  <w:noWrap w:val="0"/>
                  <w:vAlign w:val="center"/>
                </w:tcPr>
                <w:p w14:paraId="135B7FB0">
                  <w:pPr>
                    <w:jc w:val="center"/>
                    <w:rPr>
                      <w:rFonts w:hint="eastAsia" w:ascii="仿宋" w:hAnsi="仿宋" w:eastAsia="仿宋" w:cs="仿宋"/>
                      <w:b/>
                      <w:bCs/>
                      <w:color w:val="auto"/>
                      <w:szCs w:val="21"/>
                      <w:highlight w:val="none"/>
                      <w:lang w:eastAsia="zh-CN"/>
                    </w:rPr>
                  </w:pPr>
                  <w:r>
                    <w:rPr>
                      <w:rFonts w:hint="eastAsia" w:ascii="仿宋" w:hAnsi="仿宋" w:eastAsia="仿宋" w:cs="仿宋"/>
                      <w:b/>
                      <w:bCs/>
                      <w:color w:val="auto"/>
                      <w:szCs w:val="21"/>
                      <w:highlight w:val="none"/>
                      <w:lang w:val="en-US" w:eastAsia="zh-CN"/>
                    </w:rPr>
                    <w:t>中标/成交金额</w:t>
                  </w:r>
                  <w:r>
                    <w:rPr>
                      <w:rFonts w:hint="eastAsia" w:ascii="仿宋" w:hAnsi="仿宋" w:eastAsia="仿宋" w:cs="仿宋"/>
                      <w:b/>
                      <w:bCs/>
                      <w:color w:val="auto"/>
                      <w:szCs w:val="21"/>
                      <w:highlight w:val="none"/>
                      <w:lang w:eastAsia="zh-CN"/>
                    </w:rPr>
                    <w:t>（</w:t>
                  </w:r>
                  <w:r>
                    <w:rPr>
                      <w:rFonts w:hint="eastAsia" w:ascii="仿宋" w:hAnsi="仿宋" w:eastAsia="仿宋" w:cs="仿宋"/>
                      <w:b/>
                      <w:bCs/>
                      <w:color w:val="auto"/>
                      <w:szCs w:val="21"/>
                      <w:highlight w:val="none"/>
                      <w:lang w:val="en-US" w:eastAsia="zh-CN"/>
                    </w:rPr>
                    <w:t>万元</w:t>
                  </w:r>
                  <w:r>
                    <w:rPr>
                      <w:rFonts w:hint="eastAsia" w:ascii="仿宋" w:hAnsi="仿宋" w:eastAsia="仿宋" w:cs="仿宋"/>
                      <w:b/>
                      <w:bCs/>
                      <w:color w:val="auto"/>
                      <w:szCs w:val="21"/>
                      <w:highlight w:val="none"/>
                      <w:lang w:eastAsia="zh-CN"/>
                    </w:rPr>
                    <w:t>）</w:t>
                  </w:r>
                </w:p>
              </w:tc>
              <w:tc>
                <w:tcPr>
                  <w:tcW w:w="1064" w:type="pct"/>
                  <w:tcBorders>
                    <w:tl2br w:val="nil"/>
                    <w:tr2bl w:val="nil"/>
                  </w:tcBorders>
                  <w:noWrap w:val="0"/>
                  <w:vAlign w:val="center"/>
                </w:tcPr>
                <w:p w14:paraId="0B913CFB">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货物招标</w:t>
                  </w:r>
                </w:p>
              </w:tc>
              <w:tc>
                <w:tcPr>
                  <w:tcW w:w="1027" w:type="pct"/>
                  <w:tcBorders>
                    <w:tl2br w:val="nil"/>
                    <w:tr2bl w:val="nil"/>
                  </w:tcBorders>
                  <w:noWrap w:val="0"/>
                  <w:vAlign w:val="center"/>
                </w:tcPr>
                <w:p w14:paraId="360A898A">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服务招标</w:t>
                  </w:r>
                </w:p>
              </w:tc>
              <w:tc>
                <w:tcPr>
                  <w:tcW w:w="1002" w:type="pct"/>
                  <w:tcBorders>
                    <w:tl2br w:val="nil"/>
                    <w:tr2bl w:val="nil"/>
                  </w:tcBorders>
                  <w:noWrap w:val="0"/>
                  <w:vAlign w:val="center"/>
                </w:tcPr>
                <w:p w14:paraId="1F3C3C6F">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工程招标</w:t>
                  </w:r>
                </w:p>
              </w:tc>
            </w:tr>
            <w:tr w14:paraId="021DC1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17E9EF8A">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100以下</w:t>
                  </w:r>
                </w:p>
              </w:tc>
              <w:tc>
                <w:tcPr>
                  <w:tcW w:w="1064" w:type="pct"/>
                  <w:tcBorders>
                    <w:tl2br w:val="nil"/>
                    <w:tr2bl w:val="nil"/>
                  </w:tcBorders>
                  <w:noWrap w:val="0"/>
                  <w:vAlign w:val="center"/>
                </w:tcPr>
                <w:p w14:paraId="5383B4C8">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1.5</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5E52727B">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1.5</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08E5A248">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1.0</w:t>
                  </w:r>
                  <w:r>
                    <w:rPr>
                      <w:rFonts w:hint="eastAsia" w:ascii="仿宋" w:hAnsi="仿宋" w:eastAsia="仿宋" w:cs="仿宋"/>
                      <w:b/>
                      <w:bCs/>
                      <w:color w:val="auto"/>
                      <w:szCs w:val="21"/>
                      <w:highlight w:val="none"/>
                    </w:rPr>
                    <w:t>％</w:t>
                  </w:r>
                </w:p>
              </w:tc>
            </w:tr>
            <w:tr w14:paraId="47679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23BA7FB5">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100-500</w:t>
                  </w:r>
                </w:p>
              </w:tc>
              <w:tc>
                <w:tcPr>
                  <w:tcW w:w="1064" w:type="pct"/>
                  <w:tcBorders>
                    <w:tl2br w:val="nil"/>
                    <w:tr2bl w:val="nil"/>
                  </w:tcBorders>
                  <w:noWrap w:val="0"/>
                  <w:vAlign w:val="center"/>
                </w:tcPr>
                <w:p w14:paraId="51A42412">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1.1</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03D8E086">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0.8</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35EC7B73">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0.7</w:t>
                  </w:r>
                  <w:r>
                    <w:rPr>
                      <w:rFonts w:hint="eastAsia" w:ascii="仿宋" w:hAnsi="仿宋" w:eastAsia="仿宋" w:cs="仿宋"/>
                      <w:b/>
                      <w:bCs/>
                      <w:color w:val="auto"/>
                      <w:szCs w:val="21"/>
                      <w:highlight w:val="none"/>
                    </w:rPr>
                    <w:t>％</w:t>
                  </w:r>
                </w:p>
              </w:tc>
            </w:tr>
            <w:tr w14:paraId="2CB156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2DB5DA99">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500-1000</w:t>
                  </w:r>
                </w:p>
              </w:tc>
              <w:tc>
                <w:tcPr>
                  <w:tcW w:w="1064" w:type="pct"/>
                  <w:tcBorders>
                    <w:tl2br w:val="nil"/>
                    <w:tr2bl w:val="nil"/>
                  </w:tcBorders>
                  <w:noWrap w:val="0"/>
                  <w:vAlign w:val="center"/>
                </w:tcPr>
                <w:p w14:paraId="1F62DED0">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0.8</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7678AEE7">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0.45</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62C23A82">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0.55</w:t>
                  </w:r>
                  <w:r>
                    <w:rPr>
                      <w:rFonts w:hint="eastAsia" w:ascii="仿宋" w:hAnsi="仿宋" w:eastAsia="仿宋" w:cs="仿宋"/>
                      <w:b/>
                      <w:bCs/>
                      <w:color w:val="auto"/>
                      <w:szCs w:val="21"/>
                      <w:highlight w:val="none"/>
                    </w:rPr>
                    <w:t>％</w:t>
                  </w:r>
                </w:p>
              </w:tc>
            </w:tr>
          </w:tbl>
          <w:p w14:paraId="4192393D">
            <w:pPr>
              <w:pStyle w:val="36"/>
              <w:rPr>
                <w:rFonts w:hint="eastAsia"/>
                <w:color w:val="auto"/>
                <w:highlight w:val="none"/>
                <w:lang w:eastAsia="zh-CN"/>
              </w:rPr>
            </w:pPr>
          </w:p>
          <w:p w14:paraId="6FAA7666">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缴纳时间：</w:t>
            </w:r>
            <w:r>
              <w:rPr>
                <w:rFonts w:hint="eastAsia" w:ascii="仿宋" w:hAnsi="仿宋" w:eastAsia="仿宋" w:cs="仿宋"/>
                <w:color w:val="auto"/>
                <w:sz w:val="24"/>
                <w:szCs w:val="24"/>
                <w:highlight w:val="none"/>
                <w:u w:val="single"/>
              </w:rPr>
              <w:t>领取</w:t>
            </w:r>
            <w:r>
              <w:rPr>
                <w:rFonts w:hint="eastAsia" w:ascii="仿宋" w:hAnsi="仿宋" w:eastAsia="仿宋" w:cs="仿宋"/>
                <w:color w:val="auto"/>
                <w:sz w:val="24"/>
                <w:szCs w:val="24"/>
                <w:highlight w:val="none"/>
                <w:u w:val="single"/>
                <w:lang w:eastAsia="zh-CN"/>
              </w:rPr>
              <w:t>中</w:t>
            </w:r>
            <w:r>
              <w:rPr>
                <w:rFonts w:hint="eastAsia" w:ascii="仿宋" w:hAnsi="仿宋" w:eastAsia="仿宋" w:cs="仿宋"/>
                <w:color w:val="auto"/>
                <w:sz w:val="24"/>
                <w:szCs w:val="24"/>
                <w:highlight w:val="none"/>
                <w:u w:val="single"/>
                <w:lang w:val="en-US" w:eastAsia="zh-CN"/>
              </w:rPr>
              <w:t>标</w:t>
            </w:r>
            <w:r>
              <w:rPr>
                <w:rFonts w:hint="eastAsia" w:ascii="仿宋" w:hAnsi="仿宋" w:eastAsia="仿宋" w:cs="仿宋"/>
                <w:color w:val="auto"/>
                <w:sz w:val="24"/>
                <w:szCs w:val="24"/>
                <w:highlight w:val="none"/>
                <w:u w:val="single"/>
                <w:lang w:eastAsia="zh-CN"/>
              </w:rPr>
              <w:t>通知书</w:t>
            </w:r>
            <w:r>
              <w:rPr>
                <w:rFonts w:hint="eastAsia" w:ascii="仿宋" w:hAnsi="仿宋" w:eastAsia="仿宋" w:cs="仿宋"/>
                <w:color w:val="auto"/>
                <w:sz w:val="24"/>
                <w:szCs w:val="24"/>
                <w:highlight w:val="none"/>
                <w:u w:val="single"/>
              </w:rPr>
              <w:t>的同时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代理服务费的支付方式：现金、支票或电汇。</w:t>
            </w:r>
          </w:p>
          <w:p w14:paraId="6129D135">
            <w:pPr>
              <w:spacing w:line="240" w:lineRule="atLeas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以下账户仅作为缴纳代理服务费使用</w:t>
            </w:r>
          </w:p>
          <w:p w14:paraId="4CE18115">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代理服务费缴纳银行账号信息：</w:t>
            </w:r>
          </w:p>
          <w:p w14:paraId="0C69FB98">
            <w:pPr>
              <w:spacing w:line="240" w:lineRule="atLeas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账户名称：</w:t>
            </w:r>
            <w:r>
              <w:rPr>
                <w:rFonts w:hint="eastAsia" w:ascii="仿宋" w:hAnsi="仿宋" w:eastAsia="仿宋" w:cs="仿宋"/>
                <w:color w:val="auto"/>
                <w:sz w:val="24"/>
                <w:szCs w:val="24"/>
                <w:highlight w:val="none"/>
                <w:lang w:eastAsia="zh-CN"/>
              </w:rPr>
              <w:t>中归咨询管理（北京）有限公司</w:t>
            </w:r>
          </w:p>
          <w:p w14:paraId="05A9A0AD">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开户银行：中国光大银行股份有限公司北京怀柔支行</w:t>
            </w:r>
          </w:p>
          <w:p w14:paraId="59EE6813">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号：35620188000014701</w:t>
            </w:r>
          </w:p>
          <w:p w14:paraId="52AB9AC4">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行    </w:t>
            </w:r>
            <w:r>
              <w:rPr>
                <w:rFonts w:hint="eastAsia" w:ascii="仿宋" w:hAnsi="仿宋" w:eastAsia="仿宋" w:cs="仿宋"/>
                <w:color w:val="auto"/>
                <w:sz w:val="24"/>
                <w:szCs w:val="24"/>
                <w:highlight w:val="none"/>
              </w:rPr>
              <w:t>号：303100000696</w:t>
            </w:r>
          </w:p>
        </w:tc>
      </w:tr>
      <w:tr w14:paraId="07D70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176F7F56">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28</w:t>
            </w:r>
          </w:p>
        </w:tc>
        <w:tc>
          <w:tcPr>
            <w:tcW w:w="1772" w:type="dxa"/>
            <w:tcBorders>
              <w:top w:val="single" w:color="auto" w:sz="4" w:space="0"/>
              <w:left w:val="single" w:color="auto" w:sz="4" w:space="0"/>
              <w:bottom w:val="single" w:color="auto" w:sz="4" w:space="0"/>
              <w:right w:val="single" w:color="auto" w:sz="4" w:space="0"/>
            </w:tcBorders>
            <w:vAlign w:val="center"/>
          </w:tcPr>
          <w:p w14:paraId="13413C8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其他相关说明</w:t>
            </w:r>
          </w:p>
        </w:tc>
        <w:tc>
          <w:tcPr>
            <w:tcW w:w="6792" w:type="dxa"/>
            <w:tcBorders>
              <w:top w:val="single" w:color="auto" w:sz="4" w:space="0"/>
              <w:left w:val="single" w:color="auto" w:sz="4" w:space="0"/>
              <w:bottom w:val="single" w:color="auto" w:sz="4" w:space="0"/>
              <w:right w:val="single" w:color="auto" w:sz="4" w:space="0"/>
            </w:tcBorders>
            <w:vAlign w:val="center"/>
          </w:tcPr>
          <w:p w14:paraId="7F0ED4A1">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①</w:t>
            </w:r>
            <w:r>
              <w:rPr>
                <w:rFonts w:hint="eastAsia" w:ascii="仿宋" w:hAnsi="仿宋" w:eastAsia="仿宋" w:cs="仿宋"/>
                <w:color w:val="auto"/>
                <w:sz w:val="24"/>
                <w:highlight w:val="none"/>
              </w:rPr>
              <w:t>本招标文件中引用的相关政策文件或标准，如有废止，按新出台的规定执行。</w:t>
            </w:r>
          </w:p>
          <w:p w14:paraId="56D16BD2">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②</w:t>
            </w:r>
            <w:r>
              <w:rPr>
                <w:rFonts w:hint="eastAsia" w:ascii="仿宋" w:hAnsi="仿宋" w:eastAsia="仿宋" w:cs="仿宋"/>
                <w:color w:val="auto"/>
                <w:sz w:val="24"/>
                <w:highlight w:val="none"/>
              </w:rPr>
              <w:t>本招标文件技术要求中如果出现了参考品牌或规格型号其目的是为了方便供应商直观和准确地把握相应材料和设备的技术标准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不具有指定或唯一使用的意思表示，供应商可参考所列品牌的材料和设备，采购相当于或高于所列品牌技术标准的材料和设备。</w:t>
            </w:r>
          </w:p>
        </w:tc>
      </w:tr>
      <w:tr w14:paraId="48749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07DA0137">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29</w:t>
            </w:r>
          </w:p>
        </w:tc>
        <w:tc>
          <w:tcPr>
            <w:tcW w:w="1772" w:type="dxa"/>
            <w:tcBorders>
              <w:top w:val="single" w:color="auto" w:sz="4" w:space="0"/>
              <w:left w:val="single" w:color="auto" w:sz="4" w:space="0"/>
              <w:bottom w:val="single" w:color="auto" w:sz="4" w:space="0"/>
              <w:right w:val="single" w:color="auto" w:sz="4" w:space="0"/>
            </w:tcBorders>
            <w:vAlign w:val="center"/>
          </w:tcPr>
          <w:p w14:paraId="3642B8AC">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最多中标标包数量的限制</w:t>
            </w:r>
          </w:p>
        </w:tc>
        <w:tc>
          <w:tcPr>
            <w:tcW w:w="6792" w:type="dxa"/>
            <w:tcBorders>
              <w:top w:val="single" w:color="auto" w:sz="4" w:space="0"/>
              <w:left w:val="single" w:color="auto" w:sz="4" w:space="0"/>
              <w:bottom w:val="single" w:color="auto" w:sz="4" w:space="0"/>
              <w:right w:val="single" w:color="auto" w:sz="4" w:space="0"/>
            </w:tcBorders>
            <w:vAlign w:val="center"/>
          </w:tcPr>
          <w:p w14:paraId="71042BE5">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如投标人对本项目的多个包同时进行投标，则供应商在本项目中最多中标包的数量：</w:t>
            </w:r>
          </w:p>
          <w:p w14:paraId="6AFBE6DF">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□不适用；</w:t>
            </w:r>
          </w:p>
          <w:p w14:paraId="2937423A">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□不限制；</w:t>
            </w:r>
          </w:p>
          <w:p w14:paraId="2C5BF31E">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■限制</w:t>
            </w:r>
          </w:p>
          <w:p w14:paraId="2897F6A0">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具体要求如下：</w:t>
            </w:r>
          </w:p>
          <w:p w14:paraId="62822A71">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①本项目【一】至【六】标包中，投标人可对其中的任意一个标包或多个标包同时进行投标，但其在上述标包的范围内，最多中标标包的数量为【1】个。</w:t>
            </w:r>
          </w:p>
          <w:p w14:paraId="2D4D521E">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②如该投标人在【一】至【六】标包中的综合排序中均为第一，则按照标包号的自然顺序确定中标，并以此类推。</w:t>
            </w:r>
          </w:p>
        </w:tc>
      </w:tr>
    </w:tbl>
    <w:p w14:paraId="153CA077">
      <w:pPr>
        <w:tabs>
          <w:tab w:val="left" w:pos="5580"/>
        </w:tabs>
        <w:adjustRightInd w:val="0"/>
        <w:spacing w:line="360" w:lineRule="auto"/>
        <w:jc w:val="distribute"/>
        <w:rPr>
          <w:rFonts w:asciiTheme="minorEastAsia" w:hAnsiTheme="minorEastAsia" w:eastAsiaTheme="minorEastAsia"/>
          <w:color w:val="auto"/>
          <w:sz w:val="24"/>
          <w:highlight w:val="none"/>
        </w:rPr>
        <w:sectPr>
          <w:footerReference r:id="rId4" w:type="first"/>
          <w:footerReference r:id="rId3" w:type="default"/>
          <w:pgSz w:w="11907" w:h="16840"/>
          <w:pgMar w:top="1440" w:right="1083" w:bottom="1440" w:left="1083" w:header="851" w:footer="851" w:gutter="0"/>
          <w:pgNumType w:fmt="decimal" w:start="1"/>
          <w:cols w:space="720" w:num="1"/>
          <w:titlePg/>
          <w:docGrid w:linePitch="462" w:charSpace="0"/>
        </w:sectPr>
      </w:pPr>
    </w:p>
    <w:p w14:paraId="242FB823">
      <w:pPr>
        <w:spacing w:before="240" w:beforeLines="100" w:after="240" w:afterLines="100"/>
        <w:jc w:val="center"/>
        <w:rPr>
          <w:rFonts w:hint="eastAsia" w:ascii="仿宋" w:hAnsi="仿宋" w:eastAsia="仿宋" w:cs="仿宋"/>
          <w:b/>
          <w:color w:val="auto"/>
          <w:sz w:val="28"/>
          <w:szCs w:val="28"/>
          <w:highlight w:val="none"/>
        </w:rPr>
      </w:pPr>
      <w:bookmarkStart w:id="74" w:name="_Toc226337213"/>
      <w:bookmarkStart w:id="75" w:name="_Toc305158785"/>
      <w:bookmarkStart w:id="76" w:name="_Toc305158859"/>
      <w:bookmarkStart w:id="77" w:name="_Toc264969207"/>
      <w:bookmarkStart w:id="78" w:name="_Toc150480755"/>
      <w:bookmarkStart w:id="79" w:name="_Toc265228355"/>
      <w:bookmarkStart w:id="80" w:name="_Toc195842882"/>
      <w:bookmarkStart w:id="81" w:name="_Toc353825542"/>
      <w:bookmarkStart w:id="82" w:name="_Toc353873932"/>
      <w:bookmarkStart w:id="83" w:name="_Toc150774722"/>
      <w:bookmarkStart w:id="84" w:name="_Toc353873662"/>
      <w:bookmarkStart w:id="85" w:name="_Toc142311019"/>
      <w:bookmarkStart w:id="86" w:name="_Toc226965790"/>
      <w:bookmarkStart w:id="87" w:name="_Toc127151517"/>
      <w:r>
        <w:rPr>
          <w:rFonts w:hint="eastAsia" w:ascii="仿宋" w:hAnsi="仿宋" w:eastAsia="仿宋" w:cs="仿宋"/>
          <w:b/>
          <w:color w:val="auto"/>
          <w:sz w:val="28"/>
          <w:szCs w:val="28"/>
          <w:highlight w:val="none"/>
        </w:rPr>
        <w:t>投标人须知</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1483F68">
      <w:pPr>
        <w:pStyle w:val="3"/>
        <w:tabs>
          <w:tab w:val="center" w:pos="4592"/>
          <w:tab w:val="left" w:pos="7860"/>
        </w:tabs>
        <w:spacing w:before="0" w:line="360" w:lineRule="auto"/>
        <w:jc w:val="left"/>
        <w:rPr>
          <w:rFonts w:hint="eastAsia" w:ascii="仿宋" w:hAnsi="仿宋" w:eastAsia="仿宋" w:cs="仿宋"/>
          <w:color w:val="auto"/>
          <w:sz w:val="28"/>
          <w:highlight w:val="none"/>
        </w:rPr>
      </w:pPr>
      <w:bookmarkStart w:id="88" w:name="_Toc127151518"/>
      <w:bookmarkStart w:id="89" w:name="_Toc520356143"/>
      <w:r>
        <w:rPr>
          <w:rFonts w:hint="eastAsia" w:ascii="仿宋" w:hAnsi="仿宋" w:eastAsia="仿宋" w:cs="仿宋"/>
          <w:color w:val="auto"/>
          <w:sz w:val="28"/>
          <w:highlight w:val="none"/>
        </w:rPr>
        <w:tab/>
      </w:r>
      <w:bookmarkStart w:id="90" w:name="_Toc150509269"/>
      <w:bookmarkStart w:id="91" w:name="_Toc264969208"/>
      <w:bookmarkStart w:id="92" w:name="_Toc151193832"/>
      <w:bookmarkStart w:id="93" w:name="_Toc150774618"/>
      <w:bookmarkStart w:id="94" w:name="_Toc151193616"/>
      <w:bookmarkStart w:id="95" w:name="_Toc151190145"/>
      <w:bookmarkStart w:id="96" w:name="_Toc151193688"/>
      <w:bookmarkStart w:id="97" w:name="_Toc150480756"/>
      <w:bookmarkStart w:id="98" w:name="_Toc142311020"/>
      <w:bookmarkStart w:id="99" w:name="_Toc226309762"/>
      <w:bookmarkStart w:id="100" w:name="_Toc265228356"/>
      <w:bookmarkStart w:id="101" w:name="_Toc305158860"/>
      <w:bookmarkStart w:id="102" w:name="_Toc195842883"/>
      <w:bookmarkStart w:id="103" w:name="_Toc151193760"/>
      <w:bookmarkStart w:id="104" w:name="_Toc151193906"/>
      <w:bookmarkStart w:id="105" w:name="_Toc305158786"/>
      <w:bookmarkStart w:id="106" w:name="_Toc150774723"/>
      <w:bookmarkStart w:id="107" w:name="_Toc226965708"/>
      <w:bookmarkStart w:id="108" w:name="_Toc226965791"/>
      <w:bookmarkStart w:id="109" w:name="_Toc226337214"/>
      <w:r>
        <w:rPr>
          <w:rFonts w:hint="eastAsia" w:ascii="仿宋" w:hAnsi="仿宋" w:eastAsia="仿宋" w:cs="仿宋"/>
          <w:color w:val="auto"/>
          <w:sz w:val="28"/>
          <w:highlight w:val="none"/>
        </w:rPr>
        <w:t>一   说  明</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Pr>
          <w:rFonts w:hint="eastAsia" w:ascii="仿宋" w:hAnsi="仿宋" w:eastAsia="仿宋" w:cs="仿宋"/>
          <w:color w:val="auto"/>
          <w:sz w:val="28"/>
          <w:highlight w:val="none"/>
        </w:rPr>
        <w:tab/>
      </w:r>
    </w:p>
    <w:p w14:paraId="0C5EAFEC">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bookmarkStart w:id="110" w:name="_Toc265228357"/>
      <w:bookmarkStart w:id="111" w:name="_Toc305158787"/>
      <w:bookmarkStart w:id="112" w:name="_Toc305158861"/>
      <w:bookmarkStart w:id="113" w:name="_Toc264969209"/>
      <w:r>
        <w:rPr>
          <w:rFonts w:hint="eastAsia" w:ascii="仿宋" w:hAnsi="仿宋" w:eastAsia="仿宋" w:cs="仿宋"/>
          <w:color w:val="auto"/>
          <w:sz w:val="24"/>
          <w:highlight w:val="none"/>
        </w:rPr>
        <w:t>采购人、采购代理机构、投标人</w:t>
      </w:r>
      <w:bookmarkEnd w:id="110"/>
      <w:bookmarkEnd w:id="111"/>
      <w:bookmarkEnd w:id="112"/>
      <w:bookmarkEnd w:id="113"/>
      <w:r>
        <w:rPr>
          <w:rFonts w:hint="eastAsia" w:ascii="仿宋" w:hAnsi="仿宋" w:eastAsia="仿宋" w:cs="仿宋"/>
          <w:color w:val="auto"/>
          <w:sz w:val="24"/>
          <w:highlight w:val="none"/>
        </w:rPr>
        <w:t>、联合体</w:t>
      </w:r>
    </w:p>
    <w:p w14:paraId="73F32BCC">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采购人、采购代理机构：指依法进行政府采购的国家机关、事业单位、团体组织，及其委托的采购代理机构。本项目采购人、采购代理机构见第一章《投标邀请》。</w:t>
      </w:r>
    </w:p>
    <w:p w14:paraId="256ABF3D">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投标人（也称“供应商”、“申请人”）：指向采购人提供货物、工程或者服务的法人、其他组织或者自然人。</w:t>
      </w:r>
    </w:p>
    <w:p w14:paraId="045C5A7C">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联合体：指两个以上的自然人、法人或者其他组织组成一个联合体，以一个供应商的身份共同参加政府采购。</w:t>
      </w:r>
    </w:p>
    <w:p w14:paraId="01680687">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bookmarkStart w:id="114" w:name="_Toc265228358"/>
      <w:bookmarkStart w:id="115" w:name="_Toc164229215"/>
      <w:bookmarkStart w:id="116" w:name="_Toc164229361"/>
      <w:bookmarkStart w:id="117" w:name="_Toc164608789"/>
      <w:bookmarkStart w:id="118" w:name="_Toc151193618"/>
      <w:bookmarkStart w:id="119" w:name="_Toc150480758"/>
      <w:bookmarkStart w:id="120" w:name="_Toc151193908"/>
      <w:bookmarkStart w:id="121" w:name="_Toc127151520"/>
      <w:bookmarkStart w:id="122" w:name="_Toc149720813"/>
      <w:bookmarkStart w:id="123" w:name="_Toc226309764"/>
      <w:bookmarkStart w:id="124" w:name="_Toc127161434"/>
      <w:bookmarkStart w:id="125" w:name="_Toc150509271"/>
      <w:bookmarkStart w:id="126" w:name="_Toc164608634"/>
      <w:bookmarkStart w:id="127" w:name="_Toc151193762"/>
      <w:bookmarkStart w:id="128" w:name="_Toc151193690"/>
      <w:bookmarkStart w:id="129" w:name="_Toc151190147"/>
      <w:bookmarkStart w:id="130" w:name="_Toc305158788"/>
      <w:bookmarkStart w:id="131" w:name="_Toc226337216"/>
      <w:bookmarkStart w:id="132" w:name="_Toc150774620"/>
      <w:bookmarkStart w:id="133" w:name="_Toc164351614"/>
      <w:bookmarkStart w:id="134" w:name="_Toc305158862"/>
      <w:bookmarkStart w:id="135" w:name="_Toc151193834"/>
      <w:bookmarkStart w:id="136" w:name="_Toc142311022"/>
      <w:bookmarkStart w:id="137" w:name="_Toc127151721"/>
      <w:bookmarkStart w:id="138" w:name="_Toc264969210"/>
      <w:bookmarkStart w:id="139" w:name="_Toc226965710"/>
      <w:bookmarkStart w:id="140" w:name="_Toc195842885"/>
      <w:bookmarkStart w:id="141" w:name="_Toc226965793"/>
      <w:bookmarkStart w:id="142" w:name="_Toc150774725"/>
      <w:r>
        <w:rPr>
          <w:rFonts w:hint="eastAsia" w:ascii="仿宋" w:hAnsi="仿宋" w:eastAsia="仿宋" w:cs="仿宋"/>
          <w:color w:val="auto"/>
          <w:sz w:val="24"/>
          <w:highlight w:val="none"/>
        </w:rPr>
        <w:t>资金来源</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hint="eastAsia" w:ascii="仿宋" w:hAnsi="仿宋" w:eastAsia="仿宋" w:cs="仿宋"/>
          <w:color w:val="auto"/>
          <w:sz w:val="24"/>
          <w:highlight w:val="none"/>
        </w:rPr>
        <w:t>、项目属性、科研仪器设备采购、核心产品</w:t>
      </w:r>
    </w:p>
    <w:p w14:paraId="55D9F681">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资金来源为财政性资金和/或本项目采购中无法与财政性资金分割的非财政性资金。</w:t>
      </w:r>
    </w:p>
    <w:p w14:paraId="785C6DE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项目属性见《投标人须知资料表》。</w:t>
      </w:r>
    </w:p>
    <w:p w14:paraId="7F0C159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是否属于科研仪器设备采购见《投标人须知资料表》。</w:t>
      </w:r>
    </w:p>
    <w:p w14:paraId="07DE40F6">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核心产品见《投标人须知资料表》。</w:t>
      </w:r>
    </w:p>
    <w:p w14:paraId="5183DA4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现场考察、开标前答疑会</w:t>
      </w:r>
    </w:p>
    <w:p w14:paraId="78C2A5C9">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8"/>
          <w:highlight w:val="none"/>
        </w:rPr>
      </w:pPr>
      <w:r>
        <w:rPr>
          <w:rFonts w:hint="eastAsia" w:ascii="仿宋" w:hAnsi="仿宋" w:eastAsia="仿宋" w:cs="仿宋"/>
          <w:color w:val="auto"/>
          <w:sz w:val="24"/>
          <w:highlight w:val="none"/>
        </w:rPr>
        <w:t>若《投标人须知资料表》中规定了组织现场考察、召开开标前答疑会，则投标人应按要求在规定的时间和地点参加。</w:t>
      </w:r>
      <w:bookmarkStart w:id="143" w:name="_Toc520356146"/>
      <w:bookmarkStart w:id="144" w:name="_Toc151193764"/>
      <w:bookmarkStart w:id="145" w:name="_Toc151193836"/>
      <w:bookmarkStart w:id="146" w:name="_Toc150509273"/>
      <w:bookmarkStart w:id="147" w:name="_Toc305158864"/>
      <w:bookmarkStart w:id="148" w:name="_Toc150480760"/>
      <w:bookmarkStart w:id="149" w:name="_Toc226965712"/>
      <w:bookmarkStart w:id="150" w:name="_Toc264969212"/>
      <w:bookmarkStart w:id="151" w:name="_Toc195842887"/>
      <w:bookmarkStart w:id="152" w:name="_Toc142311024"/>
      <w:bookmarkStart w:id="153" w:name="_Toc151193620"/>
      <w:bookmarkStart w:id="154" w:name="_Toc151193692"/>
      <w:bookmarkStart w:id="155" w:name="_Toc150774622"/>
      <w:bookmarkStart w:id="156" w:name="_Toc151190149"/>
      <w:bookmarkStart w:id="157" w:name="_Toc305158790"/>
      <w:bookmarkStart w:id="158" w:name="_Toc226309766"/>
      <w:bookmarkStart w:id="159" w:name="_Toc150774727"/>
      <w:bookmarkStart w:id="160" w:name="_Toc226337218"/>
      <w:bookmarkStart w:id="161" w:name="_Toc151193910"/>
      <w:bookmarkStart w:id="162" w:name="_Toc127151522"/>
      <w:bookmarkStart w:id="163" w:name="_Toc226965795"/>
      <w:bookmarkStart w:id="164" w:name="_Toc265228360"/>
    </w:p>
    <w:p w14:paraId="5696D02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由于未参加现场考察或开标前答疑会而导致对项目实际情况不了解，影响投标文件编制、投标报价准确性、综合因素响应不全面等问题的，由投标人自行承担不利评审后果。</w:t>
      </w:r>
    </w:p>
    <w:p w14:paraId="3F2B69F0">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样品</w:t>
      </w:r>
    </w:p>
    <w:p w14:paraId="2BB20DB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本项目是否要求投标人提供样品，以及样品制作的标准和要求、是否需要随样品提交相关检测报告、样品的递交与退还等要求见《投标人须知资料表》。</w:t>
      </w:r>
    </w:p>
    <w:p w14:paraId="62353AA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样品的评审方法以及评审标准等内容见第四章《评标程序、评标方法和评标标准》。</w:t>
      </w:r>
    </w:p>
    <w:p w14:paraId="0E1F862D">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政府采购政策（包括但不限于下列具体政策要求）</w:t>
      </w:r>
    </w:p>
    <w:p w14:paraId="76F3543F">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采购本国货物、工程和服务</w:t>
      </w:r>
    </w:p>
    <w:p w14:paraId="492B0939">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政府采购应当采购本国货物、工程和服务。但有《</w:t>
      </w:r>
      <w:r>
        <w:rPr>
          <w:rFonts w:hint="eastAsia" w:ascii="仿宋" w:hAnsi="仿宋" w:eastAsia="仿宋" w:cs="仿宋"/>
          <w:b/>
          <w:color w:val="auto"/>
          <w:kern w:val="0"/>
          <w:sz w:val="24"/>
          <w:highlight w:val="none"/>
        </w:rPr>
        <w:t>中华人民共和国政府采购法</w:t>
      </w:r>
      <w:r>
        <w:rPr>
          <w:rFonts w:hint="eastAsia" w:ascii="仿宋" w:hAnsi="仿宋" w:eastAsia="仿宋" w:cs="仿宋"/>
          <w:color w:val="auto"/>
          <w:kern w:val="0"/>
          <w:sz w:val="24"/>
          <w:highlight w:val="none"/>
        </w:rPr>
        <w:t>》第十条规定情形的除外。</w:t>
      </w:r>
    </w:p>
    <w:p w14:paraId="4269C167">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本项目如接受非本国货物、工程、服务参与投标，则具体要求见第五章《采购需求》。</w:t>
      </w:r>
    </w:p>
    <w:p w14:paraId="7963CFB6">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7652BDA7">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中小企业、监狱企业及残疾人福利性单位</w:t>
      </w:r>
    </w:p>
    <w:p w14:paraId="0597883B">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中小企业定义：</w:t>
      </w:r>
    </w:p>
    <w:p w14:paraId="69C9610A">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5712A5F0">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供应商提供的货物、工程或者服务符合下列情形的，享受中小企业扶持政策：</w:t>
      </w:r>
    </w:p>
    <w:p w14:paraId="284F4CF3">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（1）在货物采购项目中，货物由中小企业制造，即货物由中小企业生产且使用该中小企业商号或者注册商标；</w:t>
      </w:r>
    </w:p>
    <w:p w14:paraId="73A7EE52">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（2）在工程采购项目中，工程由中小企业承建，即工程施工单位为中小企业；</w:t>
      </w:r>
    </w:p>
    <w:p w14:paraId="659E066E">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（3）在服务采购项目中，服务由中小企业承接，即提供服务的人员为中小企业依照《中华人民共和国劳动合同法》订立劳动合同的从业人员。</w:t>
      </w:r>
    </w:p>
    <w:p w14:paraId="1A80C7BB">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在货物采购项目中，供应商提供的货物既有中小企业制造货物，也有大型企业制造货物的，不享受中小企业扶持政策。</w:t>
      </w:r>
    </w:p>
    <w:p w14:paraId="60414848">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以联合体形式参加政府采购活动，联合体各方均为中小企业的，联合体视同中小企业。其中，联合体各方均为小微企业的，联合体视同小微企业。</w:t>
      </w:r>
    </w:p>
    <w:p w14:paraId="0AFED7B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3D37D29">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197FE535">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安置的残疾人占本单位在职职工人数的比例不低于25%（含25%），并且安置的残疾人人数不少于10 人（含10 人）；</w:t>
      </w:r>
    </w:p>
    <w:p w14:paraId="2E8EEFF0">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依法与安置的每位残疾人签订了一年以上（含一年）的劳动合同或服务协议；</w:t>
      </w:r>
    </w:p>
    <w:p w14:paraId="7D0B011F">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为安置的每位残疾人按月足额缴纳了基本养老保险、基本医疗保险、失业保险、工伤保险和生育保险等社会保险费；</w:t>
      </w:r>
    </w:p>
    <w:p w14:paraId="4698D744">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通过银行等金融机构向安置的每位残疾人，按月支付了不低于单位所在区县适用的经省级人民政府批准的月最低工资标准的工资；</w:t>
      </w:r>
    </w:p>
    <w:p w14:paraId="4696C2E4">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提供本单位制造的货物、承担的工程或者服务（以下简称产品），或者提供其他残疾人福利性单位制造的货物（不包括使用非残疾人福利性单位注册商标的货物）；</w:t>
      </w:r>
    </w:p>
    <w:p w14:paraId="4C0D4FB6">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4938CC3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本项目是否专门面向中小企业预留采购份额见第一章《投标邀请》。</w:t>
      </w:r>
    </w:p>
    <w:p w14:paraId="51079AB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采购标的对应的中小企业划分标准所属行业见《投标人须知资料表》。</w:t>
      </w:r>
    </w:p>
    <w:p w14:paraId="0F1BD23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小微企业价格评审优惠的政策调整：见第四章《评标程序、评标方法和评标标准》。</w:t>
      </w:r>
    </w:p>
    <w:p w14:paraId="7E611D5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政府采购节能产品、环境标志产品</w:t>
      </w:r>
    </w:p>
    <w:p w14:paraId="18B35E92">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33A3621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62BEF44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如本项目采购产品属于实施政府强制采购品目清单范围的节能产品，则投标人所报产品必须获得国家确定的认证机构出具的、处于有效期之内的节能产品认证证书，</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sz w:val="24"/>
          <w:highlight w:val="none"/>
        </w:rPr>
        <w:t>；</w:t>
      </w:r>
    </w:p>
    <w:p w14:paraId="6931EE16">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非政府强制采购的节能产品或环境标志产品，依据品目清单和认证证书实施政府优先采购。优先采购的具体规定见第四章《评标程序、评标方法和评标标准》（如涉及）。</w:t>
      </w:r>
    </w:p>
    <w:p w14:paraId="1B1B371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正版软件</w:t>
      </w:r>
    </w:p>
    <w:p w14:paraId="6154560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7F550FFB">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网络安全专用产品</w:t>
      </w:r>
    </w:p>
    <w:p w14:paraId="576949E0">
      <w:pPr>
        <w:numPr>
          <w:ilvl w:val="2"/>
          <w:numId w:val="8"/>
        </w:numPr>
        <w:tabs>
          <w:tab w:val="left" w:pos="900"/>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4D8DF1C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推广使用低挥发性有机化合物（VOCs）</w:t>
      </w:r>
    </w:p>
    <w:p w14:paraId="3F3534EB">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sz w:val="24"/>
          <w:highlight w:val="none"/>
        </w:rPr>
        <w:t>；属于推荐性标准的，优先采购，具体见第四章《评标程序、评标方法和评标标准》。</w:t>
      </w:r>
    </w:p>
    <w:p w14:paraId="4255CFF1">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采购需求标准</w:t>
      </w:r>
    </w:p>
    <w:p w14:paraId="682BE8D1">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商品包装、快递包装政府采购需求标准（试行）</w:t>
      </w:r>
    </w:p>
    <w:p w14:paraId="11C67B1A">
      <w:pPr>
        <w:tabs>
          <w:tab w:val="left" w:pos="900"/>
          <w:tab w:val="left" w:pos="1980"/>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color w:val="auto"/>
          <w:sz w:val="24"/>
          <w:highlight w:val="none"/>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28869C8E">
      <w:pPr>
        <w:numPr>
          <w:ilvl w:val="2"/>
          <w:numId w:val="8"/>
        </w:numPr>
        <w:tabs>
          <w:tab w:val="left" w:pos="2014"/>
        </w:tabs>
        <w:snapToGrid w:val="0"/>
        <w:spacing w:line="360" w:lineRule="auto"/>
        <w:rPr>
          <w:rFonts w:hint="eastAsia" w:ascii="仿宋" w:hAnsi="仿宋" w:eastAsia="仿宋" w:cs="仿宋"/>
          <w:color w:val="auto"/>
          <w:sz w:val="24"/>
          <w:highlight w:val="none"/>
        </w:rPr>
      </w:pPr>
      <w:bookmarkStart w:id="165" w:name="_Hlk164953935"/>
      <w:r>
        <w:rPr>
          <w:rFonts w:hint="eastAsia" w:ascii="仿宋" w:hAnsi="仿宋" w:eastAsia="仿宋" w:cs="仿宋"/>
          <w:color w:val="auto"/>
          <w:sz w:val="24"/>
          <w:highlight w:val="none"/>
        </w:rPr>
        <w:t xml:space="preserve">其他政府采购需求标准 </w:t>
      </w:r>
    </w:p>
    <w:bookmarkEnd w:id="165"/>
    <w:p w14:paraId="5B16A730">
      <w:pPr>
        <w:tabs>
          <w:tab w:val="left" w:pos="900"/>
          <w:tab w:val="left" w:pos="1980"/>
        </w:tabs>
        <w:snapToGrid w:val="0"/>
        <w:spacing w:line="360" w:lineRule="auto"/>
        <w:ind w:left="1980"/>
        <w:rPr>
          <w:rFonts w:hint="eastAsia" w:ascii="仿宋" w:hAnsi="仿宋" w:eastAsia="仿宋" w:cs="仿宋"/>
          <w:color w:val="auto"/>
          <w:sz w:val="24"/>
          <w:highlight w:val="none"/>
        </w:rPr>
      </w:pPr>
      <w:bookmarkStart w:id="166" w:name="_Hlk164955325"/>
      <w:r>
        <w:rPr>
          <w:rFonts w:hint="eastAsia" w:ascii="仿宋" w:hAnsi="仿宋" w:eastAsia="仿宋" w:cs="仿宋"/>
          <w:color w:val="auto"/>
          <w:sz w:val="24"/>
          <w:highlight w:val="none"/>
        </w:rPr>
        <w:t>为贯彻落实《深化政府采购制度改革方案》有关要求，推动政府采购需求标准建设</w:t>
      </w:r>
      <w:bookmarkEnd w:id="166"/>
      <w:r>
        <w:rPr>
          <w:rFonts w:hint="eastAsia" w:ascii="仿宋" w:hAnsi="仿宋" w:eastAsia="仿宋" w:cs="仿宋"/>
          <w:color w:val="auto"/>
          <w:sz w:val="24"/>
          <w:highlight w:val="none"/>
        </w:rPr>
        <w:t>，财政部门会同有关部门制定发布的其他政府采购需求标准，本项目如涉及，则具体要求见第五章《采购需求》。</w:t>
      </w:r>
    </w:p>
    <w:p w14:paraId="6B977A59">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投标费用</w:t>
      </w:r>
    </w:p>
    <w:p w14:paraId="286FD84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投标人应自行承担所有与准备和参加投标有关的费用，无论投标的结果如何，采购人或采购代理机构在任何情况下均无承担这些费用的义务和责任。</w:t>
      </w:r>
    </w:p>
    <w:p w14:paraId="4DDA5915">
      <w:pPr>
        <w:tabs>
          <w:tab w:val="left" w:pos="1080"/>
        </w:tabs>
        <w:snapToGrid w:val="0"/>
        <w:spacing w:line="360" w:lineRule="auto"/>
        <w:ind w:left="1080"/>
        <w:rPr>
          <w:rFonts w:hint="eastAsia" w:ascii="仿宋" w:hAnsi="仿宋" w:eastAsia="仿宋" w:cs="仿宋"/>
          <w:color w:val="auto"/>
          <w:sz w:val="28"/>
          <w:highlight w:val="none"/>
        </w:rPr>
      </w:pPr>
      <w:bookmarkStart w:id="167" w:name="_1.8_计量单位"/>
      <w:bookmarkEnd w:id="167"/>
    </w:p>
    <w:p w14:paraId="00B52239">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二   招标文件</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60D7D34">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168" w:name="_Toc142311025"/>
      <w:bookmarkStart w:id="169" w:name="_Toc164351617"/>
      <w:bookmarkStart w:id="170" w:name="_Toc127161437"/>
      <w:bookmarkStart w:id="171" w:name="_Toc226309767"/>
      <w:bookmarkStart w:id="172" w:name="_Toc127151724"/>
      <w:bookmarkStart w:id="173" w:name="_Toc164229364"/>
      <w:bookmarkStart w:id="174" w:name="_Toc127151523"/>
      <w:bookmarkStart w:id="175" w:name="_Toc265228361"/>
      <w:bookmarkStart w:id="176" w:name="_Toc520356147"/>
      <w:bookmarkStart w:id="177" w:name="_Toc164608637"/>
      <w:bookmarkStart w:id="178" w:name="_Toc164608792"/>
      <w:bookmarkStart w:id="179" w:name="_Toc305158791"/>
      <w:bookmarkStart w:id="180" w:name="_Toc150480761"/>
      <w:bookmarkStart w:id="181" w:name="_Toc151193837"/>
      <w:bookmarkStart w:id="182" w:name="_Toc305158865"/>
      <w:bookmarkStart w:id="183" w:name="_Toc264969213"/>
      <w:bookmarkStart w:id="184" w:name="_Toc150774728"/>
      <w:bookmarkStart w:id="185" w:name="_Toc226965796"/>
      <w:bookmarkStart w:id="186" w:name="_Toc151190150"/>
      <w:bookmarkStart w:id="187" w:name="_Toc151193765"/>
      <w:bookmarkStart w:id="188" w:name="_Toc195842888"/>
      <w:bookmarkStart w:id="189" w:name="_Toc164229218"/>
      <w:bookmarkStart w:id="190" w:name="_Toc226965713"/>
      <w:bookmarkStart w:id="191" w:name="_Toc149720816"/>
      <w:bookmarkStart w:id="192" w:name="_Toc151193693"/>
      <w:bookmarkStart w:id="193" w:name="_Toc151193911"/>
      <w:bookmarkStart w:id="194" w:name="_Toc151193621"/>
      <w:bookmarkStart w:id="195" w:name="_Toc150774623"/>
      <w:bookmarkStart w:id="196" w:name="_Toc226337219"/>
      <w:bookmarkStart w:id="197" w:name="_Toc150509274"/>
      <w:r>
        <w:rPr>
          <w:rFonts w:hint="eastAsia" w:ascii="仿宋" w:hAnsi="仿宋" w:eastAsia="仿宋" w:cs="仿宋"/>
          <w:color w:val="auto"/>
          <w:sz w:val="24"/>
          <w:highlight w:val="none"/>
        </w:rPr>
        <w:t>招标文件构</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Pr>
          <w:rFonts w:hint="eastAsia" w:ascii="仿宋" w:hAnsi="仿宋" w:eastAsia="仿宋" w:cs="仿宋"/>
          <w:color w:val="auto"/>
          <w:sz w:val="24"/>
          <w:highlight w:val="none"/>
        </w:rPr>
        <w:t>成</w:t>
      </w:r>
    </w:p>
    <w:p w14:paraId="72E926A0">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招标文件包括以下部分：</w:t>
      </w:r>
    </w:p>
    <w:p w14:paraId="13EA44E1">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投标邀请</w:t>
      </w:r>
    </w:p>
    <w:p w14:paraId="4859D46A">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投标人须知</w:t>
      </w:r>
    </w:p>
    <w:p w14:paraId="2DDAE931">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w:t>
      </w:r>
    </w:p>
    <w:p w14:paraId="43BDD1E8">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评标程序、评标方法和评标标准</w:t>
      </w:r>
    </w:p>
    <w:p w14:paraId="1FA48125">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采购需求</w:t>
      </w:r>
    </w:p>
    <w:p w14:paraId="18E1D000">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拟签订的合同文本</w:t>
      </w:r>
    </w:p>
    <w:p w14:paraId="1D631CA9">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投标文件格式</w:t>
      </w:r>
    </w:p>
    <w:p w14:paraId="77E059A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投标人应认真阅读招标文件的全部内容。投标人应按照招标文件要求提交投标文件并保证所提供的全部资料的真实性，并对招标文件做出实质性响应，否则</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505B77EE">
      <w:pPr>
        <w:numPr>
          <w:ilvl w:val="0"/>
          <w:numId w:val="8"/>
        </w:numPr>
        <w:tabs>
          <w:tab w:val="left" w:pos="1080"/>
          <w:tab w:val="left" w:pos="2014"/>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对招标文件的澄清或修改</w:t>
      </w:r>
    </w:p>
    <w:p w14:paraId="002C7A6C">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采购人或采购代理机构对已发出的招标文件进行必要澄清或者修改的，将在原公告发布媒体上发布更正公告，并以书面形式通知所有获取招标文件的潜在投标人。</w:t>
      </w:r>
    </w:p>
    <w:p w14:paraId="0A14D785">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上述书面通知，按照获取招标文件的潜在投标人提供的联系方式发出，因提供的信息有误导致通知延迟或无法通知的，采购人或采购代理机构不承担责任。</w:t>
      </w:r>
    </w:p>
    <w:p w14:paraId="296B46DC">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40EEF7AF">
      <w:pPr>
        <w:tabs>
          <w:tab w:val="left" w:pos="1080"/>
          <w:tab w:val="left" w:pos="1561"/>
        </w:tabs>
        <w:snapToGrid w:val="0"/>
        <w:spacing w:line="360" w:lineRule="auto"/>
        <w:ind w:left="1080"/>
        <w:rPr>
          <w:rFonts w:hint="eastAsia" w:ascii="仿宋" w:hAnsi="仿宋" w:eastAsia="仿宋" w:cs="仿宋"/>
          <w:color w:val="auto"/>
          <w:sz w:val="28"/>
          <w:highlight w:val="none"/>
        </w:rPr>
      </w:pPr>
      <w:bookmarkStart w:id="198" w:name="_Toc516367020"/>
      <w:bookmarkStart w:id="199" w:name="_Toc151193696"/>
      <w:bookmarkStart w:id="200" w:name="_Toc226337222"/>
      <w:bookmarkStart w:id="201" w:name="_Toc265228364"/>
      <w:bookmarkStart w:id="202" w:name="_Toc305158794"/>
      <w:bookmarkStart w:id="203" w:name="_Toc226309770"/>
      <w:bookmarkStart w:id="204" w:name="_Toc142311028"/>
      <w:bookmarkStart w:id="205" w:name="_Toc151193768"/>
      <w:bookmarkStart w:id="206" w:name="_Toc226965716"/>
      <w:bookmarkStart w:id="207" w:name="_Toc127151526"/>
      <w:bookmarkStart w:id="208" w:name="_Toc150509277"/>
      <w:bookmarkStart w:id="209" w:name="_Toc151193624"/>
      <w:bookmarkStart w:id="210" w:name="_Toc520356150"/>
      <w:bookmarkStart w:id="211" w:name="_Toc226965799"/>
      <w:bookmarkStart w:id="212" w:name="_Toc150480764"/>
      <w:bookmarkStart w:id="213" w:name="_Toc150774626"/>
      <w:bookmarkStart w:id="214" w:name="_Toc150774731"/>
      <w:bookmarkStart w:id="215" w:name="_Toc151190153"/>
      <w:bookmarkStart w:id="216" w:name="_Toc305158868"/>
      <w:bookmarkStart w:id="217" w:name="_Toc151193840"/>
      <w:bookmarkStart w:id="218" w:name="_Toc195842891"/>
      <w:bookmarkStart w:id="219" w:name="_Toc151193914"/>
      <w:bookmarkStart w:id="220" w:name="_Toc264969216"/>
    </w:p>
    <w:p w14:paraId="027457EE">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三   投标文件</w:t>
      </w:r>
      <w:bookmarkEnd w:id="198"/>
      <w:r>
        <w:rPr>
          <w:rFonts w:hint="eastAsia" w:ascii="仿宋" w:hAnsi="仿宋" w:eastAsia="仿宋" w:cs="仿宋"/>
          <w:color w:val="auto"/>
          <w:sz w:val="28"/>
          <w:highlight w:val="none"/>
        </w:rPr>
        <w:t>的编制</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D15938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21" w:name="_Toc226337223"/>
      <w:bookmarkStart w:id="222" w:name="_Toc150774627"/>
      <w:bookmarkStart w:id="223" w:name="_Toc151193697"/>
      <w:bookmarkStart w:id="224" w:name="_Toc127161441"/>
      <w:bookmarkStart w:id="225" w:name="_Toc305158795"/>
      <w:bookmarkStart w:id="226" w:name="_Toc151193915"/>
      <w:bookmarkStart w:id="227" w:name="_Toc226965717"/>
      <w:bookmarkStart w:id="228" w:name="_Toc264969217"/>
      <w:bookmarkStart w:id="229" w:name="_Toc195842892"/>
      <w:bookmarkStart w:id="230" w:name="_Toc164608641"/>
      <w:bookmarkStart w:id="231" w:name="_Toc520356151"/>
      <w:bookmarkStart w:id="232" w:name="_Toc305158869"/>
      <w:bookmarkStart w:id="233" w:name="_Toc151193841"/>
      <w:bookmarkStart w:id="234" w:name="_Toc127151527"/>
      <w:bookmarkStart w:id="235" w:name="_Toc151193625"/>
      <w:bookmarkStart w:id="236" w:name="_Toc151193769"/>
      <w:bookmarkStart w:id="237" w:name="_Toc150480765"/>
      <w:bookmarkStart w:id="238" w:name="_Toc516367021"/>
      <w:bookmarkStart w:id="239" w:name="_Toc142311029"/>
      <w:bookmarkStart w:id="240" w:name="_Toc226309771"/>
      <w:bookmarkStart w:id="241" w:name="_Toc164608796"/>
      <w:bookmarkStart w:id="242" w:name="_Toc265228365"/>
      <w:bookmarkStart w:id="243" w:name="_Toc226965800"/>
      <w:bookmarkStart w:id="244" w:name="_Toc164229222"/>
      <w:bookmarkStart w:id="245" w:name="_Toc151190154"/>
      <w:bookmarkStart w:id="246" w:name="_Toc127151728"/>
      <w:bookmarkStart w:id="247" w:name="_Toc164229368"/>
      <w:bookmarkStart w:id="248" w:name="_Toc150774732"/>
      <w:bookmarkStart w:id="249" w:name="_Toc150509278"/>
      <w:bookmarkStart w:id="250" w:name="_Toc149720820"/>
      <w:bookmarkStart w:id="251" w:name="_Toc164351621"/>
      <w:r>
        <w:rPr>
          <w:rFonts w:hint="eastAsia" w:ascii="仿宋" w:hAnsi="仿宋" w:eastAsia="仿宋" w:cs="仿宋"/>
          <w:color w:val="auto"/>
          <w:sz w:val="24"/>
          <w:highlight w:val="none"/>
        </w:rPr>
        <w:t>投标范围、投标文件中计量单位的使用</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rFonts w:hint="eastAsia" w:ascii="仿宋" w:hAnsi="仿宋" w:eastAsia="仿宋" w:cs="仿宋"/>
          <w:color w:val="auto"/>
          <w:sz w:val="24"/>
          <w:highlight w:val="none"/>
        </w:rPr>
        <w:t>及投标语言</w:t>
      </w:r>
    </w:p>
    <w:p w14:paraId="363BFCC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rFonts w:hint="eastAsia" w:ascii="仿宋" w:hAnsi="仿宋" w:eastAsia="仿宋" w:cs="仿宋"/>
          <w:b/>
          <w:color w:val="auto"/>
          <w:sz w:val="24"/>
          <w:highlight w:val="none"/>
        </w:rPr>
        <w:t>无效投标</w:t>
      </w:r>
      <w:r>
        <w:rPr>
          <w:rFonts w:hint="eastAsia" w:ascii="仿宋" w:hAnsi="仿宋" w:eastAsia="仿宋" w:cs="仿宋"/>
          <w:color w:val="auto"/>
          <w:sz w:val="24"/>
          <w:highlight w:val="none"/>
        </w:rPr>
        <w:t>。</w:t>
      </w:r>
    </w:p>
    <w:p w14:paraId="346E04C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除招标文件有特殊要求外，本项目投标所使用的计量单位，应采用中华人民共和国法定计量单位。</w:t>
      </w:r>
    </w:p>
    <w:p w14:paraId="029AEEBE">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1B945010">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52" w:name="_Ref467306676"/>
      <w:bookmarkStart w:id="253" w:name="_Ref467306195"/>
      <w:bookmarkStart w:id="254" w:name="_Toc516367022"/>
      <w:bookmarkStart w:id="255" w:name="_Toc150509279"/>
      <w:bookmarkStart w:id="256" w:name="_Toc226965718"/>
      <w:bookmarkStart w:id="257" w:name="_Toc151193626"/>
      <w:bookmarkStart w:id="258" w:name="_Toc149720821"/>
      <w:bookmarkStart w:id="259" w:name="_Toc305158796"/>
      <w:bookmarkStart w:id="260" w:name="_Toc151193770"/>
      <w:bookmarkStart w:id="261" w:name="_Toc164351622"/>
      <w:bookmarkStart w:id="262" w:name="_Toc151193698"/>
      <w:bookmarkStart w:id="263" w:name="_Toc195842893"/>
      <w:bookmarkStart w:id="264" w:name="_Toc151193842"/>
      <w:bookmarkStart w:id="265" w:name="_Toc142311030"/>
      <w:bookmarkStart w:id="266" w:name="_Toc226337224"/>
      <w:bookmarkStart w:id="267" w:name="_Toc150774733"/>
      <w:bookmarkStart w:id="268" w:name="_Toc151193916"/>
      <w:bookmarkStart w:id="269" w:name="_Toc265228366"/>
      <w:bookmarkStart w:id="270" w:name="_Toc164608642"/>
      <w:bookmarkStart w:id="271" w:name="_Toc127151729"/>
      <w:bookmarkStart w:id="272" w:name="_Toc164229369"/>
      <w:bookmarkStart w:id="273" w:name="_Toc305158870"/>
      <w:bookmarkStart w:id="274" w:name="_Toc151190155"/>
      <w:bookmarkStart w:id="275" w:name="_Toc264969218"/>
      <w:bookmarkStart w:id="276" w:name="_Toc150774628"/>
      <w:bookmarkStart w:id="277" w:name="_Toc150480766"/>
      <w:bookmarkStart w:id="278" w:name="_Toc127151528"/>
      <w:bookmarkStart w:id="279" w:name="_Toc226965801"/>
      <w:bookmarkStart w:id="280" w:name="_Toc520356152"/>
      <w:bookmarkStart w:id="281" w:name="_Toc127161442"/>
      <w:bookmarkStart w:id="282" w:name="_Toc164229223"/>
      <w:bookmarkStart w:id="283" w:name="_Toc164608797"/>
      <w:bookmarkStart w:id="284" w:name="_Toc226309772"/>
      <w:r>
        <w:rPr>
          <w:rFonts w:hint="eastAsia" w:ascii="仿宋" w:hAnsi="仿宋" w:eastAsia="仿宋" w:cs="仿宋"/>
          <w:color w:val="auto"/>
          <w:sz w:val="24"/>
          <w:highlight w:val="none"/>
        </w:rPr>
        <w:t>投标文件</w:t>
      </w:r>
      <w:bookmarkEnd w:id="252"/>
      <w:bookmarkEnd w:id="253"/>
      <w:bookmarkEnd w:id="254"/>
      <w:r>
        <w:rPr>
          <w:rFonts w:hint="eastAsia" w:ascii="仿宋" w:hAnsi="仿宋" w:eastAsia="仿宋" w:cs="仿宋"/>
          <w:color w:val="auto"/>
          <w:sz w:val="24"/>
          <w:highlight w:val="none"/>
        </w:rPr>
        <w:t>构成</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D30F0F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285" w:name="_Ref467052588"/>
      <w:r>
        <w:rPr>
          <w:rFonts w:hint="eastAsia" w:ascii="仿宋" w:hAnsi="仿宋" w:eastAsia="仿宋" w:cs="仿宋"/>
          <w:color w:val="auto"/>
          <w:sz w:val="24"/>
          <w:highlight w:val="none"/>
        </w:rPr>
        <w:t>投标人应当按照招标文件的要求编制投标文件。投标文件应由《资格证明文件》、《商务技术文件》两部分构成。投标文件的部分格式要求，见第七章《投标文件格式》。</w:t>
      </w:r>
    </w:p>
    <w:p w14:paraId="18A4010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对于招标文件中标记了“实质性格式”文件的，</w:t>
      </w:r>
      <w:r>
        <w:rPr>
          <w:rFonts w:hint="eastAsia" w:ascii="仿宋" w:hAnsi="仿宋" w:eastAsia="仿宋" w:cs="仿宋"/>
          <w:color w:val="auto"/>
          <w:sz w:val="24"/>
          <w:highlight w:val="none"/>
        </w:rPr>
        <w:t>投标人不得改变格式中给定的文字所表达的含义，不得删减格式中的实质性内容，不得自行添加与格式中给定的文字内容相矛盾的内容，不得对应当填写的空格不填写或不实质性响应，</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kern w:val="0"/>
          <w:sz w:val="24"/>
          <w:highlight w:val="none"/>
        </w:rPr>
        <w:t>。未标记“实质性格式”的文件和招标文件未提供格式的内容，可由投标人自行编写。</w:t>
      </w:r>
    </w:p>
    <w:p w14:paraId="16CABC5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第四章《评标程序、评标方法和评标标准》中涉及的证明文件。</w:t>
      </w:r>
    </w:p>
    <w:p w14:paraId="477F5E0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451F804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投标人认为应附的其他材料。</w:t>
      </w:r>
      <w:bookmarkEnd w:id="285"/>
    </w:p>
    <w:p w14:paraId="138B4FE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86" w:name="_Toc151193918"/>
      <w:bookmarkStart w:id="287" w:name="_Toc195842895"/>
      <w:bookmarkStart w:id="288" w:name="_Toc164229371"/>
      <w:bookmarkStart w:id="289" w:name="_Toc127151731"/>
      <w:bookmarkStart w:id="290" w:name="_Toc164351624"/>
      <w:bookmarkStart w:id="291" w:name="_Toc151193844"/>
      <w:bookmarkStart w:id="292" w:name="_Toc142311032"/>
      <w:bookmarkStart w:id="293" w:name="_Toc520356155"/>
      <w:bookmarkStart w:id="294" w:name="_Toc151193772"/>
      <w:bookmarkStart w:id="295" w:name="_Toc164608644"/>
      <w:bookmarkStart w:id="296" w:name="_Toc150774630"/>
      <w:bookmarkStart w:id="297" w:name="_Toc164229225"/>
      <w:bookmarkStart w:id="298" w:name="_Toc150509281"/>
      <w:bookmarkStart w:id="299" w:name="_Toc150774735"/>
      <w:bookmarkStart w:id="300" w:name="_Toc164608799"/>
      <w:bookmarkStart w:id="301" w:name="_Toc151193628"/>
      <w:bookmarkStart w:id="302" w:name="_Toc149720823"/>
      <w:bookmarkStart w:id="303" w:name="_Toc151193700"/>
      <w:bookmarkStart w:id="304" w:name="_Toc127161444"/>
      <w:bookmarkStart w:id="305" w:name="_Toc127151530"/>
      <w:bookmarkStart w:id="306" w:name="_Toc151190157"/>
      <w:bookmarkStart w:id="307" w:name="_Toc150480768"/>
      <w:r>
        <w:rPr>
          <w:rFonts w:hint="eastAsia" w:ascii="仿宋" w:hAnsi="仿宋" w:eastAsia="仿宋" w:cs="仿宋"/>
          <w:color w:val="auto"/>
          <w:sz w:val="24"/>
          <w:highlight w:val="none"/>
        </w:rPr>
        <w:t>投标报价</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1A3C32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所有投标均以人民币为计价货币。</w:t>
      </w:r>
    </w:p>
    <w:p w14:paraId="0FC6725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投标人的报价应包括为完成本项目所发生的一切费用和税费，采购人将不再支付报价以外的任何费用。投标人的报价应包括但不限于下列内容，《投标人须知资料表》中有特殊规定的，从其规定。</w:t>
      </w:r>
    </w:p>
    <w:p w14:paraId="4F28EF1C">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2F5CEBD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按照招标文件要求完成本项目的全部相关费用。 </w:t>
      </w:r>
    </w:p>
    <w:p w14:paraId="7D188C5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采购人不得向供应商索要或者接受其给予的赠品、回扣或者与采购无关的其他商品、服务。</w:t>
      </w:r>
    </w:p>
    <w:p w14:paraId="64CB600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投标人不能提供任何有选择性或可调整的报价（招标文件另有规定的除外），否则其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4085398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08" w:name="_Toc151193845"/>
      <w:bookmarkStart w:id="309" w:name="_Toc164608645"/>
      <w:bookmarkStart w:id="310" w:name="_Toc195842896"/>
      <w:bookmarkStart w:id="311" w:name="_Toc150774736"/>
      <w:bookmarkStart w:id="312" w:name="_Toc150509282"/>
      <w:bookmarkStart w:id="313" w:name="_Toc164229372"/>
      <w:bookmarkStart w:id="314" w:name="_Toc142311033"/>
      <w:bookmarkStart w:id="315" w:name="_Toc151190158"/>
      <w:bookmarkStart w:id="316" w:name="_Toc305158799"/>
      <w:bookmarkStart w:id="317" w:name="_Toc164351625"/>
      <w:bookmarkStart w:id="318" w:name="_Toc151193701"/>
      <w:bookmarkStart w:id="319" w:name="_Ref467306513"/>
      <w:bookmarkStart w:id="320" w:name="_Toc265228369"/>
      <w:bookmarkStart w:id="321" w:name="_Toc226337227"/>
      <w:bookmarkStart w:id="322" w:name="_Toc226965721"/>
      <w:bookmarkStart w:id="323" w:name="_Toc226309775"/>
      <w:bookmarkStart w:id="324" w:name="_Toc150774631"/>
      <w:bookmarkStart w:id="325" w:name="_Toc127151531"/>
      <w:bookmarkStart w:id="326" w:name="_Toc150480769"/>
      <w:bookmarkStart w:id="327" w:name="_Toc127151732"/>
      <w:bookmarkStart w:id="328" w:name="_Toc164608800"/>
      <w:bookmarkStart w:id="329" w:name="_Toc127161445"/>
      <w:bookmarkStart w:id="330" w:name="_Toc226965804"/>
      <w:bookmarkStart w:id="331" w:name="_Toc520356156"/>
      <w:bookmarkStart w:id="332" w:name="_Toc151193773"/>
      <w:bookmarkStart w:id="333" w:name="_Toc149720824"/>
      <w:bookmarkStart w:id="334" w:name="_Toc151193919"/>
      <w:bookmarkStart w:id="335" w:name="_Toc164229226"/>
      <w:bookmarkStart w:id="336" w:name="_Toc151193629"/>
      <w:bookmarkStart w:id="337" w:name="_Toc305158873"/>
      <w:bookmarkStart w:id="338" w:name="_Toc264969221"/>
      <w:r>
        <w:rPr>
          <w:rFonts w:hint="eastAsia" w:ascii="仿宋" w:hAnsi="仿宋" w:eastAsia="仿宋" w:cs="仿宋"/>
          <w:color w:val="auto"/>
          <w:sz w:val="24"/>
          <w:highlight w:val="none"/>
        </w:rPr>
        <w:t>投标保证金</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266031F">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339" w:name="_Ref467306302"/>
      <w:r>
        <w:rPr>
          <w:rFonts w:hint="eastAsia" w:ascii="仿宋" w:hAnsi="仿宋" w:eastAsia="仿宋" w:cs="仿宋"/>
          <w:color w:val="auto"/>
          <w:sz w:val="24"/>
          <w:highlight w:val="none"/>
        </w:rPr>
        <w:t>投标人应按《投标人须知资料表》中规定的金额及要求交纳投标保证金</w:t>
      </w:r>
      <w:bookmarkEnd w:id="339"/>
      <w:r>
        <w:rPr>
          <w:rFonts w:hint="eastAsia" w:ascii="仿宋" w:hAnsi="仿宋" w:eastAsia="仿宋" w:cs="仿宋"/>
          <w:color w:val="auto"/>
          <w:sz w:val="24"/>
          <w:highlight w:val="none"/>
        </w:rPr>
        <w:t>。投标人自愿超额缴纳投标保证金的，投标文件不做无效处理。</w:t>
      </w:r>
    </w:p>
    <w:p w14:paraId="1306B782">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交纳投标保证金可采用的形式：政府采购法律法规接受的支票、汇票、本票、网上银行支付或者金融机构、担保机构出具的保函等非现金形式。</w:t>
      </w:r>
    </w:p>
    <w:p w14:paraId="6AA6447B">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40" w:name="_Hlk164959831"/>
      <w:r>
        <w:rPr>
          <w:rFonts w:hint="eastAsia" w:ascii="仿宋" w:hAnsi="仿宋" w:eastAsia="仿宋" w:cs="仿宋"/>
          <w:color w:val="auto"/>
          <w:sz w:val="24"/>
          <w:highlight w:val="none"/>
        </w:rPr>
        <w:t>以电子保函形式提交投标保证金的，应在投标截止时间前通过北京市政府采购电子交易平台完成电子保函在线办理。</w:t>
      </w:r>
      <w:bookmarkEnd w:id="340"/>
      <w:r>
        <w:rPr>
          <w:rFonts w:hint="eastAsia" w:ascii="仿宋" w:hAnsi="仿宋" w:eastAsia="仿宋" w:cs="仿宋"/>
          <w:color w:val="auto"/>
          <w:sz w:val="24"/>
          <w:highlight w:val="none"/>
        </w:rPr>
        <w:t>未按上述要求缴纳投标保证金的，其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。由于到账时间晚于投标截止时间的，或者票据错误、印鉴不清等原因导致不能到账的，其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6961C38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投标人除需在投标文件中提供“</w:t>
      </w:r>
      <w:r>
        <w:rPr>
          <w:rFonts w:hint="eastAsia" w:ascii="仿宋" w:hAnsi="仿宋" w:eastAsia="仿宋" w:cs="仿宋"/>
          <w:color w:val="auto"/>
          <w:sz w:val="24"/>
          <w:szCs w:val="20"/>
          <w:highlight w:val="none"/>
        </w:rPr>
        <w:t>投标保证金凭证/交款单据电子件</w:t>
      </w:r>
      <w:r>
        <w:rPr>
          <w:rFonts w:hint="eastAsia" w:ascii="仿宋" w:hAnsi="仿宋" w:eastAsia="仿宋" w:cs="仿宋"/>
          <w:color w:val="auto"/>
          <w:sz w:val="24"/>
          <w:highlight w:val="none"/>
        </w:rPr>
        <w:t>”，还需在投标截止时间前，通过电子交易平台上传“</w:t>
      </w:r>
      <w:r>
        <w:rPr>
          <w:rFonts w:hint="eastAsia" w:ascii="仿宋" w:hAnsi="仿宋" w:eastAsia="仿宋" w:cs="仿宋"/>
          <w:color w:val="auto"/>
          <w:sz w:val="24"/>
          <w:szCs w:val="20"/>
          <w:highlight w:val="none"/>
        </w:rPr>
        <w:t>投标保证金凭证/交款单据电子件</w:t>
      </w:r>
      <w:r>
        <w:rPr>
          <w:rFonts w:hint="eastAsia" w:ascii="仿宋" w:hAnsi="仿宋" w:eastAsia="仿宋" w:cs="仿宋"/>
          <w:color w:val="auto"/>
          <w:sz w:val="24"/>
          <w:highlight w:val="none"/>
        </w:rPr>
        <w:t>”。</w:t>
      </w:r>
    </w:p>
    <w:p w14:paraId="68300E5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投标保证金有效期同投标有效期。</w:t>
      </w:r>
    </w:p>
    <w:p w14:paraId="26ED1ED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投标人为联合体的，可以由联合体中的一方或者多方共同交纳投标保证金，其交纳的投标保证金对联合体各方均具有约束力。</w:t>
      </w:r>
    </w:p>
    <w:p w14:paraId="08F238B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105CDE8C">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投标人在投标截止时间前撤回已提交的投标文件的，自收到投标人书面撤回通知之日起5个工作日内退还已收取的投标保证金；</w:t>
      </w:r>
    </w:p>
    <w:p w14:paraId="213BD330">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中标人的投标保证金，自采购合同签订之日起5个工作日内退还中标人；</w:t>
      </w:r>
    </w:p>
    <w:p w14:paraId="2E41AAE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未中标投标人的投标保证金，自中标通知书发出之日起5个工作日内退还未中标人；</w:t>
      </w:r>
    </w:p>
    <w:p w14:paraId="1958F27F">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终止招标项目已经收取投标保证金的，自终止采购活动后5个工作日内退还已收取的投标保证金及其在银行产生的孳息。</w:t>
      </w:r>
    </w:p>
    <w:p w14:paraId="54E55C1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有下列情形之一的，采购人或采购代理机构可以不予退还投标保证金：</w:t>
      </w:r>
    </w:p>
    <w:p w14:paraId="6B4C0733">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投标有效期内投标人撤销投标文件的；</w:t>
      </w:r>
    </w:p>
    <w:p w14:paraId="0E3356CF">
      <w:pPr>
        <w:numPr>
          <w:ilvl w:val="2"/>
          <w:numId w:val="8"/>
        </w:numPr>
        <w:tabs>
          <w:tab w:val="left" w:pos="900"/>
          <w:tab w:val="left" w:pos="1080"/>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《投标人须知资料表》中规定的其他情形。</w:t>
      </w:r>
    </w:p>
    <w:p w14:paraId="0B49C258">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41" w:name="_Toc164229227"/>
      <w:bookmarkStart w:id="342" w:name="_Toc265228370"/>
      <w:bookmarkStart w:id="343" w:name="_Toc164351626"/>
      <w:bookmarkStart w:id="344" w:name="_Toc149720825"/>
      <w:bookmarkStart w:id="345" w:name="_Toc164608801"/>
      <w:bookmarkStart w:id="346" w:name="_Toc127151733"/>
      <w:bookmarkStart w:id="347" w:name="_Toc305158874"/>
      <w:bookmarkStart w:id="348" w:name="_Toc150774632"/>
      <w:bookmarkStart w:id="349" w:name="_Toc127161446"/>
      <w:bookmarkStart w:id="350" w:name="_Toc142311034"/>
      <w:bookmarkStart w:id="351" w:name="_Toc151193702"/>
      <w:bookmarkStart w:id="352" w:name="_Toc151190159"/>
      <w:bookmarkStart w:id="353" w:name="_Toc264969222"/>
      <w:bookmarkStart w:id="354" w:name="_Toc151193630"/>
      <w:bookmarkStart w:id="355" w:name="_Toc520356157"/>
      <w:bookmarkStart w:id="356" w:name="_Toc226965722"/>
      <w:bookmarkStart w:id="357" w:name="_Toc150509283"/>
      <w:bookmarkStart w:id="358" w:name="_Toc151193920"/>
      <w:bookmarkStart w:id="359" w:name="_Toc226337228"/>
      <w:bookmarkStart w:id="360" w:name="_Toc164229373"/>
      <w:bookmarkStart w:id="361" w:name="_Toc127151532"/>
      <w:bookmarkStart w:id="362" w:name="_Toc195842897"/>
      <w:bookmarkStart w:id="363" w:name="_Toc151193774"/>
      <w:bookmarkStart w:id="364" w:name="_Toc164608646"/>
      <w:bookmarkStart w:id="365" w:name="_Toc150480770"/>
      <w:bookmarkStart w:id="366" w:name="_Toc226309776"/>
      <w:bookmarkStart w:id="367" w:name="_Toc226965805"/>
      <w:bookmarkStart w:id="368" w:name="_Toc305158800"/>
      <w:bookmarkStart w:id="369" w:name="_Toc151193846"/>
      <w:bookmarkStart w:id="370" w:name="_Toc150774737"/>
      <w:r>
        <w:rPr>
          <w:rFonts w:hint="eastAsia" w:ascii="仿宋" w:hAnsi="仿宋" w:eastAsia="仿宋" w:cs="仿宋"/>
          <w:color w:val="auto"/>
          <w:sz w:val="24"/>
          <w:highlight w:val="none"/>
        </w:rPr>
        <w:t>投标有效期</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C2D3694">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投标文件应在本招标文件《投标人须知资料表》中规定的投标有效期内保持有效，投标有效期少于招标文件规定期限的，其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02A20E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71" w:name="_Toc264969223"/>
      <w:bookmarkStart w:id="372" w:name="_Toc150774633"/>
      <w:bookmarkStart w:id="373" w:name="_Toc164608647"/>
      <w:bookmarkStart w:id="374" w:name="_Toc127151533"/>
      <w:bookmarkStart w:id="375" w:name="_Toc151190160"/>
      <w:bookmarkStart w:id="376" w:name="_Toc127151734"/>
      <w:bookmarkStart w:id="377" w:name="_Toc226337229"/>
      <w:bookmarkStart w:id="378" w:name="_Toc151193703"/>
      <w:bookmarkStart w:id="379" w:name="_Toc149720826"/>
      <w:bookmarkStart w:id="380" w:name="_Toc305158801"/>
      <w:bookmarkStart w:id="381" w:name="_Toc226309777"/>
      <w:bookmarkStart w:id="382" w:name="_Toc127161447"/>
      <w:bookmarkStart w:id="383" w:name="_Toc164229374"/>
      <w:bookmarkStart w:id="384" w:name="_Toc520356158"/>
      <w:bookmarkStart w:id="385" w:name="_Toc150480771"/>
      <w:bookmarkStart w:id="386" w:name="_Toc195842898"/>
      <w:bookmarkStart w:id="387" w:name="_Toc164608802"/>
      <w:bookmarkStart w:id="388" w:name="_Toc226965723"/>
      <w:bookmarkStart w:id="389" w:name="_Toc151193775"/>
      <w:bookmarkStart w:id="390" w:name="_Toc226965806"/>
      <w:bookmarkStart w:id="391" w:name="_Toc150774738"/>
      <w:bookmarkStart w:id="392" w:name="_Toc150509284"/>
      <w:bookmarkStart w:id="393" w:name="_Toc164351627"/>
      <w:bookmarkStart w:id="394" w:name="_Toc305158875"/>
      <w:bookmarkStart w:id="395" w:name="_Toc142311035"/>
      <w:bookmarkStart w:id="396" w:name="_Toc164229228"/>
      <w:bookmarkStart w:id="397" w:name="_Toc265228371"/>
      <w:bookmarkStart w:id="398" w:name="_Toc151193631"/>
      <w:bookmarkStart w:id="399" w:name="_Toc151193921"/>
      <w:bookmarkStart w:id="400" w:name="_Toc151193847"/>
      <w:r>
        <w:rPr>
          <w:rFonts w:hint="eastAsia" w:ascii="仿宋" w:hAnsi="仿宋" w:eastAsia="仿宋" w:cs="仿宋"/>
          <w:color w:val="auto"/>
          <w:sz w:val="24"/>
          <w:highlight w:val="none"/>
        </w:rPr>
        <w:t>投标文件的签署</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Pr>
          <w:rFonts w:hint="eastAsia" w:ascii="仿宋" w:hAnsi="仿宋" w:eastAsia="仿宋" w:cs="仿宋"/>
          <w:color w:val="auto"/>
          <w:sz w:val="24"/>
          <w:highlight w:val="none"/>
        </w:rPr>
        <w:t>、盖章</w:t>
      </w:r>
    </w:p>
    <w:p w14:paraId="3BCE397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401" w:name="_Toc127151534"/>
      <w:bookmarkStart w:id="402" w:name="_Toc151193704"/>
      <w:bookmarkStart w:id="403" w:name="_Toc150774739"/>
      <w:bookmarkStart w:id="404" w:name="_Toc151190161"/>
      <w:bookmarkStart w:id="405" w:name="_Toc150509285"/>
      <w:bookmarkStart w:id="406" w:name="_Toc226337230"/>
      <w:bookmarkStart w:id="407" w:name="_Toc150774634"/>
      <w:bookmarkStart w:id="408" w:name="_Toc520356159"/>
      <w:bookmarkStart w:id="409" w:name="_Toc151193632"/>
      <w:bookmarkStart w:id="410" w:name="_Toc151193922"/>
      <w:bookmarkStart w:id="411" w:name="_Toc226309778"/>
      <w:bookmarkStart w:id="412" w:name="_Toc142311036"/>
      <w:bookmarkStart w:id="413" w:name="_Toc305158876"/>
      <w:bookmarkStart w:id="414" w:name="_Toc150480772"/>
      <w:bookmarkStart w:id="415" w:name="_Toc151193776"/>
      <w:bookmarkStart w:id="416" w:name="_Toc265228372"/>
      <w:bookmarkStart w:id="417" w:name="_Toc151193848"/>
      <w:bookmarkStart w:id="418" w:name="_Toc305158802"/>
      <w:bookmarkStart w:id="419" w:name="_Toc226965807"/>
      <w:bookmarkStart w:id="420" w:name="_Toc264969224"/>
      <w:bookmarkStart w:id="421" w:name="_Toc226965724"/>
      <w:bookmarkStart w:id="422" w:name="_Toc195842899"/>
      <w:r>
        <w:rPr>
          <w:rFonts w:hint="eastAsia" w:ascii="仿宋" w:hAnsi="仿宋" w:eastAsia="仿宋" w:cs="仿宋"/>
          <w:color w:val="auto"/>
          <w:sz w:val="24"/>
          <w:highlight w:val="none"/>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5ABD954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招标文件要求盖章的内容，一般通过投标文件编制工具加盖电子签章。</w:t>
      </w:r>
    </w:p>
    <w:p w14:paraId="578AF262">
      <w:pPr>
        <w:tabs>
          <w:tab w:val="left" w:pos="900"/>
          <w:tab w:val="left" w:pos="1080"/>
        </w:tabs>
        <w:snapToGrid w:val="0"/>
        <w:spacing w:line="360" w:lineRule="auto"/>
        <w:ind w:left="357"/>
        <w:rPr>
          <w:rFonts w:hint="eastAsia" w:ascii="仿宋" w:hAnsi="仿宋" w:eastAsia="仿宋" w:cs="仿宋"/>
          <w:color w:val="auto"/>
          <w:highlight w:val="none"/>
        </w:rPr>
      </w:pPr>
    </w:p>
    <w:p w14:paraId="5B38FA38">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四   投标文件的提交</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008B693">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23" w:name="_Toc226965808"/>
      <w:bookmarkStart w:id="424" w:name="_Toc305158877"/>
      <w:bookmarkStart w:id="425" w:name="_Toc151190162"/>
      <w:bookmarkStart w:id="426" w:name="_Toc305158803"/>
      <w:bookmarkStart w:id="427" w:name="_Toc127161449"/>
      <w:bookmarkStart w:id="428" w:name="_Toc164608804"/>
      <w:bookmarkStart w:id="429" w:name="_Toc226337231"/>
      <w:bookmarkStart w:id="430" w:name="_Toc164351629"/>
      <w:bookmarkStart w:id="431" w:name="_Toc150774635"/>
      <w:bookmarkStart w:id="432" w:name="_Toc127151736"/>
      <w:bookmarkStart w:id="433" w:name="_Toc151193849"/>
      <w:bookmarkStart w:id="434" w:name="_Toc150774740"/>
      <w:bookmarkStart w:id="435" w:name="_Toc151193777"/>
      <w:bookmarkStart w:id="436" w:name="_Toc164608649"/>
      <w:bookmarkStart w:id="437" w:name="_Toc164229230"/>
      <w:bookmarkStart w:id="438" w:name="_Toc151193633"/>
      <w:bookmarkStart w:id="439" w:name="_Toc142311037"/>
      <w:bookmarkStart w:id="440" w:name="_Toc164229376"/>
      <w:bookmarkStart w:id="441" w:name="_Toc226309779"/>
      <w:bookmarkStart w:id="442" w:name="_Toc520356160"/>
      <w:bookmarkStart w:id="443" w:name="_Toc151193923"/>
      <w:bookmarkStart w:id="444" w:name="_Toc151193705"/>
      <w:bookmarkStart w:id="445" w:name="_Toc150480773"/>
      <w:bookmarkStart w:id="446" w:name="_Toc195842900"/>
      <w:bookmarkStart w:id="447" w:name="_Toc226965725"/>
      <w:bookmarkStart w:id="448" w:name="_Toc149720828"/>
      <w:bookmarkStart w:id="449" w:name="_Toc150509286"/>
      <w:bookmarkStart w:id="450" w:name="_Toc127151535"/>
      <w:bookmarkStart w:id="451" w:name="_Toc265228373"/>
      <w:bookmarkStart w:id="452" w:name="_Toc264969225"/>
      <w:r>
        <w:rPr>
          <w:rFonts w:hint="eastAsia" w:ascii="仿宋" w:hAnsi="仿宋" w:eastAsia="仿宋" w:cs="仿宋"/>
          <w:color w:val="auto"/>
          <w:sz w:val="24"/>
          <w:highlight w:val="none"/>
        </w:rPr>
        <w:t>投标文件的</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hint="eastAsia" w:ascii="仿宋" w:hAnsi="仿宋" w:eastAsia="仿宋" w:cs="仿宋"/>
          <w:color w:val="auto"/>
          <w:sz w:val="24"/>
          <w:highlight w:val="none"/>
        </w:rPr>
        <w:t>提交</w:t>
      </w:r>
    </w:p>
    <w:p w14:paraId="4D67A7B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本项目使用北京市政府采购电子交易平台。投标人根据招标文件及电子交易平台供应商操作手册要求编制、生成并提交电子投标文件。</w:t>
      </w:r>
    </w:p>
    <w:p w14:paraId="1608F12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采购人及采购代理机构拒绝接受通过电子交易平台以外任何形式提交的投标文件，投标保证金除外。</w:t>
      </w:r>
    </w:p>
    <w:p w14:paraId="0CC85DA8">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53" w:name="_Toc151193850"/>
      <w:bookmarkStart w:id="454" w:name="_Toc164608805"/>
      <w:bookmarkStart w:id="455" w:name="_Toc195842901"/>
      <w:bookmarkStart w:id="456" w:name="_Toc151193924"/>
      <w:bookmarkStart w:id="457" w:name="_Toc151190163"/>
      <w:bookmarkStart w:id="458" w:name="_Toc151193706"/>
      <w:bookmarkStart w:id="459" w:name="_Toc226965809"/>
      <w:bookmarkStart w:id="460" w:name="_Toc265228374"/>
      <w:bookmarkStart w:id="461" w:name="_Toc151193778"/>
      <w:bookmarkStart w:id="462" w:name="_Toc226965726"/>
      <w:bookmarkStart w:id="463" w:name="_Toc127161450"/>
      <w:bookmarkStart w:id="464" w:name="_Toc305158878"/>
      <w:bookmarkStart w:id="465" w:name="_Toc150774636"/>
      <w:bookmarkStart w:id="466" w:name="_Toc142311038"/>
      <w:bookmarkStart w:id="467" w:name="_Toc164608650"/>
      <w:bookmarkStart w:id="468" w:name="_Toc226337232"/>
      <w:bookmarkStart w:id="469" w:name="_Toc264969226"/>
      <w:bookmarkStart w:id="470" w:name="_Toc164351630"/>
      <w:bookmarkStart w:id="471" w:name="_Toc150480774"/>
      <w:bookmarkStart w:id="472" w:name="_Toc520356161"/>
      <w:bookmarkStart w:id="473" w:name="_Toc127151536"/>
      <w:bookmarkStart w:id="474" w:name="_Toc127151737"/>
      <w:bookmarkStart w:id="475" w:name="_Toc164229231"/>
      <w:bookmarkStart w:id="476" w:name="_Toc305158804"/>
      <w:bookmarkStart w:id="477" w:name="_Toc150509287"/>
      <w:bookmarkStart w:id="478" w:name="_Toc164229377"/>
      <w:bookmarkStart w:id="479" w:name="_Toc149720829"/>
      <w:bookmarkStart w:id="480" w:name="_Toc150774741"/>
      <w:bookmarkStart w:id="481" w:name="_Toc151193634"/>
      <w:bookmarkStart w:id="482" w:name="_Toc226309780"/>
      <w:r>
        <w:rPr>
          <w:rFonts w:hint="eastAsia" w:ascii="仿宋" w:hAnsi="仿宋" w:eastAsia="仿宋" w:cs="仿宋"/>
          <w:color w:val="auto"/>
          <w:sz w:val="24"/>
          <w:highlight w:val="none"/>
        </w:rPr>
        <w:t>投标截止</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Pr>
          <w:rFonts w:hint="eastAsia" w:ascii="仿宋" w:hAnsi="仿宋" w:eastAsia="仿宋" w:cs="仿宋"/>
          <w:color w:val="auto"/>
          <w:sz w:val="24"/>
          <w:highlight w:val="none"/>
        </w:rPr>
        <w:t>时间</w:t>
      </w:r>
    </w:p>
    <w:p w14:paraId="0A0531F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投标人应在招标文件要求提交投标文件截止时间前，将电子投标文件提交至电子交易平台。</w:t>
      </w:r>
    </w:p>
    <w:p w14:paraId="36C00DFC">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83" w:name="_Toc164608651"/>
      <w:bookmarkStart w:id="484" w:name="_Toc195842902"/>
      <w:bookmarkStart w:id="485" w:name="_Toc151193779"/>
      <w:bookmarkStart w:id="486" w:name="_Toc164229232"/>
      <w:bookmarkStart w:id="487" w:name="_Toc150774742"/>
      <w:bookmarkStart w:id="488" w:name="_Toc151190164"/>
      <w:bookmarkStart w:id="489" w:name="_Toc142311039"/>
      <w:bookmarkStart w:id="490" w:name="_Toc226965727"/>
      <w:bookmarkStart w:id="491" w:name="_Toc150480775"/>
      <w:bookmarkStart w:id="492" w:name="_Toc520356162"/>
      <w:bookmarkStart w:id="493" w:name="_Toc127151537"/>
      <w:bookmarkStart w:id="494" w:name="_Toc164608806"/>
      <w:bookmarkStart w:id="495" w:name="_Toc149720830"/>
      <w:bookmarkStart w:id="496" w:name="_Toc151193707"/>
      <w:bookmarkStart w:id="497" w:name="_Toc305158879"/>
      <w:bookmarkStart w:id="498" w:name="_Toc164229378"/>
      <w:bookmarkStart w:id="499" w:name="_Toc164351631"/>
      <w:bookmarkStart w:id="500" w:name="_Toc151193925"/>
      <w:bookmarkStart w:id="501" w:name="_Toc265228375"/>
      <w:bookmarkStart w:id="502" w:name="_Toc150774637"/>
      <w:bookmarkStart w:id="503" w:name="_Toc127161451"/>
      <w:bookmarkStart w:id="504" w:name="_Toc151193635"/>
      <w:bookmarkStart w:id="505" w:name="_Toc150509288"/>
      <w:bookmarkStart w:id="506" w:name="_Toc226309781"/>
      <w:bookmarkStart w:id="507" w:name="_Toc127151738"/>
      <w:bookmarkStart w:id="508" w:name="_Toc226337233"/>
      <w:bookmarkStart w:id="509" w:name="_Toc151193851"/>
      <w:bookmarkStart w:id="510" w:name="_Toc305158805"/>
      <w:bookmarkStart w:id="511" w:name="_Toc226965810"/>
      <w:bookmarkStart w:id="512" w:name="_Toc264969227"/>
      <w:r>
        <w:rPr>
          <w:rFonts w:hint="eastAsia" w:ascii="仿宋" w:hAnsi="仿宋" w:eastAsia="仿宋" w:cs="仿宋"/>
          <w:color w:val="auto"/>
          <w:sz w:val="24"/>
          <w:highlight w:val="none"/>
        </w:rPr>
        <w:t>投标文件的修改与撤回</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B1D066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0241A26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投标人对投标文件的补充、修改的内容应当按照招标文件要求签署、盖章，作为投标文件的组成部分。</w:t>
      </w:r>
    </w:p>
    <w:p w14:paraId="0112B056">
      <w:pPr>
        <w:spacing w:line="360" w:lineRule="auto"/>
        <w:rPr>
          <w:rFonts w:hint="eastAsia" w:ascii="仿宋" w:hAnsi="仿宋" w:eastAsia="仿宋" w:cs="仿宋"/>
          <w:color w:val="auto"/>
          <w:sz w:val="24"/>
          <w:highlight w:val="none"/>
        </w:rPr>
      </w:pPr>
    </w:p>
    <w:p w14:paraId="4D6F9065">
      <w:pPr>
        <w:pStyle w:val="3"/>
        <w:spacing w:before="0" w:line="360" w:lineRule="auto"/>
        <w:rPr>
          <w:rFonts w:hint="eastAsia" w:ascii="仿宋" w:hAnsi="仿宋" w:eastAsia="仿宋" w:cs="仿宋"/>
          <w:color w:val="auto"/>
          <w:sz w:val="28"/>
          <w:highlight w:val="none"/>
        </w:rPr>
      </w:pPr>
      <w:bookmarkStart w:id="513" w:name="_Toc226337234"/>
      <w:bookmarkStart w:id="514" w:name="_Toc151193708"/>
      <w:bookmarkStart w:id="515" w:name="_Toc151193852"/>
      <w:bookmarkStart w:id="516" w:name="_Toc305158880"/>
      <w:bookmarkStart w:id="517" w:name="_Toc151193926"/>
      <w:bookmarkStart w:id="518" w:name="_Toc151193780"/>
      <w:bookmarkStart w:id="519" w:name="_Toc226965811"/>
      <w:bookmarkStart w:id="520" w:name="_Toc265228376"/>
      <w:bookmarkStart w:id="521" w:name="_Toc520356163"/>
      <w:bookmarkStart w:id="522" w:name="_Toc305158806"/>
      <w:bookmarkStart w:id="523" w:name="_Toc151190165"/>
      <w:bookmarkStart w:id="524" w:name="_Toc150774638"/>
      <w:bookmarkStart w:id="525" w:name="_Toc226965728"/>
      <w:bookmarkStart w:id="526" w:name="_Toc226309782"/>
      <w:bookmarkStart w:id="527" w:name="_Toc264969228"/>
      <w:bookmarkStart w:id="528" w:name="_Toc127151538"/>
      <w:bookmarkStart w:id="529" w:name="_Toc150480776"/>
      <w:bookmarkStart w:id="530" w:name="_Toc150774743"/>
      <w:bookmarkStart w:id="531" w:name="_Toc150509289"/>
      <w:bookmarkStart w:id="532" w:name="_Toc142311040"/>
      <w:bookmarkStart w:id="533" w:name="_Toc151193636"/>
      <w:bookmarkStart w:id="534" w:name="_Toc195842903"/>
      <w:r>
        <w:rPr>
          <w:rFonts w:hint="eastAsia" w:ascii="仿宋" w:hAnsi="仿宋" w:eastAsia="仿宋" w:cs="仿宋"/>
          <w:color w:val="auto"/>
          <w:sz w:val="28"/>
          <w:highlight w:val="none"/>
        </w:rPr>
        <w:t>五   开标、资格审查及评标</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216CFE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535" w:name="_Toc151193853"/>
      <w:bookmarkStart w:id="536" w:name="_Toc164608808"/>
      <w:bookmarkStart w:id="537" w:name="_Toc226309783"/>
      <w:bookmarkStart w:id="538" w:name="_Toc151193709"/>
      <w:bookmarkStart w:id="539" w:name="_Toc150509290"/>
      <w:bookmarkStart w:id="540" w:name="_Toc151193781"/>
      <w:bookmarkStart w:id="541" w:name="_Toc149720832"/>
      <w:bookmarkStart w:id="542" w:name="_Toc305158881"/>
      <w:bookmarkStart w:id="543" w:name="_Toc150774639"/>
      <w:bookmarkStart w:id="544" w:name="_Toc264969229"/>
      <w:bookmarkStart w:id="545" w:name="_Toc305158807"/>
      <w:bookmarkStart w:id="546" w:name="_Toc265228377"/>
      <w:bookmarkStart w:id="547" w:name="_Toc195842904"/>
      <w:bookmarkStart w:id="548" w:name="_Toc150480777"/>
      <w:bookmarkStart w:id="549" w:name="_Toc520356164"/>
      <w:bookmarkStart w:id="550" w:name="_Toc127161453"/>
      <w:bookmarkStart w:id="551" w:name="_Toc164229234"/>
      <w:bookmarkStart w:id="552" w:name="_Toc151190166"/>
      <w:bookmarkStart w:id="553" w:name="_Toc164351633"/>
      <w:bookmarkStart w:id="554" w:name="_Toc164229380"/>
      <w:bookmarkStart w:id="555" w:name="_Toc151193927"/>
      <w:bookmarkStart w:id="556" w:name="_Toc151193637"/>
      <w:bookmarkStart w:id="557" w:name="_Toc226965812"/>
      <w:bookmarkStart w:id="558" w:name="_Toc164608653"/>
      <w:bookmarkStart w:id="559" w:name="_Toc226965729"/>
      <w:bookmarkStart w:id="560" w:name="_Toc150774744"/>
      <w:bookmarkStart w:id="561" w:name="_Toc142311041"/>
      <w:bookmarkStart w:id="562" w:name="_Toc127151740"/>
      <w:bookmarkStart w:id="563" w:name="_Toc127151539"/>
      <w:bookmarkStart w:id="564" w:name="_Toc226337235"/>
      <w:r>
        <w:rPr>
          <w:rFonts w:hint="eastAsia" w:ascii="仿宋" w:hAnsi="仿宋" w:eastAsia="仿宋" w:cs="仿宋"/>
          <w:color w:val="auto"/>
          <w:sz w:val="24"/>
          <w:highlight w:val="none"/>
        </w:rPr>
        <w:t>开标</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57CC1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采购人或采购代理机构将按招标文件的规定，在投标截止时间的同一时间和招标文件预先确定的地点组织开标。</w:t>
      </w:r>
    </w:p>
    <w:p w14:paraId="3A79B65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本项目开标使用北京市政府采购电子交易平台。投标人应在</w:t>
      </w:r>
      <w:bookmarkStart w:id="565" w:name="_Hlk167284562"/>
      <w:r>
        <w:rPr>
          <w:rFonts w:hint="eastAsia" w:ascii="仿宋" w:hAnsi="仿宋" w:eastAsia="仿宋" w:cs="仿宋"/>
          <w:color w:val="auto"/>
          <w:sz w:val="24"/>
          <w:highlight w:val="none"/>
        </w:rPr>
        <w:t>《投标人须知资料表》</w:t>
      </w:r>
      <w:bookmarkEnd w:id="565"/>
      <w:r>
        <w:rPr>
          <w:rFonts w:hint="eastAsia" w:ascii="仿宋" w:hAnsi="仿宋" w:eastAsia="仿宋" w:cs="仿宋"/>
          <w:color w:val="auto"/>
          <w:sz w:val="24"/>
          <w:highlight w:val="none"/>
        </w:rPr>
        <w:t>规定的时间内对投标文件进行解密，因非系统原因导致的解密失败，视为</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E9BDFF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开标过程将使用电子交易平台宣布投标人名称、投标价格和招标文件规定的需要宣布的其他内容并进行记录，并由参加开标的各投标人确认</w:t>
      </w:r>
      <w:bookmarkStart w:id="566" w:name="_Toc520356165"/>
      <w:r>
        <w:rPr>
          <w:rFonts w:hint="eastAsia" w:ascii="仿宋" w:hAnsi="仿宋" w:eastAsia="仿宋" w:cs="仿宋"/>
          <w:color w:val="auto"/>
          <w:sz w:val="24"/>
          <w:highlight w:val="none"/>
        </w:rPr>
        <w:t>。</w:t>
      </w:r>
      <w:bookmarkStart w:id="567" w:name="_Hlk143533942"/>
      <w:r>
        <w:rPr>
          <w:rFonts w:hint="eastAsia" w:ascii="仿宋" w:hAnsi="仿宋" w:eastAsia="仿宋" w:cs="仿宋"/>
          <w:color w:val="auto"/>
          <w:sz w:val="24"/>
          <w:highlight w:val="none"/>
        </w:rPr>
        <w:t>投标人未在规定时间内提出疑义或确认一览表的，视同认可开标结果。</w:t>
      </w:r>
      <w:bookmarkEnd w:id="567"/>
    </w:p>
    <w:p w14:paraId="1536616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5F34337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投标人不足3家的，不予开标。</w:t>
      </w:r>
    </w:p>
    <w:p w14:paraId="248A8EC9">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w:t>
      </w:r>
    </w:p>
    <w:p w14:paraId="7869A0B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见第三章《资格审查》。</w:t>
      </w:r>
    </w:p>
    <w:bookmarkEnd w:id="566"/>
    <w:p w14:paraId="57595B5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568" w:name="_Toc127151741"/>
      <w:bookmarkStart w:id="569" w:name="_Toc151193782"/>
      <w:bookmarkStart w:id="570" w:name="_Toc127151540"/>
      <w:bookmarkStart w:id="571" w:name="_Toc150509291"/>
      <w:bookmarkStart w:id="572" w:name="_Toc164229381"/>
      <w:bookmarkStart w:id="573" w:name="_Toc226337236"/>
      <w:bookmarkStart w:id="574" w:name="_Toc164608654"/>
      <w:bookmarkStart w:id="575" w:name="_Toc151193928"/>
      <w:bookmarkStart w:id="576" w:name="_Toc226965813"/>
      <w:bookmarkStart w:id="577" w:name="_Toc150480778"/>
      <w:bookmarkStart w:id="578" w:name="_Toc151190167"/>
      <w:bookmarkStart w:id="579" w:name="_Toc195842905"/>
      <w:bookmarkStart w:id="580" w:name="_Toc150774745"/>
      <w:bookmarkStart w:id="581" w:name="_Toc151193638"/>
      <w:bookmarkStart w:id="582" w:name="_Toc264969230"/>
      <w:bookmarkStart w:id="583" w:name="_Toc149720833"/>
      <w:bookmarkStart w:id="584" w:name="_Toc150774640"/>
      <w:bookmarkStart w:id="585" w:name="_Toc164608809"/>
      <w:bookmarkStart w:id="586" w:name="_Toc151193710"/>
      <w:bookmarkStart w:id="587" w:name="_Toc164229235"/>
      <w:bookmarkStart w:id="588" w:name="_Toc127161454"/>
      <w:bookmarkStart w:id="589" w:name="_Toc142311042"/>
      <w:bookmarkStart w:id="590" w:name="_Toc226309784"/>
      <w:bookmarkStart w:id="591" w:name="_Toc265228378"/>
      <w:bookmarkStart w:id="592" w:name="_Toc226965730"/>
      <w:bookmarkStart w:id="593" w:name="_Toc151193854"/>
      <w:bookmarkStart w:id="594" w:name="_Toc305158808"/>
      <w:bookmarkStart w:id="595" w:name="_Toc164351634"/>
      <w:bookmarkStart w:id="596" w:name="_Toc305158882"/>
      <w:r>
        <w:rPr>
          <w:rFonts w:hint="eastAsia" w:ascii="仿宋" w:hAnsi="仿宋" w:eastAsia="仿宋" w:cs="仿宋"/>
          <w:color w:val="auto"/>
          <w:sz w:val="24"/>
          <w:highlight w:val="none"/>
        </w:rPr>
        <w:t>评标委员会</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751E49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评标委员会根据政府采购有关规定和本次采购项目的特点进行组建，并负责具体评标事务，独立履行职责。</w:t>
      </w:r>
      <w:bookmarkStart w:id="597" w:name="_Toc520356166"/>
    </w:p>
    <w:p w14:paraId="7B1E0627">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End w:id="597"/>
      <w:bookmarkStart w:id="598" w:name="_Toc520356169"/>
    </w:p>
    <w:p w14:paraId="077E423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评标程序、评标方法和评标标准</w:t>
      </w:r>
    </w:p>
    <w:p w14:paraId="59C37D0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见第四章《评标程序、评标方法和评标标准》。</w:t>
      </w:r>
    </w:p>
    <w:p w14:paraId="67951680">
      <w:pPr>
        <w:tabs>
          <w:tab w:val="left" w:pos="360"/>
          <w:tab w:val="left" w:pos="1080"/>
        </w:tabs>
        <w:snapToGrid w:val="0"/>
        <w:spacing w:line="360" w:lineRule="auto"/>
        <w:ind w:left="1080"/>
        <w:rPr>
          <w:rFonts w:hint="eastAsia" w:ascii="仿宋" w:hAnsi="仿宋" w:eastAsia="仿宋" w:cs="仿宋"/>
          <w:color w:val="auto"/>
          <w:sz w:val="24"/>
          <w:highlight w:val="none"/>
        </w:rPr>
      </w:pPr>
    </w:p>
    <w:p w14:paraId="6312BC7B">
      <w:pPr>
        <w:pStyle w:val="3"/>
        <w:spacing w:before="0" w:line="360" w:lineRule="auto"/>
        <w:rPr>
          <w:rFonts w:hint="eastAsia" w:ascii="仿宋" w:hAnsi="仿宋" w:eastAsia="仿宋" w:cs="仿宋"/>
          <w:color w:val="auto"/>
          <w:sz w:val="28"/>
          <w:highlight w:val="none"/>
        </w:rPr>
      </w:pPr>
      <w:bookmarkStart w:id="599" w:name="_Toc305158887"/>
      <w:bookmarkStart w:id="600" w:name="_Toc226965818"/>
      <w:bookmarkStart w:id="601" w:name="_Toc150774750"/>
      <w:bookmarkStart w:id="602" w:name="_Toc264969235"/>
      <w:bookmarkStart w:id="603" w:name="_Toc150480783"/>
      <w:bookmarkStart w:id="604" w:name="_Toc226337241"/>
      <w:bookmarkStart w:id="605" w:name="_Toc151193715"/>
      <w:bookmarkStart w:id="606" w:name="_Toc226965735"/>
      <w:bookmarkStart w:id="607" w:name="_Toc127151545"/>
      <w:bookmarkStart w:id="608" w:name="_Toc265228383"/>
      <w:bookmarkStart w:id="609" w:name="_Toc151193787"/>
      <w:bookmarkStart w:id="610" w:name="_Toc150774645"/>
      <w:bookmarkStart w:id="611" w:name="_Toc151190172"/>
      <w:bookmarkStart w:id="612" w:name="_Toc151193859"/>
      <w:bookmarkStart w:id="613" w:name="_Toc151193933"/>
      <w:bookmarkStart w:id="614" w:name="_Toc142311047"/>
      <w:bookmarkStart w:id="615" w:name="_Toc305158813"/>
      <w:bookmarkStart w:id="616" w:name="_Toc150509296"/>
      <w:bookmarkStart w:id="617" w:name="_Toc195842910"/>
      <w:bookmarkStart w:id="618" w:name="_Toc151193643"/>
      <w:bookmarkStart w:id="619" w:name="_Toc226309789"/>
      <w:r>
        <w:rPr>
          <w:rFonts w:hint="eastAsia" w:ascii="仿宋" w:hAnsi="仿宋" w:eastAsia="仿宋" w:cs="仿宋"/>
          <w:color w:val="auto"/>
          <w:sz w:val="28"/>
          <w:highlight w:val="none"/>
        </w:rPr>
        <w:t xml:space="preserve">六   </w:t>
      </w:r>
      <w:bookmarkEnd w:id="598"/>
      <w:r>
        <w:rPr>
          <w:rFonts w:hint="eastAsia" w:ascii="仿宋" w:hAnsi="仿宋" w:eastAsia="仿宋" w:cs="仿宋"/>
          <w:color w:val="auto"/>
          <w:sz w:val="28"/>
          <w:highlight w:val="none"/>
        </w:rPr>
        <w:t>确定中标</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Start w:id="620" w:name="_Toc127161461"/>
      <w:bookmarkStart w:id="621" w:name="_Toc151193861"/>
      <w:bookmarkStart w:id="622" w:name="_Toc127151748"/>
      <w:bookmarkStart w:id="623" w:name="_Toc164608816"/>
      <w:bookmarkStart w:id="624" w:name="_Toc151193789"/>
      <w:bookmarkStart w:id="625" w:name="_Toc150509298"/>
      <w:bookmarkStart w:id="626" w:name="_Toc226965737"/>
      <w:bookmarkStart w:id="627" w:name="_Toc150774752"/>
      <w:bookmarkStart w:id="628" w:name="_Toc164229242"/>
      <w:bookmarkStart w:id="629" w:name="_Toc142311049"/>
      <w:bookmarkStart w:id="630" w:name="_Toc151193717"/>
      <w:bookmarkStart w:id="631" w:name="_Toc265228385"/>
      <w:bookmarkStart w:id="632" w:name="_Toc149720840"/>
      <w:bookmarkStart w:id="633" w:name="_Toc150480785"/>
      <w:bookmarkStart w:id="634" w:name="_Toc226337243"/>
      <w:bookmarkStart w:id="635" w:name="_Toc264969237"/>
      <w:bookmarkStart w:id="636" w:name="_Toc164608661"/>
      <w:bookmarkStart w:id="637" w:name="_Toc226309791"/>
      <w:bookmarkStart w:id="638" w:name="_Toc150774647"/>
      <w:bookmarkStart w:id="639" w:name="_Toc226965820"/>
      <w:bookmarkStart w:id="640" w:name="_Toc164351641"/>
      <w:bookmarkStart w:id="641" w:name="_Toc127151547"/>
      <w:bookmarkStart w:id="642" w:name="_Toc195842912"/>
      <w:bookmarkStart w:id="643" w:name="_Toc164229388"/>
      <w:bookmarkStart w:id="644" w:name="_Toc151193645"/>
      <w:bookmarkStart w:id="645" w:name="_Toc305158815"/>
      <w:bookmarkStart w:id="646" w:name="_Toc151193935"/>
      <w:bookmarkStart w:id="647" w:name="_Toc151190174"/>
      <w:bookmarkStart w:id="648" w:name="_Toc305158889"/>
    </w:p>
    <w:p w14:paraId="10133C62">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确定中标人</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561C1A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4335277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649" w:name="_Toc305158817"/>
      <w:bookmarkStart w:id="650" w:name="_Toc305158891"/>
      <w:bookmarkStart w:id="651" w:name="_Toc150774649"/>
      <w:bookmarkStart w:id="652" w:name="_Toc164608818"/>
      <w:bookmarkStart w:id="653" w:name="_Toc226965739"/>
      <w:bookmarkStart w:id="654" w:name="_Toc150509300"/>
      <w:bookmarkStart w:id="655" w:name="_Toc226309793"/>
      <w:bookmarkStart w:id="656" w:name="_Toc142311051"/>
      <w:bookmarkStart w:id="657" w:name="_Toc264969239"/>
      <w:bookmarkStart w:id="658" w:name="_Toc150480787"/>
      <w:bookmarkStart w:id="659" w:name="_Toc127151549"/>
      <w:bookmarkStart w:id="660" w:name="_Toc149720842"/>
      <w:bookmarkStart w:id="661" w:name="_Toc195842914"/>
      <w:bookmarkStart w:id="662" w:name="_Toc151193647"/>
      <w:bookmarkStart w:id="663" w:name="_Toc151193791"/>
      <w:bookmarkStart w:id="664" w:name="_Toc164229390"/>
      <w:bookmarkStart w:id="665" w:name="_Toc127161463"/>
      <w:bookmarkStart w:id="666" w:name="_Toc151193937"/>
      <w:bookmarkStart w:id="667" w:name="_Toc151190176"/>
      <w:bookmarkStart w:id="668" w:name="_Toc265228387"/>
      <w:bookmarkStart w:id="669" w:name="_Toc164608663"/>
      <w:bookmarkStart w:id="670" w:name="_Toc151193719"/>
      <w:bookmarkStart w:id="671" w:name="_Toc164351643"/>
      <w:bookmarkStart w:id="672" w:name="_Toc226965822"/>
      <w:bookmarkStart w:id="673" w:name="_Toc226337245"/>
      <w:bookmarkStart w:id="674" w:name="_Toc127151750"/>
      <w:bookmarkStart w:id="675" w:name="_Toc164229244"/>
      <w:bookmarkStart w:id="676" w:name="_Toc151193863"/>
      <w:bookmarkStart w:id="677" w:name="_Toc150774754"/>
      <w:bookmarkStart w:id="678" w:name="_Toc520356176"/>
      <w:bookmarkStart w:id="679" w:name="_Ref467306425"/>
      <w:bookmarkStart w:id="680" w:name="_Ref467307090"/>
      <w:r>
        <w:rPr>
          <w:rFonts w:hint="eastAsia" w:ascii="仿宋" w:hAnsi="仿宋" w:eastAsia="仿宋" w:cs="仿宋"/>
          <w:color w:val="auto"/>
          <w:sz w:val="24"/>
          <w:highlight w:val="none"/>
        </w:rPr>
        <w:t>中标公告与中标通知书</w:t>
      </w:r>
      <w:bookmarkEnd w:id="649"/>
      <w:bookmarkEnd w:id="650"/>
    </w:p>
    <w:p w14:paraId="1C98FB8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采购人或采购代理机构自中标人确定之日起2个工作日内，</w:t>
      </w:r>
      <w:r>
        <w:rPr>
          <w:rFonts w:hint="eastAsia" w:ascii="仿宋" w:hAnsi="仿宋" w:eastAsia="仿宋" w:cs="仿宋"/>
          <w:color w:val="auto"/>
          <w:kern w:val="0"/>
          <w:sz w:val="24"/>
          <w:highlight w:val="none"/>
        </w:rPr>
        <w:t>在北京市政府采购网公告中标结果</w:t>
      </w:r>
      <w:r>
        <w:rPr>
          <w:rFonts w:hint="eastAsia" w:ascii="仿宋" w:hAnsi="仿宋" w:eastAsia="仿宋" w:cs="仿宋"/>
          <w:color w:val="auto"/>
          <w:sz w:val="24"/>
          <w:highlight w:val="none"/>
        </w:rPr>
        <w:t>，同时向中标人发出中标通知书，中标公告期限为1个工作日。</w:t>
      </w:r>
    </w:p>
    <w:p w14:paraId="37D67C9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中标通知书对采购人和中标供应商均具有法律效力。中标通知书发出后，采购人改变中标结果的，或者中标供应商放弃中标项目的，应当依法承担法律责任。</w:t>
      </w:r>
    </w:p>
    <w:p w14:paraId="3F7D7DE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废标</w:t>
      </w:r>
    </w:p>
    <w:p w14:paraId="2058393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在招标采购中，出现下列情形之一的，应予废标：</w:t>
      </w:r>
    </w:p>
    <w:p w14:paraId="44668A8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符合专业条件的供应商或者对招标文件作实质响应的供应商不足三家的；</w:t>
      </w:r>
    </w:p>
    <w:p w14:paraId="0261D24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出现影响采购公正的违法、违规行为的；</w:t>
      </w:r>
    </w:p>
    <w:p w14:paraId="220B39F0">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投标人的报价均超过了采购预算，采购人不能支付的；</w:t>
      </w:r>
    </w:p>
    <w:p w14:paraId="62A31C1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因重大变故，采购任务取消的。</w:t>
      </w:r>
    </w:p>
    <w:p w14:paraId="042C3C8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废标后，采购人将废标理由书面通知所有投标人。</w:t>
      </w:r>
    </w:p>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14:paraId="44ECA5AC">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681" w:name="_Toc127151550"/>
      <w:bookmarkStart w:id="682" w:name="_Toc127151751"/>
      <w:bookmarkStart w:id="683" w:name="_Toc226965740"/>
      <w:bookmarkStart w:id="684" w:name="_Toc195842915"/>
      <w:bookmarkStart w:id="685" w:name="_Toc149720843"/>
      <w:bookmarkStart w:id="686" w:name="_Ref467306377"/>
      <w:bookmarkStart w:id="687" w:name="_Toc265228388"/>
      <w:bookmarkStart w:id="688" w:name="_Toc150480788"/>
      <w:bookmarkStart w:id="689" w:name="_Toc151193864"/>
      <w:bookmarkStart w:id="690" w:name="_Ref467306978"/>
      <w:bookmarkStart w:id="691" w:name="_Toc305158818"/>
      <w:bookmarkStart w:id="692" w:name="_Ref467307204"/>
      <w:bookmarkStart w:id="693" w:name="_Toc151193720"/>
      <w:bookmarkStart w:id="694" w:name="_Toc151193792"/>
      <w:bookmarkStart w:id="695" w:name="_Toc142311052"/>
      <w:bookmarkStart w:id="696" w:name="_Toc127161464"/>
      <w:bookmarkStart w:id="697" w:name="_Toc164608664"/>
      <w:bookmarkStart w:id="698" w:name="_Toc150774650"/>
      <w:bookmarkStart w:id="699" w:name="_Toc151190177"/>
      <w:bookmarkStart w:id="700" w:name="_Toc520356175"/>
      <w:bookmarkStart w:id="701" w:name="_Toc150509301"/>
      <w:bookmarkStart w:id="702" w:name="_Toc151193648"/>
      <w:bookmarkStart w:id="703" w:name="_Toc264969240"/>
      <w:bookmarkStart w:id="704" w:name="_Toc226965823"/>
      <w:bookmarkStart w:id="705" w:name="_Toc305158892"/>
      <w:bookmarkStart w:id="706" w:name="_Toc150774755"/>
      <w:bookmarkStart w:id="707" w:name="_Toc164608819"/>
      <w:bookmarkStart w:id="708" w:name="_Toc164229245"/>
      <w:bookmarkStart w:id="709" w:name="_Toc226337246"/>
      <w:bookmarkStart w:id="710" w:name="_Toc151193938"/>
      <w:bookmarkStart w:id="711" w:name="_Toc226309794"/>
      <w:bookmarkStart w:id="712" w:name="_Ref467307062"/>
      <w:bookmarkStart w:id="713" w:name="_Toc164229391"/>
      <w:bookmarkStart w:id="714" w:name="_Toc164351644"/>
      <w:r>
        <w:rPr>
          <w:rFonts w:hint="eastAsia" w:ascii="仿宋" w:hAnsi="仿宋" w:eastAsia="仿宋" w:cs="仿宋"/>
          <w:color w:val="auto"/>
          <w:sz w:val="24"/>
          <w:highlight w:val="none"/>
        </w:rPr>
        <w:t>签订合同</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9DC52D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中标人、采购人应当自中标通知书发出之日起30日内，按照招标文件和中标人投标文件的规定签订书面合同。所签订的合同不得对招标文件确定的事项和中标人投标文件作实质性修改。</w:t>
      </w:r>
    </w:p>
    <w:p w14:paraId="22789853">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中标人拒绝与采购人签订合同的，采购人可以按照评标报告推荐的中标候选人名单排序，确定下一候选人为中标人，也可以重新开展政府采购活动。</w:t>
      </w:r>
    </w:p>
    <w:p w14:paraId="0FCEA65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联合体中标的，联合体各方应当共同与采购人签订合同，就采购合同约定的事项向采购人承担连带责任。</w:t>
      </w:r>
    </w:p>
    <w:p w14:paraId="264CB6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政府采购合同不能转包。</w:t>
      </w:r>
    </w:p>
    <w:p w14:paraId="499B5BAF">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否则</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。中标人就采购项目和分包项目向采购人负责，分包供应商就分包项目承担责任。</w:t>
      </w:r>
    </w:p>
    <w:p w14:paraId="6CADAA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“政采贷”融资指引：详见《投标人须知资料表》。</w:t>
      </w:r>
    </w:p>
    <w:bookmarkEnd w:id="678"/>
    <w:bookmarkEnd w:id="679"/>
    <w:bookmarkEnd w:id="680"/>
    <w:p w14:paraId="5D83E60A">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询问与质疑</w:t>
      </w:r>
    </w:p>
    <w:p w14:paraId="314F2A9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询问</w:t>
      </w:r>
    </w:p>
    <w:p w14:paraId="5367430E">
      <w:pPr>
        <w:numPr>
          <w:ilvl w:val="2"/>
          <w:numId w:val="8"/>
        </w:numPr>
        <w:snapToGrid w:val="0"/>
        <w:spacing w:line="360" w:lineRule="auto"/>
        <w:rPr>
          <w:rFonts w:hint="eastAsia" w:ascii="仿宋" w:hAnsi="仿宋" w:eastAsia="仿宋" w:cs="仿宋"/>
          <w:color w:val="auto"/>
          <w:sz w:val="24"/>
          <w:highlight w:val="none"/>
        </w:rPr>
      </w:pPr>
      <w:bookmarkStart w:id="715" w:name="_Hlk179293370"/>
      <w:r>
        <w:rPr>
          <w:rFonts w:hint="eastAsia" w:ascii="仿宋" w:hAnsi="仿宋" w:eastAsia="仿宋" w:cs="仿宋"/>
          <w:color w:val="auto"/>
          <w:sz w:val="24"/>
          <w:highlight w:val="none"/>
        </w:rPr>
        <w:t>投标人对政府采购活动事项有疑问的，可依法向采购人或采购代理机构提出询问，提出形式见《投标人须知资料表》。</w:t>
      </w:r>
      <w:bookmarkEnd w:id="715"/>
    </w:p>
    <w:p w14:paraId="08F3C76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采购人或采购代理机构对供应商依法提出的询问，在3个工作日内作出答复，但答复的内容不得涉及商业秘密。</w:t>
      </w:r>
    </w:p>
    <w:p w14:paraId="07C5EC4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质疑</w:t>
      </w:r>
    </w:p>
    <w:p w14:paraId="4CF24A8D">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3E9C6D0C">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备注：供应商应知其权益受到损害之日，是指：</w:t>
      </w:r>
    </w:p>
    <w:p w14:paraId="28EAB756">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①对可以质疑的</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文件提出质疑的，为收到</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文件之日或者</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文件公告期限届满之日；</w:t>
      </w:r>
    </w:p>
    <w:p w14:paraId="393BFDA5">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②对采购过程提出质疑的，为各采购程序环节结束之日；</w:t>
      </w:r>
    </w:p>
    <w:p w14:paraId="08391A18">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③对成交结果提出质疑的，为成交结果公告期限届满之日。</w:t>
      </w:r>
    </w:p>
    <w:p w14:paraId="0F784478">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质疑函须使用财政部制定的范本文件。投标人为自然人的，质疑函应当由本人签字；投标人为法人或者其他组织的，质疑函应当由法定代表人、主要负责人，或者其授权代表签字或者盖章，并加盖公章。</w:t>
      </w:r>
    </w:p>
    <w:p w14:paraId="08DE120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0CAC299F">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投标人应在法定质疑期内一次性提出针对同一采购程序环节的质疑，法定质疑期内针对同一采购程序环节再次提出的质疑，采购人、采购代理机构有权不予答复。</w:t>
      </w:r>
    </w:p>
    <w:p w14:paraId="766829D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接收询问和质疑的联系部门、联系电话和通讯地址见《投标人须知资料表》。</w:t>
      </w:r>
    </w:p>
    <w:p w14:paraId="1AC58F2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代理费</w:t>
      </w:r>
    </w:p>
    <w:p w14:paraId="3E502A5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收费对象、收费标准及缴纳时间见《投标人须知资料表》。由中标人支付的，中标人须一次性向采购代理机构缴纳代理费，投标报价应包含代理费用。</w:t>
      </w:r>
    </w:p>
    <w:p w14:paraId="6303F6DF">
      <w:pPr>
        <w:tabs>
          <w:tab w:val="left" w:pos="360"/>
          <w:tab w:val="left" w:pos="1080"/>
        </w:tabs>
        <w:snapToGrid w:val="0"/>
        <w:spacing w:line="360" w:lineRule="auto"/>
        <w:ind w:left="360"/>
        <w:rPr>
          <w:rFonts w:hint="eastAsia" w:ascii="仿宋" w:hAnsi="仿宋" w:eastAsia="仿宋" w:cs="仿宋"/>
          <w:color w:val="auto"/>
          <w:sz w:val="24"/>
          <w:highlight w:val="none"/>
        </w:rPr>
      </w:pPr>
    </w:p>
    <w:p w14:paraId="22327D08">
      <w:pPr>
        <w:spacing w:line="360" w:lineRule="auto"/>
        <w:jc w:val="center"/>
        <w:outlineLvl w:val="0"/>
        <w:rPr>
          <w:rFonts w:hint="eastAsia" w:ascii="仿宋" w:hAnsi="仿宋" w:eastAsia="仿宋" w:cs="仿宋"/>
          <w:b/>
          <w:color w:val="auto"/>
          <w:sz w:val="36"/>
          <w:szCs w:val="36"/>
          <w:highlight w:val="none"/>
        </w:rPr>
      </w:pPr>
      <w:bookmarkStart w:id="716" w:name="_Toc226337250"/>
      <w:bookmarkStart w:id="717" w:name="_Toc305158822"/>
      <w:bookmarkStart w:id="718" w:name="_Toc353825544"/>
      <w:bookmarkStart w:id="719" w:name="_Toc127151554"/>
      <w:bookmarkStart w:id="720" w:name="_Toc353873934"/>
      <w:bookmarkStart w:id="721" w:name="_Toc142311056"/>
      <w:bookmarkStart w:id="722" w:name="_Toc305158896"/>
      <w:bookmarkStart w:id="723" w:name="_Toc226965827"/>
      <w:bookmarkStart w:id="724" w:name="_Toc150774759"/>
      <w:bookmarkStart w:id="725" w:name="_Toc265228392"/>
      <w:bookmarkStart w:id="726" w:name="_Toc150480792"/>
      <w:bookmarkStart w:id="727" w:name="_Toc264969244"/>
      <w:bookmarkStart w:id="728" w:name="_Toc353873664"/>
      <w:r>
        <w:rPr>
          <w:rFonts w:hint="eastAsia" w:ascii="仿宋" w:hAnsi="仿宋" w:eastAsia="仿宋" w:cs="仿宋"/>
          <w:color w:val="auto"/>
          <w:sz w:val="24"/>
          <w:highlight w:val="none"/>
        </w:rPr>
        <w:br w:type="page"/>
      </w:r>
      <w:bookmarkStart w:id="729" w:name="_Toc99301421"/>
      <w:r>
        <w:rPr>
          <w:rFonts w:hint="eastAsia" w:ascii="仿宋" w:hAnsi="仿宋" w:eastAsia="仿宋" w:cs="仿宋"/>
          <w:b/>
          <w:color w:val="auto"/>
          <w:sz w:val="36"/>
          <w:szCs w:val="36"/>
          <w:highlight w:val="none"/>
        </w:rPr>
        <w:t xml:space="preserve">第三章   </w:t>
      </w:r>
      <w:bookmarkEnd w:id="716"/>
      <w:bookmarkEnd w:id="717"/>
      <w:bookmarkEnd w:id="718"/>
      <w:bookmarkEnd w:id="719"/>
      <w:bookmarkEnd w:id="720"/>
      <w:bookmarkEnd w:id="721"/>
      <w:bookmarkEnd w:id="722"/>
      <w:bookmarkEnd w:id="723"/>
      <w:bookmarkEnd w:id="724"/>
      <w:bookmarkEnd w:id="725"/>
      <w:bookmarkEnd w:id="726"/>
      <w:bookmarkEnd w:id="727"/>
      <w:bookmarkEnd w:id="728"/>
      <w:r>
        <w:rPr>
          <w:rFonts w:hint="eastAsia" w:ascii="仿宋" w:hAnsi="仿宋" w:eastAsia="仿宋" w:cs="仿宋"/>
          <w:b/>
          <w:color w:val="auto"/>
          <w:sz w:val="36"/>
          <w:szCs w:val="36"/>
          <w:highlight w:val="none"/>
        </w:rPr>
        <w:t>资格审查</w:t>
      </w:r>
      <w:bookmarkEnd w:id="729"/>
      <w:bookmarkStart w:id="730" w:name="_Toc487900382"/>
    </w:p>
    <w:p w14:paraId="4993DD2B">
      <w:pPr>
        <w:tabs>
          <w:tab w:val="left" w:pos="360"/>
          <w:tab w:val="left" w:pos="900"/>
        </w:tabs>
        <w:snapToGrid w:val="0"/>
        <w:spacing w:line="360" w:lineRule="auto"/>
        <w:jc w:val="center"/>
        <w:outlineLvl w:val="1"/>
        <w:rPr>
          <w:rFonts w:hint="eastAsia" w:ascii="仿宋" w:hAnsi="仿宋" w:eastAsia="仿宋" w:cs="仿宋"/>
          <w:b/>
          <w:color w:val="auto"/>
          <w:sz w:val="24"/>
          <w:highlight w:val="none"/>
        </w:rPr>
      </w:pPr>
      <w:bookmarkStart w:id="731" w:name="_Toc99301422"/>
      <w:r>
        <w:rPr>
          <w:rFonts w:hint="eastAsia" w:ascii="仿宋" w:hAnsi="仿宋" w:eastAsia="仿宋" w:cs="仿宋"/>
          <w:b/>
          <w:color w:val="auto"/>
          <w:sz w:val="24"/>
          <w:highlight w:val="none"/>
        </w:rPr>
        <w:t>一、资格审查程序</w:t>
      </w:r>
      <w:bookmarkEnd w:id="731"/>
    </w:p>
    <w:p w14:paraId="61D02330">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开标结束后，采购人或采购代理机构将根据《资格审查要求》中的规定，对投标人进行资格审查，并形成资格审查结果。</w:t>
      </w:r>
    </w:p>
    <w:p w14:paraId="61B26223">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《资格审查要求》中对格式有要求的，除招标文件另有规定外，均为“实质性格式”文件。</w:t>
      </w:r>
    </w:p>
    <w:p w14:paraId="43E1C628">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投标人《资格证明文件》有任何一项不符合《资格审查要求》的，资格审查不合格，其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783756A">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资格审查合格的投标人不足3家的，不进行评标。</w:t>
      </w:r>
    </w:p>
    <w:p w14:paraId="4952C31D">
      <w:pPr>
        <w:widowControl/>
        <w:jc w:val="left"/>
        <w:rPr>
          <w:rFonts w:hint="eastAsia" w:ascii="仿宋" w:hAnsi="仿宋" w:eastAsia="仿宋" w:cs="仿宋"/>
          <w:color w:val="auto"/>
          <w:sz w:val="24"/>
          <w:highlight w:val="none"/>
        </w:rPr>
      </w:pPr>
    </w:p>
    <w:p w14:paraId="0D5733CF">
      <w:pPr>
        <w:tabs>
          <w:tab w:val="left" w:pos="360"/>
          <w:tab w:val="left" w:pos="900"/>
        </w:tabs>
        <w:snapToGrid w:val="0"/>
        <w:spacing w:line="360" w:lineRule="auto"/>
        <w:jc w:val="center"/>
        <w:outlineLvl w:val="1"/>
        <w:rPr>
          <w:rFonts w:hint="eastAsia" w:ascii="仿宋" w:hAnsi="仿宋" w:eastAsia="仿宋" w:cs="仿宋"/>
          <w:b/>
          <w:color w:val="auto"/>
          <w:sz w:val="24"/>
          <w:highlight w:val="none"/>
        </w:rPr>
      </w:pPr>
      <w:bookmarkStart w:id="732" w:name="_Hlk143693557"/>
      <w:r>
        <w:rPr>
          <w:rFonts w:hint="eastAsia" w:ascii="仿宋" w:hAnsi="仿宋" w:eastAsia="仿宋" w:cs="仿宋"/>
          <w:b/>
          <w:color w:val="auto"/>
          <w:sz w:val="24"/>
          <w:highlight w:val="none"/>
        </w:rPr>
        <w:t>二、资格审查要求</w:t>
      </w:r>
      <w:bookmarkEnd w:id="732"/>
    </w:p>
    <w:tbl>
      <w:tblPr>
        <w:tblStyle w:val="4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7"/>
        <w:gridCol w:w="2126"/>
        <w:gridCol w:w="5173"/>
        <w:gridCol w:w="1757"/>
      </w:tblGrid>
      <w:tr w14:paraId="6A0D7F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trPr>
        <w:tc>
          <w:tcPr>
            <w:tcW w:w="455" w:type="pct"/>
            <w:vAlign w:val="center"/>
          </w:tcPr>
          <w:p w14:paraId="5D115A71">
            <w:pPr>
              <w:tabs>
                <w:tab w:val="left" w:pos="1080"/>
              </w:tabs>
              <w:snapToGrid w:val="0"/>
              <w:jc w:val="center"/>
              <w:rPr>
                <w:rFonts w:hint="eastAsia" w:ascii="仿宋" w:hAnsi="仿宋" w:eastAsia="仿宋" w:cs="仿宋"/>
                <w:b/>
                <w:color w:val="auto"/>
                <w:sz w:val="24"/>
                <w:highlight w:val="none"/>
              </w:rPr>
            </w:pPr>
            <w:bookmarkStart w:id="733" w:name="_Hlt487972895"/>
            <w:bookmarkEnd w:id="733"/>
            <w:bookmarkStart w:id="734" w:name="_Hlk143693460"/>
            <w:r>
              <w:rPr>
                <w:rFonts w:hint="eastAsia" w:ascii="仿宋" w:hAnsi="仿宋" w:eastAsia="仿宋" w:cs="仿宋"/>
                <w:b/>
                <w:color w:val="auto"/>
                <w:sz w:val="24"/>
                <w:highlight w:val="none"/>
              </w:rPr>
              <w:t>序号</w:t>
            </w:r>
          </w:p>
        </w:tc>
        <w:tc>
          <w:tcPr>
            <w:tcW w:w="1067" w:type="pct"/>
            <w:vAlign w:val="center"/>
          </w:tcPr>
          <w:p w14:paraId="47B524C9">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审查因素</w:t>
            </w:r>
          </w:p>
        </w:tc>
        <w:tc>
          <w:tcPr>
            <w:tcW w:w="2596" w:type="pct"/>
            <w:vAlign w:val="center"/>
          </w:tcPr>
          <w:p w14:paraId="3F6D43A3">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审查内容</w:t>
            </w:r>
          </w:p>
        </w:tc>
        <w:tc>
          <w:tcPr>
            <w:tcW w:w="882" w:type="pct"/>
            <w:vAlign w:val="center"/>
          </w:tcPr>
          <w:p w14:paraId="622B2D48">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格式要求</w:t>
            </w:r>
          </w:p>
        </w:tc>
      </w:tr>
      <w:tr w14:paraId="1ABE08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458A7191">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067" w:type="pct"/>
            <w:vAlign w:val="center"/>
          </w:tcPr>
          <w:p w14:paraId="13A32A8A">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满足《中华人民共和国政府采购法》第二十二条规定</w:t>
            </w:r>
          </w:p>
        </w:tc>
        <w:tc>
          <w:tcPr>
            <w:tcW w:w="2596" w:type="pct"/>
            <w:vAlign w:val="center"/>
          </w:tcPr>
          <w:p w14:paraId="79C99824">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具体规定见第一章《投标邀请》</w:t>
            </w:r>
          </w:p>
        </w:tc>
        <w:tc>
          <w:tcPr>
            <w:tcW w:w="882" w:type="pct"/>
            <w:vAlign w:val="center"/>
          </w:tcPr>
          <w:p w14:paraId="2FA10F88">
            <w:pPr>
              <w:tabs>
                <w:tab w:val="left" w:pos="1080"/>
              </w:tabs>
              <w:snapToGrid w:val="0"/>
              <w:rPr>
                <w:rFonts w:hint="eastAsia" w:ascii="仿宋" w:hAnsi="仿宋" w:eastAsia="仿宋" w:cs="仿宋"/>
                <w:color w:val="auto"/>
                <w:sz w:val="24"/>
                <w:highlight w:val="none"/>
              </w:rPr>
            </w:pPr>
          </w:p>
        </w:tc>
      </w:tr>
      <w:tr w14:paraId="51103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468" w:hRule="atLeast"/>
        </w:trPr>
        <w:tc>
          <w:tcPr>
            <w:tcW w:w="455" w:type="pct"/>
            <w:vAlign w:val="center"/>
          </w:tcPr>
          <w:p w14:paraId="69338868">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1-1</w:t>
            </w:r>
          </w:p>
        </w:tc>
        <w:tc>
          <w:tcPr>
            <w:tcW w:w="1067" w:type="pct"/>
            <w:vAlign w:val="center"/>
          </w:tcPr>
          <w:p w14:paraId="35F4FCD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营业执照等证明文件</w:t>
            </w:r>
          </w:p>
        </w:tc>
        <w:tc>
          <w:tcPr>
            <w:tcW w:w="2596" w:type="pct"/>
            <w:vAlign w:val="center"/>
          </w:tcPr>
          <w:p w14:paraId="35B20C0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投标人为企业（包括合伙企业）的，应提供有效的“营业执照”；</w:t>
            </w:r>
          </w:p>
          <w:p w14:paraId="7B1FC5F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投标人为事业单位的，应提供有效的“事业单位法人证书”；</w:t>
            </w:r>
          </w:p>
          <w:p w14:paraId="1CF555F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投标人是非企业机构的，应提供有效的“执业许可证”、“登记证书”等证明文件；</w:t>
            </w:r>
          </w:p>
          <w:p w14:paraId="79307714">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投标人是个体工商户的，应提供有效的“个体工商户营业执照”；</w:t>
            </w:r>
          </w:p>
          <w:p w14:paraId="473AB92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投标人是自然人的，应提供有效的自然人身份证明。</w:t>
            </w:r>
          </w:p>
          <w:p w14:paraId="0EA50AF2">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分支机构参加投标的，应提供该分支机构或其所属法人/其他组织的相应证明文件；同时还应提供其所属法人/其他组织出具的授权其参与本项目的授权书（格式自拟，须加盖其所属法人/其他组织的公章）；对于</w:t>
            </w:r>
            <w:r>
              <w:rPr>
                <w:rFonts w:hint="eastAsia" w:ascii="仿宋" w:hAnsi="仿宋" w:eastAsia="仿宋" w:cs="仿宋"/>
                <w:iCs/>
                <w:color w:val="auto"/>
                <w:sz w:val="24"/>
                <w:highlight w:val="none"/>
              </w:rPr>
              <w:t>银行、保险、石油石化、电力、电信等行业的分支机构，可以提供上述</w:t>
            </w:r>
            <w:r>
              <w:rPr>
                <w:rFonts w:hint="eastAsia" w:ascii="仿宋" w:hAnsi="仿宋" w:eastAsia="仿宋" w:cs="仿宋"/>
                <w:color w:val="auto"/>
                <w:sz w:val="24"/>
                <w:highlight w:val="none"/>
              </w:rPr>
              <w:t>授权，也可以提供其所属法人/其他组织的有关文件或制度等能够证明授权其独立开展业务的证明材料。</w:t>
            </w:r>
          </w:p>
        </w:tc>
        <w:tc>
          <w:tcPr>
            <w:tcW w:w="882" w:type="pct"/>
            <w:vAlign w:val="center"/>
          </w:tcPr>
          <w:p w14:paraId="116E57A5">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提供证明文件的电子件或电子证照</w:t>
            </w:r>
          </w:p>
        </w:tc>
      </w:tr>
      <w:tr w14:paraId="2CB20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A5BD29F">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1-2</w:t>
            </w:r>
          </w:p>
        </w:tc>
        <w:tc>
          <w:tcPr>
            <w:tcW w:w="1067" w:type="pct"/>
            <w:vAlign w:val="center"/>
          </w:tcPr>
          <w:p w14:paraId="11FE4EA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投标人资格声明书</w:t>
            </w:r>
          </w:p>
        </w:tc>
        <w:tc>
          <w:tcPr>
            <w:tcW w:w="2596" w:type="pct"/>
            <w:vAlign w:val="center"/>
          </w:tcPr>
          <w:p w14:paraId="6815F75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提供了符合招标文件要求的《投标人资格声明书》。</w:t>
            </w:r>
          </w:p>
        </w:tc>
        <w:tc>
          <w:tcPr>
            <w:tcW w:w="882" w:type="pct"/>
            <w:vAlign w:val="center"/>
          </w:tcPr>
          <w:p w14:paraId="3AED3DCD">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格式见《投标文件格式》</w:t>
            </w:r>
          </w:p>
        </w:tc>
      </w:tr>
      <w:tr w14:paraId="52930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78FBDB42">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1-3</w:t>
            </w:r>
          </w:p>
        </w:tc>
        <w:tc>
          <w:tcPr>
            <w:tcW w:w="1067" w:type="pct"/>
            <w:vAlign w:val="center"/>
          </w:tcPr>
          <w:p w14:paraId="30B3BF3E">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投标人信用记录</w:t>
            </w:r>
          </w:p>
        </w:tc>
        <w:tc>
          <w:tcPr>
            <w:tcW w:w="2596" w:type="pct"/>
            <w:vAlign w:val="center"/>
          </w:tcPr>
          <w:p w14:paraId="7FF85570">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查询渠道：信用中国网站和中国政府采购网（</w:t>
            </w:r>
            <w:r>
              <w:rPr>
                <w:rFonts w:hint="eastAsia" w:ascii="仿宋" w:hAnsi="仿宋" w:eastAsia="仿宋" w:cs="仿宋"/>
                <w:color w:val="auto"/>
                <w:highlight w:val="none"/>
              </w:rPr>
              <w:t>www.creditchina.gov.cn</w:t>
            </w:r>
            <w:r>
              <w:rPr>
                <w:rFonts w:hint="eastAsia" w:ascii="仿宋" w:hAnsi="仿宋" w:eastAsia="仿宋" w:cs="仿宋"/>
                <w:color w:val="auto"/>
                <w:sz w:val="24"/>
                <w:highlight w:val="none"/>
              </w:rPr>
              <w:t>、</w:t>
            </w:r>
            <w:r>
              <w:rPr>
                <w:rFonts w:hint="eastAsia" w:ascii="仿宋" w:hAnsi="仿宋" w:eastAsia="仿宋" w:cs="仿宋"/>
                <w:color w:val="auto"/>
                <w:highlight w:val="none"/>
              </w:rPr>
              <w:t>www.ccgp.gov.cn</w:t>
            </w:r>
            <w:r>
              <w:rPr>
                <w:rFonts w:hint="eastAsia" w:ascii="仿宋" w:hAnsi="仿宋" w:eastAsia="仿宋" w:cs="仿宋"/>
                <w:color w:val="auto"/>
                <w:sz w:val="24"/>
                <w:highlight w:val="none"/>
              </w:rPr>
              <w:t>）；</w:t>
            </w:r>
          </w:p>
          <w:p w14:paraId="1D47C977">
            <w:pPr>
              <w:tabs>
                <w:tab w:val="left" w:pos="900"/>
                <w:tab w:val="left" w:pos="19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截止时点：投标截止时间以后、资格审查阶段采购人或采购代理机构的实际查询时间；</w:t>
            </w:r>
          </w:p>
          <w:p w14:paraId="6D42220C">
            <w:pPr>
              <w:tabs>
                <w:tab w:val="left" w:pos="900"/>
                <w:tab w:val="left" w:pos="19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信用信息查询记录和证据留存具体方式：查询结果网页打印页作为查询记录和证据，与其他采购文件一并保存；</w:t>
            </w:r>
          </w:p>
          <w:p w14:paraId="1526EC5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信用信息的使用原则：经认定的被列入失信被执行人、重大税收违法案件当事人名单、政府采购严重违法失信行为记录名单的投标人，其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。联合体形式投标的，联合体成员存在不良信用记录，视同联合体存在不良信用记录。</w:t>
            </w:r>
          </w:p>
        </w:tc>
        <w:tc>
          <w:tcPr>
            <w:tcW w:w="882" w:type="pct"/>
            <w:vAlign w:val="center"/>
          </w:tcPr>
          <w:p w14:paraId="64FA894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无须投标人提供，由采购人或采购代理机构查询。</w:t>
            </w:r>
          </w:p>
        </w:tc>
      </w:tr>
      <w:tr w14:paraId="35633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0A17835">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1-4</w:t>
            </w:r>
          </w:p>
        </w:tc>
        <w:tc>
          <w:tcPr>
            <w:tcW w:w="1067" w:type="pct"/>
            <w:vAlign w:val="center"/>
          </w:tcPr>
          <w:p w14:paraId="1BE8CDCC">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法律、行政法规规定的其他条件</w:t>
            </w:r>
          </w:p>
        </w:tc>
        <w:tc>
          <w:tcPr>
            <w:tcW w:w="2596" w:type="pct"/>
            <w:vAlign w:val="center"/>
          </w:tcPr>
          <w:p w14:paraId="4CDA3AB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法律、行政法规规定的其他条件</w:t>
            </w:r>
          </w:p>
        </w:tc>
        <w:tc>
          <w:tcPr>
            <w:tcW w:w="882" w:type="pct"/>
            <w:vAlign w:val="center"/>
          </w:tcPr>
          <w:p w14:paraId="1D8EEB9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r w14:paraId="584215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08F952D0">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067" w:type="pct"/>
            <w:vAlign w:val="center"/>
          </w:tcPr>
          <w:p w14:paraId="03CD64B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本项目对于联合体的要求</w:t>
            </w:r>
          </w:p>
        </w:tc>
        <w:tc>
          <w:tcPr>
            <w:tcW w:w="2596" w:type="pct"/>
            <w:vAlign w:val="center"/>
          </w:tcPr>
          <w:p w14:paraId="03804CB3">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本项目不接受联合体投标时，投标人不得为联合体。</w:t>
            </w:r>
          </w:p>
        </w:tc>
        <w:tc>
          <w:tcPr>
            <w:tcW w:w="882" w:type="pct"/>
            <w:vAlign w:val="center"/>
          </w:tcPr>
          <w:p w14:paraId="2A64B32A">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r w14:paraId="6DD53B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2F8370A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067" w:type="pct"/>
            <w:vAlign w:val="center"/>
          </w:tcPr>
          <w:p w14:paraId="0838C4C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w:t>
            </w:r>
          </w:p>
        </w:tc>
        <w:tc>
          <w:tcPr>
            <w:tcW w:w="2596" w:type="pct"/>
            <w:vAlign w:val="center"/>
          </w:tcPr>
          <w:p w14:paraId="7FAF5627">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按照招标文件的规定提交投标保证金。</w:t>
            </w:r>
          </w:p>
        </w:tc>
        <w:tc>
          <w:tcPr>
            <w:tcW w:w="882" w:type="pct"/>
            <w:vAlign w:val="center"/>
          </w:tcPr>
          <w:p w14:paraId="6DA95A2C">
            <w:pPr>
              <w:tabs>
                <w:tab w:val="left" w:pos="1080"/>
              </w:tabs>
              <w:snapToGrid w:val="0"/>
              <w:rPr>
                <w:rFonts w:hint="eastAsia" w:ascii="仿宋" w:hAnsi="仿宋" w:eastAsia="仿宋" w:cs="仿宋"/>
                <w:color w:val="auto"/>
                <w:sz w:val="24"/>
                <w:highlight w:val="none"/>
              </w:rPr>
            </w:pPr>
          </w:p>
        </w:tc>
      </w:tr>
      <w:tr w14:paraId="068B6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DDE715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067" w:type="pct"/>
            <w:vAlign w:val="center"/>
          </w:tcPr>
          <w:p w14:paraId="1A9A044C">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获取招标文件</w:t>
            </w:r>
          </w:p>
        </w:tc>
        <w:tc>
          <w:tcPr>
            <w:tcW w:w="2596" w:type="pct"/>
            <w:vAlign w:val="center"/>
          </w:tcPr>
          <w:p w14:paraId="74E376F6">
            <w:pPr>
              <w:tabs>
                <w:tab w:val="left" w:pos="1080"/>
              </w:tabs>
              <w:snapToGrid w:val="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在规定期限内通过北京市政府采购电子交易平台获取所参与包的招标文件。</w:t>
            </w:r>
          </w:p>
        </w:tc>
        <w:tc>
          <w:tcPr>
            <w:tcW w:w="882" w:type="pct"/>
            <w:vAlign w:val="center"/>
          </w:tcPr>
          <w:p w14:paraId="37C344C6">
            <w:pPr>
              <w:tabs>
                <w:tab w:val="left" w:pos="1080"/>
              </w:tabs>
              <w:snapToGrid w:val="0"/>
              <w:rPr>
                <w:rFonts w:hint="eastAsia" w:ascii="仿宋" w:hAnsi="仿宋" w:eastAsia="仿宋" w:cs="仿宋"/>
                <w:color w:val="auto"/>
                <w:sz w:val="24"/>
                <w:highlight w:val="none"/>
              </w:rPr>
            </w:pPr>
          </w:p>
        </w:tc>
      </w:t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30"/>
      <w:bookmarkEnd w:id="734"/>
    </w:tbl>
    <w:p w14:paraId="15A4469A">
      <w:pPr>
        <w:widowControl/>
        <w:jc w:val="left"/>
        <w:rPr>
          <w:rFonts w:hint="eastAsia" w:ascii="仿宋" w:hAnsi="仿宋" w:eastAsia="仿宋" w:cs="仿宋"/>
          <w:color w:val="auto"/>
          <w:sz w:val="24"/>
          <w:highlight w:val="none"/>
        </w:rPr>
      </w:pPr>
      <w:bookmarkStart w:id="735" w:name="_Hlt487900425"/>
      <w:bookmarkEnd w:id="735"/>
      <w:bookmarkStart w:id="736" w:name="_Hlt522424701"/>
      <w:bookmarkEnd w:id="736"/>
      <w:bookmarkStart w:id="737" w:name="_Toc226965858"/>
      <w:bookmarkStart w:id="738" w:name="_Toc353825550"/>
      <w:bookmarkStart w:id="739" w:name="_Toc127151779"/>
      <w:bookmarkStart w:id="740" w:name="_Toc353873940"/>
      <w:bookmarkStart w:id="741" w:name="_Toc127161490"/>
      <w:r>
        <w:rPr>
          <w:rFonts w:hint="eastAsia" w:ascii="仿宋" w:hAnsi="仿宋" w:eastAsia="仿宋" w:cs="仿宋"/>
          <w:color w:val="auto"/>
          <w:sz w:val="24"/>
          <w:highlight w:val="none"/>
        </w:rPr>
        <w:br w:type="page"/>
      </w:r>
    </w:p>
    <w:p w14:paraId="7F38EEEE">
      <w:pPr>
        <w:spacing w:line="360" w:lineRule="auto"/>
        <w:jc w:val="center"/>
        <w:outlineLvl w:val="0"/>
        <w:rPr>
          <w:rFonts w:hint="eastAsia" w:ascii="仿宋" w:hAnsi="仿宋" w:eastAsia="仿宋" w:cs="仿宋"/>
          <w:b/>
          <w:color w:val="auto"/>
          <w:sz w:val="36"/>
          <w:szCs w:val="36"/>
          <w:highlight w:val="none"/>
        </w:rPr>
      </w:pPr>
      <w:bookmarkStart w:id="742" w:name="_Toc99301423"/>
      <w:r>
        <w:rPr>
          <w:rFonts w:hint="eastAsia" w:ascii="仿宋" w:hAnsi="仿宋" w:eastAsia="仿宋" w:cs="仿宋"/>
          <w:b/>
          <w:color w:val="auto"/>
          <w:sz w:val="36"/>
          <w:szCs w:val="36"/>
          <w:highlight w:val="none"/>
        </w:rPr>
        <w:t xml:space="preserve">第四章   </w:t>
      </w:r>
      <w:bookmarkEnd w:id="737"/>
      <w:bookmarkEnd w:id="738"/>
      <w:bookmarkEnd w:id="739"/>
      <w:bookmarkEnd w:id="740"/>
      <w:bookmarkEnd w:id="741"/>
      <w:bookmarkStart w:id="743" w:name="_Hlt164229061"/>
      <w:bookmarkEnd w:id="743"/>
      <w:r>
        <w:rPr>
          <w:rFonts w:hint="eastAsia" w:ascii="仿宋" w:hAnsi="仿宋" w:eastAsia="仿宋" w:cs="仿宋"/>
          <w:b/>
          <w:color w:val="auto"/>
          <w:sz w:val="36"/>
          <w:szCs w:val="36"/>
          <w:highlight w:val="none"/>
        </w:rPr>
        <w:t>评标程序、评标方法和评标标准</w:t>
      </w:r>
      <w:bookmarkEnd w:id="742"/>
    </w:p>
    <w:p w14:paraId="260393A8">
      <w:pPr>
        <w:tabs>
          <w:tab w:val="left" w:pos="360"/>
          <w:tab w:val="left" w:pos="900"/>
        </w:tabs>
        <w:snapToGrid w:val="0"/>
        <w:spacing w:line="360" w:lineRule="auto"/>
        <w:jc w:val="center"/>
        <w:outlineLvl w:val="1"/>
        <w:rPr>
          <w:rFonts w:hint="eastAsia" w:ascii="仿宋" w:hAnsi="仿宋" w:eastAsia="仿宋" w:cs="仿宋"/>
          <w:b/>
          <w:color w:val="auto"/>
          <w:highlight w:val="none"/>
        </w:rPr>
      </w:pPr>
      <w:r>
        <w:rPr>
          <w:rFonts w:hint="eastAsia" w:ascii="仿宋" w:hAnsi="仿宋" w:eastAsia="仿宋" w:cs="仿宋"/>
          <w:b/>
          <w:color w:val="auto"/>
          <w:sz w:val="24"/>
          <w:highlight w:val="none"/>
        </w:rPr>
        <w:t>一、评标方法</w:t>
      </w:r>
    </w:p>
    <w:p w14:paraId="5F9CD300">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bookmarkStart w:id="744" w:name="_Toc127161455"/>
      <w:bookmarkStart w:id="745" w:name="_Toc151193639"/>
      <w:bookmarkStart w:id="746" w:name="_Toc164351635"/>
      <w:bookmarkStart w:id="747" w:name="_Toc150774641"/>
      <w:bookmarkStart w:id="748" w:name="_Toc150509292"/>
      <w:bookmarkStart w:id="749" w:name="_Toc226965814"/>
      <w:bookmarkStart w:id="750" w:name="_Toc164229236"/>
      <w:bookmarkStart w:id="751" w:name="_Toc164229382"/>
      <w:bookmarkStart w:id="752" w:name="_Toc164608810"/>
      <w:bookmarkStart w:id="753" w:name="_Toc226309785"/>
      <w:bookmarkStart w:id="754" w:name="_Toc195842906"/>
      <w:bookmarkStart w:id="755" w:name="_Toc305158883"/>
      <w:bookmarkStart w:id="756" w:name="_Toc164608655"/>
      <w:bookmarkStart w:id="757" w:name="_Toc151193855"/>
      <w:bookmarkStart w:id="758" w:name="_Toc226337237"/>
      <w:bookmarkStart w:id="759" w:name="_Toc127151541"/>
      <w:bookmarkStart w:id="760" w:name="_Toc265228379"/>
      <w:bookmarkStart w:id="761" w:name="_Toc305158809"/>
      <w:bookmarkStart w:id="762" w:name="_Toc226965731"/>
      <w:bookmarkStart w:id="763" w:name="_Toc150480779"/>
      <w:bookmarkStart w:id="764" w:name="_Toc149720834"/>
      <w:bookmarkStart w:id="765" w:name="_Toc151193929"/>
      <w:bookmarkStart w:id="766" w:name="_Toc150774746"/>
      <w:bookmarkStart w:id="767" w:name="_Toc151193711"/>
      <w:bookmarkStart w:id="768" w:name="_Toc151193783"/>
      <w:bookmarkStart w:id="769" w:name="_Toc127151742"/>
      <w:bookmarkStart w:id="770" w:name="_Toc264969231"/>
      <w:bookmarkStart w:id="771" w:name="_Toc151190168"/>
      <w:bookmarkStart w:id="772" w:name="_Toc142311043"/>
      <w:bookmarkStart w:id="773" w:name="_Toc353873941"/>
      <w:bookmarkStart w:id="774" w:name="_Toc353825551"/>
      <w:bookmarkStart w:id="775" w:name="_Toc265228393"/>
      <w:bookmarkStart w:id="776" w:name="_Toc226965828"/>
      <w:bookmarkStart w:id="777" w:name="_Toc226337251"/>
      <w:bookmarkStart w:id="778" w:name="_Toc150480793"/>
      <w:bookmarkStart w:id="779" w:name="_Toc353825545"/>
      <w:bookmarkStart w:id="780" w:name="_Toc142311057"/>
      <w:bookmarkStart w:id="781" w:name="_Toc264969245"/>
      <w:bookmarkStart w:id="782" w:name="_Toc305158897"/>
      <w:bookmarkStart w:id="783" w:name="_Toc127151555"/>
      <w:bookmarkStart w:id="784" w:name="_Toc353873665"/>
      <w:bookmarkStart w:id="785" w:name="_Toc195842920"/>
      <w:bookmarkStart w:id="786" w:name="_Toc353873935"/>
      <w:bookmarkStart w:id="787" w:name="_Toc150774760"/>
      <w:bookmarkStart w:id="788" w:name="_Toc305158823"/>
      <w:r>
        <w:rPr>
          <w:rFonts w:hint="eastAsia" w:ascii="仿宋" w:hAnsi="仿宋" w:eastAsia="仿宋" w:cs="仿宋"/>
          <w:color w:val="auto"/>
          <w:sz w:val="24"/>
          <w:highlight w:val="none"/>
        </w:rPr>
        <w:t>投标文件的符合性审查</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003B381D">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评标委员会对资格审查合格的投标人的投标文件进行符合性审查，以确定其是否满足招标文件的实质性要求。</w:t>
      </w:r>
      <w:bookmarkStart w:id="789" w:name="_Toc520356167"/>
    </w:p>
    <w:p w14:paraId="12E15327">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89"/>
      <w:r>
        <w:rPr>
          <w:rFonts w:hint="eastAsia" w:ascii="仿宋" w:hAnsi="仿宋" w:eastAsia="仿宋" w:cs="仿宋"/>
          <w:color w:val="auto"/>
          <w:sz w:val="24"/>
          <w:highlight w:val="none"/>
        </w:rPr>
        <w:t>要求的，</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79CD943">
      <w:pPr>
        <w:tabs>
          <w:tab w:val="left" w:pos="900"/>
          <w:tab w:val="left" w:pos="1080"/>
          <w:tab w:val="left" w:pos="1589"/>
        </w:tabs>
        <w:snapToGrid w:val="0"/>
        <w:spacing w:line="360" w:lineRule="auto"/>
        <w:ind w:leftChars="-170" w:hanging="357" w:hangingChars="148"/>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符合性审查要求</w:t>
      </w:r>
    </w:p>
    <w:tbl>
      <w:tblPr>
        <w:tblStyle w:val="4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1945"/>
        <w:gridCol w:w="7213"/>
      </w:tblGrid>
      <w:tr w14:paraId="1DBB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04" w:type="pct"/>
            <w:shd w:val="clear" w:color="auto" w:fill="auto"/>
            <w:vAlign w:val="center"/>
          </w:tcPr>
          <w:p w14:paraId="36698754">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序号</w:t>
            </w:r>
          </w:p>
        </w:tc>
        <w:tc>
          <w:tcPr>
            <w:tcW w:w="976" w:type="pct"/>
            <w:shd w:val="clear" w:color="auto" w:fill="auto"/>
            <w:vAlign w:val="center"/>
          </w:tcPr>
          <w:p w14:paraId="175AF7CD">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审查因素</w:t>
            </w:r>
          </w:p>
        </w:tc>
        <w:tc>
          <w:tcPr>
            <w:tcW w:w="3620" w:type="pct"/>
            <w:shd w:val="clear" w:color="auto" w:fill="auto"/>
            <w:vAlign w:val="center"/>
          </w:tcPr>
          <w:p w14:paraId="0F4713D9">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审查内容</w:t>
            </w:r>
          </w:p>
        </w:tc>
      </w:tr>
      <w:tr w14:paraId="7BD7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1105F893">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w:t>
            </w:r>
          </w:p>
        </w:tc>
        <w:tc>
          <w:tcPr>
            <w:tcW w:w="976" w:type="pct"/>
            <w:shd w:val="clear" w:color="auto" w:fill="auto"/>
            <w:vAlign w:val="center"/>
          </w:tcPr>
          <w:p w14:paraId="45DD723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授权委托书</w:t>
            </w:r>
          </w:p>
        </w:tc>
        <w:tc>
          <w:tcPr>
            <w:tcW w:w="3620" w:type="pct"/>
            <w:shd w:val="clear" w:color="auto" w:fill="auto"/>
            <w:vAlign w:val="center"/>
          </w:tcPr>
          <w:p w14:paraId="642DC368">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按招标文件要求提供授权委托书。</w:t>
            </w:r>
          </w:p>
        </w:tc>
      </w:tr>
      <w:tr w14:paraId="09C7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481FFAA">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w:t>
            </w:r>
          </w:p>
        </w:tc>
        <w:tc>
          <w:tcPr>
            <w:tcW w:w="976" w:type="pct"/>
            <w:shd w:val="clear" w:color="auto" w:fill="auto"/>
            <w:vAlign w:val="center"/>
          </w:tcPr>
          <w:p w14:paraId="13473C1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投标完整性</w:t>
            </w:r>
          </w:p>
        </w:tc>
        <w:tc>
          <w:tcPr>
            <w:tcW w:w="3620" w:type="pct"/>
            <w:shd w:val="clear" w:color="auto" w:fill="auto"/>
            <w:vAlign w:val="center"/>
          </w:tcPr>
          <w:p w14:paraId="37FC3F5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未将一个采购包中的内容拆分投标。</w:t>
            </w:r>
          </w:p>
        </w:tc>
      </w:tr>
      <w:tr w14:paraId="5F52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7F46645">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w:t>
            </w:r>
          </w:p>
        </w:tc>
        <w:tc>
          <w:tcPr>
            <w:tcW w:w="976" w:type="pct"/>
            <w:shd w:val="clear" w:color="auto" w:fill="auto"/>
            <w:vAlign w:val="center"/>
          </w:tcPr>
          <w:p w14:paraId="4A100312">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投标报价</w:t>
            </w:r>
          </w:p>
        </w:tc>
        <w:tc>
          <w:tcPr>
            <w:tcW w:w="3620" w:type="pct"/>
            <w:shd w:val="clear" w:color="auto" w:fill="auto"/>
            <w:vAlign w:val="center"/>
          </w:tcPr>
          <w:p w14:paraId="468E719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投标报价未</w:t>
            </w:r>
            <w:r>
              <w:rPr>
                <w:rFonts w:hint="eastAsia" w:ascii="仿宋" w:hAnsi="仿宋" w:eastAsia="仿宋" w:cs="仿宋"/>
                <w:color w:val="auto"/>
                <w:sz w:val="24"/>
                <w:highlight w:val="none"/>
              </w:rPr>
              <w:t>超过招标文件中规定的项目/采购包预算金额或者项目/采购包最高限价</w:t>
            </w:r>
            <w:r>
              <w:rPr>
                <w:rFonts w:hint="eastAsia" w:ascii="仿宋" w:hAnsi="仿宋" w:eastAsia="仿宋" w:cs="仿宋"/>
                <w:color w:val="auto"/>
                <w:kern w:val="0"/>
                <w:sz w:val="24"/>
                <w:highlight w:val="none"/>
              </w:rPr>
              <w:t>。</w:t>
            </w:r>
          </w:p>
        </w:tc>
      </w:tr>
      <w:tr w14:paraId="0FA2A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3C1CA1CE">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p>
        </w:tc>
        <w:tc>
          <w:tcPr>
            <w:tcW w:w="976" w:type="pct"/>
            <w:shd w:val="clear" w:color="auto" w:fill="auto"/>
            <w:vAlign w:val="center"/>
          </w:tcPr>
          <w:p w14:paraId="1485DD1F">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报价唯一性</w:t>
            </w:r>
          </w:p>
        </w:tc>
        <w:tc>
          <w:tcPr>
            <w:tcW w:w="3620" w:type="pct"/>
            <w:shd w:val="clear" w:color="auto" w:fill="auto"/>
            <w:vAlign w:val="center"/>
          </w:tcPr>
          <w:p w14:paraId="737A1BAB">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投标文件未</w:t>
            </w:r>
            <w:r>
              <w:rPr>
                <w:rFonts w:hint="eastAsia" w:ascii="仿宋" w:hAnsi="仿宋" w:eastAsia="仿宋" w:cs="仿宋"/>
                <w:color w:val="auto"/>
                <w:sz w:val="24"/>
                <w:highlight w:val="none"/>
              </w:rPr>
              <w:t>出现可选择性或可调整的报价（招标文件另有规定的除外）</w:t>
            </w:r>
            <w:r>
              <w:rPr>
                <w:rFonts w:hint="eastAsia" w:ascii="仿宋" w:hAnsi="仿宋" w:eastAsia="仿宋" w:cs="仿宋"/>
                <w:color w:val="auto"/>
                <w:kern w:val="0"/>
                <w:sz w:val="24"/>
                <w:highlight w:val="none"/>
              </w:rPr>
              <w:t>。</w:t>
            </w:r>
          </w:p>
        </w:tc>
      </w:tr>
      <w:tr w14:paraId="4FAFE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4C4D4AB0">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w:t>
            </w:r>
          </w:p>
        </w:tc>
        <w:tc>
          <w:tcPr>
            <w:tcW w:w="976" w:type="pct"/>
            <w:shd w:val="clear" w:color="auto" w:fill="auto"/>
            <w:vAlign w:val="center"/>
          </w:tcPr>
          <w:p w14:paraId="20CF0C7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投标有效期</w:t>
            </w:r>
          </w:p>
        </w:tc>
        <w:tc>
          <w:tcPr>
            <w:tcW w:w="3620" w:type="pct"/>
            <w:shd w:val="clear" w:color="auto" w:fill="auto"/>
            <w:vAlign w:val="center"/>
          </w:tcPr>
          <w:p w14:paraId="4C0717F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投标文件中承诺的投标有效期满足招标文件中载明的投标有效期的。</w:t>
            </w:r>
          </w:p>
        </w:tc>
      </w:tr>
      <w:tr w14:paraId="3D4D4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078DE068">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w:t>
            </w:r>
          </w:p>
        </w:tc>
        <w:tc>
          <w:tcPr>
            <w:tcW w:w="976" w:type="pct"/>
            <w:shd w:val="clear" w:color="auto" w:fill="auto"/>
            <w:vAlign w:val="center"/>
          </w:tcPr>
          <w:p w14:paraId="44AC46C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实质性格式</w:t>
            </w:r>
          </w:p>
        </w:tc>
        <w:tc>
          <w:tcPr>
            <w:tcW w:w="3620" w:type="pct"/>
            <w:shd w:val="clear" w:color="auto" w:fill="auto"/>
            <w:vAlign w:val="center"/>
          </w:tcPr>
          <w:p w14:paraId="23724BF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标记为“实质性格式”的文件均按招标文件要求提供且签署、盖章的。</w:t>
            </w:r>
          </w:p>
        </w:tc>
      </w:tr>
      <w:tr w14:paraId="50003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63ACB0C7">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w:t>
            </w:r>
          </w:p>
        </w:tc>
        <w:tc>
          <w:tcPr>
            <w:tcW w:w="976" w:type="pct"/>
            <w:shd w:val="clear" w:color="auto" w:fill="auto"/>
            <w:vAlign w:val="center"/>
          </w:tcPr>
          <w:p w14:paraId="566C9C9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★号条款响应</w:t>
            </w:r>
          </w:p>
        </w:tc>
        <w:tc>
          <w:tcPr>
            <w:tcW w:w="3620" w:type="pct"/>
            <w:shd w:val="clear" w:color="auto" w:fill="auto"/>
            <w:vAlign w:val="center"/>
          </w:tcPr>
          <w:p w14:paraId="394A7044">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投标文件满足招标文件</w:t>
            </w:r>
            <w:r>
              <w:rPr>
                <w:rFonts w:hint="eastAsia" w:ascii="仿宋" w:hAnsi="仿宋" w:eastAsia="仿宋" w:cs="仿宋"/>
                <w:color w:val="auto"/>
                <w:sz w:val="24"/>
                <w:highlight w:val="none"/>
              </w:rPr>
              <w:t>第五章《采购需求》</w:t>
            </w:r>
            <w:r>
              <w:rPr>
                <w:rFonts w:hint="eastAsia" w:ascii="仿宋" w:hAnsi="仿宋" w:eastAsia="仿宋" w:cs="仿宋"/>
                <w:color w:val="auto"/>
                <w:kern w:val="0"/>
                <w:sz w:val="24"/>
                <w:highlight w:val="none"/>
              </w:rPr>
              <w:t>中★号条款要求的。</w:t>
            </w:r>
          </w:p>
        </w:tc>
      </w:tr>
      <w:tr w14:paraId="69749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450D1CCD">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w:t>
            </w:r>
          </w:p>
        </w:tc>
        <w:tc>
          <w:tcPr>
            <w:tcW w:w="976" w:type="pct"/>
            <w:shd w:val="clear" w:color="auto" w:fill="auto"/>
            <w:vAlign w:val="center"/>
          </w:tcPr>
          <w:p w14:paraId="029CEE5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报价的修正（如有）</w:t>
            </w:r>
          </w:p>
        </w:tc>
        <w:tc>
          <w:tcPr>
            <w:tcW w:w="3620" w:type="pct"/>
            <w:shd w:val="clear" w:color="auto" w:fill="auto"/>
            <w:vAlign w:val="center"/>
          </w:tcPr>
          <w:p w14:paraId="4E9BD592">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不涉及报价修正，或投标文件报价出现前后不一致时，投标人对修正后的报价予以确认。（如有）</w:t>
            </w:r>
          </w:p>
        </w:tc>
      </w:tr>
      <w:tr w14:paraId="133DE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3FA286FD">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w:t>
            </w:r>
          </w:p>
        </w:tc>
        <w:tc>
          <w:tcPr>
            <w:tcW w:w="976" w:type="pct"/>
            <w:shd w:val="clear" w:color="auto" w:fill="auto"/>
            <w:vAlign w:val="center"/>
          </w:tcPr>
          <w:p w14:paraId="7323555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报价合理性</w:t>
            </w:r>
          </w:p>
        </w:tc>
        <w:tc>
          <w:tcPr>
            <w:tcW w:w="3620" w:type="pct"/>
            <w:shd w:val="clear" w:color="auto" w:fill="auto"/>
            <w:vAlign w:val="center"/>
          </w:tcPr>
          <w:p w14:paraId="67F5D49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报价合理，或</w:t>
            </w:r>
            <w:r>
              <w:rPr>
                <w:rFonts w:hint="eastAsia" w:ascii="仿宋" w:hAnsi="仿宋" w:eastAsia="仿宋" w:cs="仿宋"/>
                <w:color w:val="auto"/>
                <w:sz w:val="24"/>
                <w:highlight w:val="none"/>
              </w:rPr>
              <w:t>投标人的报价明显低于其他通过符合性审查投标人的报价，有可能影响产品质量或者不能诚信履约的，能够应评标委员会要求在规定时间内证明其报价合理性的</w:t>
            </w:r>
            <w:r>
              <w:rPr>
                <w:rFonts w:hint="eastAsia" w:ascii="仿宋" w:hAnsi="仿宋" w:eastAsia="仿宋" w:cs="仿宋"/>
                <w:color w:val="auto"/>
                <w:kern w:val="0"/>
                <w:sz w:val="24"/>
                <w:highlight w:val="none"/>
              </w:rPr>
              <w:t>。</w:t>
            </w:r>
          </w:p>
        </w:tc>
      </w:tr>
      <w:tr w14:paraId="1153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03F5AE6">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10</w:t>
            </w:r>
          </w:p>
        </w:tc>
        <w:tc>
          <w:tcPr>
            <w:tcW w:w="976" w:type="pct"/>
            <w:shd w:val="clear" w:color="auto" w:fill="auto"/>
            <w:vAlign w:val="center"/>
          </w:tcPr>
          <w:p w14:paraId="30C23AF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进口产品</w:t>
            </w:r>
          </w:p>
        </w:tc>
        <w:tc>
          <w:tcPr>
            <w:tcW w:w="3620" w:type="pct"/>
            <w:shd w:val="clear" w:color="auto" w:fill="auto"/>
            <w:vAlign w:val="center"/>
          </w:tcPr>
          <w:p w14:paraId="1068BA41">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招标文件不接受进口产品投标的内容时，投标人所投产品不含进口产品。</w:t>
            </w:r>
          </w:p>
        </w:tc>
      </w:tr>
      <w:tr w14:paraId="78AA5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7228F03C">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w:t>
            </w:r>
          </w:p>
        </w:tc>
        <w:tc>
          <w:tcPr>
            <w:tcW w:w="976" w:type="pct"/>
            <w:shd w:val="clear" w:color="auto" w:fill="auto"/>
            <w:vAlign w:val="center"/>
          </w:tcPr>
          <w:p w14:paraId="4A2C60D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国家有关部门对投标人的投标产品有强制性规定或要求的</w:t>
            </w:r>
          </w:p>
        </w:tc>
        <w:tc>
          <w:tcPr>
            <w:tcW w:w="3620" w:type="pct"/>
            <w:shd w:val="clear" w:color="auto" w:fill="auto"/>
            <w:vAlign w:val="center"/>
          </w:tcPr>
          <w:p w14:paraId="6E12D83F">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国家有关部门对投标人的投标产品有强制性规定或要求的（如相应技术、安全、节能和环保等），投标人的投标产品应符合相应规定或要求，并提供证明文件电子件：</w:t>
            </w:r>
          </w:p>
          <w:p w14:paraId="5F8E8FEB">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1）采购的产品若属于《节能产品政府采购品目清单》范围中政府强制采购产品，则投标人所报产品必须获得国家确定的认证机构出具的、处于有效期之内的节能产品认证证书；</w:t>
            </w:r>
          </w:p>
          <w:p w14:paraId="16CFD0AE">
            <w:pPr>
              <w:widowControl/>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2）</w:t>
            </w:r>
            <w:r>
              <w:rPr>
                <w:rFonts w:hint="eastAsia" w:ascii="仿宋" w:hAnsi="仿宋" w:eastAsia="仿宋" w:cs="仿宋"/>
                <w:color w:val="auto"/>
                <w:sz w:val="24"/>
                <w:highlight w:val="none"/>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Pr>
                <w:rFonts w:hint="eastAsia" w:ascii="仿宋" w:hAnsi="仿宋" w:eastAsia="仿宋" w:cs="仿宋"/>
                <w:color w:val="auto"/>
                <w:kern w:val="0"/>
                <w:sz w:val="24"/>
                <w:highlight w:val="none"/>
              </w:rPr>
              <w:t>公安部颁发的计算机信息系统安全专用产品销售许可证</w:t>
            </w:r>
            <w:r>
              <w:rPr>
                <w:rFonts w:hint="eastAsia" w:ascii="仿宋" w:hAnsi="仿宋" w:eastAsia="仿宋" w:cs="仿宋"/>
                <w:color w:val="auto"/>
                <w:sz w:val="24"/>
                <w:highlight w:val="none"/>
              </w:rPr>
              <w:t>，且在有效期内，亦视为符合要求）</w:t>
            </w:r>
          </w:p>
          <w:p w14:paraId="2E85217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3）项目中涉及涂料、胶黏剂、油墨、清洗剂等挥发性有机物产品，且属于强制性标准的，供应商应执行符合本市和国家的VOCs 含量限制标准。</w:t>
            </w:r>
          </w:p>
        </w:tc>
      </w:tr>
      <w:tr w14:paraId="314F9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3651B86">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12</w:t>
            </w:r>
          </w:p>
        </w:tc>
        <w:tc>
          <w:tcPr>
            <w:tcW w:w="976" w:type="pct"/>
            <w:shd w:val="clear" w:color="auto" w:fill="auto"/>
            <w:vAlign w:val="center"/>
          </w:tcPr>
          <w:p w14:paraId="312BD4D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公平竞争</w:t>
            </w:r>
          </w:p>
        </w:tc>
        <w:tc>
          <w:tcPr>
            <w:tcW w:w="3620" w:type="pct"/>
            <w:shd w:val="clear" w:color="auto" w:fill="auto"/>
            <w:vAlign w:val="center"/>
          </w:tcPr>
          <w:p w14:paraId="4135C4D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投标人遵循公平竞争的原则，不存在恶意串通，妨碍其他投标人的竞争行为，不存在损害采购人或者其他投标人的合法权益情形的。</w:t>
            </w:r>
          </w:p>
        </w:tc>
      </w:tr>
      <w:tr w14:paraId="48B3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874A648">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w:t>
            </w:r>
          </w:p>
        </w:tc>
        <w:tc>
          <w:tcPr>
            <w:tcW w:w="976" w:type="pct"/>
            <w:shd w:val="clear" w:color="auto" w:fill="auto"/>
            <w:vAlign w:val="center"/>
          </w:tcPr>
          <w:p w14:paraId="61E0B74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串通投标</w:t>
            </w:r>
          </w:p>
        </w:tc>
        <w:tc>
          <w:tcPr>
            <w:tcW w:w="3620" w:type="pct"/>
            <w:shd w:val="clear" w:color="auto" w:fill="auto"/>
            <w:vAlign w:val="center"/>
          </w:tcPr>
          <w:p w14:paraId="2CAF6EC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14:paraId="2CA17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F2382DB">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14</w:t>
            </w:r>
          </w:p>
        </w:tc>
        <w:tc>
          <w:tcPr>
            <w:tcW w:w="976" w:type="pct"/>
            <w:shd w:val="clear" w:color="auto" w:fill="auto"/>
            <w:vAlign w:val="center"/>
          </w:tcPr>
          <w:p w14:paraId="06C3FF4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附加条件</w:t>
            </w:r>
          </w:p>
        </w:tc>
        <w:tc>
          <w:tcPr>
            <w:tcW w:w="3620" w:type="pct"/>
            <w:shd w:val="clear" w:color="auto" w:fill="auto"/>
            <w:vAlign w:val="center"/>
          </w:tcPr>
          <w:p w14:paraId="6639F88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投标文件未含有采购人不能接受的附加条件的。</w:t>
            </w:r>
          </w:p>
        </w:tc>
      </w:tr>
      <w:tr w14:paraId="72F9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030AF90B">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w:t>
            </w:r>
          </w:p>
        </w:tc>
        <w:tc>
          <w:tcPr>
            <w:tcW w:w="976" w:type="pct"/>
            <w:shd w:val="clear" w:color="auto" w:fill="auto"/>
            <w:vAlign w:val="center"/>
          </w:tcPr>
          <w:p w14:paraId="729A59BD">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其他无效情形</w:t>
            </w:r>
          </w:p>
        </w:tc>
        <w:tc>
          <w:tcPr>
            <w:tcW w:w="3620" w:type="pct"/>
            <w:shd w:val="clear" w:color="auto" w:fill="auto"/>
            <w:vAlign w:val="center"/>
          </w:tcPr>
          <w:p w14:paraId="5A80DD0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投标人、投标文件不存在不符合法律、法规和招标文件规定的其他无效情形。</w:t>
            </w:r>
          </w:p>
        </w:tc>
      </w:tr>
    </w:tbl>
    <w:p w14:paraId="20E94258">
      <w:pPr>
        <w:numPr>
          <w:ilvl w:val="0"/>
          <w:numId w:val="12"/>
        </w:numPr>
        <w:tabs>
          <w:tab w:val="left" w:pos="1080"/>
          <w:tab w:val="left" w:pos="1589"/>
        </w:tabs>
        <w:snapToGrid w:val="0"/>
        <w:spacing w:line="360" w:lineRule="auto"/>
        <w:rPr>
          <w:rFonts w:hint="eastAsia" w:ascii="仿宋" w:hAnsi="仿宋" w:eastAsia="仿宋" w:cs="仿宋"/>
          <w:color w:val="auto"/>
          <w:sz w:val="24"/>
          <w:highlight w:val="none"/>
        </w:rPr>
        <w:sectPr>
          <w:headerReference r:id="rId6" w:type="first"/>
          <w:footerReference r:id="rId8" w:type="first"/>
          <w:headerReference r:id="rId5" w:type="even"/>
          <w:footerReference r:id="rId7" w:type="even"/>
          <w:pgSz w:w="11907" w:h="16840"/>
          <w:pgMar w:top="1440" w:right="1080" w:bottom="1440" w:left="1080" w:header="851" w:footer="851" w:gutter="0"/>
          <w:pgNumType w:fmt="decimal"/>
          <w:cols w:space="720" w:num="1"/>
          <w:docGrid w:linePitch="462" w:charSpace="0"/>
        </w:sectPr>
      </w:pPr>
    </w:p>
    <w:p w14:paraId="388A02F9">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投标文件有关事项的澄清或者说明</w:t>
      </w:r>
    </w:p>
    <w:p w14:paraId="778B9EE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790" w:name="_Hlk144225607"/>
      <w:r>
        <w:rPr>
          <w:rFonts w:hint="eastAsia" w:ascii="仿宋" w:hAnsi="仿宋" w:eastAsia="仿宋" w:cs="仿宋"/>
          <w:color w:val="auto"/>
          <w:sz w:val="24"/>
          <w:szCs w:val="20"/>
          <w:highlight w:val="none"/>
        </w:rPr>
        <w:t>若投标人为事业单位或其他组织或分支机构，可为单位负责人</w:t>
      </w:r>
      <w:bookmarkEnd w:id="790"/>
      <w:r>
        <w:rPr>
          <w:rFonts w:hint="eastAsia" w:ascii="仿宋" w:hAnsi="仿宋" w:eastAsia="仿宋" w:cs="仿宋"/>
          <w:color w:val="auto"/>
          <w:sz w:val="24"/>
          <w:highlight w:val="none"/>
        </w:rPr>
        <w:t>）或其授权的代表签字。投标人的澄清、说明或者补正不得超出投标文件的范围或者改变投标文件的实质性内容。澄清文件将作为投标文件内容的一部分。</w:t>
      </w:r>
    </w:p>
    <w:p w14:paraId="5A3174DC">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hint="eastAsia" w:ascii="仿宋" w:hAnsi="仿宋" w:eastAsia="仿宋" w:cs="仿宋"/>
          <w:b/>
          <w:bCs/>
          <w:color w:val="auto"/>
          <w:sz w:val="24"/>
          <w:highlight w:val="none"/>
        </w:rPr>
        <w:t>无效投标处理</w:t>
      </w:r>
      <w:r>
        <w:rPr>
          <w:rFonts w:hint="eastAsia" w:ascii="仿宋" w:hAnsi="仿宋" w:eastAsia="仿宋" w:cs="仿宋"/>
          <w:color w:val="auto"/>
          <w:sz w:val="24"/>
          <w:highlight w:val="none"/>
        </w:rPr>
        <w:t>。</w:t>
      </w:r>
    </w:p>
    <w:p w14:paraId="64EF8AFB">
      <w:pPr>
        <w:tabs>
          <w:tab w:val="left" w:pos="900"/>
          <w:tab w:val="left" w:pos="1080"/>
          <w:tab w:val="left" w:pos="1589"/>
        </w:tabs>
        <w:snapToGrid w:val="0"/>
        <w:spacing w:line="360" w:lineRule="auto"/>
        <w:ind w:left="1077"/>
        <w:rPr>
          <w:rFonts w:hint="eastAsia" w:ascii="仿宋" w:hAnsi="仿宋" w:eastAsia="仿宋" w:cs="仿宋"/>
          <w:color w:val="auto"/>
          <w:sz w:val="24"/>
          <w:highlight w:val="none"/>
        </w:rPr>
      </w:pPr>
      <w:r>
        <w:rPr>
          <w:rFonts w:hint="eastAsia" w:ascii="仿宋" w:hAnsi="仿宋" w:eastAsia="仿宋" w:cs="仿宋"/>
          <w:b/>
          <w:color w:val="auto"/>
          <w:sz w:val="24"/>
          <w:highlight w:val="none"/>
        </w:rPr>
        <w:t>关于在相关自由贸易试验区和自由贸易港开展推动解决政府采购异常低价问题试点工作的通知财办库〔2024〕265号</w:t>
      </w:r>
      <w:r>
        <w:rPr>
          <w:rFonts w:hint="eastAsia" w:ascii="仿宋" w:hAnsi="仿宋" w:eastAsia="仿宋" w:cs="仿宋"/>
          <w:color w:val="auto"/>
          <w:sz w:val="24"/>
          <w:highlight w:val="none"/>
        </w:rPr>
        <w:t>：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且报价次低供应商投标（响应）报价50%的，即投标（响应）报价&lt;通过符合性审查且报价次低供应商投标（响应）报价×50%；(3）投标（响应）报价低于采购项目最高限价45%的，即投标（响应）报价&lt;采购项目最高限价×45%；（5）其他评审委员会认为供应商报价过低，有可能影响产品质量或者不能诚信履约的情形。</w:t>
      </w:r>
    </w:p>
    <w:p w14:paraId="3F25D9FA">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BD2C65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投标文件报价出现前后不一致的，按照下列规定修正：</w:t>
      </w:r>
    </w:p>
    <w:p w14:paraId="1BE98F92">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招标文件对于报价修正是否另有规定：</w:t>
      </w:r>
    </w:p>
    <w:p w14:paraId="3CAE359B">
      <w:p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□有，具体规定为：______________</w:t>
      </w:r>
    </w:p>
    <w:p w14:paraId="4F6C132C">
      <w:p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无，按下述2.4.2-2.4.8项规定修正。</w:t>
      </w:r>
    </w:p>
    <w:p w14:paraId="614932AF">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单独递交的开标一览表（报价表）与投标文件中开标一览表（报价表）内容不一致的，以单独递交的开标一览表（报价表）为准；</w:t>
      </w:r>
    </w:p>
    <w:p w14:paraId="742B04FD">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投标文件中开标一览表（报价表）内容与投标文件中相应内容不一致的，以开标一览表（报价表）为准；</w:t>
      </w:r>
    </w:p>
    <w:p w14:paraId="1C6CF9F8">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大写金额和小写金额不一致的，以大写金额为准；</w:t>
      </w:r>
    </w:p>
    <w:p w14:paraId="6711C312">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单价金额小数点或者百分比有明显错位的，以开标一览表的总价为准，并修改单价；</w:t>
      </w:r>
    </w:p>
    <w:p w14:paraId="38EC7719">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总价金额与按单价汇总金额不一致的，以单价金额计算结果为准。</w:t>
      </w:r>
    </w:p>
    <w:p w14:paraId="693412A8">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同时出现两种以上不一致的，按照前款规定的顺序修正。</w:t>
      </w:r>
    </w:p>
    <w:p w14:paraId="15655646">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修正后的报价经投标人书面确认后产生约束力，投标人不确认的，其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767E0C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落实政府采购政策的价格调整：只有符合第二章《投标人须知》5.2条规定情形的，可以享受中小企业扶持政策，用扣除后的价格参加评审；否则，评标时价格不予扣除。</w:t>
      </w:r>
    </w:p>
    <w:p w14:paraId="64860829">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对于未预留份额专门面向中小企业采购的采购项目，以及预留份额项目中的非预留部分采购包，对小微企业报价给予</w:t>
      </w:r>
      <w:r>
        <w:rPr>
          <w:rFonts w:hint="eastAsia" w:ascii="仿宋" w:hAnsi="仿宋" w:eastAsia="仿宋" w:cs="仿宋"/>
          <w:color w:val="auto"/>
          <w:sz w:val="24"/>
          <w:highlight w:val="none"/>
          <w:u w:val="single"/>
        </w:rPr>
        <w:t>10%</w:t>
      </w:r>
      <w:r>
        <w:rPr>
          <w:rFonts w:hint="eastAsia" w:ascii="仿宋" w:hAnsi="仿宋" w:eastAsia="仿宋" w:cs="仿宋"/>
          <w:color w:val="auto"/>
          <w:sz w:val="24"/>
          <w:highlight w:val="none"/>
        </w:rPr>
        <w:t xml:space="preserve"> 的扣除，用扣除后的价格参加评审。</w:t>
      </w:r>
    </w:p>
    <w:p w14:paraId="1961AA62">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Pr>
          <w:rFonts w:hint="eastAsia" w:ascii="仿宋" w:hAnsi="仿宋" w:eastAsia="仿宋" w:cs="仿宋"/>
          <w:color w:val="auto"/>
          <w:sz w:val="24"/>
          <w:highlight w:val="none"/>
          <w:u w:val="single"/>
        </w:rPr>
        <w:t>4%</w:t>
      </w:r>
      <w:r>
        <w:rPr>
          <w:rFonts w:hint="eastAsia" w:ascii="仿宋" w:hAnsi="仿宋" w:eastAsia="仿宋" w:cs="仿宋"/>
          <w:color w:val="auto"/>
          <w:sz w:val="24"/>
          <w:highlight w:val="none"/>
        </w:rPr>
        <w:t xml:space="preserve"> 的扣除，用扣除后的价格参加评审。</w:t>
      </w:r>
    </w:p>
    <w:p w14:paraId="50FA710E">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组成联合体或者接受分包的小微企业与联合体内其他企业、分包企业之间存在直接控股、管理关系的，不享受价格扣除优惠政策。</w:t>
      </w:r>
    </w:p>
    <w:p w14:paraId="4101871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价格扣除比例对小型企业和微型企业同等对待，不作区分。</w:t>
      </w:r>
    </w:p>
    <w:p w14:paraId="6773452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中小企业参加政府采购活动，应当按照招标文件给定的格式出具《中小企业声明函》，否则不得享受相关中小企业扶持政策。</w:t>
      </w:r>
    </w:p>
    <w:p w14:paraId="2216AA65">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监狱企业提供了由省级以上监狱管理局、戒毒管理局（含新疆生产建设兵团）出具的属于监狱企业的证明文件的，视同小微企业。</w:t>
      </w:r>
    </w:p>
    <w:p w14:paraId="24DA4EBA">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残疾人福利性单位按招标文件要求提供了《残疾人福利性单位声明函》的，视同小微企业。</w:t>
      </w:r>
    </w:p>
    <w:p w14:paraId="497A04AD">
      <w:pPr>
        <w:numPr>
          <w:ilvl w:val="2"/>
          <w:numId w:val="11"/>
        </w:numPr>
        <w:tabs>
          <w:tab w:val="left" w:pos="1080"/>
          <w:tab w:val="left" w:pos="1589"/>
          <w:tab w:val="left" w:pos="2014"/>
          <w:tab w:val="clear" w:pos="1980"/>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若投标人同时属于小型或微型企业、监狱企业、残疾人福利性单位中的两种及以上，将不重复享受小微企业价格扣减的优惠政策。</w:t>
      </w:r>
    </w:p>
    <w:p w14:paraId="317E7328">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投标文件的比较和评价</w:t>
      </w:r>
      <w:bookmarkEnd w:id="773"/>
      <w:bookmarkEnd w:id="774"/>
    </w:p>
    <w:p w14:paraId="06639EDB">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评标委员会将按照招标文件中规定的评标方法和标准，对符合性审查合格的投标文件进行商务和技术评估，综合比较与评价；未通过符合性审查的投标文件不得进入比较与评价。</w:t>
      </w:r>
    </w:p>
    <w:p w14:paraId="7968AF62">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评标方法和评标标准</w:t>
      </w:r>
    </w:p>
    <w:p w14:paraId="28D07E7C">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本项目采用的评标方法为：</w:t>
      </w:r>
    </w:p>
    <w:p w14:paraId="5493B1AC">
      <w:pPr>
        <w:tabs>
          <w:tab w:val="left" w:pos="900"/>
          <w:tab w:val="left" w:pos="1589"/>
          <w:tab w:val="left" w:pos="1701"/>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01069AEB">
      <w:pPr>
        <w:tabs>
          <w:tab w:val="left" w:pos="900"/>
          <w:tab w:val="left" w:pos="1589"/>
          <w:tab w:val="left" w:pos="1701"/>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color w:val="auto"/>
          <w:sz w:val="24"/>
          <w:highlight w:val="none"/>
        </w:rPr>
        <w:t>□最低评标价法，指投标文件满足招标文件全部实质性要求，且投标报价最低的投标人为中标候选人的评标方法。</w:t>
      </w:r>
    </w:p>
    <w:p w14:paraId="5E11296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5ADE004">
      <w:p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□随机抽取</w:t>
      </w:r>
    </w:p>
    <w:p w14:paraId="0DA2C632">
      <w:pPr>
        <w:tabs>
          <w:tab w:val="left" w:pos="1080"/>
          <w:tab w:val="left" w:pos="1589"/>
          <w:tab w:val="left" w:pos="2035"/>
        </w:tabs>
        <w:snapToGrid w:val="0"/>
        <w:spacing w:line="360" w:lineRule="auto"/>
        <w:ind w:left="203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□其他方式，具体要求：/</w:t>
      </w:r>
    </w:p>
    <w:p w14:paraId="7F20F4DC">
      <w:pPr>
        <w:numPr>
          <w:ilvl w:val="2"/>
          <w:numId w:val="11"/>
        </w:numPr>
        <w:tabs>
          <w:tab w:val="left" w:pos="1080"/>
          <w:tab w:val="left" w:pos="1589"/>
          <w:tab w:val="left" w:pos="2035"/>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非政府强制采购的节能产品或环境标志产品，依据品目清单和认证证书实施政府优先采购。优先采购的具体规定</w:t>
      </w:r>
      <w:r>
        <w:rPr>
          <w:rFonts w:hint="eastAsia" w:ascii="仿宋" w:hAnsi="仿宋" w:eastAsia="仿宋" w:cs="仿宋"/>
          <w:color w:val="auto"/>
          <w:sz w:val="24"/>
          <w:highlight w:val="none"/>
          <w:u w:val="single"/>
        </w:rPr>
        <w:t>见第四章《评审程序、评标方法和评标标准》</w:t>
      </w:r>
      <w:r>
        <w:rPr>
          <w:rFonts w:hint="eastAsia" w:ascii="仿宋" w:hAnsi="仿宋" w:eastAsia="仿宋" w:cs="仿宋"/>
          <w:color w:val="auto"/>
          <w:sz w:val="24"/>
          <w:highlight w:val="none"/>
        </w:rPr>
        <w:t>。（如涉及）</w:t>
      </w:r>
    </w:p>
    <w:p w14:paraId="78EFD217">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确定</w:t>
      </w:r>
      <w:bookmarkStart w:id="791" w:name="_Toc164351640"/>
      <w:bookmarkStart w:id="792" w:name="_Toc305158814"/>
      <w:bookmarkStart w:id="793" w:name="_Toc150480784"/>
      <w:bookmarkStart w:id="794" w:name="_Toc142311048"/>
      <w:bookmarkStart w:id="795" w:name="_Toc151193934"/>
      <w:bookmarkStart w:id="796" w:name="_Toc226965819"/>
      <w:bookmarkStart w:id="797" w:name="_Toc164229241"/>
      <w:bookmarkStart w:id="798" w:name="_Toc151193716"/>
      <w:bookmarkStart w:id="799" w:name="_Toc127151546"/>
      <w:bookmarkStart w:id="800" w:name="_Toc305158888"/>
      <w:bookmarkStart w:id="801" w:name="_Toc226337242"/>
      <w:bookmarkStart w:id="802" w:name="_Toc226965736"/>
      <w:bookmarkStart w:id="803" w:name="_Toc226309790"/>
      <w:bookmarkStart w:id="804" w:name="_Toc149720839"/>
      <w:bookmarkStart w:id="805" w:name="_Toc150774646"/>
      <w:bookmarkStart w:id="806" w:name="_Toc265228384"/>
      <w:bookmarkStart w:id="807" w:name="_Toc195842911"/>
      <w:bookmarkStart w:id="808" w:name="_Toc520356170"/>
      <w:bookmarkStart w:id="809" w:name="_Toc151193644"/>
      <w:bookmarkStart w:id="810" w:name="_Ref467307010"/>
      <w:bookmarkStart w:id="811" w:name="_Toc151193860"/>
      <w:bookmarkStart w:id="812" w:name="_Toc151193788"/>
      <w:bookmarkStart w:id="813" w:name="_Toc151190173"/>
      <w:bookmarkStart w:id="814" w:name="_Toc150509297"/>
      <w:bookmarkStart w:id="815" w:name="_Toc127151747"/>
      <w:bookmarkStart w:id="816" w:name="_Toc164608660"/>
      <w:bookmarkStart w:id="817" w:name="_Toc127161460"/>
      <w:bookmarkStart w:id="818" w:name="_Toc164229387"/>
      <w:bookmarkStart w:id="819" w:name="_Toc264969236"/>
      <w:bookmarkStart w:id="820" w:name="_Toc164608815"/>
      <w:bookmarkStart w:id="821" w:name="_Toc150774751"/>
      <w:r>
        <w:rPr>
          <w:rFonts w:hint="eastAsia" w:ascii="仿宋" w:hAnsi="仿宋" w:eastAsia="仿宋" w:cs="仿宋"/>
          <w:color w:val="auto"/>
          <w:sz w:val="24"/>
          <w:highlight w:val="none"/>
        </w:rPr>
        <w:t>中标候选人名单</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FDE6143">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3AB0DD13">
      <w:pPr>
        <w:pStyle w:val="25"/>
        <w:tabs>
          <w:tab w:val="left" w:pos="900"/>
          <w:tab w:val="left" w:pos="2127"/>
        </w:tabs>
        <w:adjustRightInd w:val="0"/>
        <w:snapToGrid w:val="0"/>
        <w:spacing w:line="360" w:lineRule="auto"/>
        <w:ind w:left="993" w:firstLine="136" w:firstLineChars="5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□随机抽取</w:t>
      </w:r>
    </w:p>
    <w:p w14:paraId="572D3209">
      <w:pPr>
        <w:pStyle w:val="25"/>
        <w:tabs>
          <w:tab w:val="left" w:pos="900"/>
          <w:tab w:val="left" w:pos="2127"/>
        </w:tabs>
        <w:adjustRightInd w:val="0"/>
        <w:snapToGrid w:val="0"/>
        <w:spacing w:line="360" w:lineRule="auto"/>
        <w:ind w:left="993" w:firstLine="137" w:firstLineChars="57"/>
        <w:rPr>
          <w:rFonts w:hint="eastAsia" w:ascii="仿宋" w:hAnsi="仿宋" w:eastAsia="仿宋" w:cs="仿宋"/>
          <w:color w:val="auto"/>
          <w:sz w:val="24"/>
          <w:szCs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szCs w:val="24"/>
          <w:highlight w:val="none"/>
        </w:rPr>
        <w:t>其他方式，具体要求：</w:t>
      </w:r>
      <w:r>
        <w:rPr>
          <w:rFonts w:hint="eastAsia" w:ascii="仿宋" w:hAnsi="仿宋" w:eastAsia="仿宋" w:cs="仿宋"/>
          <w:color w:val="auto"/>
          <w:sz w:val="24"/>
          <w:highlight w:val="none"/>
          <w:u w:val="single"/>
        </w:rPr>
        <w:t>见第二章投标人须知22.1。</w:t>
      </w:r>
    </w:p>
    <w:p w14:paraId="3DB32483">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75DE3D9B">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采用最低评标价法时，评标结果按本章2.4、2.5调整后的投标报价由低到高顺序排列。投标报价相同的并列。投标文件满足招标文件全部实质性要求且投标报价最低的投标人为排名第一的中标候选人。</w:t>
      </w:r>
    </w:p>
    <w:p w14:paraId="7DB8A0B1">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评标委员会要对评分汇总情况进行复核，特别是对排名第一的、报价最低的、投标或响应文件被认定为无效的情形进行重点复核。</w:t>
      </w:r>
    </w:p>
    <w:p w14:paraId="0C948DF4">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评标委员会将根据各投标人的评标排序，依次推荐本项目（各采购包）的中标候选人，起草并签署评标报告。本项目（各采购包）评标委员会共（各）推荐</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名中标候选人。</w:t>
      </w:r>
    </w:p>
    <w:p w14:paraId="08E96468">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报告违法行为</w:t>
      </w:r>
    </w:p>
    <w:p w14:paraId="2BD84D61">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评标委员会在评标过程中发现投标人有行贿、提供虚假材料或者串通等违法行为时，应当及时向财政部门报告。</w:t>
      </w:r>
    </w:p>
    <w:p w14:paraId="6F90442F">
      <w:pPr>
        <w:widowControl/>
        <w:jc w:val="left"/>
        <w:rPr>
          <w:rFonts w:hint="eastAsia" w:ascii="仿宋" w:hAnsi="仿宋" w:eastAsia="仿宋" w:cs="仿宋"/>
          <w:b/>
          <w:color w:val="auto"/>
          <w:sz w:val="24"/>
          <w:highlight w:val="none"/>
        </w:rPr>
        <w:sectPr>
          <w:headerReference r:id="rId10" w:type="first"/>
          <w:footerReference r:id="rId12" w:type="first"/>
          <w:headerReference r:id="rId9" w:type="even"/>
          <w:footerReference r:id="rId11" w:type="even"/>
          <w:pgSz w:w="11906" w:h="16838"/>
          <w:pgMar w:top="1440" w:right="1083" w:bottom="1440" w:left="1083" w:header="851" w:footer="992" w:gutter="0"/>
          <w:pgNumType w:fmt="decimal"/>
          <w:cols w:space="720" w:num="1"/>
          <w:docGrid w:linePitch="326" w:charSpace="0"/>
        </w:sectPr>
      </w:pPr>
      <w:r>
        <w:rPr>
          <w:rFonts w:hint="eastAsia" w:ascii="仿宋" w:hAnsi="仿宋" w:eastAsia="仿宋" w:cs="仿宋"/>
          <w:b/>
          <w:color w:val="auto"/>
          <w:sz w:val="24"/>
          <w:highlight w:val="none"/>
        </w:rPr>
        <w:br w:type="page"/>
      </w:r>
    </w:p>
    <w:p w14:paraId="08783FE4">
      <w:pPr>
        <w:tabs>
          <w:tab w:val="left" w:pos="360"/>
          <w:tab w:val="left" w:pos="900"/>
        </w:tabs>
        <w:snapToGrid w:val="0"/>
        <w:spacing w:line="360" w:lineRule="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二、评标标准</w:t>
      </w:r>
    </w:p>
    <w:tbl>
      <w:tblPr>
        <w:tblStyle w:val="45"/>
        <w:tblW w:w="51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1492"/>
        <w:gridCol w:w="6935"/>
        <w:gridCol w:w="709"/>
      </w:tblGrid>
      <w:tr w14:paraId="162D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tcBorders>
              <w:top w:val="single" w:color="auto" w:sz="4" w:space="0"/>
              <w:left w:val="single" w:color="auto" w:sz="4" w:space="0"/>
              <w:bottom w:val="single" w:color="auto" w:sz="4" w:space="0"/>
              <w:right w:val="single" w:color="auto" w:sz="4" w:space="0"/>
            </w:tcBorders>
            <w:vAlign w:val="center"/>
          </w:tcPr>
          <w:p w14:paraId="7A496243">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评分因素</w:t>
            </w:r>
          </w:p>
        </w:tc>
        <w:tc>
          <w:tcPr>
            <w:tcW w:w="729" w:type="pct"/>
            <w:tcBorders>
              <w:top w:val="single" w:color="auto" w:sz="4" w:space="0"/>
              <w:left w:val="single" w:color="auto" w:sz="4" w:space="0"/>
              <w:bottom w:val="single" w:color="auto" w:sz="4" w:space="0"/>
              <w:right w:val="single" w:color="auto" w:sz="4" w:space="0"/>
            </w:tcBorders>
            <w:vAlign w:val="center"/>
          </w:tcPr>
          <w:p w14:paraId="7BB0C361">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评分内容</w:t>
            </w:r>
          </w:p>
        </w:tc>
        <w:tc>
          <w:tcPr>
            <w:tcW w:w="3387" w:type="pct"/>
            <w:tcBorders>
              <w:top w:val="single" w:color="auto" w:sz="4" w:space="0"/>
              <w:left w:val="single" w:color="auto" w:sz="4" w:space="0"/>
              <w:bottom w:val="single" w:color="auto" w:sz="4" w:space="0"/>
              <w:right w:val="single" w:color="auto" w:sz="4" w:space="0"/>
            </w:tcBorders>
            <w:vAlign w:val="center"/>
          </w:tcPr>
          <w:p w14:paraId="093A0065">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评分标准</w:t>
            </w:r>
          </w:p>
        </w:tc>
        <w:tc>
          <w:tcPr>
            <w:tcW w:w="346" w:type="pct"/>
            <w:tcBorders>
              <w:top w:val="single" w:color="auto" w:sz="4" w:space="0"/>
              <w:left w:val="single" w:color="auto" w:sz="4" w:space="0"/>
              <w:bottom w:val="single" w:color="auto" w:sz="4" w:space="0"/>
              <w:right w:val="single" w:color="auto" w:sz="4" w:space="0"/>
            </w:tcBorders>
            <w:vAlign w:val="center"/>
          </w:tcPr>
          <w:p w14:paraId="55B5E19F">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分值</w:t>
            </w:r>
          </w:p>
        </w:tc>
      </w:tr>
      <w:tr w14:paraId="452F8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tcBorders>
              <w:top w:val="single" w:color="auto" w:sz="4" w:space="0"/>
              <w:left w:val="single" w:color="auto" w:sz="4" w:space="0"/>
              <w:bottom w:val="single" w:color="auto" w:sz="4" w:space="0"/>
              <w:right w:val="single" w:color="auto" w:sz="4" w:space="0"/>
            </w:tcBorders>
            <w:vAlign w:val="center"/>
          </w:tcPr>
          <w:p w14:paraId="4F561587">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价格部分</w:t>
            </w:r>
          </w:p>
        </w:tc>
        <w:tc>
          <w:tcPr>
            <w:tcW w:w="729" w:type="pct"/>
            <w:tcBorders>
              <w:top w:val="single" w:color="auto" w:sz="4" w:space="0"/>
              <w:left w:val="single" w:color="auto" w:sz="4" w:space="0"/>
              <w:bottom w:val="single" w:color="auto" w:sz="4" w:space="0"/>
              <w:right w:val="single" w:color="auto" w:sz="4" w:space="0"/>
            </w:tcBorders>
            <w:vAlign w:val="center"/>
          </w:tcPr>
          <w:p w14:paraId="0A11B440">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报价</w:t>
            </w:r>
          </w:p>
        </w:tc>
        <w:tc>
          <w:tcPr>
            <w:tcW w:w="3387" w:type="pct"/>
            <w:tcBorders>
              <w:top w:val="single" w:color="auto" w:sz="4" w:space="0"/>
              <w:left w:val="single" w:color="auto" w:sz="4" w:space="0"/>
              <w:bottom w:val="single" w:color="auto" w:sz="4" w:space="0"/>
              <w:right w:val="single" w:color="auto" w:sz="4" w:space="0"/>
            </w:tcBorders>
            <w:vAlign w:val="center"/>
          </w:tcPr>
          <w:p w14:paraId="20B11A6C">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满足招标文件要求且投标价格最低的投标报价为评标基准价，其价格分为满分</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rPr>
              <w:t>分。其他投标人的价格分统一按照下列公式计算：</w:t>
            </w:r>
          </w:p>
          <w:p w14:paraId="28C9B6F2">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投标报价得分＝（评标基准价/投标报价）</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rPr>
              <w:t>。</w:t>
            </w:r>
          </w:p>
          <w:p w14:paraId="24BF6DA1">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此处投标报价指经过报价修正，及因落实政府采购政策进行价格调整后的报价，详见第四章《评标程序、评标方法和评标标准》2.4 及 2.5。分值四舍五入后保留两位小数。</w:t>
            </w:r>
          </w:p>
        </w:tc>
        <w:tc>
          <w:tcPr>
            <w:tcW w:w="346" w:type="pct"/>
            <w:tcBorders>
              <w:top w:val="single" w:color="auto" w:sz="4" w:space="0"/>
              <w:left w:val="single" w:color="auto" w:sz="4" w:space="0"/>
              <w:bottom w:val="single" w:color="auto" w:sz="4" w:space="0"/>
              <w:right w:val="single" w:color="auto" w:sz="4" w:space="0"/>
            </w:tcBorders>
            <w:vAlign w:val="center"/>
          </w:tcPr>
          <w:p w14:paraId="1E1B2CEB">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5288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restart"/>
            <w:tcBorders>
              <w:top w:val="single" w:color="auto" w:sz="4" w:space="0"/>
              <w:left w:val="single" w:color="auto" w:sz="4" w:space="0"/>
              <w:right w:val="single" w:color="auto" w:sz="4" w:space="0"/>
            </w:tcBorders>
            <w:vAlign w:val="center"/>
          </w:tcPr>
          <w:p w14:paraId="4CC868B9">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商务部分</w:t>
            </w:r>
          </w:p>
        </w:tc>
        <w:tc>
          <w:tcPr>
            <w:tcW w:w="729" w:type="pct"/>
            <w:tcBorders>
              <w:top w:val="single" w:color="auto" w:sz="4" w:space="0"/>
              <w:left w:val="single" w:color="auto" w:sz="4" w:space="0"/>
              <w:bottom w:val="single" w:color="auto" w:sz="4" w:space="0"/>
              <w:right w:val="single" w:color="auto" w:sz="4" w:space="0"/>
            </w:tcBorders>
            <w:vAlign w:val="center"/>
          </w:tcPr>
          <w:p w14:paraId="3C158862">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类似</w:t>
            </w:r>
            <w:r>
              <w:rPr>
                <w:rFonts w:hint="eastAsia" w:ascii="仿宋" w:hAnsi="仿宋" w:eastAsia="仿宋" w:cs="仿宋"/>
                <w:bCs/>
                <w:color w:val="auto"/>
                <w:sz w:val="21"/>
                <w:szCs w:val="21"/>
                <w:highlight w:val="none"/>
                <w:lang w:val="en-US" w:eastAsia="zh-CN"/>
              </w:rPr>
              <w:t>案例</w:t>
            </w:r>
          </w:p>
        </w:tc>
        <w:tc>
          <w:tcPr>
            <w:tcW w:w="3387" w:type="pct"/>
            <w:tcBorders>
              <w:top w:val="single" w:color="auto" w:sz="4" w:space="0"/>
              <w:left w:val="single" w:color="auto" w:sz="4" w:space="0"/>
              <w:bottom w:val="single" w:color="auto" w:sz="4" w:space="0"/>
              <w:right w:val="single" w:color="auto" w:sz="4" w:space="0"/>
            </w:tcBorders>
            <w:vAlign w:val="center"/>
          </w:tcPr>
          <w:p w14:paraId="516D66C9">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供应商提供自2022年</w:t>
            </w:r>
            <w:r>
              <w:rPr>
                <w:rFonts w:hint="eastAsia" w:ascii="仿宋" w:hAnsi="仿宋" w:eastAsia="仿宋" w:cs="仿宋"/>
                <w:bCs/>
                <w:color w:val="auto"/>
                <w:sz w:val="21"/>
                <w:szCs w:val="21"/>
                <w:highlight w:val="none"/>
                <w:lang w:val="en-US" w:eastAsia="zh-CN"/>
              </w:rPr>
              <w:t>01</w:t>
            </w:r>
            <w:r>
              <w:rPr>
                <w:rFonts w:hint="eastAsia" w:ascii="仿宋" w:hAnsi="仿宋" w:eastAsia="仿宋" w:cs="仿宋"/>
                <w:bCs/>
                <w:color w:val="auto"/>
                <w:sz w:val="21"/>
                <w:szCs w:val="21"/>
                <w:highlight w:val="none"/>
              </w:rPr>
              <w:t>月</w:t>
            </w:r>
            <w:r>
              <w:rPr>
                <w:rFonts w:hint="eastAsia" w:ascii="仿宋" w:hAnsi="仿宋" w:eastAsia="仿宋" w:cs="仿宋"/>
                <w:bCs/>
                <w:color w:val="auto"/>
                <w:sz w:val="21"/>
                <w:szCs w:val="21"/>
                <w:highlight w:val="none"/>
                <w:lang w:val="en-US" w:eastAsia="zh-CN"/>
              </w:rPr>
              <w:t>0</w:t>
            </w:r>
            <w:r>
              <w:rPr>
                <w:rFonts w:hint="eastAsia" w:ascii="仿宋" w:hAnsi="仿宋" w:eastAsia="仿宋" w:cs="仿宋"/>
                <w:bCs/>
                <w:color w:val="auto"/>
                <w:sz w:val="21"/>
                <w:szCs w:val="21"/>
                <w:highlight w:val="none"/>
              </w:rPr>
              <w:t>1日以来（以合同签订时间为准），供应商承揽的</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与本项目服务需求相吻合的类似项目</w:t>
            </w:r>
            <w:r>
              <w:rPr>
                <w:rFonts w:hint="eastAsia" w:ascii="仿宋" w:hAnsi="仿宋" w:eastAsia="仿宋" w:cs="仿宋"/>
                <w:bCs/>
                <w:color w:val="auto"/>
                <w:sz w:val="21"/>
                <w:szCs w:val="21"/>
                <w:highlight w:val="none"/>
                <w:lang w:val="en-US" w:eastAsia="zh-CN"/>
              </w:rPr>
              <w:t>案例</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，每提供1份，得</w:t>
            </w:r>
            <w:r>
              <w:rPr>
                <w:rFonts w:hint="eastAsia" w:ascii="仿宋" w:hAnsi="仿宋" w:eastAsia="仿宋" w:cs="仿宋"/>
                <w:bCs/>
                <w:color w:val="auto"/>
                <w:sz w:val="21"/>
                <w:szCs w:val="21"/>
                <w:highlight w:val="none"/>
                <w:lang w:val="en-US" w:eastAsia="zh-CN"/>
              </w:rPr>
              <w:t>2.5</w:t>
            </w:r>
            <w:r>
              <w:rPr>
                <w:rFonts w:hint="eastAsia" w:ascii="仿宋" w:hAnsi="仿宋" w:eastAsia="仿宋" w:cs="仿宋"/>
                <w:bCs/>
                <w:color w:val="auto"/>
                <w:sz w:val="21"/>
                <w:szCs w:val="21"/>
                <w:highlight w:val="none"/>
              </w:rPr>
              <w:t>分，最多得</w:t>
            </w: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rPr>
              <w:t>分。</w:t>
            </w:r>
          </w:p>
          <w:p w14:paraId="72964194">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rPr>
              <w:t>注：需提供业绩合同关键页，包含首页、金额、内容、签字盖章页、日期页等复印件并加盖投标人公章，未按要求提供或未提供不得分。</w:t>
            </w:r>
          </w:p>
        </w:tc>
        <w:tc>
          <w:tcPr>
            <w:tcW w:w="346" w:type="pct"/>
            <w:tcBorders>
              <w:top w:val="single" w:color="auto" w:sz="4" w:space="0"/>
              <w:left w:val="single" w:color="auto" w:sz="4" w:space="0"/>
              <w:bottom w:val="single" w:color="auto" w:sz="4" w:space="0"/>
              <w:right w:val="single" w:color="auto" w:sz="4" w:space="0"/>
            </w:tcBorders>
            <w:vAlign w:val="center"/>
          </w:tcPr>
          <w:p w14:paraId="707561C2">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5</w:t>
            </w:r>
          </w:p>
        </w:tc>
      </w:tr>
      <w:tr w14:paraId="077C1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left w:val="single" w:color="auto" w:sz="4" w:space="0"/>
              <w:right w:val="single" w:color="auto" w:sz="4" w:space="0"/>
            </w:tcBorders>
            <w:vAlign w:val="center"/>
          </w:tcPr>
          <w:p w14:paraId="4D4B8802">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7D5B987A">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项目负责人（项目经理）</w:t>
            </w:r>
          </w:p>
        </w:tc>
        <w:tc>
          <w:tcPr>
            <w:tcW w:w="3387" w:type="pct"/>
            <w:tcBorders>
              <w:top w:val="single" w:color="auto" w:sz="4" w:space="0"/>
              <w:left w:val="single" w:color="auto" w:sz="4" w:space="0"/>
              <w:bottom w:val="single" w:color="auto" w:sz="4" w:space="0"/>
              <w:right w:val="single" w:color="auto" w:sz="4" w:space="0"/>
            </w:tcBorders>
            <w:vAlign w:val="center"/>
          </w:tcPr>
          <w:p w14:paraId="4B9C6589">
            <w:pPr>
              <w:numPr>
                <w:ilvl w:val="0"/>
                <w:numId w:val="0"/>
              </w:num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供应商根据项目需求组建项目管理团队，设立“项目负责人（项目经理）1人”，负责与采购人沟通、推进跟进项目执行、指挥协调项目团队人员、技术支持等工作。根据投入本项目的“项目负责人（项目经理）”履历进行评价：</w:t>
            </w:r>
          </w:p>
          <w:p w14:paraId="4527C68F">
            <w:pPr>
              <w:numPr>
                <w:ilvl w:val="0"/>
                <w:numId w:val="0"/>
              </w:numPr>
              <w:tabs>
                <w:tab w:val="left" w:pos="1080"/>
              </w:tabs>
              <w:spacing w:line="276" w:lineRule="auto"/>
              <w:jc w:val="left"/>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项目负责人（项目经理）具备五年及以上相关从业经验得2分，不具备不得分。</w:t>
            </w:r>
          </w:p>
          <w:p w14:paraId="226273EE">
            <w:pPr>
              <w:numPr>
                <w:ilvl w:val="0"/>
                <w:numId w:val="0"/>
              </w:numPr>
              <w:tabs>
                <w:tab w:val="left" w:pos="1080"/>
              </w:tabs>
              <w:spacing w:line="276" w:lineRule="auto"/>
              <w:ind w:left="0" w:leftChars="0" w:firstLine="0" w:firstLineChars="0"/>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注：应提供个人简历或能够证明具备相关类似经验的证明材料，未提供此项不得分。</w:t>
            </w:r>
          </w:p>
        </w:tc>
        <w:tc>
          <w:tcPr>
            <w:tcW w:w="346" w:type="pct"/>
            <w:tcBorders>
              <w:top w:val="single" w:color="auto" w:sz="4" w:space="0"/>
              <w:left w:val="single" w:color="auto" w:sz="4" w:space="0"/>
              <w:bottom w:val="single" w:color="auto" w:sz="4" w:space="0"/>
              <w:right w:val="single" w:color="auto" w:sz="4" w:space="0"/>
            </w:tcBorders>
            <w:vAlign w:val="center"/>
          </w:tcPr>
          <w:p w14:paraId="372DDBC3">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w:t>
            </w:r>
          </w:p>
        </w:tc>
      </w:tr>
      <w:tr w14:paraId="7D273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left w:val="single" w:color="auto" w:sz="4" w:space="0"/>
              <w:bottom w:val="single" w:color="auto" w:sz="4" w:space="0"/>
              <w:right w:val="single" w:color="auto" w:sz="4" w:space="0"/>
            </w:tcBorders>
            <w:vAlign w:val="center"/>
          </w:tcPr>
          <w:p w14:paraId="376FD6FB">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44358308">
            <w:pPr>
              <w:tabs>
                <w:tab w:val="left" w:pos="1080"/>
              </w:tabs>
              <w:spacing w:line="276" w:lineRule="auto"/>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拟投入本项目设备、工器具</w:t>
            </w:r>
          </w:p>
        </w:tc>
        <w:tc>
          <w:tcPr>
            <w:tcW w:w="3387" w:type="pct"/>
            <w:tcBorders>
              <w:top w:val="single" w:color="auto" w:sz="4" w:space="0"/>
              <w:left w:val="single" w:color="auto" w:sz="4" w:space="0"/>
              <w:bottom w:val="single" w:color="auto" w:sz="4" w:space="0"/>
              <w:right w:val="single" w:color="auto" w:sz="4" w:space="0"/>
            </w:tcBorders>
            <w:vAlign w:val="center"/>
          </w:tcPr>
          <w:p w14:paraId="74A0F0B9">
            <w:pPr>
              <w:tabs>
                <w:tab w:val="left" w:pos="1080"/>
              </w:tabs>
              <w:spacing w:line="276" w:lineRule="auto"/>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根据服务要求和技术响应情况，对供应商提供的对本项目拟投入本项目设备、工器具进行评价：</w:t>
            </w:r>
          </w:p>
          <w:p w14:paraId="0AE3E166">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①拟投入设备、工器具种类丰富齐全，数量充足，供应科学、合理、及时，与服务需求契合度高，可以保障服务需求的，得3分；</w:t>
            </w:r>
          </w:p>
          <w:p w14:paraId="61707602">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②拟投入设备、工器具种类较为丰富齐全，数量较为充足，供应较为科学、合理、及时，基本满足服务需求的，得2分；</w:t>
            </w:r>
          </w:p>
          <w:p w14:paraId="120B63D7">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③拟投入设备、工器具种类较少，数量较少，供应较慢，可行性一般，无法保障服务需求的，得1分；</w:t>
            </w:r>
          </w:p>
          <w:p w14:paraId="684DF95A">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④未提供拟投入设备、工器具或不能满足招标文件要求的，得0分。</w:t>
            </w:r>
          </w:p>
          <w:p w14:paraId="733BA2D1">
            <w:pPr>
              <w:numPr>
                <w:ilvl w:val="0"/>
                <w:numId w:val="0"/>
              </w:numPr>
              <w:tabs>
                <w:tab w:val="left" w:pos="1080"/>
              </w:tabs>
              <w:spacing w:line="276" w:lineRule="auto"/>
              <w:ind w:left="0" w:leftChars="0" w:firstLine="0" w:firstLineChars="0"/>
              <w:jc w:val="left"/>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注:须提供拟投入设备、工器具的名称、品牌、型号、数量清单加盖公章。</w:t>
            </w:r>
          </w:p>
        </w:tc>
        <w:tc>
          <w:tcPr>
            <w:tcW w:w="346" w:type="pct"/>
            <w:tcBorders>
              <w:top w:val="single" w:color="auto" w:sz="4" w:space="0"/>
              <w:left w:val="single" w:color="auto" w:sz="4" w:space="0"/>
              <w:bottom w:val="single" w:color="auto" w:sz="4" w:space="0"/>
              <w:right w:val="single" w:color="auto" w:sz="4" w:space="0"/>
            </w:tcBorders>
            <w:vAlign w:val="center"/>
          </w:tcPr>
          <w:p w14:paraId="6F5F61AD">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w:t>
            </w:r>
          </w:p>
        </w:tc>
      </w:tr>
      <w:tr w14:paraId="0714E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36" w:type="pct"/>
            <w:vMerge w:val="restart"/>
            <w:tcBorders>
              <w:top w:val="single" w:color="auto" w:sz="4" w:space="0"/>
              <w:left w:val="single" w:color="auto" w:sz="4" w:space="0"/>
              <w:bottom w:val="single" w:color="auto" w:sz="4" w:space="0"/>
              <w:right w:val="single" w:color="auto" w:sz="4" w:space="0"/>
            </w:tcBorders>
            <w:vAlign w:val="center"/>
          </w:tcPr>
          <w:p w14:paraId="7D96FB6E">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技术部分</w:t>
            </w:r>
          </w:p>
        </w:tc>
        <w:tc>
          <w:tcPr>
            <w:tcW w:w="729" w:type="pct"/>
            <w:tcBorders>
              <w:top w:val="single" w:color="auto" w:sz="4" w:space="0"/>
              <w:left w:val="single" w:color="auto" w:sz="4" w:space="0"/>
              <w:bottom w:val="single" w:color="auto" w:sz="4" w:space="0"/>
              <w:right w:val="single" w:color="auto" w:sz="4" w:space="0"/>
            </w:tcBorders>
            <w:vAlign w:val="center"/>
          </w:tcPr>
          <w:p w14:paraId="4562716B">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default" w:ascii="仿宋" w:hAnsi="仿宋" w:eastAsia="仿宋" w:cs="仿宋"/>
                <w:bCs/>
                <w:color w:val="auto"/>
                <w:sz w:val="21"/>
                <w:szCs w:val="21"/>
                <w:highlight w:val="none"/>
                <w:lang w:val="en-US" w:eastAsia="zh-CN"/>
              </w:rPr>
              <w:t>重点、难点的理解与分析及对策</w:t>
            </w:r>
          </w:p>
        </w:tc>
        <w:tc>
          <w:tcPr>
            <w:tcW w:w="3387" w:type="pct"/>
            <w:tcBorders>
              <w:top w:val="single" w:color="auto" w:sz="4" w:space="0"/>
              <w:left w:val="single" w:color="auto" w:sz="4" w:space="0"/>
              <w:bottom w:val="single" w:color="auto" w:sz="4" w:space="0"/>
              <w:right w:val="single" w:color="auto" w:sz="4" w:space="0"/>
            </w:tcBorders>
            <w:vAlign w:val="center"/>
          </w:tcPr>
          <w:p w14:paraId="43017326">
            <w:pPr>
              <w:tabs>
                <w:tab w:val="left" w:pos="1080"/>
              </w:tabs>
              <w:spacing w:line="276" w:lineRule="auto"/>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根据服务要求和技术响应情况，对供应商提供的对本项目重点、难点的理解与分析及对策进行评价：</w:t>
            </w:r>
          </w:p>
          <w:p w14:paraId="7B6CE791">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①精准、全面地识别出本项目的所有核心重点与潜在难点，并深刻剖析其背后的原因和可能产生的连锁影响，分析基于项目实际情况，数据详实，论证充分，逻辑严密</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能区分问题的轻重缓急，对难点的复杂性和关联性有清晰认识</w:t>
            </w:r>
            <w:r>
              <w:rPr>
                <w:rFonts w:hint="eastAsia" w:ascii="仿宋" w:hAnsi="仿宋" w:eastAsia="仿宋" w:cs="仿宋"/>
                <w:bCs/>
                <w:color w:val="auto"/>
                <w:sz w:val="21"/>
                <w:szCs w:val="21"/>
                <w:highlight w:val="none"/>
                <w:lang w:eastAsia="zh-CN"/>
              </w:rPr>
              <w:t>，方案展现出供应商丰富的同类项目经验和强大的问题解决能力，</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rPr>
              <w:t>分；</w:t>
            </w:r>
          </w:p>
          <w:p w14:paraId="3CCE73AF">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②能够识别项目的主要重点和难点，覆盖了大部分关键问题，分析较为客观、合理，针对识别出的问题，提出了基本对应且可行的解决措施</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方案较为具体，能够满足项目管理的基本要求</w:t>
            </w:r>
            <w:r>
              <w:rPr>
                <w:rFonts w:hint="eastAsia" w:ascii="仿宋" w:hAnsi="仿宋" w:eastAsia="仿宋" w:cs="仿宋"/>
                <w:bCs/>
                <w:color w:val="auto"/>
                <w:sz w:val="21"/>
                <w:szCs w:val="21"/>
                <w:highlight w:val="none"/>
                <w:lang w:eastAsia="zh-CN"/>
              </w:rPr>
              <w:t>，分析和对策之间逻辑关系基本明确，体现出一定的专业经验和思考，但创新性或对某些隐性问题的洞察深度稍显不足，</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分；</w:t>
            </w:r>
          </w:p>
          <w:p w14:paraId="49D31287">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③仅能识别出项目中较为明显和普遍的重点难点，分析多为基础性描述，缺乏深度。提出的对策较为常规、泛化，与项目具体特点的关联度不高，对策与问题之间的对应关系不够紧密，得</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分；</w:t>
            </w:r>
          </w:p>
          <w:p w14:paraId="32B4264B">
            <w:pPr>
              <w:tabs>
                <w:tab w:val="left" w:pos="1080"/>
              </w:tabs>
              <w:spacing w:line="276" w:lineRule="auto"/>
              <w:jc w:val="left"/>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④对项目重点和难点的识别不准确，遗漏了若干关键性问题，或将非重点内容错误列为重点，分析内容空洞，缺乏依据</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提出的对策过于简单、理想化，与实际问题脱节，缺乏可操作的具体步骤和资源支持，难以实际执行</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Cs/>
                <w:color w:val="auto"/>
                <w:sz w:val="21"/>
                <w:szCs w:val="21"/>
                <w:highlight w:val="none"/>
                <w:lang w:eastAsia="zh-CN"/>
              </w:rPr>
              <w:t>；</w:t>
            </w:r>
          </w:p>
          <w:p w14:paraId="4C8F3A72">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⑤未能理解项目基本要求，所陈述的重点难点与项目实际情况完全不符或严重偏离，分析部分完全流于形式、照抄模板，或所提对策根本不能解决所述问题，方案整体无效，无法体现任何解决问题的基本能力，得0分。</w:t>
            </w:r>
          </w:p>
        </w:tc>
        <w:tc>
          <w:tcPr>
            <w:tcW w:w="346" w:type="pct"/>
            <w:tcBorders>
              <w:top w:val="single" w:color="auto" w:sz="4" w:space="0"/>
              <w:left w:val="single" w:color="auto" w:sz="4" w:space="0"/>
              <w:bottom w:val="single" w:color="auto" w:sz="4" w:space="0"/>
              <w:right w:val="single" w:color="auto" w:sz="4" w:space="0"/>
            </w:tcBorders>
            <w:vAlign w:val="center"/>
          </w:tcPr>
          <w:p w14:paraId="433F3B97">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7081C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536" w:type="pct"/>
            <w:vMerge w:val="continue"/>
            <w:tcBorders>
              <w:left w:val="single" w:color="auto" w:sz="4" w:space="0"/>
              <w:right w:val="single" w:color="auto" w:sz="4" w:space="0"/>
            </w:tcBorders>
            <w:vAlign w:val="center"/>
          </w:tcPr>
          <w:p w14:paraId="7DD65EDE">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91FC9A0">
            <w:pPr>
              <w:tabs>
                <w:tab w:val="left" w:pos="1080"/>
              </w:tabs>
              <w:spacing w:line="276" w:lineRule="auto"/>
              <w:jc w:val="center"/>
              <w:rPr>
                <w:rFonts w:hint="default" w:ascii="仿宋" w:hAnsi="仿宋" w:eastAsia="仿宋" w:cs="仿宋"/>
                <w:color w:val="auto"/>
                <w:kern w:val="0"/>
                <w:sz w:val="21"/>
                <w:szCs w:val="21"/>
                <w:highlight w:val="none"/>
                <w:lang w:val="en-US"/>
              </w:rPr>
            </w:pPr>
            <w:r>
              <w:rPr>
                <w:rFonts w:hint="default" w:ascii="仿宋" w:hAnsi="仿宋" w:eastAsia="仿宋" w:cs="仿宋"/>
                <w:color w:val="auto"/>
                <w:kern w:val="0"/>
                <w:sz w:val="21"/>
                <w:szCs w:val="21"/>
                <w:highlight w:val="none"/>
                <w:lang w:val="en-US"/>
              </w:rPr>
              <w:t>秩序维护</w:t>
            </w:r>
            <w:r>
              <w:rPr>
                <w:rFonts w:hint="eastAsia" w:ascii="仿宋" w:hAnsi="仿宋" w:eastAsia="仿宋" w:cs="仿宋"/>
                <w:color w:val="auto"/>
                <w:kern w:val="0"/>
                <w:sz w:val="21"/>
                <w:szCs w:val="21"/>
                <w:highlight w:val="none"/>
                <w:lang w:val="en-US" w:eastAsia="zh-CN"/>
              </w:rPr>
              <w:t>、安全防范</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vAlign w:val="center"/>
          </w:tcPr>
          <w:p w14:paraId="3CA0A9EA">
            <w:pPr>
              <w:tabs>
                <w:tab w:val="left" w:pos="1080"/>
              </w:tabs>
              <w:spacing w:line="276" w:lineRule="auto"/>
              <w:jc w:val="left"/>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根据服务要求和技术响应情况，对供应商提供的秩序维护、安全防范方案进行评价：</w:t>
            </w:r>
          </w:p>
          <w:p w14:paraId="417BD0F9">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①将“秩序维护”与“安全防范”有机融合，构建了“预防为主、防控结合、快速响应”的一体化治安防控体系，方案体现了从被动值守到主动风险管理、从单一人防到人防、物防、技防相结合的现代安防理念，基于项目地理、建筑、功能、人流特性，进行了全面的安全风险评估，精准识别出治安、消防、交通、秩序等方面的重点区域、高发时段及脆弱环节，</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rPr>
              <w:t>分；</w:t>
            </w:r>
          </w:p>
          <w:p w14:paraId="23B5C0F4">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②方案涵盖了秩序维护和安全防范的主要方面，两者有结合，但融合度与系统性有待加强，对常规安防工作有明确的制度和流程规定，具备可操作性，但在措施的主动性、精细化或情景覆盖的广度上有所欠缺，</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分；</w:t>
            </w:r>
          </w:p>
          <w:p w14:paraId="69DBD5BE">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③</w:t>
            </w:r>
            <w:r>
              <w:rPr>
                <w:rFonts w:hint="eastAsia" w:ascii="仿宋" w:hAnsi="仿宋" w:eastAsia="仿宋" w:cs="仿宋"/>
                <w:bCs/>
                <w:color w:val="auto"/>
                <w:sz w:val="21"/>
                <w:szCs w:val="21"/>
                <w:highlight w:val="none"/>
              </w:rPr>
              <w:t>方案对秩序维护和安全防范分别进行描述，内容模块化拼凑感较强，缺乏有机整合与统一指挥</w:t>
            </w:r>
            <w:r>
              <w:rPr>
                <w:rFonts w:hint="eastAsia" w:ascii="仿宋" w:hAnsi="仿宋" w:eastAsia="仿宋" w:cs="仿宋"/>
                <w:bCs/>
                <w:color w:val="auto"/>
                <w:sz w:val="21"/>
                <w:szCs w:val="21"/>
                <w:highlight w:val="none"/>
                <w:lang w:val="en-US" w:eastAsia="zh-CN"/>
              </w:rPr>
              <w:t>，工作措施多为“加强管理”、“提高警惕”、“按时巡逻”等原则性要求，缺乏具体、可执行的操作步骤、判断标准和情景指引，</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分；</w:t>
            </w:r>
          </w:p>
          <w:p w14:paraId="5C9810F4">
            <w:pPr>
              <w:tabs>
                <w:tab w:val="left" w:pos="1080"/>
              </w:tabs>
              <w:spacing w:line="276" w:lineRule="auto"/>
              <w:jc w:val="left"/>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④方案结构混乱，内容严重缺失核心要素，仅简单堆砌少数通用条款，提出的措施不切实际、无法操作，或存在明显管理漏洞与安全风险，</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Cs/>
                <w:color w:val="auto"/>
                <w:sz w:val="21"/>
                <w:szCs w:val="21"/>
                <w:highlight w:val="none"/>
                <w:lang w:eastAsia="zh-CN"/>
              </w:rPr>
              <w:t>；</w:t>
            </w:r>
          </w:p>
          <w:p w14:paraId="5AC598CF">
            <w:p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⑤未提供符合要求的方案，或提供的方案与主题完全无关，内容极端简短空洞，或明显抄袭自其他不相关项目文件，得0分。</w:t>
            </w:r>
          </w:p>
        </w:tc>
        <w:tc>
          <w:tcPr>
            <w:tcW w:w="346" w:type="pct"/>
            <w:tcBorders>
              <w:top w:val="single" w:color="auto" w:sz="4" w:space="0"/>
              <w:left w:val="single" w:color="auto" w:sz="4" w:space="0"/>
              <w:bottom w:val="single" w:color="auto" w:sz="4" w:space="0"/>
              <w:right w:val="single" w:color="auto" w:sz="4" w:space="0"/>
            </w:tcBorders>
            <w:vAlign w:val="center"/>
          </w:tcPr>
          <w:p w14:paraId="15BE8BCA">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71C8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41952438">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2F757EA">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公共设施巡视</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tcPr>
          <w:p w14:paraId="7AD3B9FE">
            <w:pPr>
              <w:spacing w:line="276"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根据服务要求和技术响应情况，对供应商提供的公共设施巡视方案进行评价：</w:t>
            </w:r>
          </w:p>
          <w:p w14:paraId="0A540F6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①方案基于项目设施清单，建立了分级，巡视范围、对象100%覆盖招标要求，无任何遗漏，巡视路线设计科学、高效，能确保在既定时间内完成对所有设施的检查，根据设施重要性、风险等级和使用频率，差异化设置巡视频次，重点要害部位频次加密，得12分；</w:t>
            </w:r>
          </w:p>
          <w:p w14:paraId="45EA864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②巡视范围和对象覆盖了主要公共设施，分类基本清晰，对主要设施的检查有清单和要求，内容较为全面，得9分；</w:t>
            </w:r>
          </w:p>
          <w:p w14:paraId="5CB6594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③列出了需要巡视的设施大类，但清单不够具体或存在个别遗漏，巡视路线和频次设计较为笼统或机械化，未能明显体现差异化，得6分；</w:t>
            </w:r>
          </w:p>
          <w:p w14:paraId="43F167B8">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④巡视范围、对象不明确，巡视路线、频次设计混乱或明显不合理，无法保证有效覆盖，得3分；</w:t>
            </w:r>
          </w:p>
          <w:p w14:paraId="6CD8D223">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⑤未提供公共设施巡视方案，内容极端空洞，或明显抄袭自不相关项目，得0分。</w:t>
            </w:r>
          </w:p>
        </w:tc>
        <w:tc>
          <w:tcPr>
            <w:tcW w:w="346" w:type="pct"/>
            <w:tcBorders>
              <w:top w:val="single" w:color="auto" w:sz="4" w:space="0"/>
              <w:left w:val="single" w:color="auto" w:sz="4" w:space="0"/>
              <w:bottom w:val="single" w:color="auto" w:sz="4" w:space="0"/>
              <w:right w:val="single" w:color="auto" w:sz="4" w:space="0"/>
            </w:tcBorders>
            <w:vAlign w:val="center"/>
          </w:tcPr>
          <w:p w14:paraId="4EAB0739">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r>
      <w:tr w14:paraId="60FA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56BC20F0">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31ACE39">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交通疏导</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tcPr>
          <w:p w14:paraId="6948F4C3">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根据服务要求和技术响应情况，对供应商提供的交通疏导方案进行评价：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基于项目交通流量数据，对高峰/平峰时段、车流人流走向、瓶颈节点、潜在冲突点进行了详尽、科学的分析，针对车辆进出引导、停车秩序管理、人车分流、非机动车管理等具体场景，制定了标准化、可视化的操作流程，方案充分运用了专业交通疏导方法、设施和文明沟通技巧，得12分；</w:t>
            </w:r>
          </w:p>
          <w:p w14:paraId="46EF8732">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②对项目交通基本情况有合理的分析，指出了主要的高峰期和关键节点，对主要疏导工作有明确的方法和流程规定，具备专业性和可操作性，但在精细化或对复杂场景的覆盖上有所不足，得9分；</w:t>
            </w:r>
          </w:p>
          <w:p w14:paraId="1F93396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③仅对交通状况进行了一般性描述，缺乏基于具体数据的深入分析，针对性不强，工作措施多为“加强引导”、“维持秩序”等原则性要求，缺乏具体、专业的操作标准和情景化指导，得6分；</w:t>
            </w:r>
          </w:p>
          <w:p w14:paraId="471503A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④未进行有效交通分析，或分析结论与项目实际情况明显不符，提出的疏导方法不切实际、违反交通常识，或存在严重安全隐患，得3分；</w:t>
            </w:r>
          </w:p>
          <w:p w14:paraId="7EFF8630">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⑤未提供交通疏导方案，或提供的方案与主题完全无关，内容极端空洞，或明显抄袭自其他不相关项目，得0分。</w:t>
            </w:r>
          </w:p>
        </w:tc>
        <w:tc>
          <w:tcPr>
            <w:tcW w:w="346" w:type="pct"/>
            <w:tcBorders>
              <w:top w:val="single" w:color="auto" w:sz="4" w:space="0"/>
              <w:left w:val="single" w:color="auto" w:sz="4" w:space="0"/>
              <w:bottom w:val="single" w:color="auto" w:sz="4" w:space="0"/>
              <w:right w:val="single" w:color="auto" w:sz="4" w:space="0"/>
            </w:tcBorders>
            <w:vAlign w:val="center"/>
          </w:tcPr>
          <w:p w14:paraId="5EE37FF1">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07AB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0905E51A">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9731665">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管理规章制度</w:t>
            </w:r>
          </w:p>
        </w:tc>
        <w:tc>
          <w:tcPr>
            <w:tcW w:w="3387" w:type="pct"/>
            <w:tcBorders>
              <w:top w:val="single" w:color="auto" w:sz="4" w:space="0"/>
              <w:left w:val="single" w:color="auto" w:sz="4" w:space="0"/>
              <w:bottom w:val="single" w:color="auto" w:sz="4" w:space="0"/>
              <w:right w:val="single" w:color="auto" w:sz="4" w:space="0"/>
            </w:tcBorders>
            <w:vAlign w:val="top"/>
          </w:tcPr>
          <w:p w14:paraId="612C61F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根据服务要求和技术响应情况，对供应商提供的管理规章制度进行评价：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管理制度体系健全，架构层次分明，核心制度覆盖全面，制度内容并非通用模板，而是紧密结合本项目服务范围、难点和采购人特点进行定制化设计，流程设计严谨，责权明确，标准量化，能有效指导与管控现场服务全过程，得12分；</w:t>
            </w:r>
          </w:p>
          <w:p w14:paraId="208AB37B">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②涵盖了大部分核心管理制度，架构基本清晰，制度内容较为具体，部分关键流程和标准有量化体现，能看出对本项目有一定的考虑，但仍部分沿用通用条款，得9分；</w:t>
            </w:r>
          </w:p>
          <w:p w14:paraId="26C6FBCF">
            <w:pPr>
              <w:spacing w:line="276" w:lineRule="auto"/>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③提供了主要方面的管理制度，但内容不完整，可能存在核心制度缺失或关键环节覆盖不全，制度内容多为原则性、通用性描述，缺乏与项目具体场景结合的细节和量化标准，得6分；</w:t>
            </w:r>
          </w:p>
          <w:p w14:paraId="16CF8866">
            <w:pPr>
              <w:spacing w:line="276" w:lineRule="auto"/>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④仅罗列了少数几项简单的管理规定，制度体系存在重大缺陷，无法覆盖项目管理的基本需求，条款描述极度空泛，或存在明显不切实际、无法执行的内容，与招标文件要求和服务方案严重脱节，得3分；</w:t>
            </w:r>
          </w:p>
          <w:p w14:paraId="6F4875C7">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Cs/>
                <w:color w:val="auto"/>
                <w:szCs w:val="21"/>
                <w:highlight w:val="none"/>
                <w:lang w:val="en-US" w:eastAsia="zh-CN"/>
              </w:rPr>
              <w:t>⑤未提供系统的管理制度文本，或提供的文本与“管理制度”主题完全无关，明显抄袭其他无关项目文件，或内容极度敷衍、篇幅过短，无法体现任何管理意图，得0分。</w:t>
            </w:r>
          </w:p>
        </w:tc>
        <w:tc>
          <w:tcPr>
            <w:tcW w:w="346" w:type="pct"/>
            <w:tcBorders>
              <w:top w:val="single" w:color="auto" w:sz="4" w:space="0"/>
              <w:left w:val="single" w:color="auto" w:sz="4" w:space="0"/>
              <w:bottom w:val="single" w:color="auto" w:sz="4" w:space="0"/>
              <w:right w:val="single" w:color="auto" w:sz="4" w:space="0"/>
            </w:tcBorders>
            <w:vAlign w:val="center"/>
          </w:tcPr>
          <w:p w14:paraId="7E128C90">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3B20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7C5DE8DD">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4116AD2E">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员工</w:t>
            </w:r>
            <w:r>
              <w:rPr>
                <w:rFonts w:hint="eastAsia" w:ascii="仿宋" w:hAnsi="仿宋" w:eastAsia="仿宋" w:cs="仿宋"/>
                <w:color w:val="auto"/>
                <w:kern w:val="0"/>
                <w:sz w:val="21"/>
                <w:szCs w:val="21"/>
                <w:highlight w:val="none"/>
              </w:rPr>
              <w:t>培训方案</w:t>
            </w:r>
          </w:p>
        </w:tc>
        <w:tc>
          <w:tcPr>
            <w:tcW w:w="3387" w:type="pct"/>
            <w:tcBorders>
              <w:top w:val="single" w:color="auto" w:sz="4" w:space="0"/>
              <w:left w:val="single" w:color="auto" w:sz="4" w:space="0"/>
              <w:bottom w:val="single" w:color="auto" w:sz="4" w:space="0"/>
              <w:right w:val="single" w:color="auto" w:sz="4" w:space="0"/>
            </w:tcBorders>
            <w:vAlign w:val="top"/>
          </w:tcPr>
          <w:p w14:paraId="6A2C7B1F">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根据服务要求和技术响应情况，对供应商提供的员工培训方案进行评价：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①构建了覆盖员工全周期的培训体系，逻辑清晰，目标明确，培训计划详尽，采用多元化培训方法，强调实操与互动，明确合格标准，得10分；</w:t>
            </w:r>
          </w:p>
          <w:p w14:paraId="259C3BCA">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②涵盖了主要培训阶段，有基本的培训计划，采用了常规的培训与考核方法，能保证基本技能的掌握，但方法的创新性或考核的精细度一般，得7分；</w:t>
            </w:r>
          </w:p>
          <w:p w14:paraId="02E2C7DC">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③仅规定了基础的入职培训或零星的在岗培训，缺乏系统规划，培训计划粗略，考核方式模糊，缺乏明确的实操考核标准，得4分；</w:t>
            </w:r>
          </w:p>
          <w:p w14:paraId="7B8B88E3">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④培训方案极其简略，未形成基本体系，仅提及“进行培训”等原则性要求，未描述具体的培训方法和考核方式，无法确保培训效果，得1分；</w:t>
            </w:r>
          </w:p>
          <w:p w14:paraId="6697063A">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⑤未提供培训方案，或提供的方案与“员工培训”主题完全无关，方案中包含违反安全操作规程、或明显错误的培训内容，将直接导致安全或质量风险，得0分。</w:t>
            </w:r>
          </w:p>
        </w:tc>
        <w:tc>
          <w:tcPr>
            <w:tcW w:w="346" w:type="pct"/>
            <w:tcBorders>
              <w:top w:val="single" w:color="auto" w:sz="4" w:space="0"/>
              <w:left w:val="single" w:color="auto" w:sz="4" w:space="0"/>
              <w:bottom w:val="single" w:color="auto" w:sz="4" w:space="0"/>
              <w:right w:val="single" w:color="auto" w:sz="4" w:space="0"/>
            </w:tcBorders>
            <w:vAlign w:val="center"/>
          </w:tcPr>
          <w:p w14:paraId="45802F6D">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4C50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0BF9A709">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66D391A4">
            <w:pPr>
              <w:snapToGrid w:val="0"/>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color w:val="auto"/>
                <w:kern w:val="0"/>
                <w:sz w:val="21"/>
                <w:szCs w:val="21"/>
                <w:highlight w:val="none"/>
              </w:rPr>
              <w:t>突发事件及应急预案</w:t>
            </w:r>
          </w:p>
        </w:tc>
        <w:tc>
          <w:tcPr>
            <w:tcW w:w="3387" w:type="pct"/>
            <w:tcBorders>
              <w:top w:val="single" w:color="auto" w:sz="4" w:space="0"/>
              <w:left w:val="single" w:color="auto" w:sz="4" w:space="0"/>
              <w:bottom w:val="single" w:color="auto" w:sz="4" w:space="0"/>
              <w:right w:val="single" w:color="auto" w:sz="4" w:space="0"/>
            </w:tcBorders>
            <w:vAlign w:val="top"/>
          </w:tcPr>
          <w:p w14:paraId="0FB7A5D0">
            <w:pPr>
              <w:jc w:val="left"/>
              <w:rPr>
                <w:rFonts w:hint="eastAsia" w:ascii="仿宋" w:hAnsi="仿宋" w:eastAsia="仿宋" w:cs="仿宋"/>
                <w:b/>
                <w:color w:val="auto"/>
                <w:szCs w:val="21"/>
                <w:highlight w:val="none"/>
              </w:rPr>
            </w:pPr>
            <w:r>
              <w:rPr>
                <w:rFonts w:hint="eastAsia" w:ascii="仿宋" w:hAnsi="仿宋" w:eastAsia="仿宋" w:cs="仿宋"/>
                <w:b/>
                <w:bCs w:val="0"/>
                <w:color w:val="auto"/>
                <w:sz w:val="21"/>
                <w:szCs w:val="21"/>
                <w:highlight w:val="none"/>
                <w:lang w:eastAsia="zh-CN"/>
              </w:rPr>
              <w:t>根据服务要求和技术响应情况，对供应商提供</w:t>
            </w:r>
            <w:r>
              <w:rPr>
                <w:rFonts w:hint="eastAsia" w:ascii="仿宋" w:hAnsi="仿宋" w:eastAsia="仿宋" w:cs="仿宋"/>
                <w:b/>
                <w:color w:val="auto"/>
                <w:szCs w:val="21"/>
                <w:highlight w:val="none"/>
              </w:rPr>
              <w:t>的突发事件及应急预案进行评</w:t>
            </w:r>
            <w:r>
              <w:rPr>
                <w:rFonts w:hint="eastAsia" w:ascii="仿宋" w:hAnsi="仿宋" w:eastAsia="仿宋" w:cs="仿宋"/>
                <w:b/>
                <w:color w:val="auto"/>
                <w:szCs w:val="21"/>
                <w:highlight w:val="none"/>
                <w:lang w:val="en-US" w:eastAsia="zh-CN"/>
              </w:rPr>
              <w:t>价</w:t>
            </w:r>
            <w:r>
              <w:rPr>
                <w:rFonts w:hint="eastAsia" w:ascii="仿宋" w:hAnsi="仿宋" w:eastAsia="仿宋" w:cs="仿宋"/>
                <w:b/>
                <w:color w:val="auto"/>
                <w:szCs w:val="21"/>
                <w:highlight w:val="none"/>
              </w:rPr>
              <w:t>：</w:t>
            </w:r>
          </w:p>
          <w:p w14:paraId="46CB4F47">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①预案体系构成一个完整、高效、可靠的应急响应系统</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覆盖无死角，流程清晰闭环，职责明确到人，响应机制科学，保障措施有力</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方案极具针对性和可操作性，并具备强大的持续改进能力，能最大限度降低突发事件影响，得</w:t>
            </w:r>
            <w:r>
              <w:rPr>
                <w:rFonts w:hint="eastAsia" w:ascii="仿宋" w:hAnsi="仿宋" w:eastAsia="仿宋" w:cs="仿宋"/>
                <w:bCs/>
                <w:color w:val="auto"/>
                <w:szCs w:val="21"/>
                <w:highlight w:val="none"/>
                <w:lang w:val="en-US" w:eastAsia="zh-CN"/>
              </w:rPr>
              <w:t>10</w:t>
            </w:r>
            <w:r>
              <w:rPr>
                <w:rFonts w:hint="eastAsia" w:ascii="仿宋" w:hAnsi="仿宋" w:eastAsia="仿宋" w:cs="仿宋"/>
                <w:bCs/>
                <w:color w:val="auto"/>
                <w:szCs w:val="21"/>
                <w:highlight w:val="none"/>
              </w:rPr>
              <w:t>分；</w:t>
            </w:r>
          </w:p>
          <w:p w14:paraId="27CD745B">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②预案内容全面，体系完整</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涵盖了主要突发事件类型，流程设计合理，职责划分清晰，具备有效的响应和报告机制，能满足项目应急管理需求，得</w:t>
            </w:r>
            <w:r>
              <w:rPr>
                <w:rFonts w:hint="eastAsia" w:ascii="仿宋" w:hAnsi="仿宋" w:eastAsia="仿宋" w:cs="仿宋"/>
                <w:bCs/>
                <w:color w:val="auto"/>
                <w:szCs w:val="21"/>
                <w:highlight w:val="none"/>
                <w:lang w:val="en-US" w:eastAsia="zh-CN"/>
              </w:rPr>
              <w:t>7</w:t>
            </w:r>
            <w:r>
              <w:rPr>
                <w:rFonts w:hint="eastAsia" w:ascii="仿宋" w:hAnsi="仿宋" w:eastAsia="仿宋" w:cs="仿宋"/>
                <w:bCs/>
                <w:color w:val="auto"/>
                <w:szCs w:val="21"/>
                <w:highlight w:val="none"/>
              </w:rPr>
              <w:t>分；</w:t>
            </w:r>
          </w:p>
          <w:p w14:paraId="33DF5247">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③预案基本建立了应急框架，但内容较为笼统</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部分环节深度不足，流程可操作性一般，针对性和精细化程度有待提升，得</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分；</w:t>
            </w:r>
          </w:p>
          <w:p w14:paraId="19C40F62">
            <w:pPr>
              <w:spacing w:line="276"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④预案体系不健全，存在重大缺失或完全不可行</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无法为突发事件的应急处置提供有效指导</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lang w:val="en-US" w:eastAsia="zh-CN"/>
              </w:rPr>
              <w:t>得1分</w:t>
            </w:r>
            <w:r>
              <w:rPr>
                <w:rFonts w:hint="eastAsia" w:ascii="仿宋" w:hAnsi="仿宋" w:eastAsia="仿宋" w:cs="仿宋"/>
                <w:bCs/>
                <w:color w:val="auto"/>
                <w:szCs w:val="21"/>
                <w:highlight w:val="none"/>
              </w:rPr>
              <w:t>。</w:t>
            </w:r>
          </w:p>
          <w:p w14:paraId="674E8719">
            <w:pPr>
              <w:spacing w:line="276" w:lineRule="auto"/>
              <w:rPr>
                <w:rFonts w:hint="eastAsia" w:ascii="仿宋" w:hAnsi="仿宋" w:eastAsia="仿宋" w:cs="仿宋"/>
                <w:bCs/>
                <w:color w:val="auto"/>
                <w:sz w:val="21"/>
                <w:szCs w:val="21"/>
                <w:highlight w:val="none"/>
              </w:rPr>
            </w:pPr>
            <w:r>
              <w:rPr>
                <w:rFonts w:hint="eastAsia" w:ascii="仿宋" w:hAnsi="仿宋" w:eastAsia="仿宋" w:cs="仿宋"/>
                <w:b w:val="0"/>
                <w:bCs w:val="0"/>
                <w:color w:val="auto"/>
                <w:sz w:val="21"/>
                <w:szCs w:val="21"/>
                <w:highlight w:val="none"/>
                <w:lang w:val="en-US" w:eastAsia="zh-CN"/>
              </w:rPr>
              <w:t>⑤未提供应急预案，或提供的文件与该主题完全无关，预案存在明显抄袭其他不相关项目的内容，或包含严重的、可能加重事故的错误处置方法，得0分。</w:t>
            </w:r>
          </w:p>
        </w:tc>
        <w:tc>
          <w:tcPr>
            <w:tcW w:w="346" w:type="pct"/>
            <w:tcBorders>
              <w:top w:val="single" w:color="auto" w:sz="4" w:space="0"/>
              <w:left w:val="single" w:color="auto" w:sz="4" w:space="0"/>
              <w:bottom w:val="single" w:color="auto" w:sz="4" w:space="0"/>
              <w:right w:val="single" w:color="auto" w:sz="4" w:space="0"/>
            </w:tcBorders>
            <w:vAlign w:val="center"/>
          </w:tcPr>
          <w:p w14:paraId="04465CD5">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69ADB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53" w:type="pct"/>
            <w:gridSpan w:val="3"/>
            <w:tcBorders>
              <w:top w:val="single" w:color="auto" w:sz="4" w:space="0"/>
              <w:left w:val="single" w:color="auto" w:sz="4" w:space="0"/>
              <w:bottom w:val="single" w:color="auto" w:sz="4" w:space="0"/>
              <w:right w:val="single" w:color="auto" w:sz="4" w:space="0"/>
            </w:tcBorders>
            <w:vAlign w:val="center"/>
          </w:tcPr>
          <w:p w14:paraId="287806B1">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合计</w:t>
            </w:r>
          </w:p>
        </w:tc>
        <w:tc>
          <w:tcPr>
            <w:tcW w:w="346" w:type="pct"/>
            <w:tcBorders>
              <w:top w:val="single" w:color="auto" w:sz="4" w:space="0"/>
              <w:left w:val="single" w:color="auto" w:sz="4" w:space="0"/>
              <w:bottom w:val="single" w:color="auto" w:sz="4" w:space="0"/>
              <w:right w:val="single" w:color="auto" w:sz="4" w:space="0"/>
            </w:tcBorders>
            <w:vAlign w:val="center"/>
          </w:tcPr>
          <w:p w14:paraId="40388C19">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100</w:t>
            </w:r>
          </w:p>
        </w:tc>
      </w:tr>
    </w:tbl>
    <w:p w14:paraId="6AA3E54E">
      <w:pPr>
        <w:widowControl/>
        <w:jc w:val="left"/>
        <w:rPr>
          <w:rFonts w:hint="eastAsia" w:ascii="仿宋" w:hAnsi="仿宋" w:eastAsia="仿宋" w:cs="仿宋"/>
          <w:b/>
          <w:color w:val="auto"/>
          <w:sz w:val="36"/>
          <w:szCs w:val="36"/>
          <w:highlight w:val="none"/>
        </w:rPr>
        <w:sectPr>
          <w:pgSz w:w="11906" w:h="16838"/>
          <w:pgMar w:top="1440" w:right="1083" w:bottom="1440" w:left="1083" w:header="851" w:footer="992" w:gutter="0"/>
          <w:pgNumType w:fmt="decimal"/>
          <w:cols w:space="720" w:num="1"/>
          <w:docGrid w:linePitch="326" w:charSpace="0"/>
        </w:sectPr>
      </w:pPr>
    </w:p>
    <w:p w14:paraId="468D264F">
      <w:pPr>
        <w:spacing w:line="360" w:lineRule="auto"/>
        <w:jc w:val="center"/>
        <w:outlineLvl w:val="0"/>
        <w:rPr>
          <w:rFonts w:hint="eastAsia" w:ascii="仿宋" w:hAnsi="仿宋" w:eastAsia="仿宋" w:cs="仿宋"/>
          <w:b/>
          <w:color w:val="auto"/>
          <w:sz w:val="36"/>
          <w:szCs w:val="36"/>
          <w:highlight w:val="none"/>
        </w:rPr>
      </w:pPr>
      <w:bookmarkStart w:id="822" w:name="_Toc99301424"/>
      <w:r>
        <w:rPr>
          <w:rFonts w:hint="eastAsia" w:ascii="仿宋" w:hAnsi="仿宋" w:eastAsia="仿宋" w:cs="仿宋"/>
          <w:b/>
          <w:color w:val="auto"/>
          <w:sz w:val="36"/>
          <w:szCs w:val="36"/>
          <w:highlight w:val="none"/>
        </w:rPr>
        <w:t>第五章   采购需求</w:t>
      </w:r>
      <w:bookmarkEnd w:id="822"/>
    </w:p>
    <w:p w14:paraId="65C82C65">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w:t>
      </w:r>
      <w:r>
        <w:rPr>
          <w:rFonts w:hint="eastAsia" w:ascii="仿宋" w:hAnsi="仿宋" w:eastAsia="仿宋" w:cs="仿宋"/>
          <w:b/>
          <w:color w:val="auto"/>
          <w:sz w:val="24"/>
          <w:szCs w:val="24"/>
          <w:highlight w:val="none"/>
        </w:rPr>
        <w:t>采购标的</w:t>
      </w:r>
    </w:p>
    <w:tbl>
      <w:tblPr>
        <w:tblStyle w:val="45"/>
        <w:tblW w:w="497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
        <w:gridCol w:w="2390"/>
        <w:gridCol w:w="1510"/>
        <w:gridCol w:w="1076"/>
        <w:gridCol w:w="3864"/>
      </w:tblGrid>
      <w:tr w14:paraId="18E95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488" w:type="pct"/>
            <w:vAlign w:val="center"/>
          </w:tcPr>
          <w:p w14:paraId="41A8CEFF">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1219" w:type="pct"/>
            <w:vAlign w:val="center"/>
          </w:tcPr>
          <w:p w14:paraId="364F8AC8">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标包</w:t>
            </w:r>
            <w:r>
              <w:rPr>
                <w:rFonts w:hint="eastAsia" w:ascii="仿宋" w:hAnsi="仿宋" w:eastAsia="仿宋" w:cs="仿宋"/>
                <w:bCs/>
                <w:color w:val="auto"/>
                <w:sz w:val="21"/>
                <w:szCs w:val="21"/>
                <w:highlight w:val="none"/>
              </w:rPr>
              <w:t>名称</w:t>
            </w:r>
          </w:p>
        </w:tc>
        <w:tc>
          <w:tcPr>
            <w:tcW w:w="770" w:type="pct"/>
            <w:vAlign w:val="center"/>
          </w:tcPr>
          <w:p w14:paraId="3FA8797C">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采购</w:t>
            </w:r>
            <w:r>
              <w:rPr>
                <w:rFonts w:hint="eastAsia" w:ascii="仿宋" w:hAnsi="仿宋" w:eastAsia="仿宋" w:cs="仿宋"/>
                <w:bCs/>
                <w:color w:val="auto"/>
                <w:sz w:val="21"/>
                <w:szCs w:val="21"/>
                <w:highlight w:val="none"/>
                <w:lang w:val="en-US" w:eastAsia="zh-CN"/>
              </w:rPr>
              <w:t>标</w:t>
            </w:r>
            <w:r>
              <w:rPr>
                <w:rFonts w:hint="eastAsia" w:ascii="仿宋" w:hAnsi="仿宋" w:eastAsia="仿宋" w:cs="仿宋"/>
                <w:bCs/>
                <w:color w:val="auto"/>
                <w:sz w:val="21"/>
                <w:szCs w:val="21"/>
                <w:highlight w:val="none"/>
              </w:rPr>
              <w:t>包预算金额（万元）</w:t>
            </w:r>
          </w:p>
        </w:tc>
        <w:tc>
          <w:tcPr>
            <w:tcW w:w="549" w:type="pct"/>
            <w:vAlign w:val="center"/>
          </w:tcPr>
          <w:p w14:paraId="15165E3C">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需求人数</w:t>
            </w:r>
          </w:p>
        </w:tc>
        <w:tc>
          <w:tcPr>
            <w:tcW w:w="1971" w:type="pct"/>
            <w:vAlign w:val="center"/>
          </w:tcPr>
          <w:p w14:paraId="31E36B5A">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简要技术需求或服务要求</w:t>
            </w:r>
          </w:p>
        </w:tc>
      </w:tr>
      <w:tr w14:paraId="163F8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956" w:type="dxa"/>
            <w:vAlign w:val="center"/>
          </w:tcPr>
          <w:p w14:paraId="5CB26B88">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一标包</w:t>
            </w:r>
          </w:p>
        </w:tc>
        <w:tc>
          <w:tcPr>
            <w:tcW w:w="2390" w:type="dxa"/>
            <w:vAlign w:val="center"/>
          </w:tcPr>
          <w:p w14:paraId="0091FD61">
            <w:pPr>
              <w:jc w:val="center"/>
              <w:rPr>
                <w:rFonts w:hint="eastAsia" w:ascii="仿宋" w:hAnsi="仿宋" w:eastAsia="仿宋" w:cs="仿宋"/>
                <w:bCs/>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一标包</w:t>
            </w:r>
            <w:r>
              <w:rPr>
                <w:rFonts w:hint="eastAsia" w:ascii="仿宋" w:hAnsi="仿宋" w:eastAsia="仿宋" w:cs="仿宋"/>
                <w:color w:val="auto"/>
                <w:sz w:val="21"/>
                <w:szCs w:val="21"/>
                <w:highlight w:val="none"/>
                <w:lang w:eastAsia="zh-CN"/>
              </w:rPr>
              <w:t>）</w:t>
            </w:r>
          </w:p>
        </w:tc>
        <w:tc>
          <w:tcPr>
            <w:tcW w:w="1510" w:type="dxa"/>
            <w:vAlign w:val="center"/>
          </w:tcPr>
          <w:p w14:paraId="7A37D017">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1076" w:type="dxa"/>
            <w:vAlign w:val="center"/>
          </w:tcPr>
          <w:p w14:paraId="62DAA7BA">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36人</w:t>
            </w:r>
          </w:p>
        </w:tc>
        <w:tc>
          <w:tcPr>
            <w:tcW w:w="3864" w:type="dxa"/>
            <w:vAlign w:val="center"/>
          </w:tcPr>
          <w:p w14:paraId="6F8CD94F">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为青荷里园、祈东园、安馨园、晨风园、百子园、裕民园提供安保服务，具体详见招标文件第五章采购需求。</w:t>
            </w:r>
          </w:p>
        </w:tc>
      </w:tr>
    </w:tbl>
    <w:p w14:paraId="4FB853EB">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p>
    <w:p w14:paraId="509B75A7">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color w:val="auto"/>
          <w:highlight w:val="none"/>
          <w:lang w:val="en-US"/>
        </w:rPr>
      </w:pPr>
      <w:r>
        <w:rPr>
          <w:rFonts w:hint="eastAsia" w:ascii="仿宋" w:hAnsi="仿宋" w:eastAsia="仿宋" w:cs="仿宋"/>
          <w:b/>
          <w:bCs/>
          <w:color w:val="auto"/>
          <w:sz w:val="24"/>
          <w:szCs w:val="24"/>
          <w:highlight w:val="none"/>
          <w:lang w:val="en-US" w:eastAsia="zh-CN"/>
        </w:rPr>
        <w:t>二、商务要求</w:t>
      </w:r>
    </w:p>
    <w:p w14:paraId="0D8EEDF2">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1.付款条件：按季度支付安保服务费，最后一个季度的安保服务费，采购人将于11月份支付，待合同有效期届满后，双方据实结算安保服务费金额。</w:t>
      </w:r>
    </w:p>
    <w:p w14:paraId="0FD671E7">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2.保险：由供应商承担拟派人员的保险。</w:t>
      </w:r>
    </w:p>
    <w:p w14:paraId="4E02D178">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3.就餐：餐费收取标准:18 元/人/天（早、午饭），含税，由供应商与采购人食材供货商签订合同并据实结算餐费。</w:t>
      </w:r>
    </w:p>
    <w:p w14:paraId="58B7832B">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default"/>
          <w:color w:val="auto"/>
          <w:highlight w:val="none"/>
          <w:lang w:val="en-US" w:eastAsia="zh-CN"/>
        </w:rPr>
      </w:pPr>
      <w:r>
        <w:rPr>
          <w:rFonts w:hint="eastAsia" w:ascii="仿宋" w:hAnsi="仿宋" w:eastAsia="仿宋" w:cs="仿宋"/>
          <w:b w:val="0"/>
          <w:bCs w:val="0"/>
          <w:color w:val="auto"/>
          <w:sz w:val="24"/>
          <w:szCs w:val="24"/>
          <w:highlight w:val="none"/>
          <w:lang w:val="en-US" w:eastAsia="zh-CN"/>
        </w:rPr>
        <w:t>4.合同履行期限：一年，计划于2026年01月01日起至2026年12月31日止，最终以合同约定时间为准。</w:t>
      </w:r>
    </w:p>
    <w:p w14:paraId="5FBD8FF8">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三、服务内容</w:t>
      </w:r>
    </w:p>
    <w:p w14:paraId="017B538D">
      <w:pPr>
        <w:pStyle w:val="264"/>
        <w:keepNext w:val="0"/>
        <w:keepLines w:val="0"/>
        <w:pageBreakBefore w:val="0"/>
        <w:widowControl w:val="0"/>
        <w:kinsoku/>
        <w:wordWrap/>
        <w:overflowPunct/>
        <w:topLinePunct w:val="0"/>
        <w:bidi w:val="0"/>
        <w:snapToGrid/>
        <w:spacing w:line="360" w:lineRule="auto"/>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负责各址内的治安、门岗、消防、信报资料接收分发及车辆管理工作，内门卫室及其协助周边、门前三包场地等的清洁卫生，做好防火、防盗、防爆、防破坏、防自然灾害等工作，维护园方正常的园所安全秩序，负责园所24小时门卫守护、园所巡逻及交通指挥值班执勤工作；协助园区应急突发事件的处理及园区安排的有关安全保卫的临时性工作。</w:t>
      </w:r>
    </w:p>
    <w:p w14:paraId="4E04BB77">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四、服务要求</w:t>
      </w:r>
    </w:p>
    <w:p w14:paraId="3B361FED">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1.负责园区大门24小时值班值守，负责人员、车辆进出校园管理，维护良好的校门秩序；做好来访人员的登记和值班、交接班记录。</w:t>
      </w:r>
    </w:p>
    <w:p w14:paraId="507B689B">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2.负责园区周边安全管理，公共区域日常安全检查以及每2小时一次的园区安全巡查，及时发现处置隐患问题和突发事件，维护良好的园区教育教学秩序和正常办公环境。</w:t>
      </w:r>
    </w:p>
    <w:p w14:paraId="33730A0E">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3.衣着整洁，待人接物和气有礼貌，不聚众聊天；注意仪容仪表，讲究团结协作，值班时间不得脱岗、误岗、擅自调岗。</w:t>
      </w:r>
    </w:p>
    <w:p w14:paraId="3ED977D0">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4.根据园区工作实际，妥善做好来园人员车辆的引导、停放和秩序维护。</w:t>
      </w:r>
    </w:p>
    <w:p w14:paraId="7DC16594">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5.负责安防监控值班值守工作，相关设备发生故障及时沟通联系，协助做好修理和维护工作。</w:t>
      </w:r>
    </w:p>
    <w:p w14:paraId="38294875">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6.贯彻执行各项安全管理规章制度，妥善做好园区防火、防盗、防抢、防暴等各项安全防范工作。</w:t>
      </w:r>
    </w:p>
    <w:p w14:paraId="6A224366">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7.遇园区大型、重要活动或重大节日，提供临时勤务保障。</w:t>
      </w:r>
    </w:p>
    <w:p w14:paraId="1B1420DC">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8.预防和制止侵害园区的安全事件，随时做好应急处突防范，妥善处理消防安全、突发事件等应急情况。</w:t>
      </w:r>
    </w:p>
    <w:p w14:paraId="4A658D20">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9.协助做好消防维保，安防维保，消防电气检测，灭火器检测回充等工作。</w:t>
      </w:r>
    </w:p>
    <w:p w14:paraId="22821A53">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10.完成园区交办的其它临时性工作和任务；如辅助园区清运垃圾、做好门前三包等。</w:t>
      </w:r>
    </w:p>
    <w:p w14:paraId="77458992">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11.供应商需每月对保安人员进行人员思想、专业技能、法律层面培训及人员矛盾排查。</w:t>
      </w:r>
    </w:p>
    <w:p w14:paraId="20262F00">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12.供应商项目负责人需每月向采购人园所保安工作进行工作汇报。</w:t>
      </w:r>
    </w:p>
    <w:p w14:paraId="700B0EB0">
      <w:pPr>
        <w:pStyle w:val="77"/>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13.保安人员执勤班次要求每班次两人，每天三班次，每班8小时，高峰执勤达到6人。14.供应商项目负责人需每月对保安人员进行证件核查，保证证件合规且在有效期范围内。</w:t>
      </w:r>
    </w:p>
    <w:p w14:paraId="5389CC88">
      <w:pPr>
        <w:pStyle w:val="77"/>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15.乙方项目负责人需每月向甲方对园所保安工作进行工作汇报。</w:t>
      </w:r>
    </w:p>
    <w:p w14:paraId="5FE16619">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16.供应商需每月对保安人员进行岗位培训，包含但不限于法律、技能等培训并留有培训记录。</w:t>
      </w:r>
    </w:p>
    <w:p w14:paraId="3E5B4C78">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17.供应商提供的保安服内容、规程和标准为《中小学幼儿园校园保安服务规范》(DB11/T730-2024)和北京市公安局保安服务操作规程、服务质量的相关要求。</w:t>
      </w:r>
    </w:p>
    <w:p w14:paraId="1D7E94D2">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18.供应商拟派人员在上岗前应具备保安员证、北京市卫生系统健康证明、无犯罪记录证明，且年龄在50周岁以下。</w:t>
      </w:r>
    </w:p>
    <w:p w14:paraId="59C444A9">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五、其他要求</w:t>
      </w:r>
    </w:p>
    <w:p w14:paraId="6D28874F">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为落实政府采购政策需满足的要求</w:t>
      </w:r>
      <w:r>
        <w:rPr>
          <w:rFonts w:hint="eastAsia" w:ascii="仿宋" w:hAnsi="仿宋" w:eastAsia="仿宋" w:cs="仿宋"/>
          <w:color w:val="auto"/>
          <w:sz w:val="24"/>
          <w:highlight w:val="none"/>
          <w:lang w:eastAsia="zh-CN"/>
        </w:rPr>
        <w:t>：节约能源，保护环境，扶持不发达地区和少数民族地区，促进中小企业发展，支持监狱、戒毒企业发展，促进残疾人就业，支持科技创新、绿色发展，优先采购贫困地区农副产品、支持本国产业、维护国家安全等政府采购政策（不适用者除外）。</w:t>
      </w:r>
    </w:p>
    <w:p w14:paraId="7A269241">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2.供应商总报价为</w:t>
      </w:r>
      <w:r>
        <w:rPr>
          <w:rFonts w:hint="eastAsia" w:ascii="仿宋" w:hAnsi="仿宋" w:eastAsia="仿宋" w:cs="仿宋"/>
          <w:color w:val="auto"/>
          <w:sz w:val="24"/>
          <w:highlight w:val="none"/>
          <w:lang w:eastAsia="zh-CN"/>
        </w:rPr>
        <w:t>包干的全部费用，包含人员工资、社保、装备费用、培训费用、管理费用、合理的利润、税费等。</w:t>
      </w:r>
    </w:p>
    <w:p w14:paraId="262E23F8">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
          <w:bCs/>
          <w:color w:val="auto"/>
          <w:sz w:val="24"/>
          <w:szCs w:val="24"/>
          <w:highlight w:val="none"/>
          <w:lang w:val="en" w:eastAsia="zh-CN"/>
        </w:rPr>
      </w:pPr>
      <w:r>
        <w:rPr>
          <w:rFonts w:hint="eastAsia" w:ascii="仿宋" w:hAnsi="仿宋" w:eastAsia="仿宋" w:cs="仿宋"/>
          <w:color w:val="auto"/>
          <w:sz w:val="24"/>
          <w:highlight w:val="none"/>
          <w:lang w:val="en-US" w:eastAsia="zh-CN"/>
        </w:rPr>
        <w:t>3.服务单位应做好安全保障等相关服务，如发生服务单位责任事故，造成恶劣影响的，采购人可视情况解除与服务单位的合同关系。</w:t>
      </w:r>
    </w:p>
    <w:p w14:paraId="69140EE1">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六、服务质量考核表</w:t>
      </w:r>
    </w:p>
    <w:p w14:paraId="36815B81">
      <w:pPr>
        <w:spacing w:line="360" w:lineRule="auto"/>
        <w:jc w:val="both"/>
        <w:outlineLvl w:val="0"/>
        <w:rPr>
          <w:color w:val="auto"/>
          <w:highlight w:val="none"/>
        </w:rPr>
      </w:pPr>
    </w:p>
    <w:p w14:paraId="2BB62608">
      <w:pPr>
        <w:spacing w:line="360" w:lineRule="auto"/>
        <w:jc w:val="both"/>
        <w:outlineLvl w:val="0"/>
        <w:rPr>
          <w:color w:val="auto"/>
          <w:highlight w:val="none"/>
        </w:rPr>
      </w:pPr>
    </w:p>
    <w:p w14:paraId="62C91EF8">
      <w:pPr>
        <w:rPr>
          <w:color w:val="auto"/>
          <w:highlight w:val="none"/>
        </w:rPr>
      </w:pPr>
      <w:r>
        <w:rPr>
          <w:color w:val="auto"/>
          <w:highlight w:val="none"/>
        </w:rPr>
        <w:br w:type="page"/>
      </w:r>
    </w:p>
    <w:p w14:paraId="0E16807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仿宋" w:hAnsi="仿宋" w:eastAsia="仿宋" w:cs="仿宋"/>
          <w:b w:val="0"/>
          <w:bCs w:val="0"/>
          <w:color w:val="auto"/>
          <w:sz w:val="36"/>
          <w:szCs w:val="36"/>
          <w:highlight w:val="none"/>
        </w:rPr>
      </w:pPr>
      <w:r>
        <w:rPr>
          <w:rFonts w:hint="eastAsia" w:ascii="仿宋" w:hAnsi="仿宋" w:eastAsia="仿宋" w:cs="仿宋"/>
          <w:b w:val="0"/>
          <w:bCs w:val="0"/>
          <w:color w:val="auto"/>
          <w:sz w:val="36"/>
          <w:szCs w:val="36"/>
          <w:highlight w:val="none"/>
        </w:rPr>
        <w:t>北京市朝阳区教育服务保障中心</w:t>
      </w:r>
    </w:p>
    <w:p w14:paraId="56F431C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仿宋" w:hAnsi="仿宋" w:eastAsia="仿宋" w:cs="仿宋"/>
          <w:b w:val="0"/>
          <w:bCs w:val="0"/>
          <w:color w:val="auto"/>
          <w:sz w:val="36"/>
          <w:szCs w:val="36"/>
          <w:highlight w:val="none"/>
          <w:lang w:val="en-US" w:eastAsia="zh-CN"/>
        </w:rPr>
      </w:pPr>
      <w:r>
        <w:rPr>
          <w:rFonts w:hint="eastAsia" w:ascii="仿宋" w:hAnsi="仿宋" w:eastAsia="仿宋" w:cs="仿宋"/>
          <w:b w:val="0"/>
          <w:bCs w:val="0"/>
          <w:color w:val="auto"/>
          <w:sz w:val="36"/>
          <w:szCs w:val="36"/>
          <w:highlight w:val="none"/>
          <w:lang w:val="en-US" w:eastAsia="zh-CN"/>
        </w:rPr>
        <w:t>保安</w:t>
      </w:r>
      <w:bookmarkStart w:id="916" w:name="_GoBack"/>
      <w:bookmarkEnd w:id="916"/>
      <w:r>
        <w:rPr>
          <w:rFonts w:hint="eastAsia" w:ascii="仿宋" w:hAnsi="仿宋" w:eastAsia="仿宋" w:cs="仿宋"/>
          <w:b w:val="0"/>
          <w:bCs w:val="0"/>
          <w:color w:val="auto"/>
          <w:sz w:val="36"/>
          <w:szCs w:val="36"/>
          <w:highlight w:val="none"/>
          <w:lang w:val="en-US" w:eastAsia="zh-CN"/>
        </w:rPr>
        <w:t>服务考核评分表</w:t>
      </w:r>
    </w:p>
    <w:p w14:paraId="38D22E3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default" w:ascii="仿宋" w:hAnsi="仿宋" w:eastAsia="仿宋" w:cs="仿宋"/>
          <w:b w:val="0"/>
          <w:bCs w:val="0"/>
          <w:color w:val="auto"/>
          <w:sz w:val="36"/>
          <w:szCs w:val="36"/>
          <w:highlight w:val="none"/>
          <w:lang w:val="en-US" w:eastAsia="zh-CN"/>
        </w:rPr>
      </w:pPr>
      <w:r>
        <w:rPr>
          <w:rFonts w:hint="default" w:ascii="仿宋" w:hAnsi="仿宋" w:eastAsia="仿宋" w:cs="仿宋"/>
          <w:b w:val="0"/>
          <w:bCs w:val="0"/>
          <w:color w:val="auto"/>
          <w:sz w:val="36"/>
          <w:szCs w:val="36"/>
          <w:highlight w:val="none"/>
          <w:lang w:val="en-US" w:eastAsia="zh-CN"/>
        </w:rPr>
        <w:t>2026年第</w:t>
      </w:r>
      <w:r>
        <w:rPr>
          <w:rFonts w:hint="eastAsia" w:ascii="仿宋" w:hAnsi="仿宋" w:eastAsia="仿宋" w:cs="仿宋"/>
          <w:b w:val="0"/>
          <w:bCs w:val="0"/>
          <w:color w:val="auto"/>
          <w:sz w:val="36"/>
          <w:szCs w:val="36"/>
          <w:highlight w:val="none"/>
          <w:lang w:val="en-US" w:eastAsia="zh-CN"/>
        </w:rPr>
        <w:t xml:space="preserve">  </w:t>
      </w:r>
      <w:r>
        <w:rPr>
          <w:rFonts w:hint="default" w:ascii="仿宋" w:hAnsi="仿宋" w:eastAsia="仿宋" w:cs="仿宋"/>
          <w:b w:val="0"/>
          <w:bCs w:val="0"/>
          <w:color w:val="auto"/>
          <w:sz w:val="36"/>
          <w:szCs w:val="36"/>
          <w:highlight w:val="none"/>
          <w:lang w:val="en-US" w:eastAsia="zh-CN"/>
        </w:rPr>
        <w:t>月</w:t>
      </w:r>
    </w:p>
    <w:p w14:paraId="44E3CE6A">
      <w:pPr>
        <w:spacing w:line="360" w:lineRule="auto"/>
        <w:jc w:val="both"/>
        <w:outlineLvl w:val="0"/>
        <w:rPr>
          <w:rFonts w:asciiTheme="minorEastAsia" w:hAnsiTheme="minorEastAsia" w:eastAsiaTheme="minorEastAsia"/>
          <w:b/>
          <w:color w:val="auto"/>
          <w:sz w:val="36"/>
          <w:szCs w:val="36"/>
          <w:highlight w:val="none"/>
        </w:rPr>
      </w:pPr>
      <w:r>
        <w:rPr>
          <w:color w:val="auto"/>
          <w:highlight w:val="none"/>
        </w:rPr>
        <w:drawing>
          <wp:inline distT="0" distB="0" distL="0" distR="0">
            <wp:extent cx="5968365" cy="7157720"/>
            <wp:effectExtent l="0" t="0" r="13335"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3"/>
                    <a:stretch>
                      <a:fillRect/>
                    </a:stretch>
                  </pic:blipFill>
                  <pic:spPr>
                    <a:xfrm>
                      <a:off x="0" y="0"/>
                      <a:ext cx="5968365" cy="7157720"/>
                    </a:xfrm>
                    <a:prstGeom prst="rect">
                      <a:avLst/>
                    </a:prstGeom>
                  </pic:spPr>
                </pic:pic>
              </a:graphicData>
            </a:graphic>
          </wp:inline>
        </w:drawing>
      </w:r>
      <w:r>
        <w:rPr>
          <w:rFonts w:asciiTheme="minorEastAsia" w:hAnsiTheme="minorEastAsia" w:eastAsiaTheme="minorEastAsia"/>
          <w:b/>
          <w:color w:val="auto"/>
          <w:sz w:val="36"/>
          <w:szCs w:val="36"/>
          <w:highlight w:val="none"/>
        </w:rPr>
        <w:br w:type="page"/>
      </w:r>
      <w:bookmarkStart w:id="823" w:name="_Toc99301425"/>
    </w:p>
    <w:p w14:paraId="53C8E9D5">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第六章   拟签订的合同文本</w:t>
      </w:r>
      <w:bookmarkEnd w:id="823"/>
    </w:p>
    <w:p w14:paraId="345D2ED4">
      <w:pPr>
        <w:tabs>
          <w:tab w:val="left" w:pos="900"/>
          <w:tab w:val="left" w:pos="1080"/>
        </w:tabs>
        <w:snapToGrid w:val="0"/>
        <w:spacing w:line="360" w:lineRule="auto"/>
        <w:jc w:val="center"/>
        <w:rPr>
          <w:rFonts w:hint="eastAsia" w:ascii="仿宋" w:hAnsi="仿宋" w:eastAsia="仿宋" w:cs="仿宋"/>
          <w:color w:val="auto"/>
          <w:kern w:val="0"/>
          <w:sz w:val="24"/>
          <w:szCs w:val="24"/>
          <w:highlight w:val="none"/>
          <w14:ligatures w14:val="none"/>
        </w:rPr>
      </w:pPr>
      <w:r>
        <w:rPr>
          <w:rFonts w:hint="eastAsia" w:ascii="仿宋" w:hAnsi="仿宋" w:eastAsia="仿宋" w:cs="仿宋"/>
          <w:color w:val="auto"/>
          <w:kern w:val="0"/>
          <w:sz w:val="24"/>
          <w:szCs w:val="24"/>
          <w:highlight w:val="none"/>
          <w14:ligatures w14:val="none"/>
        </w:rPr>
        <w:t>(此合同文本仅供参考。以最终</w:t>
      </w:r>
      <w:r>
        <w:rPr>
          <w:rFonts w:hint="eastAsia" w:ascii="仿宋" w:hAnsi="仿宋" w:eastAsia="仿宋" w:cs="仿宋"/>
          <w:color w:val="auto"/>
          <w:kern w:val="0"/>
          <w:sz w:val="24"/>
          <w:szCs w:val="24"/>
          <w:highlight w:val="none"/>
          <w:lang w:val="en-US" w:eastAsia="zh-CN"/>
          <w14:ligatures w14:val="none"/>
        </w:rPr>
        <w:t>采购</w:t>
      </w:r>
      <w:r>
        <w:rPr>
          <w:rFonts w:hint="eastAsia" w:ascii="仿宋" w:hAnsi="仿宋" w:eastAsia="仿宋" w:cs="仿宋"/>
          <w:color w:val="auto"/>
          <w:kern w:val="0"/>
          <w:sz w:val="24"/>
          <w:szCs w:val="24"/>
          <w:highlight w:val="none"/>
          <w14:ligatures w14:val="none"/>
        </w:rPr>
        <w:t>人与中标人签定的合同条款为准，最终签定合同的主要条款不能与招标文件有冲突）</w:t>
      </w:r>
    </w:p>
    <w:p w14:paraId="7BB5099D">
      <w:pPr>
        <w:spacing w:before="114" w:line="225" w:lineRule="auto"/>
        <w:ind w:left="329"/>
        <w:rPr>
          <w:rFonts w:hint="eastAsia" w:ascii="仿宋" w:hAnsi="仿宋" w:eastAsia="仿宋" w:cs="仿宋"/>
          <w:b/>
          <w:bCs/>
          <w:color w:val="auto"/>
          <w:sz w:val="36"/>
          <w:szCs w:val="36"/>
          <w:highlight w:val="none"/>
        </w:rPr>
      </w:pPr>
    </w:p>
    <w:p w14:paraId="7D81AF0F">
      <w:pPr>
        <w:spacing w:before="114" w:line="225" w:lineRule="auto"/>
        <w:rPr>
          <w:rFonts w:hint="eastAsia" w:ascii="仿宋" w:hAnsi="仿宋" w:eastAsia="仿宋" w:cs="仿宋"/>
          <w:b/>
          <w:bCs/>
          <w:color w:val="auto"/>
          <w:sz w:val="36"/>
          <w:szCs w:val="36"/>
          <w:highlight w:val="none"/>
        </w:rPr>
      </w:pPr>
    </w:p>
    <w:p w14:paraId="1EDE378E">
      <w:pPr>
        <w:spacing w:before="114" w:line="225" w:lineRule="auto"/>
        <w:jc w:val="center"/>
        <w:rPr>
          <w:rFonts w:hint="eastAsia" w:ascii="仿宋" w:hAnsi="仿宋" w:eastAsia="仿宋" w:cs="仿宋"/>
          <w:color w:val="auto"/>
          <w:sz w:val="36"/>
          <w:szCs w:val="36"/>
          <w:highlight w:val="none"/>
        </w:rPr>
      </w:pPr>
      <w:r>
        <w:rPr>
          <w:rFonts w:hint="eastAsia" w:ascii="仿宋" w:hAnsi="仿宋" w:eastAsia="仿宋" w:cs="仿宋"/>
          <w:b/>
          <w:bCs/>
          <w:color w:val="auto"/>
          <w:sz w:val="36"/>
          <w:szCs w:val="36"/>
          <w:highlight w:val="none"/>
        </w:rPr>
        <w:t>国资中心幼儿园</w:t>
      </w:r>
      <w:r>
        <w:rPr>
          <w:rFonts w:hint="eastAsia" w:ascii="仿宋" w:hAnsi="仿宋" w:eastAsia="仿宋" w:cs="仿宋"/>
          <w:color w:val="auto"/>
          <w:spacing w:val="-170"/>
          <w:sz w:val="36"/>
          <w:szCs w:val="36"/>
          <w:highlight w:val="none"/>
        </w:rPr>
        <w:t xml:space="preserve"> </w:t>
      </w:r>
      <w:r>
        <w:rPr>
          <w:rFonts w:hint="eastAsia" w:ascii="仿宋" w:hAnsi="仿宋" w:eastAsia="仿宋" w:cs="仿宋"/>
          <w:color w:val="auto"/>
          <w:spacing w:val="5"/>
          <w:sz w:val="36"/>
          <w:szCs w:val="36"/>
          <w:highlight w:val="none"/>
          <w:u w:val="single" w:color="auto"/>
        </w:rPr>
        <w:t xml:space="preserve">     </w:t>
      </w:r>
      <w:r>
        <w:rPr>
          <w:rFonts w:hint="eastAsia" w:ascii="仿宋" w:hAnsi="仿宋" w:eastAsia="仿宋" w:cs="仿宋"/>
          <w:color w:val="auto"/>
          <w:spacing w:val="-126"/>
          <w:sz w:val="36"/>
          <w:szCs w:val="36"/>
          <w:highlight w:val="none"/>
        </w:rPr>
        <w:t xml:space="preserve"> </w:t>
      </w:r>
      <w:r>
        <w:rPr>
          <w:rFonts w:hint="eastAsia" w:ascii="仿宋" w:hAnsi="仿宋" w:eastAsia="仿宋" w:cs="仿宋"/>
          <w:b/>
          <w:bCs/>
          <w:color w:val="auto"/>
          <w:sz w:val="36"/>
          <w:szCs w:val="36"/>
          <w:highlight w:val="none"/>
        </w:rPr>
        <w:t>园等</w:t>
      </w:r>
      <w:r>
        <w:rPr>
          <w:rFonts w:hint="eastAsia" w:ascii="仿宋" w:hAnsi="仿宋" w:eastAsia="仿宋" w:cs="仿宋"/>
          <w:color w:val="auto"/>
          <w:sz w:val="36"/>
          <w:szCs w:val="36"/>
          <w:highlight w:val="none"/>
          <w:u w:val="single" w:color="auto"/>
        </w:rPr>
        <w:t xml:space="preserve">     </w:t>
      </w:r>
      <w:r>
        <w:rPr>
          <w:rFonts w:hint="eastAsia" w:ascii="仿宋" w:hAnsi="仿宋" w:eastAsia="仿宋" w:cs="仿宋"/>
          <w:color w:val="auto"/>
          <w:spacing w:val="-161"/>
          <w:sz w:val="36"/>
          <w:szCs w:val="36"/>
          <w:highlight w:val="none"/>
        </w:rPr>
        <w:t xml:space="preserve"> </w:t>
      </w:r>
      <w:r>
        <w:rPr>
          <w:rFonts w:hint="eastAsia" w:ascii="仿宋" w:hAnsi="仿宋" w:eastAsia="仿宋" w:cs="仿宋"/>
          <w:b/>
          <w:bCs/>
          <w:color w:val="auto"/>
          <w:sz w:val="36"/>
          <w:szCs w:val="36"/>
          <w:highlight w:val="none"/>
        </w:rPr>
        <w:t>所幼儿园</w:t>
      </w:r>
      <w:r>
        <w:rPr>
          <w:rFonts w:hint="eastAsia" w:ascii="仿宋" w:hAnsi="仿宋" w:eastAsia="仿宋" w:cs="仿宋"/>
          <w:color w:val="auto"/>
          <w:spacing w:val="-65"/>
          <w:sz w:val="36"/>
          <w:szCs w:val="36"/>
          <w:highlight w:val="none"/>
        </w:rPr>
        <w:t xml:space="preserve"> </w:t>
      </w:r>
      <w:r>
        <w:rPr>
          <w:rFonts w:hint="eastAsia" w:ascii="仿宋" w:hAnsi="仿宋" w:eastAsia="仿宋" w:cs="仿宋"/>
          <w:b/>
          <w:bCs/>
          <w:color w:val="auto"/>
          <w:sz w:val="36"/>
          <w:szCs w:val="36"/>
          <w:highlight w:val="none"/>
        </w:rPr>
        <w:t>202</w:t>
      </w:r>
      <w:r>
        <w:rPr>
          <w:rFonts w:hint="eastAsia" w:ascii="仿宋" w:hAnsi="仿宋" w:eastAsia="仿宋" w:cs="仿宋"/>
          <w:b/>
          <w:bCs/>
          <w:color w:val="auto"/>
          <w:sz w:val="36"/>
          <w:szCs w:val="36"/>
          <w:highlight w:val="none"/>
          <w:lang w:val="en-US" w:eastAsia="zh-CN"/>
        </w:rPr>
        <w:t>6</w:t>
      </w:r>
      <w:r>
        <w:rPr>
          <w:rFonts w:hint="eastAsia" w:ascii="仿宋" w:hAnsi="仿宋" w:eastAsia="仿宋" w:cs="仿宋"/>
          <w:b/>
          <w:bCs/>
          <w:color w:val="auto"/>
          <w:sz w:val="36"/>
          <w:szCs w:val="36"/>
          <w:highlight w:val="none"/>
        </w:rPr>
        <w:t>年</w:t>
      </w:r>
    </w:p>
    <w:p w14:paraId="45738920">
      <w:pPr>
        <w:spacing w:before="114" w:line="225" w:lineRule="auto"/>
        <w:jc w:val="center"/>
        <w:rPr>
          <w:rFonts w:hint="eastAsia" w:ascii="仿宋" w:hAnsi="仿宋" w:eastAsia="仿宋" w:cs="仿宋"/>
          <w:b/>
          <w:bCs/>
          <w:color w:val="auto"/>
          <w:spacing w:val="-2"/>
          <w:sz w:val="36"/>
          <w:szCs w:val="36"/>
          <w:highlight w:val="none"/>
        </w:rPr>
      </w:pPr>
    </w:p>
    <w:p w14:paraId="5B02F1CE">
      <w:pPr>
        <w:spacing w:before="114" w:line="225" w:lineRule="auto"/>
        <w:jc w:val="center"/>
        <w:rPr>
          <w:rFonts w:hint="eastAsia" w:ascii="仿宋" w:hAnsi="仿宋" w:eastAsia="仿宋" w:cs="仿宋"/>
          <w:color w:val="auto"/>
          <w:sz w:val="36"/>
          <w:szCs w:val="36"/>
          <w:highlight w:val="none"/>
        </w:rPr>
      </w:pPr>
      <w:r>
        <w:rPr>
          <w:rFonts w:hint="eastAsia" w:ascii="仿宋" w:hAnsi="仿宋" w:eastAsia="仿宋" w:cs="仿宋"/>
          <w:b/>
          <w:bCs/>
          <w:color w:val="auto"/>
          <w:spacing w:val="-2"/>
          <w:sz w:val="36"/>
          <w:szCs w:val="36"/>
          <w:highlight w:val="none"/>
        </w:rPr>
        <w:t>1</w:t>
      </w:r>
      <w:r>
        <w:rPr>
          <w:rFonts w:hint="eastAsia" w:ascii="仿宋" w:hAnsi="仿宋" w:eastAsia="仿宋" w:cs="仿宋"/>
          <w:color w:val="auto"/>
          <w:spacing w:val="-54"/>
          <w:sz w:val="36"/>
          <w:szCs w:val="36"/>
          <w:highlight w:val="none"/>
        </w:rPr>
        <w:t xml:space="preserve"> </w:t>
      </w:r>
      <w:r>
        <w:rPr>
          <w:rFonts w:hint="eastAsia" w:ascii="仿宋" w:hAnsi="仿宋" w:eastAsia="仿宋" w:cs="仿宋"/>
          <w:b/>
          <w:bCs/>
          <w:color w:val="auto"/>
          <w:spacing w:val="-2"/>
          <w:sz w:val="36"/>
          <w:szCs w:val="36"/>
          <w:highlight w:val="none"/>
        </w:rPr>
        <w:t>月-12</w:t>
      </w:r>
      <w:r>
        <w:rPr>
          <w:rFonts w:hint="eastAsia" w:ascii="仿宋" w:hAnsi="仿宋" w:eastAsia="仿宋" w:cs="仿宋"/>
          <w:color w:val="auto"/>
          <w:spacing w:val="-64"/>
          <w:sz w:val="36"/>
          <w:szCs w:val="36"/>
          <w:highlight w:val="none"/>
        </w:rPr>
        <w:t xml:space="preserve"> </w:t>
      </w:r>
      <w:r>
        <w:rPr>
          <w:rFonts w:hint="eastAsia" w:ascii="仿宋" w:hAnsi="仿宋" w:eastAsia="仿宋" w:cs="仿宋"/>
          <w:b/>
          <w:bCs/>
          <w:color w:val="auto"/>
          <w:spacing w:val="-2"/>
          <w:sz w:val="36"/>
          <w:szCs w:val="36"/>
          <w:highlight w:val="none"/>
        </w:rPr>
        <w:t>月保安服务合同</w:t>
      </w:r>
    </w:p>
    <w:p w14:paraId="11D335AD">
      <w:pPr>
        <w:pStyle w:val="19"/>
        <w:spacing w:line="284" w:lineRule="auto"/>
        <w:rPr>
          <w:rFonts w:hint="eastAsia" w:ascii="仿宋" w:hAnsi="仿宋" w:eastAsia="仿宋" w:cs="仿宋"/>
          <w:color w:val="auto"/>
          <w:sz w:val="28"/>
          <w:szCs w:val="28"/>
          <w:highlight w:val="none"/>
        </w:rPr>
      </w:pPr>
    </w:p>
    <w:p w14:paraId="716C9AA2">
      <w:pPr>
        <w:pStyle w:val="19"/>
        <w:spacing w:line="284" w:lineRule="auto"/>
        <w:rPr>
          <w:rFonts w:hint="eastAsia" w:ascii="仿宋" w:hAnsi="仿宋" w:eastAsia="仿宋" w:cs="仿宋"/>
          <w:color w:val="auto"/>
          <w:sz w:val="28"/>
          <w:szCs w:val="28"/>
          <w:highlight w:val="none"/>
        </w:rPr>
      </w:pPr>
    </w:p>
    <w:p w14:paraId="218E6484">
      <w:pPr>
        <w:pStyle w:val="19"/>
        <w:spacing w:line="246" w:lineRule="auto"/>
        <w:rPr>
          <w:rFonts w:hint="eastAsia" w:ascii="仿宋" w:hAnsi="仿宋" w:eastAsia="仿宋" w:cs="仿宋"/>
          <w:color w:val="auto"/>
          <w:spacing w:val="7"/>
          <w:sz w:val="28"/>
          <w:szCs w:val="28"/>
          <w:highlight w:val="none"/>
        </w:rPr>
      </w:pPr>
    </w:p>
    <w:p w14:paraId="6A6D176C">
      <w:pPr>
        <w:pStyle w:val="19"/>
        <w:spacing w:line="246"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pacing w:val="7"/>
          <w:sz w:val="36"/>
          <w:szCs w:val="36"/>
          <w:highlight w:val="none"/>
          <w:lang w:eastAsia="zh-CN"/>
        </w:rPr>
        <w:t>2026年北京市朝阳区教育服务保障中心及其所属幼儿园保安服务项目</w:t>
      </w:r>
      <w:r>
        <w:rPr>
          <w:rFonts w:hint="eastAsia" w:ascii="仿宋" w:hAnsi="仿宋" w:eastAsia="仿宋" w:cs="仿宋"/>
          <w:b/>
          <w:bCs/>
          <w:color w:val="auto"/>
          <w:spacing w:val="7"/>
          <w:sz w:val="36"/>
          <w:szCs w:val="36"/>
          <w:highlight w:val="none"/>
        </w:rPr>
        <w:t>（</w:t>
      </w:r>
      <w:r>
        <w:rPr>
          <w:rFonts w:hint="eastAsia" w:ascii="仿宋" w:hAnsi="仿宋" w:eastAsia="仿宋" w:cs="仿宋"/>
          <w:b/>
          <w:bCs/>
          <w:color w:val="auto"/>
          <w:spacing w:val="7"/>
          <w:sz w:val="36"/>
          <w:szCs w:val="36"/>
          <w:highlight w:val="none"/>
          <w:lang w:val="en-US" w:eastAsia="zh-CN"/>
        </w:rPr>
        <w:t>一标包</w:t>
      </w:r>
      <w:r>
        <w:rPr>
          <w:rFonts w:hint="eastAsia" w:ascii="仿宋" w:hAnsi="仿宋" w:eastAsia="仿宋" w:cs="仿宋"/>
          <w:b/>
          <w:bCs/>
          <w:color w:val="auto"/>
          <w:spacing w:val="7"/>
          <w:sz w:val="36"/>
          <w:szCs w:val="36"/>
          <w:highlight w:val="none"/>
        </w:rPr>
        <w:t>）</w:t>
      </w:r>
    </w:p>
    <w:p w14:paraId="33DB412B">
      <w:pPr>
        <w:pStyle w:val="19"/>
        <w:spacing w:line="247" w:lineRule="auto"/>
        <w:rPr>
          <w:rFonts w:hint="eastAsia" w:ascii="仿宋" w:hAnsi="仿宋" w:eastAsia="仿宋" w:cs="仿宋"/>
          <w:color w:val="auto"/>
          <w:sz w:val="28"/>
          <w:szCs w:val="28"/>
          <w:highlight w:val="none"/>
        </w:rPr>
      </w:pPr>
    </w:p>
    <w:p w14:paraId="07DE81F6">
      <w:pPr>
        <w:pStyle w:val="19"/>
        <w:spacing w:line="247" w:lineRule="auto"/>
        <w:rPr>
          <w:rFonts w:hint="eastAsia" w:ascii="仿宋" w:hAnsi="仿宋" w:eastAsia="仿宋" w:cs="仿宋"/>
          <w:color w:val="auto"/>
          <w:sz w:val="28"/>
          <w:szCs w:val="28"/>
          <w:highlight w:val="none"/>
        </w:rPr>
      </w:pPr>
    </w:p>
    <w:p w14:paraId="21D98EC3">
      <w:pPr>
        <w:pStyle w:val="19"/>
        <w:spacing w:line="247" w:lineRule="auto"/>
        <w:rPr>
          <w:rFonts w:hint="eastAsia" w:ascii="仿宋" w:hAnsi="仿宋" w:eastAsia="仿宋" w:cs="仿宋"/>
          <w:color w:val="auto"/>
          <w:sz w:val="28"/>
          <w:szCs w:val="28"/>
          <w:highlight w:val="none"/>
        </w:rPr>
      </w:pPr>
    </w:p>
    <w:p w14:paraId="0BE04C2E">
      <w:pPr>
        <w:pStyle w:val="19"/>
        <w:spacing w:line="247" w:lineRule="auto"/>
        <w:rPr>
          <w:rFonts w:hint="eastAsia" w:ascii="仿宋" w:hAnsi="仿宋" w:eastAsia="仿宋" w:cs="仿宋"/>
          <w:color w:val="auto"/>
          <w:sz w:val="28"/>
          <w:szCs w:val="28"/>
          <w:highlight w:val="none"/>
        </w:rPr>
      </w:pPr>
    </w:p>
    <w:p w14:paraId="606DAC5C">
      <w:pPr>
        <w:pStyle w:val="19"/>
        <w:spacing w:line="247" w:lineRule="auto"/>
        <w:rPr>
          <w:rFonts w:hint="eastAsia" w:ascii="仿宋" w:hAnsi="仿宋" w:eastAsia="仿宋" w:cs="仿宋"/>
          <w:color w:val="auto"/>
          <w:sz w:val="28"/>
          <w:szCs w:val="28"/>
          <w:highlight w:val="none"/>
        </w:rPr>
      </w:pPr>
    </w:p>
    <w:p w14:paraId="5718A9C1">
      <w:pPr>
        <w:pStyle w:val="19"/>
        <w:spacing w:line="247" w:lineRule="auto"/>
        <w:rPr>
          <w:rFonts w:hint="eastAsia" w:ascii="仿宋" w:hAnsi="仿宋" w:eastAsia="仿宋" w:cs="仿宋"/>
          <w:color w:val="auto"/>
          <w:sz w:val="28"/>
          <w:szCs w:val="28"/>
          <w:highlight w:val="none"/>
        </w:rPr>
      </w:pPr>
    </w:p>
    <w:p w14:paraId="53FF6C7F">
      <w:pPr>
        <w:pStyle w:val="19"/>
        <w:spacing w:line="247" w:lineRule="auto"/>
        <w:rPr>
          <w:rFonts w:hint="eastAsia" w:ascii="仿宋" w:hAnsi="仿宋" w:eastAsia="仿宋" w:cs="仿宋"/>
          <w:color w:val="auto"/>
          <w:sz w:val="28"/>
          <w:szCs w:val="28"/>
          <w:highlight w:val="none"/>
        </w:rPr>
      </w:pPr>
    </w:p>
    <w:p w14:paraId="2973CB33">
      <w:pPr>
        <w:spacing w:before="78" w:line="219" w:lineRule="auto"/>
        <w:ind w:left="54"/>
        <w:rPr>
          <w:rFonts w:hint="eastAsia" w:ascii="仿宋" w:hAnsi="仿宋" w:eastAsia="仿宋" w:cs="仿宋"/>
          <w:b/>
          <w:bCs/>
          <w:color w:val="auto"/>
          <w:spacing w:val="-5"/>
          <w:sz w:val="28"/>
          <w:szCs w:val="28"/>
          <w:highlight w:val="none"/>
          <w:u w:val="single" w:color="auto"/>
        </w:rPr>
      </w:pPr>
      <w:r>
        <w:rPr>
          <w:rFonts w:hint="eastAsia" w:ascii="仿宋" w:hAnsi="仿宋" w:eastAsia="仿宋" w:cs="仿宋"/>
          <w:b/>
          <w:bCs/>
          <w:color w:val="auto"/>
          <w:spacing w:val="-5"/>
          <w:sz w:val="28"/>
          <w:szCs w:val="28"/>
          <w:highlight w:val="none"/>
        </w:rPr>
        <w:t>甲方（聘用方</w:t>
      </w:r>
      <w:r>
        <w:rPr>
          <w:rFonts w:hint="eastAsia" w:ascii="仿宋" w:hAnsi="仿宋" w:eastAsia="仿宋" w:cs="仿宋"/>
          <w:b/>
          <w:bCs/>
          <w:color w:val="auto"/>
          <w:spacing w:val="11"/>
          <w:sz w:val="28"/>
          <w:szCs w:val="28"/>
          <w:highlight w:val="none"/>
        </w:rPr>
        <w:t>）</w:t>
      </w:r>
      <w:r>
        <w:rPr>
          <w:rFonts w:hint="eastAsia" w:ascii="仿宋" w:hAnsi="仿宋" w:eastAsia="仿宋" w:cs="仿宋"/>
          <w:b/>
          <w:bCs/>
          <w:color w:val="auto"/>
          <w:spacing w:val="11"/>
          <w:sz w:val="28"/>
          <w:szCs w:val="28"/>
          <w:highlight w:val="none"/>
          <w:lang w:eastAsia="zh-CN"/>
        </w:rPr>
        <w:t>：</w:t>
      </w:r>
      <w:r>
        <w:rPr>
          <w:rFonts w:hint="eastAsia" w:ascii="仿宋" w:hAnsi="仿宋" w:eastAsia="仿宋" w:cs="仿宋"/>
          <w:b/>
          <w:bCs/>
          <w:color w:val="auto"/>
          <w:spacing w:val="-5"/>
          <w:sz w:val="28"/>
          <w:szCs w:val="28"/>
          <w:highlight w:val="none"/>
          <w:u w:val="single" w:color="auto"/>
        </w:rPr>
        <w:t>北京市朝阳区教育服务保障中心</w:t>
      </w:r>
    </w:p>
    <w:p w14:paraId="49058DF7">
      <w:pPr>
        <w:spacing w:before="78" w:line="219" w:lineRule="auto"/>
        <w:ind w:left="54"/>
        <w:rPr>
          <w:rFonts w:hint="eastAsia" w:ascii="仿宋" w:hAnsi="仿宋" w:eastAsia="仿宋" w:cs="仿宋"/>
          <w:b/>
          <w:bCs/>
          <w:color w:val="auto"/>
          <w:spacing w:val="-5"/>
          <w:sz w:val="28"/>
          <w:szCs w:val="28"/>
          <w:highlight w:val="none"/>
          <w:u w:val="single" w:color="auto"/>
        </w:rPr>
      </w:pPr>
    </w:p>
    <w:p w14:paraId="49C06CB7">
      <w:pPr>
        <w:spacing w:before="78" w:line="220" w:lineRule="auto"/>
        <w:ind w:left="46"/>
        <w:rPr>
          <w:rFonts w:hint="eastAsia" w:ascii="仿宋" w:hAnsi="仿宋" w:eastAsia="仿宋" w:cs="仿宋"/>
          <w:color w:val="auto"/>
          <w:sz w:val="28"/>
          <w:szCs w:val="28"/>
          <w:highlight w:val="none"/>
        </w:rPr>
      </w:pPr>
      <w:r>
        <w:rPr>
          <w:rFonts w:hint="eastAsia" w:ascii="仿宋" w:hAnsi="仿宋" w:eastAsia="仿宋" w:cs="仿宋"/>
          <w:b/>
          <w:bCs/>
          <w:color w:val="auto"/>
          <w:spacing w:val="-8"/>
          <w:sz w:val="28"/>
          <w:szCs w:val="28"/>
          <w:highlight w:val="none"/>
        </w:rPr>
        <w:t>乙方（受聘方</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w:t>
      </w:r>
      <w:r>
        <w:rPr>
          <w:rFonts w:hint="eastAsia" w:ascii="仿宋" w:hAnsi="仿宋" w:eastAsia="仿宋" w:cs="仿宋"/>
          <w:color w:val="auto"/>
          <w:sz w:val="28"/>
          <w:szCs w:val="28"/>
          <w:highlight w:val="none"/>
          <w:u w:val="single" w:color="auto"/>
        </w:rPr>
        <w:t xml:space="preserve">                         </w:t>
      </w:r>
      <w:r>
        <w:rPr>
          <w:rFonts w:hint="eastAsia" w:ascii="仿宋" w:hAnsi="仿宋" w:eastAsia="仿宋" w:cs="仿宋"/>
          <w:color w:val="auto"/>
          <w:sz w:val="28"/>
          <w:szCs w:val="28"/>
          <w:highlight w:val="none"/>
          <w:u w:val="single" w:color="auto"/>
          <w:lang w:val="en-US" w:eastAsia="zh-CN"/>
        </w:rPr>
        <w:t xml:space="preserve"> </w:t>
      </w:r>
      <w:r>
        <w:rPr>
          <w:rFonts w:hint="eastAsia" w:ascii="仿宋" w:hAnsi="仿宋" w:eastAsia="仿宋" w:cs="仿宋"/>
          <w:color w:val="auto"/>
          <w:sz w:val="28"/>
          <w:szCs w:val="28"/>
          <w:highlight w:val="none"/>
          <w:u w:val="single" w:color="auto"/>
        </w:rPr>
        <w:t xml:space="preserve">  </w:t>
      </w:r>
    </w:p>
    <w:p w14:paraId="51560BB5">
      <w:pPr>
        <w:spacing w:line="220" w:lineRule="auto"/>
        <w:rPr>
          <w:rFonts w:hint="eastAsia" w:ascii="仿宋" w:hAnsi="仿宋" w:eastAsia="仿宋" w:cs="仿宋"/>
          <w:color w:val="auto"/>
          <w:sz w:val="28"/>
          <w:szCs w:val="28"/>
          <w:highlight w:val="none"/>
        </w:rPr>
        <w:sectPr>
          <w:footerReference r:id="rId13" w:type="default"/>
          <w:pgSz w:w="11907" w:h="16840"/>
          <w:pgMar w:top="1134" w:right="1134" w:bottom="1134" w:left="1134" w:header="0" w:footer="817" w:gutter="0"/>
          <w:pgNumType w:fmt="decimal"/>
          <w:cols w:space="720" w:num="1"/>
        </w:sectPr>
      </w:pPr>
    </w:p>
    <w:p w14:paraId="7F2423B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30"/>
          <w:szCs w:val="30"/>
          <w:highlight w:val="none"/>
          <w:lang w:eastAsia="zh-CN"/>
        </w:rPr>
        <w:t>2026年北京市朝阳区教育服务保障中心及其所属幼儿园保安服务项目</w:t>
      </w:r>
      <w:r>
        <w:rPr>
          <w:rFonts w:hint="eastAsia" w:ascii="仿宋" w:hAnsi="仿宋" w:eastAsia="仿宋" w:cs="仿宋"/>
          <w:b/>
          <w:bCs/>
          <w:color w:val="auto"/>
          <w:sz w:val="30"/>
          <w:szCs w:val="30"/>
          <w:highlight w:val="none"/>
        </w:rPr>
        <w:t>（</w:t>
      </w:r>
      <w:r>
        <w:rPr>
          <w:rFonts w:hint="eastAsia" w:ascii="仿宋" w:hAnsi="仿宋" w:eastAsia="仿宋" w:cs="仿宋"/>
          <w:b/>
          <w:bCs/>
          <w:color w:val="auto"/>
          <w:sz w:val="30"/>
          <w:szCs w:val="30"/>
          <w:highlight w:val="none"/>
          <w:lang w:val="en-US" w:eastAsia="zh-CN"/>
        </w:rPr>
        <w:t>一</w:t>
      </w:r>
      <w:r>
        <w:rPr>
          <w:rFonts w:hint="eastAsia" w:ascii="仿宋" w:hAnsi="仿宋" w:eastAsia="仿宋" w:cs="仿宋"/>
          <w:b/>
          <w:bCs/>
          <w:color w:val="auto"/>
          <w:sz w:val="30"/>
          <w:szCs w:val="30"/>
          <w:highlight w:val="none"/>
        </w:rPr>
        <w:t>标包）合同书</w:t>
      </w:r>
    </w:p>
    <w:p w14:paraId="724785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3E304E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根据《中华人民共和国民法典》及相关法律、法规的规定，甲乙双方在平等、自愿、公平、诚实信用的基础上，经友好协商，就甲方聘用乙方提供保安服务事宜达成一致意见，签订本合同。</w:t>
      </w:r>
    </w:p>
    <w:p w14:paraId="4AE6B6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第一条 保安服务内容、规程和标准</w:t>
      </w:r>
    </w:p>
    <w:p w14:paraId="508C73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乙方根据甲方确认的目标、区域开展安全保卫工作，提供符合学校要求的巡逻、门卫、防火、防盗、防恐等安全服务，配合学校做好安防工作，安排保安服务人员进行值守。</w:t>
      </w:r>
    </w:p>
    <w:p w14:paraId="50A53F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 乙方提供的保安服内容、规程和标准为公安部技术监督委员会审核批准的《保安服务操作规程与质量控制》（编号为：GA/T594-2006）和北京市公安局保安服务操作规程、服务质量的相关要求。</w:t>
      </w:r>
    </w:p>
    <w:p w14:paraId="55DB36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第二条 保安服务地点、范围和保安服务人员</w:t>
      </w:r>
    </w:p>
    <w:p w14:paraId="714348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 保安服务地点：由甲方指定。</w:t>
      </w:r>
    </w:p>
    <w:p w14:paraId="5E22CC53">
      <w:pPr>
        <w:spacing w:line="147" w:lineRule="exact"/>
        <w:rPr>
          <w:rFonts w:hint="eastAsia" w:ascii="仿宋" w:hAnsi="仿宋" w:eastAsia="仿宋" w:cs="仿宋"/>
          <w:color w:val="auto"/>
          <w:sz w:val="28"/>
          <w:szCs w:val="28"/>
          <w:highlight w:val="none"/>
        </w:rPr>
      </w:pPr>
    </w:p>
    <w:tbl>
      <w:tblPr>
        <w:tblStyle w:val="249"/>
        <w:tblW w:w="84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2"/>
        <w:gridCol w:w="3458"/>
        <w:gridCol w:w="4158"/>
      </w:tblGrid>
      <w:tr w14:paraId="60A306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792" w:type="dxa"/>
            <w:vAlign w:val="top"/>
          </w:tcPr>
          <w:p w14:paraId="02D6766E">
            <w:pPr>
              <w:pStyle w:val="265"/>
              <w:autoSpaceDE w:val="0"/>
              <w:autoSpaceDN w:val="0"/>
              <w:spacing w:before="40" w:line="221" w:lineRule="auto"/>
              <w:ind w:left="162"/>
              <w:rPr>
                <w:rFonts w:hint="eastAsia" w:ascii="仿宋" w:hAnsi="仿宋" w:eastAsia="仿宋" w:cs="仿宋"/>
                <w:color w:val="auto"/>
                <w:sz w:val="28"/>
                <w:szCs w:val="28"/>
                <w:highlight w:val="none"/>
              </w:rPr>
            </w:pPr>
            <w:r>
              <w:rPr>
                <w:rFonts w:hint="eastAsia" w:ascii="仿宋" w:hAnsi="仿宋" w:eastAsia="仿宋" w:cs="仿宋"/>
                <w:color w:val="auto"/>
                <w:spacing w:val="-5"/>
                <w:sz w:val="28"/>
                <w:szCs w:val="28"/>
                <w:highlight w:val="none"/>
              </w:rPr>
              <w:t>序号</w:t>
            </w:r>
          </w:p>
        </w:tc>
        <w:tc>
          <w:tcPr>
            <w:tcW w:w="3458" w:type="dxa"/>
            <w:vAlign w:val="top"/>
          </w:tcPr>
          <w:p w14:paraId="7FDF439E">
            <w:pPr>
              <w:pStyle w:val="265"/>
              <w:autoSpaceDE w:val="0"/>
              <w:autoSpaceDN w:val="0"/>
              <w:spacing w:before="41" w:line="220" w:lineRule="auto"/>
              <w:ind w:left="1496"/>
              <w:rPr>
                <w:rFonts w:hint="eastAsia" w:ascii="仿宋" w:hAnsi="仿宋" w:eastAsia="仿宋" w:cs="仿宋"/>
                <w:color w:val="auto"/>
                <w:sz w:val="28"/>
                <w:szCs w:val="28"/>
                <w:highlight w:val="none"/>
              </w:rPr>
            </w:pPr>
            <w:r>
              <w:rPr>
                <w:rFonts w:hint="eastAsia" w:ascii="仿宋" w:hAnsi="仿宋" w:eastAsia="仿宋" w:cs="仿宋"/>
                <w:color w:val="auto"/>
                <w:spacing w:val="-6"/>
                <w:sz w:val="28"/>
                <w:szCs w:val="28"/>
                <w:highlight w:val="none"/>
              </w:rPr>
              <w:t>校名</w:t>
            </w:r>
          </w:p>
        </w:tc>
        <w:tc>
          <w:tcPr>
            <w:tcW w:w="4158" w:type="dxa"/>
            <w:vAlign w:val="top"/>
          </w:tcPr>
          <w:p w14:paraId="6A700780">
            <w:pPr>
              <w:pStyle w:val="265"/>
              <w:autoSpaceDE w:val="0"/>
              <w:autoSpaceDN w:val="0"/>
              <w:spacing w:before="40" w:line="229" w:lineRule="auto"/>
              <w:ind w:left="1844"/>
              <w:rPr>
                <w:rFonts w:hint="eastAsia" w:ascii="仿宋" w:hAnsi="仿宋" w:eastAsia="仿宋" w:cs="仿宋"/>
                <w:color w:val="auto"/>
                <w:sz w:val="28"/>
                <w:szCs w:val="28"/>
                <w:highlight w:val="none"/>
              </w:rPr>
            </w:pPr>
            <w:r>
              <w:rPr>
                <w:rFonts w:hint="eastAsia" w:ascii="仿宋" w:hAnsi="仿宋" w:eastAsia="仿宋" w:cs="仿宋"/>
                <w:color w:val="auto"/>
                <w:spacing w:val="-5"/>
                <w:sz w:val="28"/>
                <w:szCs w:val="28"/>
                <w:highlight w:val="none"/>
              </w:rPr>
              <w:t>地址</w:t>
            </w:r>
          </w:p>
        </w:tc>
      </w:tr>
      <w:tr w14:paraId="50AD78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792" w:type="dxa"/>
            <w:vAlign w:val="top"/>
          </w:tcPr>
          <w:p w14:paraId="2F409456">
            <w:pPr>
              <w:pStyle w:val="265"/>
              <w:autoSpaceDE w:val="0"/>
              <w:autoSpaceDN w:val="0"/>
              <w:spacing w:before="51" w:line="241" w:lineRule="auto"/>
              <w:ind w:left="36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3458" w:type="dxa"/>
            <w:vAlign w:val="top"/>
          </w:tcPr>
          <w:p w14:paraId="6F21D4FB">
            <w:pPr>
              <w:autoSpaceDE w:val="0"/>
              <w:autoSpaceDN w:val="0"/>
              <w:rPr>
                <w:rFonts w:hint="eastAsia" w:ascii="仿宋" w:hAnsi="仿宋" w:eastAsia="仿宋" w:cs="仿宋"/>
                <w:color w:val="auto"/>
                <w:sz w:val="28"/>
                <w:szCs w:val="28"/>
                <w:highlight w:val="none"/>
              </w:rPr>
            </w:pPr>
          </w:p>
        </w:tc>
        <w:tc>
          <w:tcPr>
            <w:tcW w:w="4158" w:type="dxa"/>
            <w:vAlign w:val="top"/>
          </w:tcPr>
          <w:p w14:paraId="51EEE1B0">
            <w:pPr>
              <w:autoSpaceDE w:val="0"/>
              <w:autoSpaceDN w:val="0"/>
              <w:rPr>
                <w:rFonts w:hint="eastAsia" w:ascii="仿宋" w:hAnsi="仿宋" w:eastAsia="仿宋" w:cs="仿宋"/>
                <w:color w:val="auto"/>
                <w:sz w:val="28"/>
                <w:szCs w:val="28"/>
                <w:highlight w:val="none"/>
              </w:rPr>
            </w:pPr>
          </w:p>
        </w:tc>
      </w:tr>
      <w:tr w14:paraId="1D58CD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92" w:type="dxa"/>
            <w:vAlign w:val="top"/>
          </w:tcPr>
          <w:p w14:paraId="12890C5D">
            <w:pPr>
              <w:pStyle w:val="265"/>
              <w:autoSpaceDE w:val="0"/>
              <w:autoSpaceDN w:val="0"/>
              <w:spacing w:before="38" w:line="241" w:lineRule="auto"/>
              <w:ind w:left="346"/>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3458" w:type="dxa"/>
            <w:vAlign w:val="top"/>
          </w:tcPr>
          <w:p w14:paraId="57F4FF1B">
            <w:pPr>
              <w:autoSpaceDE w:val="0"/>
              <w:autoSpaceDN w:val="0"/>
              <w:rPr>
                <w:rFonts w:hint="eastAsia" w:ascii="仿宋" w:hAnsi="仿宋" w:eastAsia="仿宋" w:cs="仿宋"/>
                <w:color w:val="auto"/>
                <w:sz w:val="28"/>
                <w:szCs w:val="28"/>
                <w:highlight w:val="none"/>
              </w:rPr>
            </w:pPr>
          </w:p>
        </w:tc>
        <w:tc>
          <w:tcPr>
            <w:tcW w:w="4158" w:type="dxa"/>
            <w:vAlign w:val="top"/>
          </w:tcPr>
          <w:p w14:paraId="2BE2ADD9">
            <w:pPr>
              <w:autoSpaceDE w:val="0"/>
              <w:autoSpaceDN w:val="0"/>
              <w:rPr>
                <w:rFonts w:hint="eastAsia" w:ascii="仿宋" w:hAnsi="仿宋" w:eastAsia="仿宋" w:cs="仿宋"/>
                <w:color w:val="auto"/>
                <w:sz w:val="28"/>
                <w:szCs w:val="28"/>
                <w:highlight w:val="none"/>
              </w:rPr>
            </w:pPr>
          </w:p>
        </w:tc>
      </w:tr>
      <w:tr w14:paraId="4D2811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92" w:type="dxa"/>
            <w:vAlign w:val="top"/>
          </w:tcPr>
          <w:p w14:paraId="2EF7B522">
            <w:pPr>
              <w:pStyle w:val="265"/>
              <w:autoSpaceDE w:val="0"/>
              <w:autoSpaceDN w:val="0"/>
              <w:spacing w:before="37"/>
              <w:ind w:left="34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3458" w:type="dxa"/>
            <w:vAlign w:val="top"/>
          </w:tcPr>
          <w:p w14:paraId="20C32BE2">
            <w:pPr>
              <w:autoSpaceDE w:val="0"/>
              <w:autoSpaceDN w:val="0"/>
              <w:rPr>
                <w:rFonts w:hint="eastAsia" w:ascii="仿宋" w:hAnsi="仿宋" w:eastAsia="仿宋" w:cs="仿宋"/>
                <w:color w:val="auto"/>
                <w:sz w:val="28"/>
                <w:szCs w:val="28"/>
                <w:highlight w:val="none"/>
              </w:rPr>
            </w:pPr>
          </w:p>
        </w:tc>
        <w:tc>
          <w:tcPr>
            <w:tcW w:w="4158" w:type="dxa"/>
            <w:vAlign w:val="top"/>
          </w:tcPr>
          <w:p w14:paraId="6AD85B5B">
            <w:pPr>
              <w:autoSpaceDE w:val="0"/>
              <w:autoSpaceDN w:val="0"/>
              <w:rPr>
                <w:rFonts w:hint="eastAsia" w:ascii="仿宋" w:hAnsi="仿宋" w:eastAsia="仿宋" w:cs="仿宋"/>
                <w:color w:val="auto"/>
                <w:sz w:val="28"/>
                <w:szCs w:val="28"/>
                <w:highlight w:val="none"/>
              </w:rPr>
            </w:pPr>
          </w:p>
        </w:tc>
      </w:tr>
      <w:tr w14:paraId="4AC9EC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92" w:type="dxa"/>
            <w:vAlign w:val="top"/>
          </w:tcPr>
          <w:p w14:paraId="175C288B">
            <w:pPr>
              <w:pStyle w:val="265"/>
              <w:autoSpaceDE w:val="0"/>
              <w:autoSpaceDN w:val="0"/>
              <w:spacing w:before="39" w:line="241" w:lineRule="auto"/>
              <w:ind w:left="34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3458" w:type="dxa"/>
            <w:vAlign w:val="top"/>
          </w:tcPr>
          <w:p w14:paraId="6AE76F66">
            <w:pPr>
              <w:autoSpaceDE w:val="0"/>
              <w:autoSpaceDN w:val="0"/>
              <w:rPr>
                <w:rFonts w:hint="eastAsia" w:ascii="仿宋" w:hAnsi="仿宋" w:eastAsia="仿宋" w:cs="仿宋"/>
                <w:color w:val="auto"/>
                <w:sz w:val="28"/>
                <w:szCs w:val="28"/>
                <w:highlight w:val="none"/>
              </w:rPr>
            </w:pPr>
          </w:p>
        </w:tc>
        <w:tc>
          <w:tcPr>
            <w:tcW w:w="4158" w:type="dxa"/>
            <w:vAlign w:val="top"/>
          </w:tcPr>
          <w:p w14:paraId="390173BA">
            <w:pPr>
              <w:autoSpaceDE w:val="0"/>
              <w:autoSpaceDN w:val="0"/>
              <w:rPr>
                <w:rFonts w:hint="eastAsia" w:ascii="仿宋" w:hAnsi="仿宋" w:eastAsia="仿宋" w:cs="仿宋"/>
                <w:color w:val="auto"/>
                <w:sz w:val="28"/>
                <w:szCs w:val="28"/>
                <w:highlight w:val="none"/>
              </w:rPr>
            </w:pPr>
          </w:p>
        </w:tc>
      </w:tr>
      <w:tr w14:paraId="49CC5D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792" w:type="dxa"/>
            <w:vAlign w:val="top"/>
          </w:tcPr>
          <w:p w14:paraId="23EC83BA">
            <w:pPr>
              <w:pStyle w:val="265"/>
              <w:autoSpaceDE w:val="0"/>
              <w:autoSpaceDN w:val="0"/>
              <w:spacing w:before="40"/>
              <w:ind w:left="34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3458" w:type="dxa"/>
            <w:vAlign w:val="top"/>
          </w:tcPr>
          <w:p w14:paraId="28241319">
            <w:pPr>
              <w:autoSpaceDE w:val="0"/>
              <w:autoSpaceDN w:val="0"/>
              <w:rPr>
                <w:rFonts w:hint="eastAsia" w:ascii="仿宋" w:hAnsi="仿宋" w:eastAsia="仿宋" w:cs="仿宋"/>
                <w:color w:val="auto"/>
                <w:sz w:val="28"/>
                <w:szCs w:val="28"/>
                <w:highlight w:val="none"/>
              </w:rPr>
            </w:pPr>
          </w:p>
        </w:tc>
        <w:tc>
          <w:tcPr>
            <w:tcW w:w="4158" w:type="dxa"/>
            <w:vAlign w:val="top"/>
          </w:tcPr>
          <w:p w14:paraId="49E568AC">
            <w:pPr>
              <w:autoSpaceDE w:val="0"/>
              <w:autoSpaceDN w:val="0"/>
              <w:rPr>
                <w:rFonts w:hint="eastAsia" w:ascii="仿宋" w:hAnsi="仿宋" w:eastAsia="仿宋" w:cs="仿宋"/>
                <w:color w:val="auto"/>
                <w:sz w:val="28"/>
                <w:szCs w:val="28"/>
                <w:highlight w:val="none"/>
              </w:rPr>
            </w:pPr>
          </w:p>
        </w:tc>
      </w:tr>
    </w:tbl>
    <w:p w14:paraId="267681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792D02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 保安服务的范围：甲方确认的区域。</w:t>
      </w:r>
    </w:p>
    <w:p w14:paraId="29E93C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 保安服务人员安排：在甲乙双方确定的保安服务人员的基础上，乙方按甲方的要求提供 24小时值守和巡视。</w:t>
      </w:r>
    </w:p>
    <w:p w14:paraId="082B29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第三条 保安服务合同期限</w:t>
      </w:r>
    </w:p>
    <w:p w14:paraId="053949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日至 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31</w:t>
      </w:r>
      <w:r>
        <w:rPr>
          <w:rFonts w:hint="eastAsia" w:ascii="仿宋" w:hAnsi="仿宋" w:eastAsia="仿宋" w:cs="仿宋"/>
          <w:color w:val="auto"/>
          <w:sz w:val="24"/>
          <w:szCs w:val="24"/>
          <w:highlight w:val="none"/>
        </w:rPr>
        <w:t>日。</w:t>
      </w:r>
    </w:p>
    <w:p w14:paraId="45CC91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第四条 保安服务费用标准及支付方式</w:t>
      </w:r>
    </w:p>
    <w:p w14:paraId="3E6B86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 保安服务费用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元/人/月，共计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人；本合同总价为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元（人民币大写          元整）；上述费用为包干的全部费用，包含人员工资、社保、装备费用、培训费用、管理费用、合理的利润、税费等。</w:t>
      </w:r>
    </w:p>
    <w:p w14:paraId="123382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sectPr>
          <w:footerReference r:id="rId14" w:type="default"/>
          <w:pgSz w:w="11907" w:h="16840"/>
          <w:pgMar w:top="1134" w:right="1134" w:bottom="1134" w:left="1134" w:header="0" w:footer="819" w:gutter="0"/>
          <w:pgNumType w:fmt="decimal"/>
          <w:cols w:space="720" w:num="1"/>
        </w:sectPr>
      </w:pPr>
    </w:p>
    <w:p w14:paraId="5C4BA9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4.2 支付方式：费用按季度支付，甲方于每季度末后向乙方支付上一个季度保安服务费用。乙方按照本合同第八条第一项提供履约担保。最后一个季度的保安费，甲方将于11月份支付，待本合同有效期届满后，双方据实结算服务金额。</w:t>
      </w:r>
    </w:p>
    <w:p w14:paraId="6E3E2B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4.3 本合同为固定单价合同，每月被服务单位对安保单位的出勤和服务质量进行打分评价，安保费用据实结算。</w:t>
      </w:r>
    </w:p>
    <w:p w14:paraId="3A7034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4.4 乙方收款账户信息</w:t>
      </w:r>
    </w:p>
    <w:p w14:paraId="4ACADB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户  名：</w:t>
      </w:r>
    </w:p>
    <w:p w14:paraId="69F8A9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p>
    <w:p w14:paraId="2B91CA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p>
    <w:p w14:paraId="513875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第五条 甲方的权利和义务</w:t>
      </w:r>
    </w:p>
    <w:p w14:paraId="2FF251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 甲方有权对乙方及保安服务人员的工作进行监督、检查和指导，有权要求调换不适合在甲方工作的保安服务人员;甲方有权要求乙方利用寒暑假对保安服务人员进行由公安部门组织的行业培训、由乙方公司组织的业务技能培训、由学校组织的学校工作要求培训。</w:t>
      </w:r>
    </w:p>
    <w:p w14:paraId="3D4DFF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5.2 甲方有权审核乙方提交的执勤方案和工作细则，并有权要求乙方修改完善执勤方案和工作细则。</w:t>
      </w:r>
    </w:p>
    <w:p w14:paraId="218691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5.3 甲方为乙方保安服务人员提供必备的工作条件，包括值班室、办公桌椅等。</w:t>
      </w:r>
    </w:p>
    <w:p w14:paraId="1CAFCC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5.4 甲方应制定和完善便于操作的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人员出入登记制度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《车辆管理制度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及《安全巡逻制度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等安全管理制度（尤其是要完善上下学高峰期间禁止车辆和校外人员出入校园的规定），同时还应根据工作需要，制定出入证、停车证等，使乙方保安服务人员上岗后有章可循、有证可查。</w:t>
      </w:r>
    </w:p>
    <w:p w14:paraId="663FEC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5.5 甲方对乙方提出的安全防范隐患报告应及时答复，采取必要的改进和防范措施。</w:t>
      </w:r>
    </w:p>
    <w:p w14:paraId="1A2D4F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5.6 尊重乙方保安服务人员的工作权利，教育本单位员工配合和支持乙方保安服务人员履行保安职责。</w:t>
      </w:r>
    </w:p>
    <w:p w14:paraId="76928A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5.7 按合同约定的时间和方式向乙方支付保安服务费。</w:t>
      </w:r>
    </w:p>
    <w:p w14:paraId="796CD0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5.8 甲方有权对乙方所提供的保安服务进行考核、考勤，以考核、考勤结果作为支付费用的依据。</w:t>
      </w:r>
    </w:p>
    <w:p w14:paraId="010EA8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第六条 乙方的权利和义务</w:t>
      </w:r>
      <w:r>
        <w:rPr>
          <w:rFonts w:hint="eastAsia" w:ascii="仿宋" w:hAnsi="仿宋" w:eastAsia="仿宋" w:cs="仿宋"/>
          <w:b/>
          <w:bCs/>
          <w:color w:val="auto"/>
          <w:sz w:val="24"/>
          <w:szCs w:val="24"/>
          <w:highlight w:val="none"/>
        </w:rPr>
        <w:br w:type="textWrapping"/>
      </w:r>
      <w:r>
        <w:rPr>
          <w:rFonts w:hint="eastAsia" w:ascii="仿宋" w:hAnsi="仿宋" w:eastAsia="仿宋" w:cs="仿宋"/>
          <w:color w:val="auto"/>
          <w:sz w:val="24"/>
          <w:szCs w:val="24"/>
          <w:highlight w:val="none"/>
        </w:rPr>
        <w:t>6.1 乙方保安服务人员要切实履行职责，在上下学时段要保证不少于三人佩戴制式装备在师生进出门口持械上岗。</w:t>
      </w:r>
    </w:p>
    <w:p w14:paraId="518232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6.2 乙方有权对保安服务范围内的安全隐患向甲方书面提出改进意见和建议。</w:t>
      </w:r>
    </w:p>
    <w:p w14:paraId="7332DC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6.3 乙方保安服务人员有权拒绝甲方指派负责人以外人员的直接指挥。</w:t>
      </w:r>
    </w:p>
    <w:p w14:paraId="60A48E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6.4 乙方应根据《中华人民共和国劳动合同法》的规定建立相应的用工制度；负责保安服务人员的工资、奖金、社会保险和其他福利费用；负责发生其他意外伤亡事故时的善后及赔付事宜；提供保安服务人员执勤所需的制式服装及装备。</w:t>
      </w:r>
    </w:p>
    <w:p w14:paraId="220CF0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6.5 乙方负责保安服务人员的思想教育、业务培训等日常管理和保安服务人员违纪问题的处理。</w:t>
      </w:r>
    </w:p>
    <w:p w14:paraId="238E69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6.6 乙方应当提供符合本合同约定条件和执勤方案要求的保安服务人员。</w:t>
      </w:r>
    </w:p>
    <w:p w14:paraId="0CC7DF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6.7 乙方保证所派保安服务人员身体健康，具有相当的执业水平和职业技能，具备任职岗位的职业资格。</w:t>
      </w:r>
    </w:p>
    <w:p w14:paraId="175680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6.8 乙方应及时调换不适合在甲方工作的保安服务人员。</w:t>
      </w:r>
    </w:p>
    <w:p w14:paraId="644B59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6.9 乙方不得以自身或合同款支付流程时间原因拖欠保安服务人员的工资、其他福利待遇等。因乙方用工制度不完善、未按时发放员工工资、在劳动合同续订、终止或解除等问题上存在争议导致在甲方工作的保安服务人员怠工、罢工，或发生自伤、他伤、妨害学校工作秩序、危害师生人身安全等行为的，乙方应尽快予以妥善处理并承担全部后果和责任。由此给甲方造成的直接或间接损失，均由乙方承担。</w:t>
      </w:r>
    </w:p>
    <w:p w14:paraId="5C1733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第七条 合同解除</w:t>
      </w:r>
    </w:p>
    <w:p w14:paraId="6CC728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乙方未按要求办理有关备案手续或保安员有严重失职、违法乱纪等情形的，甲方有权解除合同，由此造成的损失由乙方负责。</w:t>
      </w:r>
    </w:p>
    <w:p w14:paraId="190AC1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第八条 履约保证</w:t>
      </w:r>
    </w:p>
    <w:p w14:paraId="0FFC8F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8.1 合同签订生效之日起5个工作日内，乙方应向甲方提交履约担保，履约担保有两种形式：1、履约保证金；2、金融机构、担保机构出具的保函，履约保证金或保函担保金额为合同总价的10%。</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8.2 如乙方未能履行合同规定的相关义务，甲方有权以履约保证金或保函的形式得到补偿。乙方应在保函担保或履约保证金扣除后的七个工作日内补足被扣除部分，并以此作为合同延续的先决条件。</w:t>
      </w:r>
    </w:p>
    <w:p w14:paraId="691313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8.3 如保函或履约保证金不足以补偿乙方给甲方造成的损失，甲方有权要求乙方按实际发生的损失赔偿。乙方拒绝进行赔偿的，甲方有权没收其全部履约保证金，并有权采取包括法律诉讼等一切合法手段要求乙方承担赔偿责任，并终止合同；由此造成的合同违约责任由乙方承担。</w:t>
      </w:r>
    </w:p>
    <w:p w14:paraId="7D3C0E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8.4 合同在履行过程中终止，甲方有优先获得履约保证金赔偿或保函担保赔偿的权利。</w:t>
      </w:r>
    </w:p>
    <w:p w14:paraId="33B1D2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8.5 合同终止后，乙方无重大过错或无违约行为需要抵扣履约保证金的情形，甲方须全额无息返还乙方的履约保证金。</w:t>
      </w:r>
    </w:p>
    <w:p w14:paraId="79A639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第九条 不可抗力</w:t>
      </w:r>
    </w:p>
    <w:p w14:paraId="739271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9.1 在本合同期内，任何一方因遭遇法定不可预见、不可避免或不可克服的事件及国家、市、区重大政策变化导致不能全部或部分履行本合同约定的义务的，不承担违约责任。</w:t>
      </w:r>
    </w:p>
    <w:p w14:paraId="05D015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9.2 遭遇不可抗力事件的一方应当于不可抗力事件发生后立即通知另一方，并于事件发生之日起30日内提供事件详情(包括合同不能履行、或者部分不能履行或者需要延期履行的理由)及有效证明文件。</w:t>
      </w:r>
    </w:p>
    <w:p w14:paraId="67F532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9.3 不可抗力事件发生后，合同双方应按照事件对履行合同影响的程度，协商决定是否解除本合同，或者部分免除履行本合同的责任，或者延期履行本合同。</w:t>
      </w:r>
    </w:p>
    <w:p w14:paraId="74D00B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第十条 违约责任</w:t>
      </w:r>
    </w:p>
    <w:p w14:paraId="7FB769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10.1 在合同有效期内，任何一方无正当理由单方解除合同的，应承担违约责任，向对方支付本合同总额百分之二十的违约金。</w:t>
      </w:r>
    </w:p>
    <w:p w14:paraId="26111B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10.2 甲方无正当理由迟延履行合同款支付手续的，每迟延一日，应按迟延支付部分的万分之三向乙方支付逾期滞纳金。</w:t>
      </w:r>
    </w:p>
    <w:p w14:paraId="79C8CD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10.3 因乙方保安服务人员失职、渎职造成甲方经济损失的，甲方有权依据有关部门出具的相关证明要求乙方承担相应的赔偿责任。</w:t>
      </w:r>
    </w:p>
    <w:p w14:paraId="7AD798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 若甲方在实际工作中发现乙方提供的服务与要求不符的情况，或发现乙方保安服务人员有失职、渎职的情况，乙方应在甲方提出更换要求后三个工作日内及时更换保安服务人员，若迟延更换的，每迟延一日，应按年度保安服务费总额的千分之一向甲方支付违约金。乙方迟延更换超过一个月的，甲方有权解除合同，并要求乙方承担违约责任。</w:t>
      </w:r>
    </w:p>
    <w:p w14:paraId="0AC3FF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10.5 一方违约导致另一方不得不通过法律手段主张权利的，违约方还应承担守约方因此而支出的合理费用，包括但不限于律师费、诉讼费、调查取证费、差旅费。</w:t>
      </w:r>
    </w:p>
    <w:p w14:paraId="0B1DFF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第十一条 双方协商的其他内容</w:t>
      </w:r>
    </w:p>
    <w:p w14:paraId="4830461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乙方保安工作必须服从甲方的统一管理。</w:t>
      </w:r>
    </w:p>
    <w:p w14:paraId="307041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 甲方对于乙方保安服务满意率进行整体计算。综合满意率必须达到</w:t>
      </w:r>
    </w:p>
    <w:p w14:paraId="21D6E4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90%以上（含），综合满意率每低一个百分点，扣除当季度保安服务费的2%，同时乙方必须进行整改；综合满意率低于85%（含），甲方有权解除合同，并由乙方承担合同总额20%的违约金。</w:t>
      </w:r>
    </w:p>
    <w:p w14:paraId="19D0C1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 因乙方或乙方保安服务人员的故意或过失造成甲方、甲方所属人员或第三方人身或财产损失的，乙方须承担先行赔付责任。</w:t>
      </w:r>
    </w:p>
    <w:p w14:paraId="4D0E49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11.4 乙方保安服务人员的行为构成犯罪的，按刑法相关规定承担法律后果，但该犯罪行为同时对甲方或甲方所属人员造成民事损害的，乙方应对民事部分承担连带赔偿责任。</w:t>
      </w:r>
    </w:p>
    <w:p w14:paraId="78FB3F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11.5 对于乙方或乙方保安服务人员造成的甲方财物损失，乙方应按损失财物价值的双倍金额予以赔偿。</w:t>
      </w:r>
    </w:p>
    <w:p w14:paraId="579F4DA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11.6就餐：餐费收取标准:18 元/人/天（早、午饭），含税，由供应商与采购人食材供货商签订合同并据实结算餐费。</w:t>
      </w:r>
    </w:p>
    <w:p w14:paraId="66191D6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11.7保安人员执勤班次要求每班次两人，每天三班次，每班8小时，高峰执勤达到6人。</w:t>
      </w:r>
    </w:p>
    <w:p w14:paraId="27E2B66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11.8供应商项目负责人需每月对保安人员进行证件核查，保证证件合规且在有效期范围内。</w:t>
      </w:r>
    </w:p>
    <w:p w14:paraId="22B0F96B">
      <w:pPr>
        <w:pStyle w:val="7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11.9乙方项目负责人需每月向甲方对园所保安工作进行工作汇报。</w:t>
      </w:r>
    </w:p>
    <w:p w14:paraId="4F8EA1D2">
      <w:pPr>
        <w:pStyle w:val="7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b w:val="0"/>
          <w:bCs w:val="0"/>
          <w:color w:val="auto"/>
          <w:sz w:val="24"/>
          <w:szCs w:val="24"/>
          <w:highlight w:val="none"/>
          <w:lang w:val="en-US" w:eastAsia="zh-CN"/>
        </w:rPr>
        <w:t>11.10供应商需每月对保安人员进行岗位培训，包含但不限于法律、技能等培训并留有培训记录。</w:t>
      </w:r>
    </w:p>
    <w:p w14:paraId="4F1E83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第十二条 通知与送达</w:t>
      </w:r>
    </w:p>
    <w:p w14:paraId="72E620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 以履行本合同为目的或与之相关的任何通知均应以亲自递交、邮递、特快专递或传真发至本合同列明的联系地址和联系方式，否则不发生效力。如接受通知的一方联系地址和联系方式发生变更，应及时通知另一方。</w:t>
      </w:r>
    </w:p>
    <w:p w14:paraId="1DEFBC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 通知被视为送达的日期应按如下方法决定：</w:t>
      </w:r>
    </w:p>
    <w:p w14:paraId="54C712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12.2.1 专人递交的通知在专人递交之时视为送达；</w:t>
      </w:r>
    </w:p>
    <w:p w14:paraId="0F4ADB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12.2.2 以（预付邮资）挂号信件发出的通知，应在寄出日（以邮戳为准）后第7日视为送达；</w:t>
      </w:r>
    </w:p>
    <w:p w14:paraId="51F73E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12.2.3 以快递发送的通知应于交予合法的快递服务发送后第3日视为送达；</w:t>
      </w:r>
    </w:p>
    <w:p w14:paraId="4A9083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12.2.4 以图文、传真发出的通知，在传送日后第1个工作日视为送达。</w:t>
      </w:r>
    </w:p>
    <w:p w14:paraId="121329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第十三条 争议解决方式</w:t>
      </w:r>
      <w:r>
        <w:rPr>
          <w:rFonts w:hint="eastAsia" w:ascii="仿宋" w:hAnsi="仿宋" w:eastAsia="仿宋" w:cs="仿宋"/>
          <w:b/>
          <w:bCs/>
          <w:color w:val="auto"/>
          <w:sz w:val="24"/>
          <w:szCs w:val="24"/>
          <w:highlight w:val="none"/>
        </w:rPr>
        <w:br w:type="textWrapping"/>
      </w:r>
      <w:r>
        <w:rPr>
          <w:rFonts w:hint="eastAsia" w:ascii="仿宋" w:hAnsi="仿宋" w:eastAsia="仿宋" w:cs="仿宋"/>
          <w:color w:val="auto"/>
          <w:sz w:val="24"/>
          <w:szCs w:val="24"/>
          <w:highlight w:val="none"/>
        </w:rPr>
        <w:t>本合同履行过程中发生争议的，双方协商解决；双方协商不成的，向甲方住所地人民法院提起诉讼。</w:t>
      </w:r>
    </w:p>
    <w:p w14:paraId="6D79EF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第十四条 补充条款</w:t>
      </w:r>
    </w:p>
    <w:p w14:paraId="1283BF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本合同未尽事宜，双方补充约定如下，补充条款与本合同具有同等法律效力。</w:t>
      </w:r>
      <w:r>
        <w:rPr>
          <w:rFonts w:hint="eastAsia" w:ascii="仿宋" w:hAnsi="仿宋" w:eastAsia="仿宋" w:cs="仿宋"/>
          <w:b/>
          <w:bCs/>
          <w:color w:val="auto"/>
          <w:sz w:val="24"/>
          <w:szCs w:val="24"/>
          <w:highlight w:val="none"/>
        </w:rPr>
        <w:br w:type="textWrapping"/>
      </w:r>
      <w:r>
        <w:rPr>
          <w:rFonts w:hint="eastAsia" w:ascii="仿宋" w:hAnsi="仿宋" w:eastAsia="仿宋" w:cs="仿宋"/>
          <w:b/>
          <w:bCs/>
          <w:color w:val="auto"/>
          <w:sz w:val="24"/>
          <w:szCs w:val="24"/>
          <w:highlight w:val="none"/>
        </w:rPr>
        <w:t>第十五条其他</w:t>
      </w:r>
    </w:p>
    <w:p w14:paraId="41644B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本合同一式伍份，自双方签字并盖章之日起生效。甲方执贰份，乙方执贰份，朝阳区教委留存备案壹份，具有同等法律效力。</w:t>
      </w:r>
      <w:r>
        <w:rPr>
          <w:rFonts w:hint="eastAsia" w:ascii="仿宋" w:hAnsi="仿宋" w:eastAsia="仿宋" w:cs="仿宋"/>
          <w:color w:val="auto"/>
          <w:sz w:val="24"/>
          <w:szCs w:val="24"/>
          <w:highlight w:val="none"/>
        </w:rPr>
        <w:br w:type="textWrapping"/>
      </w:r>
    </w:p>
    <w:p w14:paraId="6ECC69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附件：北京市朝阳区教育国资中心幼儿园保安服务管理办法（试行）</w:t>
      </w:r>
    </w:p>
    <w:p w14:paraId="66D403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41A64E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甲方（盖章）：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乙方（盖章）：</w:t>
      </w:r>
    </w:p>
    <w:p w14:paraId="74E9A8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法人或授权代表：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法人授权代表：</w:t>
      </w:r>
    </w:p>
    <w:p w14:paraId="67C4BE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联系地址：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联系地址：</w:t>
      </w:r>
    </w:p>
    <w:p w14:paraId="3AF4A3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电 话：</w:t>
      </w:r>
    </w:p>
    <w:p w14:paraId="4A842E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传 真 ：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传 真：</w:t>
      </w:r>
    </w:p>
    <w:p w14:paraId="7C6180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邮 编 ：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邮 编：</w:t>
      </w:r>
    </w:p>
    <w:p w14:paraId="3D9F09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年   月   日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   月   日</w:t>
      </w:r>
    </w:p>
    <w:p w14:paraId="466690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附件：</w:t>
      </w:r>
    </w:p>
    <w:p w14:paraId="437FA24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北京市朝阳区教育国资中心幼儿园保安服务管理办法（试行）</w:t>
      </w:r>
    </w:p>
    <w:p w14:paraId="1BAD20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09BD70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明确北京市朝阳区教育国资中心幼儿园（以下简称“国资中心幼儿园”）和所聘保安公司（以下简称“保安公司”）的职责与权利，加强对保安公司的监管力度，规范保安公司服务人员在国资中心幼儿园工作标准，切实提高国资中心幼儿园保安服务管理水平。现根据朝阳区教委《关于做好2022年朝阳区教育系统校园保安管理相关工作的通知》、《朝阳区校园保安服务管理办法（修订版）》、北京市朝阳区教育服务保障中心（以下简称“保障中心”）的有关要求，结合工作实际，制定本办法。</w:t>
      </w:r>
    </w:p>
    <w:p w14:paraId="3E5C82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一、总则</w:t>
      </w:r>
    </w:p>
    <w:p w14:paraId="2CD671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国资中心幼儿园所聘保安公司是经过相应遴选程序后选定的提供保安相应服务的单位。国资中心幼儿园对派驻保安服务人员管理实行总园统筹、分园落实、逐级管理的工作方式。由总园直接负责指导、管理、协调、联络派驻保安服务人员工作，并向总园长汇报。保安公司与派驻保安服务人员有义务配合保障中心、国资中心幼儿园的管理工作。</w:t>
      </w:r>
    </w:p>
    <w:p w14:paraId="715268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二、各方职责</w:t>
      </w:r>
    </w:p>
    <w:p w14:paraId="4852FD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（一）总园职责：</w:t>
      </w:r>
    </w:p>
    <w:p w14:paraId="2AFA00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1.负责牵头制定国资中心幼儿园保安服务管理办法。</w:t>
      </w:r>
    </w:p>
    <w:p w14:paraId="400E50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2.从全局角度出发，对保安公司进行指导、管理、联络、监督、落实，并协调解决相关问题。</w:t>
      </w:r>
    </w:p>
    <w:p w14:paraId="6C3342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3.按季度、重大节假日或重大节点召开会议或发布通知，对保安公司统一思想，部署相关工作及要求。</w:t>
      </w:r>
    </w:p>
    <w:p w14:paraId="3BF229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（二）保安公司职责：</w:t>
      </w:r>
    </w:p>
    <w:p w14:paraId="777BCE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1.了解幼儿园保安服务标准和运营要求，根据合同约定的服务内容及标准配备保安员，并为对其进行岗位职责、工作规范、假勤要求等方面的培训。</w:t>
      </w:r>
    </w:p>
    <w:p w14:paraId="10432F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2.对驻派的保安服务人员进行岗前教育和技能培训,按规定为上岗人员办理保安证、健康证、无犯罪记录证明，做到持证上岗。</w:t>
      </w:r>
    </w:p>
    <w:p w14:paraId="2D39ED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3.每月至少对驻派的保安服务人员进行一次法律、保安专业知识和技能培训，开展职业道德教育，宣传疫情防控规定，并向各分园提交培训记录。</w:t>
      </w:r>
    </w:p>
    <w:p w14:paraId="7E48D1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4.每学期对所服务分园进行工作总结并向国资中心幼儿园总园进行汇报。</w:t>
      </w:r>
    </w:p>
    <w:p w14:paraId="7D4F5B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5.幼儿园提出不能满足保安工作要求以及不服从安排和管理需要调整的服务人员,保安公司应在5个工作日内调整到位。如未按时完成将从当月或季度考核分数中体现。</w:t>
      </w:r>
    </w:p>
    <w:p w14:paraId="569F33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6.下列情形第三方保安公司必须及时调派其他符合条件保安服务人员：</w:t>
      </w:r>
    </w:p>
    <w:p w14:paraId="770FE9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（1）派驻保安服务人员辞职;</w:t>
      </w:r>
    </w:p>
    <w:p w14:paraId="5433BD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（2）派驻保安服务人员缺勤(含请假和旷工,下同)连续两天以上, 或一周内两天以上。</w:t>
      </w:r>
    </w:p>
    <w:p w14:paraId="01D97F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7.保安公司根据实际人员情况适当储备可随时上岗人员，可随时补位缺岗人员。</w:t>
      </w:r>
    </w:p>
    <w:p w14:paraId="494189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8.补位人员需在离职或请假人员前一周或三天完成岗前培训，到园熟悉环境，开展工作交接，不得无证上岗。</w:t>
      </w:r>
    </w:p>
    <w:p w14:paraId="4D6D55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9.若派驻保安服务人员有违反国资中心幼儿园规章制度保安公司应进行做出相应措施，直至调离国资中心幼儿园。</w:t>
      </w:r>
    </w:p>
    <w:p w14:paraId="020E69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10.对有违反国资中心幼儿园规章制度的派驻保安服务人员各分园不予接收。</w:t>
      </w:r>
    </w:p>
    <w:p w14:paraId="195611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11.派驻保安服务人员在保安服务中造成他人人身伤亡和财产损失的,由保安公司赔付。因派驻保安服务人员的失职、渎职致使我园承担责任的,该责任的最终赔偿由保安公司承担。</w:t>
      </w:r>
    </w:p>
    <w:p w14:paraId="65BA4E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（三）各分园职责：</w:t>
      </w:r>
    </w:p>
    <w:p w14:paraId="7208B3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1.与保安公司项目经理或保安队长定期沟通、联络派驻保安服务人员日常工作情况。</w:t>
      </w:r>
    </w:p>
    <w:p w14:paraId="69321B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2.上岗前，对拟派驻保安服务人员进行证件材料审核，开展笔试与技能考核，视材料审核与技能考核结果决定是否接收。</w:t>
      </w:r>
    </w:p>
    <w:p w14:paraId="3E995F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3.各分园按总园要求每月对派驻的保安服务人员日常工作表现进行检查、记录、考核,并按总园要求时限提交考核结果。</w:t>
      </w:r>
    </w:p>
    <w:p w14:paraId="2EB10C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4.据实记录派驻保安服务人员考勤，并按总园要求时限提交考勤材料。</w:t>
      </w:r>
    </w:p>
    <w:p w14:paraId="200005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5.定期对派驻保安服务人员进幼儿园工作标准、安全防护、仪容仪表等方面进行培训。</w:t>
      </w:r>
    </w:p>
    <w:p w14:paraId="7E8882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6.每月如实向总园汇报派驻的保安服务人员流动及保安公司对派驻保安服务人员的培训情况，提供相关记录。</w:t>
      </w:r>
    </w:p>
    <w:p w14:paraId="3CF765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三、岗位职责</w:t>
      </w:r>
    </w:p>
    <w:p w14:paraId="5FB823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保安人员</w:t>
      </w:r>
    </w:p>
    <w:p w14:paraId="5790A7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1.负责园区大门 24 小时值班值守，负责人员、车辆进出幼儿园管理和园门疫情防控工作，维护良好的园门秩序；做好来访人员的登记和值班、交接班记录。</w:t>
      </w:r>
    </w:p>
    <w:p w14:paraId="6CE62E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2.负责园区及园区周边安全管理，公共区域日常安全检查 以及每2小时一次的园区安全巡查，及时发现处置隐患问题和突发事件，维护良好的园区教育教学秩序和正常办公环境。</w:t>
      </w:r>
    </w:p>
    <w:p w14:paraId="6ACD7A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3.衣着整洁，待人接物和气有礼貌，不聚众聊天。</w:t>
      </w:r>
    </w:p>
    <w:p w14:paraId="000138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4.注意仪容仪表，讲究团结协作，值班时间不得脱岗、误岗、擅自调岗。</w:t>
      </w:r>
    </w:p>
    <w:p w14:paraId="2D4B18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5.根据园区工作实际，妥善做好来园人员车辆的引导、停放和秩序维护。</w:t>
      </w:r>
    </w:p>
    <w:p w14:paraId="31A366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6.负责消防和监控值班值守工作；接收并及时处置火警信号，维护幼儿园园消防安全；认真填写并妥善保存中控室值班记录；相关设备发生故障及时沟通联系，协助做好修理和维护工作。</w:t>
      </w:r>
    </w:p>
    <w:p w14:paraId="743592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7.贯彻执行各项安全管理规章制度，妥善做好园区防火、 防盗、防抢、防暴等各项安全防范工作。</w:t>
      </w:r>
    </w:p>
    <w:p w14:paraId="0D2488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8.遇园区大型、重要活动或重大节日，提供临时勤务保障。</w:t>
      </w:r>
    </w:p>
    <w:p w14:paraId="724B78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9.预防和制止侵害园区的安全事件，随时做好应急处突防范，妥善处理消防安全、突发事件等应急情况。</w:t>
      </w:r>
    </w:p>
    <w:p w14:paraId="560465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10.协助做好消防维保，安防维保，消防电气检测，灭火器检测回充等工作。</w:t>
      </w:r>
    </w:p>
    <w:p w14:paraId="632E52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11.完成园区交办的其它临时性工作和任务。如辅助园区清运垃圾、做好门前三包等。</w:t>
      </w:r>
    </w:p>
    <w:p w14:paraId="1997F4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12．保安管理人员每周必须向园区安全工作负责人口头汇报工作及幼儿园派驻保安服务人员情况，重大情况须及时报告。做好详细的执勤记录，原始台帐保存完好，以备核查。</w:t>
      </w:r>
    </w:p>
    <w:p w14:paraId="0098E4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三、管理考核方法</w:t>
      </w:r>
    </w:p>
    <w:p w14:paraId="086C76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国资中心幼儿园根据《朝阳区校园保安服务合同书》条款对各保安公司服务满意率进行整体计算，综合满意率必须达到90%以上（含），综合满意率每低一个百分点，扣除当季度保安服务费的2%，同时相关保安公司进行整改；综合满意率低于85%（含），有权解除合同，并由保安公司承担合同总额20%的违约金。</w:t>
      </w:r>
    </w:p>
    <w:p w14:paraId="78FA3B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2.《北京市朝阳区教育国资中心幼儿园保安服务考核评分表》满分为 100 分(各项扣分不受本项分值限制,可以为负分),依据评分标准对每一位派驻保安服务人员与保安公司整体进行评分。</w:t>
      </w:r>
    </w:p>
    <w:p w14:paraId="1748EB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四、附则</w:t>
      </w:r>
    </w:p>
    <w:p w14:paraId="1BAE426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（一）本管理办法的解释权归北京市朝阳区教育国资中心幼儿园。</w:t>
      </w:r>
    </w:p>
    <w:p w14:paraId="0661AC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sectPr>
          <w:footerReference r:id="rId15" w:type="default"/>
          <w:pgSz w:w="11907" w:h="16840"/>
          <w:pgMar w:top="1134" w:right="1134" w:bottom="1134" w:left="1134" w:header="0" w:footer="819" w:gutter="0"/>
          <w:pgNumType w:fmt="decimal"/>
          <w:cols w:space="720" w:num="1"/>
        </w:sectPr>
      </w:pPr>
      <w:r>
        <w:rPr>
          <w:rFonts w:hint="eastAsia" w:ascii="仿宋" w:hAnsi="仿宋" w:eastAsia="仿宋" w:cs="仿宋"/>
          <w:color w:val="auto"/>
          <w:sz w:val="24"/>
          <w:szCs w:val="24"/>
          <w:highlight w:val="none"/>
        </w:rPr>
        <w:t>（二）本管理办法自颁布之日起实施。</w:t>
      </w:r>
    </w:p>
    <w:p w14:paraId="63F14286">
      <w:pPr>
        <w:jc w:val="center"/>
        <w:rPr>
          <w:rFonts w:hint="eastAsia" w:ascii="仿宋" w:hAnsi="仿宋" w:eastAsia="仿宋" w:cs="仿宋"/>
          <w:b/>
          <w:color w:val="auto"/>
          <w:sz w:val="36"/>
          <w:szCs w:val="36"/>
          <w:highlight w:val="none"/>
        </w:rPr>
      </w:pPr>
      <w:bookmarkStart w:id="824" w:name="_Toc99301426"/>
      <w:r>
        <w:rPr>
          <w:rFonts w:hint="eastAsia" w:ascii="仿宋" w:hAnsi="仿宋" w:eastAsia="仿宋" w:cs="仿宋"/>
          <w:b/>
          <w:color w:val="auto"/>
          <w:sz w:val="36"/>
          <w:szCs w:val="36"/>
          <w:highlight w:val="none"/>
        </w:rPr>
        <w:t>第七章   投标文件格式</w:t>
      </w:r>
      <w:bookmarkEnd w:id="824"/>
    </w:p>
    <w:p w14:paraId="335BD0CB">
      <w:pPr>
        <w:tabs>
          <w:tab w:val="left" w:pos="900"/>
          <w:tab w:val="left" w:pos="1980"/>
        </w:tabs>
        <w:snapToGrid w:val="0"/>
        <w:spacing w:line="360" w:lineRule="auto"/>
        <w:rPr>
          <w:rFonts w:hint="eastAsia" w:ascii="仿宋" w:hAnsi="仿宋" w:eastAsia="仿宋" w:cs="仿宋"/>
          <w:b/>
          <w:color w:val="auto"/>
          <w:sz w:val="24"/>
          <w:highlight w:val="none"/>
        </w:rPr>
      </w:pPr>
    </w:p>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14:paraId="789D9C70">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b/>
          <w:color w:val="auto"/>
          <w:sz w:val="24"/>
          <w:highlight w:val="none"/>
        </w:rPr>
        <w:t>投标人编制文件须知</w:t>
      </w:r>
    </w:p>
    <w:p w14:paraId="4AD5A509">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1.投标人按照本部分的顺序编制投标文件（资格证明文件）、投标文件（商务技术文件），编制中涉及格式资料的，应按照本部分提供的内容和格式（所有表格的格式可扩展）填写提交。</w:t>
      </w:r>
    </w:p>
    <w:p w14:paraId="698AD95C">
      <w:pPr>
        <w:tabs>
          <w:tab w:val="left" w:pos="900"/>
          <w:tab w:val="left" w:pos="1980"/>
        </w:tabs>
        <w:snapToGrid w:val="0"/>
        <w:spacing w:line="360" w:lineRule="auto"/>
        <w:ind w:left="142"/>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kern w:val="0"/>
          <w:sz w:val="24"/>
          <w:highlight w:val="none"/>
        </w:rPr>
        <w:t>对于招标文件中标记了“实质性格式”文件的，</w:t>
      </w:r>
      <w:r>
        <w:rPr>
          <w:rFonts w:hint="eastAsia" w:ascii="仿宋" w:hAnsi="仿宋" w:eastAsia="仿宋" w:cs="仿宋"/>
          <w:color w:val="auto"/>
          <w:sz w:val="24"/>
          <w:highlight w:val="none"/>
        </w:rPr>
        <w:t>投标人不得改变格式中给定的文字所表达的含义，不得删减格式中的实质性内容，不得自行添加与格式中给定的文字内容相矛盾的内容，不得对应当填写的空格不填写或不实质性响应，</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kern w:val="0"/>
          <w:sz w:val="24"/>
          <w:highlight w:val="none"/>
        </w:rPr>
        <w:t>。未标记“实质性格式”的文件和招标文件未提供格式的内容，可由投标人自行编写。</w:t>
      </w:r>
    </w:p>
    <w:p w14:paraId="33F7A4E5">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color w:val="auto"/>
          <w:sz w:val="24"/>
          <w:highlight w:val="none"/>
        </w:rPr>
        <w:t>3.全部声明和问题的回答及所附材料必须是真实的、准确的和完整的。</w:t>
      </w:r>
    </w:p>
    <w:p w14:paraId="4E066A29">
      <w:pPr>
        <w:widowControl/>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28FD6BCA">
      <w:pPr>
        <w:keepNext/>
        <w:keepLines/>
        <w:autoSpaceDE w:val="0"/>
        <w:autoSpaceDN w:val="0"/>
        <w:adjustRightInd w:val="0"/>
        <w:spacing w:before="120" w:line="300" w:lineRule="auto"/>
        <w:jc w:val="left"/>
        <w:outlineLvl w:val="1"/>
        <w:rPr>
          <w:rFonts w:hint="eastAsia" w:ascii="仿宋" w:hAnsi="仿宋" w:eastAsia="仿宋" w:cs="仿宋"/>
          <w:b/>
          <w:color w:val="auto"/>
          <w:kern w:val="0"/>
          <w:sz w:val="30"/>
          <w:szCs w:val="20"/>
          <w:highlight w:val="none"/>
        </w:rPr>
      </w:pPr>
      <w:r>
        <w:rPr>
          <w:rFonts w:hint="eastAsia" w:ascii="仿宋" w:hAnsi="仿宋" w:eastAsia="仿宋" w:cs="仿宋"/>
          <w:b/>
          <w:color w:val="auto"/>
          <w:spacing w:val="20"/>
          <w:sz w:val="24"/>
          <w:highlight w:val="none"/>
        </w:rPr>
        <w:t>一、资格证明文件格式</w:t>
      </w:r>
    </w:p>
    <w:p w14:paraId="3C550049">
      <w:pPr>
        <w:rPr>
          <w:rFonts w:hint="eastAsia" w:ascii="仿宋" w:hAnsi="仿宋" w:eastAsia="仿宋" w:cs="仿宋"/>
          <w:b/>
          <w:color w:val="auto"/>
          <w:spacing w:val="20"/>
          <w:szCs w:val="21"/>
          <w:highlight w:val="none"/>
        </w:rPr>
      </w:pPr>
    </w:p>
    <w:p w14:paraId="2962DB12">
      <w:pPr>
        <w:rPr>
          <w:rFonts w:hint="eastAsia" w:ascii="仿宋" w:hAnsi="仿宋" w:eastAsia="仿宋" w:cs="仿宋"/>
          <w:b/>
          <w:color w:val="auto"/>
          <w:sz w:val="24"/>
          <w:highlight w:val="none"/>
        </w:rPr>
      </w:pPr>
      <w:r>
        <w:rPr>
          <w:rFonts w:hint="eastAsia" w:ascii="仿宋" w:hAnsi="仿宋" w:eastAsia="仿宋" w:cs="仿宋"/>
          <w:b/>
          <w:color w:val="auto"/>
          <w:spacing w:val="20"/>
          <w:sz w:val="24"/>
          <w:highlight w:val="none"/>
        </w:rPr>
        <w:t>投标文件（资格证明文件）</w:t>
      </w:r>
      <w:r>
        <w:rPr>
          <w:rFonts w:hint="eastAsia" w:ascii="仿宋" w:hAnsi="仿宋" w:eastAsia="仿宋" w:cs="仿宋"/>
          <w:b/>
          <w:color w:val="auto"/>
          <w:sz w:val="24"/>
          <w:highlight w:val="none"/>
        </w:rPr>
        <w:t>封面（非实质性格式）</w:t>
      </w:r>
    </w:p>
    <w:p w14:paraId="159BD679">
      <w:pPr>
        <w:rPr>
          <w:rFonts w:hint="eastAsia" w:ascii="仿宋" w:hAnsi="仿宋" w:eastAsia="仿宋" w:cs="仿宋"/>
          <w:b/>
          <w:color w:val="auto"/>
          <w:sz w:val="24"/>
          <w:highlight w:val="none"/>
        </w:rPr>
      </w:pPr>
    </w:p>
    <w:p w14:paraId="6E37F052">
      <w:pPr>
        <w:rPr>
          <w:rFonts w:hint="eastAsia" w:ascii="仿宋" w:hAnsi="仿宋" w:eastAsia="仿宋" w:cs="仿宋"/>
          <w:b/>
          <w:color w:val="auto"/>
          <w:sz w:val="24"/>
          <w:highlight w:val="none"/>
        </w:rPr>
      </w:pPr>
    </w:p>
    <w:p w14:paraId="45655E4B">
      <w:pPr>
        <w:jc w:val="center"/>
        <w:rPr>
          <w:rFonts w:hint="eastAsia" w:ascii="仿宋" w:hAnsi="仿宋" w:eastAsia="仿宋" w:cs="仿宋"/>
          <w:color w:val="auto"/>
          <w:szCs w:val="21"/>
          <w:highlight w:val="none"/>
        </w:rPr>
      </w:pPr>
    </w:p>
    <w:p w14:paraId="19674AF1">
      <w:pPr>
        <w:jc w:val="center"/>
        <w:rPr>
          <w:rFonts w:hint="eastAsia" w:ascii="仿宋" w:hAnsi="仿宋" w:eastAsia="仿宋" w:cs="仿宋"/>
          <w:b/>
          <w:color w:val="auto"/>
          <w:spacing w:val="60"/>
          <w:sz w:val="84"/>
          <w:szCs w:val="84"/>
          <w:highlight w:val="none"/>
        </w:rPr>
      </w:pPr>
      <w:r>
        <w:rPr>
          <w:rFonts w:hint="eastAsia" w:ascii="仿宋" w:hAnsi="仿宋" w:eastAsia="仿宋" w:cs="仿宋"/>
          <w:b/>
          <w:color w:val="auto"/>
          <w:spacing w:val="60"/>
          <w:sz w:val="84"/>
          <w:szCs w:val="84"/>
          <w:highlight w:val="none"/>
        </w:rPr>
        <w:t>投 标 文 件</w:t>
      </w:r>
    </w:p>
    <w:p w14:paraId="25FFCA7E">
      <w:pPr>
        <w:jc w:val="center"/>
        <w:rPr>
          <w:rFonts w:hint="eastAsia" w:ascii="仿宋" w:hAnsi="仿宋" w:eastAsia="仿宋" w:cs="仿宋"/>
          <w:b/>
          <w:color w:val="auto"/>
          <w:spacing w:val="60"/>
          <w:sz w:val="52"/>
          <w:szCs w:val="52"/>
          <w:highlight w:val="none"/>
        </w:rPr>
      </w:pPr>
      <w:r>
        <w:rPr>
          <w:rFonts w:hint="eastAsia" w:ascii="仿宋" w:hAnsi="仿宋" w:eastAsia="仿宋" w:cs="仿宋"/>
          <w:b/>
          <w:color w:val="auto"/>
          <w:spacing w:val="60"/>
          <w:sz w:val="52"/>
          <w:szCs w:val="52"/>
          <w:highlight w:val="none"/>
        </w:rPr>
        <w:t>（资格证明文件）</w:t>
      </w:r>
    </w:p>
    <w:p w14:paraId="1878D484">
      <w:pPr>
        <w:ind w:firstLine="542" w:firstLineChars="150"/>
        <w:rPr>
          <w:rFonts w:hint="eastAsia" w:ascii="仿宋" w:hAnsi="仿宋" w:eastAsia="仿宋" w:cs="仿宋"/>
          <w:b/>
          <w:color w:val="auto"/>
          <w:spacing w:val="20"/>
          <w:sz w:val="32"/>
          <w:szCs w:val="32"/>
          <w:highlight w:val="none"/>
        </w:rPr>
      </w:pPr>
    </w:p>
    <w:p w14:paraId="0BCFD0A7">
      <w:pPr>
        <w:ind w:firstLine="542" w:firstLineChars="150"/>
        <w:rPr>
          <w:rFonts w:hint="eastAsia" w:ascii="仿宋" w:hAnsi="仿宋" w:eastAsia="仿宋" w:cs="仿宋"/>
          <w:b/>
          <w:color w:val="auto"/>
          <w:spacing w:val="20"/>
          <w:sz w:val="32"/>
          <w:szCs w:val="32"/>
          <w:highlight w:val="none"/>
        </w:rPr>
      </w:pPr>
    </w:p>
    <w:p w14:paraId="10C5785B">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lang w:val="en-US" w:eastAsia="zh-CN"/>
        </w:rPr>
        <w:t>标包</w:t>
      </w:r>
      <w:r>
        <w:rPr>
          <w:rFonts w:hint="eastAsia" w:ascii="仿宋" w:hAnsi="仿宋" w:eastAsia="仿宋" w:cs="仿宋"/>
          <w:b/>
          <w:color w:val="auto"/>
          <w:spacing w:val="20"/>
          <w:sz w:val="32"/>
          <w:szCs w:val="32"/>
          <w:highlight w:val="none"/>
        </w:rPr>
        <w:t>名称:</w:t>
      </w:r>
    </w:p>
    <w:p w14:paraId="57277CD9">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项目编号：</w:t>
      </w:r>
    </w:p>
    <w:p w14:paraId="14A54BF0">
      <w:pPr>
        <w:ind w:firstLine="542" w:firstLineChars="150"/>
        <w:rPr>
          <w:rFonts w:hint="eastAsia" w:ascii="仿宋" w:hAnsi="仿宋" w:eastAsia="仿宋" w:cs="仿宋"/>
          <w:b/>
          <w:color w:val="auto"/>
          <w:spacing w:val="20"/>
          <w:sz w:val="32"/>
          <w:szCs w:val="32"/>
          <w:highlight w:val="none"/>
        </w:rPr>
      </w:pPr>
    </w:p>
    <w:p w14:paraId="0ABBBA2A">
      <w:pPr>
        <w:jc w:val="center"/>
        <w:rPr>
          <w:rFonts w:hint="eastAsia" w:ascii="仿宋" w:hAnsi="仿宋" w:eastAsia="仿宋" w:cs="仿宋"/>
          <w:b/>
          <w:color w:val="auto"/>
          <w:sz w:val="32"/>
          <w:szCs w:val="32"/>
          <w:highlight w:val="none"/>
        </w:rPr>
      </w:pPr>
    </w:p>
    <w:p w14:paraId="12B354F9">
      <w:pPr>
        <w:jc w:val="center"/>
        <w:rPr>
          <w:rFonts w:hint="eastAsia" w:ascii="仿宋" w:hAnsi="仿宋" w:eastAsia="仿宋" w:cs="仿宋"/>
          <w:b/>
          <w:color w:val="auto"/>
          <w:sz w:val="32"/>
          <w:szCs w:val="32"/>
          <w:highlight w:val="none"/>
        </w:rPr>
      </w:pPr>
    </w:p>
    <w:p w14:paraId="2E2F72AA">
      <w:pPr>
        <w:jc w:val="center"/>
        <w:rPr>
          <w:rFonts w:hint="eastAsia" w:ascii="仿宋" w:hAnsi="仿宋" w:eastAsia="仿宋" w:cs="仿宋"/>
          <w:b/>
          <w:color w:val="auto"/>
          <w:sz w:val="32"/>
          <w:szCs w:val="32"/>
          <w:highlight w:val="none"/>
        </w:rPr>
      </w:pPr>
    </w:p>
    <w:p w14:paraId="6D0FE370">
      <w:pPr>
        <w:jc w:val="center"/>
        <w:rPr>
          <w:rFonts w:hint="eastAsia" w:ascii="仿宋" w:hAnsi="仿宋" w:eastAsia="仿宋" w:cs="仿宋"/>
          <w:b/>
          <w:color w:val="auto"/>
          <w:spacing w:val="20"/>
          <w:sz w:val="32"/>
          <w:szCs w:val="32"/>
          <w:highlight w:val="none"/>
        </w:rPr>
      </w:pPr>
    </w:p>
    <w:p w14:paraId="2FB09980">
      <w:pPr>
        <w:jc w:val="center"/>
        <w:rPr>
          <w:rFonts w:hint="eastAsia" w:ascii="仿宋" w:hAnsi="仿宋" w:eastAsia="仿宋" w:cs="仿宋"/>
          <w:b/>
          <w:color w:val="auto"/>
          <w:spacing w:val="20"/>
          <w:sz w:val="32"/>
          <w:szCs w:val="32"/>
          <w:highlight w:val="none"/>
        </w:rPr>
      </w:pPr>
    </w:p>
    <w:p w14:paraId="2C229410">
      <w:pPr>
        <w:jc w:val="center"/>
        <w:rPr>
          <w:rFonts w:hint="eastAsia" w:ascii="仿宋" w:hAnsi="仿宋" w:eastAsia="仿宋" w:cs="仿宋"/>
          <w:b/>
          <w:color w:val="auto"/>
          <w:spacing w:val="20"/>
          <w:sz w:val="32"/>
          <w:szCs w:val="32"/>
          <w:highlight w:val="none"/>
        </w:rPr>
      </w:pPr>
    </w:p>
    <w:p w14:paraId="64837707">
      <w:pPr>
        <w:spacing w:line="360" w:lineRule="auto"/>
        <w:ind w:firstLine="1445" w:firstLineChars="400"/>
        <w:jc w:val="left"/>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投标人名称：</w:t>
      </w:r>
    </w:p>
    <w:p w14:paraId="532583EA">
      <w:pPr>
        <w:jc w:val="center"/>
        <w:rPr>
          <w:rFonts w:hint="eastAsia" w:ascii="仿宋" w:hAnsi="仿宋" w:eastAsia="仿宋" w:cs="仿宋"/>
          <w:b/>
          <w:color w:val="auto"/>
          <w:sz w:val="32"/>
          <w:szCs w:val="32"/>
          <w:highlight w:val="none"/>
        </w:rPr>
      </w:pPr>
    </w:p>
    <w:p w14:paraId="568C3029">
      <w:pPr>
        <w:rPr>
          <w:rFonts w:hint="eastAsia" w:ascii="仿宋" w:hAnsi="仿宋" w:eastAsia="仿宋" w:cs="仿宋"/>
          <w:b/>
          <w:color w:val="auto"/>
          <w:highlight w:val="none"/>
        </w:rPr>
      </w:pPr>
      <w:r>
        <w:rPr>
          <w:rFonts w:hint="eastAsia" w:ascii="仿宋" w:hAnsi="仿宋" w:eastAsia="仿宋" w:cs="仿宋"/>
          <w:b/>
          <w:color w:val="auto"/>
          <w:spacing w:val="20"/>
          <w:sz w:val="32"/>
          <w:szCs w:val="32"/>
          <w:highlight w:val="none"/>
        </w:rPr>
        <w:br w:type="page"/>
      </w:r>
    </w:p>
    <w:p w14:paraId="78EB0950">
      <w:pPr>
        <w:numPr>
          <w:ilvl w:val="0"/>
          <w:numId w:val="13"/>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满足《中华人民共和国政府采购法》第二十二条规定</w:t>
      </w:r>
    </w:p>
    <w:p w14:paraId="1D68A1DB">
      <w:pPr>
        <w:spacing w:line="360" w:lineRule="auto"/>
        <w:outlineLvl w:val="2"/>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1-1 营业执照</w:t>
      </w:r>
      <w:r>
        <w:rPr>
          <w:rFonts w:hint="eastAsia" w:ascii="仿宋" w:hAnsi="仿宋" w:eastAsia="仿宋" w:cs="仿宋"/>
          <w:color w:val="auto"/>
          <w:sz w:val="24"/>
          <w:szCs w:val="20"/>
          <w:highlight w:val="none"/>
          <w:lang w:eastAsia="zh-CN"/>
        </w:rPr>
        <w:t>、《保安服务许可证》</w:t>
      </w:r>
      <w:r>
        <w:rPr>
          <w:rFonts w:hint="eastAsia" w:ascii="仿宋" w:hAnsi="仿宋" w:eastAsia="仿宋" w:cs="仿宋"/>
          <w:color w:val="auto"/>
          <w:sz w:val="24"/>
          <w:szCs w:val="20"/>
          <w:highlight w:val="none"/>
        </w:rPr>
        <w:t>等证明文件</w:t>
      </w:r>
    </w:p>
    <w:p w14:paraId="44912C08">
      <w:pPr>
        <w:tabs>
          <w:tab w:val="left" w:pos="1080"/>
        </w:tabs>
        <w:snapToGrid w:val="0"/>
        <w:rPr>
          <w:rFonts w:hint="eastAsia" w:ascii="仿宋" w:hAnsi="仿宋" w:eastAsia="仿宋" w:cs="仿宋"/>
          <w:color w:val="auto"/>
          <w:sz w:val="24"/>
          <w:highlight w:val="none"/>
        </w:rPr>
      </w:pPr>
    </w:p>
    <w:p w14:paraId="7EE37A52">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br w:type="page"/>
      </w:r>
    </w:p>
    <w:p w14:paraId="751925E3">
      <w:pPr>
        <w:pStyle w:val="5"/>
        <w:rPr>
          <w:rFonts w:hint="eastAsia" w:ascii="仿宋" w:hAnsi="仿宋" w:eastAsia="仿宋" w:cs="仿宋"/>
          <w:b w:val="0"/>
          <w:bCs/>
          <w:color w:val="auto"/>
          <w:highlight w:val="none"/>
          <w:u w:val="none"/>
        </w:rPr>
      </w:pPr>
      <w:r>
        <w:rPr>
          <w:rFonts w:hint="eastAsia" w:ascii="仿宋" w:hAnsi="仿宋" w:eastAsia="仿宋" w:cs="仿宋"/>
          <w:b w:val="0"/>
          <w:color w:val="auto"/>
          <w:highlight w:val="none"/>
          <w:u w:val="none"/>
        </w:rPr>
        <w:t>1-2 投标人资格声明书</w:t>
      </w:r>
    </w:p>
    <w:p w14:paraId="1F182BC5">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投标人资格声明书</w:t>
      </w:r>
    </w:p>
    <w:p w14:paraId="23001503">
      <w:pPr>
        <w:tabs>
          <w:tab w:val="left" w:pos="5580"/>
        </w:tabs>
        <w:spacing w:line="360" w:lineRule="auto"/>
        <w:rPr>
          <w:rFonts w:hint="eastAsia" w:ascii="仿宋" w:hAnsi="仿宋" w:eastAsia="仿宋" w:cs="仿宋"/>
          <w:color w:val="auto"/>
          <w:sz w:val="24"/>
          <w:highlight w:val="none"/>
        </w:rPr>
      </w:pPr>
    </w:p>
    <w:p w14:paraId="2C0F0DB8">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66E77D0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在参与本次项目投标中，我单位承诺：</w:t>
      </w:r>
    </w:p>
    <w:p w14:paraId="3950721A">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具有良好的商业信誉和健全的财务会计制度；</w:t>
      </w:r>
    </w:p>
    <w:p w14:paraId="2E1AE891">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具有履行合同所必需的设备和专业技术能力；</w:t>
      </w:r>
    </w:p>
    <w:p w14:paraId="60C52649">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有依法缴纳税收和社会保障资金的良好记录；</w:t>
      </w:r>
    </w:p>
    <w:p w14:paraId="00FFD9D3">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25F6781">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我单位不属于政府采购法律、行政法规规定的公益一类事业单位、或使用事业编制且由财政拨款保障的群团组织（仅适用于政府购买服务项目）；</w:t>
      </w:r>
    </w:p>
    <w:p w14:paraId="47C39D89">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我单位不存在为采购项目提供整体设计、规范编制或者项目管理、监理、检测等服务后，再参加该采购项目的其他采购活动的情形（单一来源采购项目除外）；</w:t>
      </w:r>
    </w:p>
    <w:p w14:paraId="51A0708B">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与我单位存在“单位负责人为同一人或者存在直接控股、管理关系”的其他法人单位信息如下（如有，不论其是否参加同一合同项下的政府采购活动均须填写）：</w:t>
      </w:r>
    </w:p>
    <w:tbl>
      <w:tblPr>
        <w:tblStyle w:val="45"/>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12"/>
        <w:gridCol w:w="5361"/>
        <w:gridCol w:w="3488"/>
      </w:tblGrid>
      <w:tr w14:paraId="7BDCF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47656390">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690" w:type="pct"/>
            <w:vAlign w:val="center"/>
          </w:tcPr>
          <w:p w14:paraId="4B622C09">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单位名称</w:t>
            </w:r>
          </w:p>
        </w:tc>
        <w:tc>
          <w:tcPr>
            <w:tcW w:w="1750" w:type="pct"/>
            <w:vAlign w:val="center"/>
          </w:tcPr>
          <w:p w14:paraId="183FFD9E">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相互关系</w:t>
            </w:r>
          </w:p>
        </w:tc>
      </w:tr>
      <w:tr w14:paraId="679B3E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53682105">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2690" w:type="pct"/>
            <w:vAlign w:val="center"/>
          </w:tcPr>
          <w:p w14:paraId="57EEECE5">
            <w:pPr>
              <w:jc w:val="center"/>
              <w:rPr>
                <w:rFonts w:hint="eastAsia" w:ascii="仿宋" w:hAnsi="仿宋" w:eastAsia="仿宋" w:cs="仿宋"/>
                <w:color w:val="auto"/>
                <w:sz w:val="24"/>
                <w:highlight w:val="none"/>
              </w:rPr>
            </w:pPr>
          </w:p>
        </w:tc>
        <w:tc>
          <w:tcPr>
            <w:tcW w:w="1750" w:type="pct"/>
            <w:vAlign w:val="center"/>
          </w:tcPr>
          <w:p w14:paraId="2371D410">
            <w:pPr>
              <w:jc w:val="center"/>
              <w:rPr>
                <w:rFonts w:hint="eastAsia" w:ascii="仿宋" w:hAnsi="仿宋" w:eastAsia="仿宋" w:cs="仿宋"/>
                <w:color w:val="auto"/>
                <w:sz w:val="24"/>
                <w:highlight w:val="none"/>
              </w:rPr>
            </w:pPr>
          </w:p>
        </w:tc>
      </w:tr>
      <w:tr w14:paraId="54CF3D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018D3369">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2690" w:type="pct"/>
            <w:vAlign w:val="center"/>
          </w:tcPr>
          <w:p w14:paraId="712896E3">
            <w:pPr>
              <w:jc w:val="center"/>
              <w:rPr>
                <w:rFonts w:hint="eastAsia" w:ascii="仿宋" w:hAnsi="仿宋" w:eastAsia="仿宋" w:cs="仿宋"/>
                <w:color w:val="auto"/>
                <w:sz w:val="24"/>
                <w:highlight w:val="none"/>
              </w:rPr>
            </w:pPr>
          </w:p>
        </w:tc>
        <w:tc>
          <w:tcPr>
            <w:tcW w:w="1750" w:type="pct"/>
            <w:vAlign w:val="center"/>
          </w:tcPr>
          <w:p w14:paraId="348186E9">
            <w:pPr>
              <w:jc w:val="center"/>
              <w:rPr>
                <w:rFonts w:hint="eastAsia" w:ascii="仿宋" w:hAnsi="仿宋" w:eastAsia="仿宋" w:cs="仿宋"/>
                <w:color w:val="auto"/>
                <w:sz w:val="24"/>
                <w:highlight w:val="none"/>
              </w:rPr>
            </w:pPr>
          </w:p>
        </w:tc>
      </w:tr>
      <w:tr w14:paraId="4F304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072889FF">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2690" w:type="pct"/>
            <w:vAlign w:val="center"/>
          </w:tcPr>
          <w:p w14:paraId="2160F8E4">
            <w:pPr>
              <w:jc w:val="center"/>
              <w:rPr>
                <w:rFonts w:hint="eastAsia" w:ascii="仿宋" w:hAnsi="仿宋" w:eastAsia="仿宋" w:cs="仿宋"/>
                <w:color w:val="auto"/>
                <w:sz w:val="24"/>
                <w:highlight w:val="none"/>
              </w:rPr>
            </w:pPr>
          </w:p>
        </w:tc>
        <w:tc>
          <w:tcPr>
            <w:tcW w:w="1750" w:type="pct"/>
            <w:vAlign w:val="center"/>
          </w:tcPr>
          <w:p w14:paraId="38322214">
            <w:pPr>
              <w:jc w:val="center"/>
              <w:rPr>
                <w:rFonts w:hint="eastAsia" w:ascii="仿宋" w:hAnsi="仿宋" w:eastAsia="仿宋" w:cs="仿宋"/>
                <w:color w:val="auto"/>
                <w:sz w:val="24"/>
                <w:highlight w:val="none"/>
              </w:rPr>
            </w:pPr>
          </w:p>
        </w:tc>
      </w:tr>
    </w:tbl>
    <w:p w14:paraId="3109F638">
      <w:pPr>
        <w:rPr>
          <w:rFonts w:hint="eastAsia" w:ascii="仿宋" w:hAnsi="仿宋" w:eastAsia="仿宋" w:cs="仿宋"/>
          <w:color w:val="auto"/>
          <w:highlight w:val="none"/>
        </w:rPr>
      </w:pPr>
    </w:p>
    <w:p w14:paraId="617C9459">
      <w:pPr>
        <w:ind w:firstLine="480" w:firstLineChars="200"/>
        <w:rPr>
          <w:rFonts w:hint="eastAsia" w:ascii="仿宋" w:hAnsi="仿宋" w:eastAsia="仿宋" w:cs="仿宋"/>
          <w:color w:val="auto"/>
          <w:sz w:val="24"/>
          <w:szCs w:val="22"/>
          <w:highlight w:val="none"/>
        </w:rPr>
      </w:pPr>
      <w:r>
        <w:rPr>
          <w:rFonts w:hint="eastAsia" w:ascii="仿宋" w:hAnsi="仿宋" w:eastAsia="仿宋" w:cs="仿宋"/>
          <w:color w:val="auto"/>
          <w:sz w:val="24"/>
          <w:highlight w:val="none"/>
        </w:rPr>
        <w:t>上述声明真实有效，否则我方负全部责任。</w:t>
      </w:r>
    </w:p>
    <w:p w14:paraId="18833747">
      <w:pPr>
        <w:autoSpaceDE w:val="0"/>
        <w:autoSpaceDN w:val="0"/>
        <w:adjustRightInd w:val="0"/>
        <w:snapToGrid w:val="0"/>
        <w:spacing w:before="25" w:after="25" w:line="360" w:lineRule="auto"/>
        <w:jc w:val="right"/>
        <w:rPr>
          <w:rFonts w:hint="eastAsia" w:ascii="仿宋" w:hAnsi="仿宋" w:eastAsia="仿宋" w:cs="仿宋"/>
          <w:color w:val="auto"/>
          <w:sz w:val="24"/>
          <w:highlight w:val="none"/>
        </w:rPr>
      </w:pPr>
    </w:p>
    <w:p w14:paraId="1DE18BAA">
      <w:pPr>
        <w:autoSpaceDE w:val="0"/>
        <w:autoSpaceDN w:val="0"/>
        <w:adjustRightInd w:val="0"/>
        <w:snapToGrid w:val="0"/>
        <w:spacing w:before="25" w:after="25" w:line="360"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2B768F57">
      <w:pPr>
        <w:spacing w:line="360" w:lineRule="auto"/>
        <w:ind w:right="360" w:firstLine="480"/>
        <w:jc w:val="center"/>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lang w:val="en-US" w:eastAsia="zh-CN"/>
        </w:rPr>
        <w:t xml:space="preserve">                                     </w:t>
      </w: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57907954">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说明：供应商承诺不实的，依据《政府采购法》第七十七条“提供虚假材料谋取中标、成交的”有关规定予以处理。</w:t>
      </w:r>
    </w:p>
    <w:p w14:paraId="6FEC2DDD">
      <w:pPr>
        <w:tabs>
          <w:tab w:val="left" w:pos="5580"/>
        </w:tabs>
        <w:spacing w:line="360" w:lineRule="auto"/>
        <w:rPr>
          <w:rFonts w:hint="eastAsia" w:ascii="仿宋" w:hAnsi="仿宋" w:eastAsia="仿宋" w:cs="仿宋"/>
          <w:color w:val="auto"/>
          <w:sz w:val="24"/>
          <w:highlight w:val="none"/>
        </w:rPr>
        <w:sectPr>
          <w:footerReference r:id="rId16" w:type="default"/>
          <w:pgSz w:w="11907" w:h="16840"/>
          <w:pgMar w:top="1440" w:right="1080" w:bottom="1440" w:left="1080" w:header="851" w:footer="851" w:gutter="0"/>
          <w:pgNumType w:fmt="decimal"/>
          <w:cols w:space="720" w:num="1"/>
          <w:docGrid w:linePitch="462" w:charSpace="0"/>
        </w:sectPr>
      </w:pPr>
    </w:p>
    <w:p w14:paraId="22D22B6B">
      <w:pPr>
        <w:numPr>
          <w:ilvl w:val="0"/>
          <w:numId w:val="13"/>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投标保证金凭证/交款单据电子件</w:t>
      </w:r>
    </w:p>
    <w:p w14:paraId="64C80FCF">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p>
    <w:p w14:paraId="03F04A89">
      <w:pPr>
        <w:keepNext/>
        <w:keepLines/>
        <w:autoSpaceDE w:val="0"/>
        <w:autoSpaceDN w:val="0"/>
        <w:adjustRightInd w:val="0"/>
        <w:spacing w:before="120" w:line="300" w:lineRule="auto"/>
        <w:jc w:val="left"/>
        <w:outlineLvl w:val="1"/>
        <w:rPr>
          <w:rFonts w:hint="eastAsia" w:ascii="仿宋" w:hAnsi="仿宋" w:eastAsia="仿宋" w:cs="仿宋"/>
          <w:b/>
          <w:color w:val="auto"/>
          <w:spacing w:val="20"/>
          <w:sz w:val="24"/>
          <w:highlight w:val="none"/>
        </w:rPr>
      </w:pPr>
      <w:r>
        <w:rPr>
          <w:rFonts w:hint="eastAsia" w:ascii="仿宋" w:hAnsi="仿宋" w:eastAsia="仿宋" w:cs="仿宋"/>
          <w:b/>
          <w:color w:val="auto"/>
          <w:spacing w:val="20"/>
          <w:sz w:val="24"/>
          <w:highlight w:val="none"/>
        </w:rPr>
        <w:t>二、商务技术文件格式</w:t>
      </w:r>
    </w:p>
    <w:p w14:paraId="12F4A891">
      <w:pPr>
        <w:rPr>
          <w:rFonts w:hint="eastAsia" w:ascii="仿宋" w:hAnsi="仿宋" w:eastAsia="仿宋" w:cs="仿宋"/>
          <w:b/>
          <w:color w:val="auto"/>
          <w:spacing w:val="20"/>
          <w:szCs w:val="21"/>
          <w:highlight w:val="none"/>
        </w:rPr>
      </w:pPr>
    </w:p>
    <w:p w14:paraId="1238E724">
      <w:pPr>
        <w:rPr>
          <w:rFonts w:hint="eastAsia" w:ascii="仿宋" w:hAnsi="仿宋" w:eastAsia="仿宋" w:cs="仿宋"/>
          <w:b/>
          <w:color w:val="auto"/>
          <w:sz w:val="24"/>
          <w:highlight w:val="none"/>
        </w:rPr>
      </w:pPr>
      <w:r>
        <w:rPr>
          <w:rFonts w:hint="eastAsia" w:ascii="仿宋" w:hAnsi="仿宋" w:eastAsia="仿宋" w:cs="仿宋"/>
          <w:b/>
          <w:color w:val="auto"/>
          <w:spacing w:val="20"/>
          <w:sz w:val="24"/>
          <w:highlight w:val="none"/>
        </w:rPr>
        <w:t>投标文件（商务技术文件）</w:t>
      </w:r>
      <w:r>
        <w:rPr>
          <w:rFonts w:hint="eastAsia" w:ascii="仿宋" w:hAnsi="仿宋" w:eastAsia="仿宋" w:cs="仿宋"/>
          <w:b/>
          <w:color w:val="auto"/>
          <w:sz w:val="24"/>
          <w:highlight w:val="none"/>
        </w:rPr>
        <w:t>封面（非实质性格式）</w:t>
      </w:r>
    </w:p>
    <w:p w14:paraId="0F087091">
      <w:pPr>
        <w:rPr>
          <w:rFonts w:hint="eastAsia" w:ascii="仿宋" w:hAnsi="仿宋" w:eastAsia="仿宋" w:cs="仿宋"/>
          <w:b/>
          <w:color w:val="auto"/>
          <w:sz w:val="24"/>
          <w:highlight w:val="none"/>
        </w:rPr>
      </w:pPr>
    </w:p>
    <w:p w14:paraId="6AC404FE">
      <w:pPr>
        <w:rPr>
          <w:rFonts w:hint="eastAsia" w:ascii="仿宋" w:hAnsi="仿宋" w:eastAsia="仿宋" w:cs="仿宋"/>
          <w:b/>
          <w:color w:val="auto"/>
          <w:sz w:val="24"/>
          <w:highlight w:val="none"/>
        </w:rPr>
      </w:pPr>
    </w:p>
    <w:p w14:paraId="1E0BC19F">
      <w:pPr>
        <w:jc w:val="center"/>
        <w:rPr>
          <w:rFonts w:hint="eastAsia" w:ascii="仿宋" w:hAnsi="仿宋" w:eastAsia="仿宋" w:cs="仿宋"/>
          <w:color w:val="auto"/>
          <w:szCs w:val="21"/>
          <w:highlight w:val="none"/>
        </w:rPr>
      </w:pPr>
    </w:p>
    <w:p w14:paraId="596063E6">
      <w:pPr>
        <w:jc w:val="center"/>
        <w:rPr>
          <w:rFonts w:hint="eastAsia" w:ascii="仿宋" w:hAnsi="仿宋" w:eastAsia="仿宋" w:cs="仿宋"/>
          <w:b/>
          <w:color w:val="auto"/>
          <w:spacing w:val="60"/>
          <w:sz w:val="84"/>
          <w:szCs w:val="84"/>
          <w:highlight w:val="none"/>
        </w:rPr>
      </w:pPr>
      <w:r>
        <w:rPr>
          <w:rFonts w:hint="eastAsia" w:ascii="仿宋" w:hAnsi="仿宋" w:eastAsia="仿宋" w:cs="仿宋"/>
          <w:b/>
          <w:color w:val="auto"/>
          <w:spacing w:val="60"/>
          <w:sz w:val="84"/>
          <w:szCs w:val="84"/>
          <w:highlight w:val="none"/>
        </w:rPr>
        <w:t>投 标 文 件</w:t>
      </w:r>
    </w:p>
    <w:p w14:paraId="62C4791A">
      <w:pPr>
        <w:jc w:val="center"/>
        <w:rPr>
          <w:rFonts w:hint="eastAsia" w:ascii="仿宋" w:hAnsi="仿宋" w:eastAsia="仿宋" w:cs="仿宋"/>
          <w:b/>
          <w:color w:val="auto"/>
          <w:spacing w:val="60"/>
          <w:sz w:val="52"/>
          <w:szCs w:val="52"/>
          <w:highlight w:val="none"/>
        </w:rPr>
      </w:pPr>
      <w:r>
        <w:rPr>
          <w:rFonts w:hint="eastAsia" w:ascii="仿宋" w:hAnsi="仿宋" w:eastAsia="仿宋" w:cs="仿宋"/>
          <w:b/>
          <w:color w:val="auto"/>
          <w:spacing w:val="60"/>
          <w:sz w:val="52"/>
          <w:szCs w:val="52"/>
          <w:highlight w:val="none"/>
        </w:rPr>
        <w:t>（商务技术文件）</w:t>
      </w:r>
    </w:p>
    <w:p w14:paraId="70D474B5">
      <w:pPr>
        <w:ind w:firstLine="542" w:firstLineChars="150"/>
        <w:rPr>
          <w:rFonts w:hint="eastAsia" w:ascii="仿宋" w:hAnsi="仿宋" w:eastAsia="仿宋" w:cs="仿宋"/>
          <w:b/>
          <w:color w:val="auto"/>
          <w:spacing w:val="20"/>
          <w:sz w:val="32"/>
          <w:szCs w:val="32"/>
          <w:highlight w:val="none"/>
        </w:rPr>
      </w:pPr>
    </w:p>
    <w:p w14:paraId="2AF3C90F">
      <w:pPr>
        <w:ind w:firstLine="542" w:firstLineChars="150"/>
        <w:rPr>
          <w:rFonts w:hint="eastAsia" w:ascii="仿宋" w:hAnsi="仿宋" w:eastAsia="仿宋" w:cs="仿宋"/>
          <w:b/>
          <w:color w:val="auto"/>
          <w:spacing w:val="20"/>
          <w:sz w:val="32"/>
          <w:szCs w:val="32"/>
          <w:highlight w:val="none"/>
        </w:rPr>
      </w:pPr>
    </w:p>
    <w:p w14:paraId="4890A5F5">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lang w:val="en-US" w:eastAsia="zh-CN"/>
        </w:rPr>
        <w:t>标包</w:t>
      </w:r>
      <w:r>
        <w:rPr>
          <w:rFonts w:hint="eastAsia" w:ascii="仿宋" w:hAnsi="仿宋" w:eastAsia="仿宋" w:cs="仿宋"/>
          <w:b/>
          <w:color w:val="auto"/>
          <w:spacing w:val="20"/>
          <w:sz w:val="32"/>
          <w:szCs w:val="32"/>
          <w:highlight w:val="none"/>
        </w:rPr>
        <w:t>名称:</w:t>
      </w:r>
    </w:p>
    <w:p w14:paraId="6F0BFECF">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项目编号：</w:t>
      </w:r>
    </w:p>
    <w:p w14:paraId="161384B8">
      <w:pPr>
        <w:spacing w:line="360" w:lineRule="auto"/>
        <w:ind w:firstLine="542" w:firstLineChars="150"/>
        <w:rPr>
          <w:rFonts w:hint="eastAsia" w:ascii="仿宋" w:hAnsi="仿宋" w:eastAsia="仿宋" w:cs="仿宋"/>
          <w:b/>
          <w:color w:val="auto"/>
          <w:spacing w:val="20"/>
          <w:sz w:val="32"/>
          <w:szCs w:val="32"/>
          <w:highlight w:val="none"/>
        </w:rPr>
      </w:pPr>
    </w:p>
    <w:p w14:paraId="3E29136F">
      <w:pPr>
        <w:jc w:val="center"/>
        <w:rPr>
          <w:rFonts w:hint="eastAsia" w:ascii="仿宋" w:hAnsi="仿宋" w:eastAsia="仿宋" w:cs="仿宋"/>
          <w:b/>
          <w:color w:val="auto"/>
          <w:sz w:val="32"/>
          <w:szCs w:val="32"/>
          <w:highlight w:val="none"/>
        </w:rPr>
      </w:pPr>
    </w:p>
    <w:p w14:paraId="4EBAB909">
      <w:pPr>
        <w:jc w:val="center"/>
        <w:rPr>
          <w:rFonts w:hint="eastAsia" w:ascii="仿宋" w:hAnsi="仿宋" w:eastAsia="仿宋" w:cs="仿宋"/>
          <w:b/>
          <w:color w:val="auto"/>
          <w:sz w:val="32"/>
          <w:szCs w:val="32"/>
          <w:highlight w:val="none"/>
        </w:rPr>
      </w:pPr>
    </w:p>
    <w:p w14:paraId="18A07280">
      <w:pPr>
        <w:jc w:val="center"/>
        <w:rPr>
          <w:rFonts w:hint="eastAsia" w:ascii="仿宋" w:hAnsi="仿宋" w:eastAsia="仿宋" w:cs="仿宋"/>
          <w:b/>
          <w:color w:val="auto"/>
          <w:sz w:val="32"/>
          <w:szCs w:val="32"/>
          <w:highlight w:val="none"/>
        </w:rPr>
      </w:pPr>
    </w:p>
    <w:p w14:paraId="624E377A">
      <w:pPr>
        <w:jc w:val="center"/>
        <w:rPr>
          <w:rFonts w:hint="eastAsia" w:ascii="仿宋" w:hAnsi="仿宋" w:eastAsia="仿宋" w:cs="仿宋"/>
          <w:b/>
          <w:color w:val="auto"/>
          <w:spacing w:val="20"/>
          <w:sz w:val="32"/>
          <w:szCs w:val="32"/>
          <w:highlight w:val="none"/>
        </w:rPr>
      </w:pPr>
    </w:p>
    <w:p w14:paraId="29C31E6B">
      <w:pPr>
        <w:jc w:val="center"/>
        <w:rPr>
          <w:rFonts w:hint="eastAsia" w:ascii="仿宋" w:hAnsi="仿宋" w:eastAsia="仿宋" w:cs="仿宋"/>
          <w:b/>
          <w:color w:val="auto"/>
          <w:spacing w:val="20"/>
          <w:sz w:val="32"/>
          <w:szCs w:val="32"/>
          <w:highlight w:val="none"/>
        </w:rPr>
      </w:pPr>
    </w:p>
    <w:p w14:paraId="5D4AD244">
      <w:pPr>
        <w:jc w:val="center"/>
        <w:rPr>
          <w:rFonts w:hint="eastAsia" w:ascii="仿宋" w:hAnsi="仿宋" w:eastAsia="仿宋" w:cs="仿宋"/>
          <w:b/>
          <w:color w:val="auto"/>
          <w:spacing w:val="20"/>
          <w:sz w:val="32"/>
          <w:szCs w:val="32"/>
          <w:highlight w:val="none"/>
        </w:rPr>
      </w:pPr>
    </w:p>
    <w:p w14:paraId="07E2B549">
      <w:pPr>
        <w:spacing w:line="360" w:lineRule="auto"/>
        <w:ind w:firstLine="1445" w:firstLineChars="400"/>
        <w:jc w:val="left"/>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投标人名称：</w:t>
      </w:r>
    </w:p>
    <w:p w14:paraId="21E0F1D4">
      <w:pPr>
        <w:jc w:val="center"/>
        <w:rPr>
          <w:rFonts w:hint="eastAsia" w:ascii="仿宋" w:hAnsi="仿宋" w:eastAsia="仿宋" w:cs="仿宋"/>
          <w:b/>
          <w:color w:val="auto"/>
          <w:sz w:val="32"/>
          <w:szCs w:val="32"/>
          <w:highlight w:val="none"/>
        </w:rPr>
      </w:pPr>
    </w:p>
    <w:p w14:paraId="1E780F4B">
      <w:pPr>
        <w:widowControl/>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0ADD2DF7">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bookmarkStart w:id="825" w:name="_Hlt520343000"/>
      <w:bookmarkEnd w:id="825"/>
      <w:bookmarkStart w:id="826" w:name="_Hlt520274121"/>
      <w:bookmarkEnd w:id="826"/>
      <w:bookmarkStart w:id="827" w:name="_Hlt520343392"/>
      <w:bookmarkEnd w:id="827"/>
      <w:bookmarkStart w:id="828" w:name="_Hlt520274393"/>
      <w:bookmarkEnd w:id="828"/>
      <w:bookmarkStart w:id="829" w:name="_Hlt520271212"/>
      <w:bookmarkEnd w:id="829"/>
      <w:bookmarkStart w:id="830" w:name="_Hlt520274065"/>
      <w:bookmarkEnd w:id="830"/>
      <w:bookmarkStart w:id="831" w:name="_Hlt520274407"/>
      <w:bookmarkEnd w:id="831"/>
      <w:bookmarkStart w:id="832" w:name="_Hlt520350918"/>
      <w:bookmarkEnd w:id="832"/>
      <w:bookmarkStart w:id="833" w:name="_Hlt520273711"/>
      <w:bookmarkEnd w:id="833"/>
      <w:bookmarkStart w:id="834" w:name="_Hlt520355504"/>
      <w:bookmarkEnd w:id="834"/>
      <w:bookmarkStart w:id="835" w:name="_Ref467988698"/>
      <w:bookmarkStart w:id="836" w:name="_Toc480942349"/>
      <w:bookmarkStart w:id="837" w:name="_Toc226965829"/>
      <w:bookmarkStart w:id="838" w:name="_Toc226309800"/>
      <w:bookmarkStart w:id="839" w:name="_Toc142311058"/>
      <w:bookmarkStart w:id="840" w:name="_Toc195842921"/>
      <w:bookmarkStart w:id="841" w:name="_Toc226337252"/>
      <w:bookmarkStart w:id="842" w:name="_Toc150774761"/>
      <w:bookmarkStart w:id="843" w:name="_Toc520356217"/>
      <w:bookmarkStart w:id="844" w:name="_Toc127151556"/>
      <w:bookmarkStart w:id="845" w:name="_Toc226965746"/>
      <w:bookmarkStart w:id="846" w:name="_Toc150480794"/>
      <w:r>
        <w:rPr>
          <w:rFonts w:hint="eastAsia" w:ascii="仿宋" w:hAnsi="仿宋" w:eastAsia="仿宋" w:cs="仿宋"/>
          <w:color w:val="auto"/>
          <w:sz w:val="24"/>
          <w:highlight w:val="none"/>
        </w:rPr>
        <w:t>投标</w:t>
      </w:r>
      <w:bookmarkEnd w:id="835"/>
      <w:bookmarkEnd w:id="836"/>
      <w:r>
        <w:rPr>
          <w:rFonts w:hint="eastAsia" w:ascii="仿宋" w:hAnsi="仿宋" w:eastAsia="仿宋" w:cs="仿宋"/>
          <w:color w:val="auto"/>
          <w:sz w:val="24"/>
          <w:highlight w:val="none"/>
        </w:rPr>
        <w:t>书</w:t>
      </w:r>
      <w:bookmarkEnd w:id="837"/>
      <w:bookmarkEnd w:id="838"/>
      <w:bookmarkEnd w:id="839"/>
      <w:bookmarkEnd w:id="840"/>
      <w:bookmarkEnd w:id="841"/>
      <w:bookmarkEnd w:id="842"/>
      <w:bookmarkEnd w:id="843"/>
      <w:bookmarkEnd w:id="844"/>
      <w:bookmarkEnd w:id="845"/>
      <w:bookmarkEnd w:id="846"/>
      <w:r>
        <w:rPr>
          <w:rFonts w:hint="eastAsia" w:ascii="仿宋" w:hAnsi="仿宋" w:eastAsia="仿宋" w:cs="仿宋"/>
          <w:color w:val="auto"/>
          <w:sz w:val="24"/>
          <w:szCs w:val="20"/>
          <w:highlight w:val="none"/>
        </w:rPr>
        <w:t>（实质性格式）</w:t>
      </w:r>
    </w:p>
    <w:p w14:paraId="61D48456">
      <w:pPr>
        <w:tabs>
          <w:tab w:val="left" w:pos="5580"/>
        </w:tabs>
        <w:spacing w:line="360" w:lineRule="auto"/>
        <w:rPr>
          <w:rFonts w:hint="eastAsia" w:ascii="仿宋" w:hAnsi="仿宋" w:eastAsia="仿宋" w:cs="仿宋"/>
          <w:color w:val="auto"/>
          <w:sz w:val="24"/>
          <w:highlight w:val="none"/>
        </w:rPr>
      </w:pPr>
    </w:p>
    <w:p w14:paraId="09CFFC5D">
      <w:pPr>
        <w:spacing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投标书</w:t>
      </w:r>
    </w:p>
    <w:p w14:paraId="25A70BEC">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5268D0EC">
      <w:pPr>
        <w:tabs>
          <w:tab w:val="left" w:pos="5580"/>
        </w:tabs>
        <w:spacing w:line="360" w:lineRule="auto"/>
        <w:rPr>
          <w:rFonts w:hint="eastAsia" w:ascii="仿宋" w:hAnsi="仿宋" w:eastAsia="仿宋" w:cs="仿宋"/>
          <w:color w:val="auto"/>
          <w:sz w:val="24"/>
          <w:szCs w:val="20"/>
          <w:highlight w:val="none"/>
        </w:rPr>
      </w:pPr>
    </w:p>
    <w:p w14:paraId="5EC8755B">
      <w:pPr>
        <w:tabs>
          <w:tab w:val="left" w:pos="5580"/>
        </w:tabs>
        <w:spacing w:line="360" w:lineRule="auto"/>
        <w:ind w:firstLine="408"/>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我方参加你方就</w:t>
      </w:r>
      <w:r>
        <w:rPr>
          <w:rFonts w:hint="eastAsia" w:ascii="仿宋" w:hAnsi="仿宋" w:eastAsia="仿宋" w:cs="仿宋"/>
          <w:color w:val="auto"/>
          <w:sz w:val="24"/>
          <w:szCs w:val="20"/>
          <w:highlight w:val="none"/>
          <w:u w:val="single"/>
          <w:lang w:eastAsia="zh-CN"/>
        </w:rPr>
        <w:t>2026年北京市朝阳区教育服务保障中心及其所属幼儿园保安服务项目（一标包），</w:t>
      </w:r>
      <w:r>
        <w:rPr>
          <w:rFonts w:hint="eastAsia" w:ascii="仿宋" w:hAnsi="仿宋" w:eastAsia="仿宋" w:cs="仿宋"/>
          <w:color w:val="auto"/>
          <w:sz w:val="24"/>
          <w:szCs w:val="20"/>
          <w:highlight w:val="none"/>
          <w:u w:val="single"/>
          <w:lang w:val="en-US" w:eastAsia="zh-CN"/>
        </w:rPr>
        <w:t>11010525210200026591-XM001</w:t>
      </w:r>
      <w:r>
        <w:rPr>
          <w:rFonts w:hint="eastAsia" w:ascii="仿宋" w:hAnsi="仿宋" w:eastAsia="仿宋" w:cs="仿宋"/>
          <w:color w:val="auto"/>
          <w:sz w:val="24"/>
          <w:szCs w:val="20"/>
          <w:highlight w:val="none"/>
        </w:rPr>
        <w:t>组织的招标活动，并对此项目进行投标。</w:t>
      </w:r>
    </w:p>
    <w:p w14:paraId="3431207E">
      <w:pPr>
        <w:tabs>
          <w:tab w:val="left" w:pos="5580"/>
        </w:tabs>
        <w:spacing w:line="360" w:lineRule="auto"/>
        <w:ind w:firstLine="408"/>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 我方</w:t>
      </w:r>
      <w:r>
        <w:rPr>
          <w:rFonts w:hint="eastAsia" w:ascii="仿宋" w:hAnsi="仿宋" w:eastAsia="仿宋" w:cs="仿宋"/>
          <w:color w:val="auto"/>
          <w:sz w:val="24"/>
          <w:highlight w:val="none"/>
        </w:rPr>
        <w:t>已详细审查全部招标文件</w:t>
      </w:r>
      <w:r>
        <w:rPr>
          <w:rFonts w:hint="eastAsia" w:ascii="仿宋" w:hAnsi="仿宋" w:eastAsia="仿宋" w:cs="仿宋"/>
          <w:color w:val="auto"/>
          <w:sz w:val="24"/>
          <w:szCs w:val="20"/>
          <w:highlight w:val="none"/>
        </w:rPr>
        <w:t>，自愿参与投标并承诺如下：</w:t>
      </w:r>
    </w:p>
    <w:p w14:paraId="3F48C1D5">
      <w:pPr>
        <w:tabs>
          <w:tab w:val="left" w:pos="720"/>
          <w:tab w:val="left" w:pos="900"/>
        </w:tabs>
        <w:spacing w:line="360" w:lineRule="auto"/>
        <w:ind w:left="360" w:firstLine="72" w:firstLineChars="3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（1）本投标有效期为自提交投标文件的截止之日起</w:t>
      </w:r>
      <w:r>
        <w:rPr>
          <w:rFonts w:hint="eastAsia" w:ascii="仿宋" w:hAnsi="仿宋" w:eastAsia="仿宋" w:cs="仿宋"/>
          <w:color w:val="auto"/>
          <w:sz w:val="24"/>
          <w:highlight w:val="none"/>
          <w:u w:val="single"/>
          <w:lang w:val="en-US" w:eastAsia="zh-CN"/>
        </w:rPr>
        <w:t>90</w:t>
      </w:r>
      <w:r>
        <w:rPr>
          <w:rFonts w:hint="eastAsia" w:ascii="仿宋" w:hAnsi="仿宋" w:eastAsia="仿宋" w:cs="仿宋"/>
          <w:color w:val="auto"/>
          <w:sz w:val="24"/>
          <w:szCs w:val="20"/>
          <w:highlight w:val="none"/>
        </w:rPr>
        <w:t>个日历日。</w:t>
      </w:r>
    </w:p>
    <w:p w14:paraId="2EE0722C">
      <w:pPr>
        <w:tabs>
          <w:tab w:val="left" w:pos="720"/>
          <w:tab w:val="left" w:pos="900"/>
        </w:tabs>
        <w:spacing w:line="360" w:lineRule="auto"/>
        <w:ind w:left="360" w:firstLine="72" w:firstLineChars="3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（2）除合同条款及采购需求偏离表列出的偏离外，我方响应招标文件的全部要求。</w:t>
      </w:r>
    </w:p>
    <w:p w14:paraId="42A201DB">
      <w:pPr>
        <w:tabs>
          <w:tab w:val="left" w:pos="5580"/>
        </w:tabs>
        <w:spacing w:line="360" w:lineRule="auto"/>
        <w:ind w:firstLine="420" w:firstLineChars="175"/>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（3）我方已提供的全部文件资料是真实、准确的，并对此承担一切法律后果。</w:t>
      </w:r>
    </w:p>
    <w:p w14:paraId="61222C6D">
      <w:pPr>
        <w:tabs>
          <w:tab w:val="left" w:pos="5580"/>
        </w:tabs>
        <w:spacing w:line="360" w:lineRule="auto"/>
        <w:ind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rPr>
        <w:t>（4）如我方中标，我方将在法律规定的期限内与你方签订合同，按照招标文件要求提交履约保证金，并在合同约定的期限内完成合同规定的全部义务。</w:t>
      </w:r>
    </w:p>
    <w:p w14:paraId="4562AB76">
      <w:pPr>
        <w:spacing w:line="360" w:lineRule="auto"/>
        <w:ind w:left="420"/>
        <w:rPr>
          <w:rFonts w:hint="eastAsia" w:ascii="仿宋" w:hAnsi="仿宋" w:eastAsia="仿宋" w:cs="仿宋"/>
          <w:color w:val="auto"/>
          <w:sz w:val="24"/>
          <w:highlight w:val="none"/>
        </w:rPr>
      </w:pPr>
      <w:r>
        <w:rPr>
          <w:rFonts w:hint="eastAsia" w:ascii="仿宋" w:hAnsi="仿宋" w:eastAsia="仿宋" w:cs="仿宋"/>
          <w:color w:val="auto"/>
          <w:sz w:val="24"/>
          <w:highlight w:val="none"/>
        </w:rPr>
        <w:t>2. 其他补充条款（如有）：</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highlight w:val="none"/>
        </w:rPr>
        <w:t>。</w:t>
      </w:r>
    </w:p>
    <w:p w14:paraId="4303BAFC">
      <w:pPr>
        <w:pStyle w:val="20"/>
        <w:ind w:left="0" w:leftChars="0" w:firstLine="0" w:firstLineChars="0"/>
        <w:rPr>
          <w:rFonts w:hint="eastAsia" w:ascii="仿宋" w:hAnsi="仿宋" w:eastAsia="仿宋" w:cs="仿宋"/>
          <w:color w:val="auto"/>
          <w:highlight w:val="none"/>
        </w:rPr>
      </w:pPr>
    </w:p>
    <w:p w14:paraId="1AA5395E">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地址</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传真</w:t>
      </w:r>
      <w:r>
        <w:rPr>
          <w:rFonts w:hint="eastAsia" w:ascii="仿宋" w:hAnsi="仿宋" w:eastAsia="仿宋" w:cs="仿宋"/>
          <w:color w:val="auto"/>
          <w:sz w:val="24"/>
          <w:szCs w:val="20"/>
          <w:highlight w:val="none"/>
          <w:u w:val="single"/>
        </w:rPr>
        <w:t xml:space="preserve">                            </w:t>
      </w:r>
    </w:p>
    <w:p w14:paraId="7E26515C">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电话</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电子函件</w:t>
      </w:r>
      <w:r>
        <w:rPr>
          <w:rFonts w:hint="eastAsia" w:ascii="仿宋" w:hAnsi="仿宋" w:eastAsia="仿宋" w:cs="仿宋"/>
          <w:color w:val="auto"/>
          <w:sz w:val="24"/>
          <w:szCs w:val="20"/>
          <w:highlight w:val="none"/>
          <w:u w:val="single"/>
        </w:rPr>
        <w:t xml:space="preserve">                        </w:t>
      </w:r>
    </w:p>
    <w:p w14:paraId="76281AD0">
      <w:pPr>
        <w:tabs>
          <w:tab w:val="left" w:pos="5580"/>
        </w:tabs>
        <w:spacing w:line="360" w:lineRule="auto"/>
        <w:ind w:left="420"/>
        <w:rPr>
          <w:rFonts w:hint="eastAsia" w:ascii="仿宋" w:hAnsi="仿宋" w:eastAsia="仿宋" w:cs="仿宋"/>
          <w:color w:val="auto"/>
          <w:sz w:val="24"/>
          <w:szCs w:val="20"/>
          <w:highlight w:val="none"/>
        </w:rPr>
      </w:pPr>
    </w:p>
    <w:p w14:paraId="6D8069A3">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投标人名称（加盖公章） ___________</w:t>
      </w:r>
    </w:p>
    <w:p w14:paraId="03874399">
      <w:pPr>
        <w:tabs>
          <w:tab w:val="left" w:pos="5580"/>
        </w:tabs>
        <w:spacing w:line="360" w:lineRule="auto"/>
        <w:ind w:left="420"/>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____________</w:t>
      </w:r>
    </w:p>
    <w:p w14:paraId="5BA7A344">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3ED4C47D">
      <w:pPr>
        <w:tabs>
          <w:tab w:val="left" w:pos="5580"/>
        </w:tabs>
        <w:spacing w:line="360" w:lineRule="auto"/>
        <w:ind w:left="420"/>
        <w:rPr>
          <w:rFonts w:hint="eastAsia" w:ascii="仿宋" w:hAnsi="仿宋" w:eastAsia="仿宋" w:cs="仿宋"/>
          <w:color w:val="auto"/>
          <w:sz w:val="24"/>
          <w:szCs w:val="20"/>
          <w:highlight w:val="none"/>
          <w:u w:val="single"/>
        </w:rPr>
      </w:pPr>
    </w:p>
    <w:p w14:paraId="6DC7876F">
      <w:pPr>
        <w:widowControl/>
        <w:jc w:val="left"/>
        <w:rPr>
          <w:rFonts w:hint="eastAsia" w:ascii="仿宋" w:hAnsi="仿宋" w:eastAsia="仿宋" w:cs="仿宋"/>
          <w:color w:val="auto"/>
          <w:sz w:val="24"/>
          <w:highlight w:val="none"/>
        </w:rPr>
      </w:pPr>
      <w:bookmarkStart w:id="847" w:name="_Hlt520355938"/>
      <w:bookmarkEnd w:id="847"/>
      <w:bookmarkStart w:id="848" w:name="_Hlt520356243"/>
      <w:bookmarkEnd w:id="848"/>
      <w:bookmarkStart w:id="849" w:name="_Toc520356218"/>
      <w:bookmarkStart w:id="850" w:name="_Toc480942350"/>
      <w:bookmarkStart w:id="851" w:name="_Toc226337253"/>
      <w:bookmarkStart w:id="852" w:name="_Toc142311059"/>
      <w:bookmarkStart w:id="853" w:name="_Toc305158825"/>
      <w:bookmarkStart w:id="854" w:name="_Toc226309801"/>
      <w:bookmarkStart w:id="855" w:name="_Toc265228395"/>
      <w:bookmarkStart w:id="856" w:name="_Toc264969247"/>
      <w:bookmarkStart w:id="857" w:name="_Toc226965747"/>
      <w:bookmarkStart w:id="858" w:name="_Toc150480795"/>
      <w:bookmarkStart w:id="859" w:name="_Toc195842922"/>
      <w:bookmarkStart w:id="860" w:name="_Toc305158899"/>
      <w:bookmarkStart w:id="861" w:name="_Toc150774762"/>
      <w:bookmarkStart w:id="862" w:name="_Toc226965830"/>
      <w:bookmarkStart w:id="863" w:name="_Ref467988705"/>
      <w:bookmarkStart w:id="864" w:name="_Toc127151557"/>
      <w:r>
        <w:rPr>
          <w:rFonts w:hint="eastAsia" w:ascii="仿宋" w:hAnsi="仿宋" w:eastAsia="仿宋" w:cs="仿宋"/>
          <w:color w:val="auto"/>
          <w:sz w:val="24"/>
          <w:highlight w:val="none"/>
        </w:rPr>
        <w:br w:type="page"/>
      </w:r>
    </w:p>
    <w:p w14:paraId="0BA503A5">
      <w:pPr>
        <w:numPr>
          <w:ilvl w:val="0"/>
          <w:numId w:val="15"/>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授权委托书（实质性格式）</w:t>
      </w:r>
    </w:p>
    <w:p w14:paraId="0F0D08CD">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授权委托书</w:t>
      </w:r>
    </w:p>
    <w:p w14:paraId="6A65E44A">
      <w:pPr>
        <w:spacing w:line="360" w:lineRule="auto"/>
        <w:ind w:firstLine="420"/>
        <w:rPr>
          <w:rFonts w:hint="eastAsia" w:ascii="仿宋" w:hAnsi="仿宋" w:eastAsia="仿宋" w:cs="仿宋"/>
          <w:color w:val="auto"/>
          <w:sz w:val="24"/>
          <w:szCs w:val="20"/>
          <w:highlight w:val="none"/>
        </w:rPr>
      </w:pPr>
    </w:p>
    <w:p w14:paraId="0C4FAFCA">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本人</w:t>
      </w:r>
      <w:r>
        <w:rPr>
          <w:rFonts w:hint="eastAsia" w:ascii="仿宋" w:hAnsi="仿宋" w:eastAsia="仿宋" w:cs="仿宋"/>
          <w:color w:val="auto"/>
          <w:sz w:val="24"/>
          <w:highlight w:val="none"/>
          <w:lang w:val="zh-CN"/>
        </w:rPr>
        <w:t>_______</w:t>
      </w:r>
      <w:r>
        <w:rPr>
          <w:rFonts w:hint="eastAsia" w:ascii="仿宋" w:hAnsi="仿宋" w:eastAsia="仿宋" w:cs="仿宋"/>
          <w:color w:val="auto"/>
          <w:sz w:val="24"/>
          <w:szCs w:val="20"/>
          <w:highlight w:val="none"/>
        </w:rPr>
        <w:t>（姓名）系</w:t>
      </w:r>
      <w:r>
        <w:rPr>
          <w:rFonts w:hint="eastAsia" w:ascii="仿宋" w:hAnsi="仿宋" w:eastAsia="仿宋" w:cs="仿宋"/>
          <w:color w:val="auto"/>
          <w:sz w:val="24"/>
          <w:highlight w:val="none"/>
          <w:lang w:val="zh-CN"/>
        </w:rPr>
        <w:t>________________</w:t>
      </w:r>
      <w:r>
        <w:rPr>
          <w:rFonts w:hint="eastAsia" w:ascii="仿宋" w:hAnsi="仿宋" w:eastAsia="仿宋" w:cs="仿宋"/>
          <w:color w:val="auto"/>
          <w:sz w:val="24"/>
          <w:szCs w:val="20"/>
          <w:highlight w:val="none"/>
        </w:rPr>
        <w:t>（投标人名称）的法定代表人（单位负责人），现委托</w:t>
      </w:r>
      <w:r>
        <w:rPr>
          <w:rFonts w:hint="eastAsia" w:ascii="仿宋" w:hAnsi="仿宋" w:eastAsia="仿宋" w:cs="仿宋"/>
          <w:color w:val="auto"/>
          <w:sz w:val="24"/>
          <w:highlight w:val="none"/>
          <w:lang w:val="zh-CN"/>
        </w:rPr>
        <w:t>_______</w:t>
      </w:r>
      <w:r>
        <w:rPr>
          <w:rFonts w:hint="eastAsia" w:ascii="仿宋" w:hAnsi="仿宋" w:eastAsia="仿宋" w:cs="仿宋"/>
          <w:color w:val="auto"/>
          <w:sz w:val="24"/>
          <w:szCs w:val="20"/>
          <w:highlight w:val="none"/>
        </w:rPr>
        <w:t>（姓名）为我方代理人。代理人根据授权，以我方名义签署、澄清确认、提交、撤回、修改</w:t>
      </w:r>
      <w:r>
        <w:rPr>
          <w:rFonts w:hint="eastAsia" w:ascii="仿宋" w:hAnsi="仿宋" w:eastAsia="仿宋" w:cs="仿宋"/>
          <w:color w:val="auto"/>
          <w:sz w:val="24"/>
          <w:highlight w:val="none"/>
          <w:u w:val="single"/>
          <w:lang w:val="zh-CN"/>
        </w:rPr>
        <w:t>2026年北京市朝阳区教育服务保障中心及其所属幼儿园保安服务项目（一标包）</w:t>
      </w:r>
      <w:r>
        <w:rPr>
          <w:rFonts w:hint="eastAsia" w:ascii="仿宋" w:hAnsi="仿宋" w:eastAsia="仿宋" w:cs="仿宋"/>
          <w:color w:val="auto"/>
          <w:sz w:val="24"/>
          <w:szCs w:val="20"/>
          <w:highlight w:val="none"/>
        </w:rPr>
        <w:t>投标文件和处理有关事宜，其法律后果由我方承担。</w:t>
      </w:r>
    </w:p>
    <w:p w14:paraId="47FFB376">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委托期限：自本授权委托书签署之日起至投标有效期届满之日止。</w:t>
      </w:r>
    </w:p>
    <w:p w14:paraId="01690496">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代理人无转委托权。</w:t>
      </w:r>
      <w:r>
        <w:rPr>
          <w:rFonts w:hint="eastAsia" w:ascii="仿宋" w:hAnsi="仿宋" w:eastAsia="仿宋" w:cs="仿宋"/>
          <w:color w:val="auto"/>
          <w:sz w:val="24"/>
          <w:szCs w:val="20"/>
          <w:highlight w:val="none"/>
        </w:rPr>
        <w:cr/>
      </w:r>
    </w:p>
    <w:p w14:paraId="43E2A966">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39706635">
      <w:pPr>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________________</w:t>
      </w:r>
    </w:p>
    <w:p w14:paraId="15EFCBF7">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zh-CN"/>
        </w:rPr>
        <w:t>________________</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 xml:space="preserve">                      </w:t>
      </w:r>
    </w:p>
    <w:p w14:paraId="06385C21">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2ECDD087">
      <w:pPr>
        <w:tabs>
          <w:tab w:val="left" w:pos="5580"/>
        </w:tabs>
        <w:spacing w:line="360" w:lineRule="auto"/>
        <w:ind w:firstLine="480" w:firstLineChars="200"/>
        <w:rPr>
          <w:rFonts w:hint="eastAsia" w:ascii="仿宋" w:hAnsi="仿宋" w:eastAsia="仿宋" w:cs="仿宋"/>
          <w:color w:val="auto"/>
          <w:sz w:val="24"/>
          <w:szCs w:val="20"/>
          <w:highlight w:val="none"/>
        </w:rPr>
      </w:pPr>
    </w:p>
    <w:p w14:paraId="16AB1D58">
      <w:pPr>
        <w:tabs>
          <w:tab w:val="left" w:pos="5580"/>
        </w:tabs>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附：法定代表人（单位负责人）及委托代理人身份证明文件电子件：</w:t>
      </w:r>
    </w:p>
    <w:p w14:paraId="75352783">
      <w:pPr>
        <w:tabs>
          <w:tab w:val="left" w:pos="5580"/>
        </w:tabs>
        <w:spacing w:line="360" w:lineRule="auto"/>
        <w:jc w:val="left"/>
        <w:rPr>
          <w:rFonts w:hint="eastAsia" w:ascii="仿宋" w:hAnsi="仿宋" w:eastAsia="仿宋" w:cs="仿宋"/>
          <w:color w:val="auto"/>
          <w:sz w:val="24"/>
          <w:szCs w:val="20"/>
          <w:highlight w:val="none"/>
        </w:rPr>
      </w:pPr>
    </w:p>
    <w:p w14:paraId="083333F3">
      <w:pPr>
        <w:tabs>
          <w:tab w:val="left" w:pos="5580"/>
        </w:tabs>
        <w:spacing w:line="360" w:lineRule="auto"/>
        <w:jc w:val="left"/>
        <w:rPr>
          <w:rFonts w:hint="eastAsia" w:ascii="仿宋" w:hAnsi="仿宋" w:eastAsia="仿宋" w:cs="仿宋"/>
          <w:color w:val="auto"/>
          <w:sz w:val="24"/>
          <w:szCs w:val="20"/>
          <w:highlight w:val="none"/>
        </w:rPr>
      </w:pPr>
    </w:p>
    <w:p w14:paraId="7B875F94">
      <w:pPr>
        <w:tabs>
          <w:tab w:val="left" w:pos="5580"/>
        </w:tabs>
        <w:spacing w:line="360" w:lineRule="auto"/>
        <w:jc w:val="left"/>
        <w:rPr>
          <w:rFonts w:hint="eastAsia" w:ascii="仿宋" w:hAnsi="仿宋" w:eastAsia="仿宋" w:cs="仿宋"/>
          <w:color w:val="auto"/>
          <w:sz w:val="24"/>
          <w:szCs w:val="20"/>
          <w:highlight w:val="none"/>
        </w:rPr>
      </w:pPr>
    </w:p>
    <w:p w14:paraId="46666E27">
      <w:pPr>
        <w:tabs>
          <w:tab w:val="left" w:pos="5580"/>
        </w:tabs>
        <w:spacing w:line="360" w:lineRule="auto"/>
        <w:jc w:val="left"/>
        <w:rPr>
          <w:rFonts w:hint="eastAsia" w:ascii="仿宋" w:hAnsi="仿宋" w:eastAsia="仿宋" w:cs="仿宋"/>
          <w:color w:val="auto"/>
          <w:sz w:val="24"/>
          <w:szCs w:val="20"/>
          <w:highlight w:val="none"/>
        </w:rPr>
      </w:pPr>
    </w:p>
    <w:p w14:paraId="4C62F0DA">
      <w:pPr>
        <w:tabs>
          <w:tab w:val="left" w:pos="5580"/>
        </w:tabs>
        <w:spacing w:line="360" w:lineRule="auto"/>
        <w:jc w:val="left"/>
        <w:rPr>
          <w:rFonts w:hint="eastAsia" w:ascii="仿宋" w:hAnsi="仿宋" w:eastAsia="仿宋" w:cs="仿宋"/>
          <w:color w:val="auto"/>
          <w:sz w:val="24"/>
          <w:szCs w:val="20"/>
          <w:highlight w:val="none"/>
        </w:rPr>
      </w:pPr>
    </w:p>
    <w:p w14:paraId="1AD12802">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说明：</w:t>
      </w:r>
    </w:p>
    <w:p w14:paraId="0F1E791F">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1.若供应商为事业单位或其他组织或分支机构，则法定代表人（单位负责人）处的签署人可为单位负责人。</w:t>
      </w:r>
    </w:p>
    <w:p w14:paraId="3A66B681">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若投标文件中签字之处均为法定代表人（单位负责人）本人签署，则可不提供本《授权委托书》，但须提供《法定代表人（单位负责人）身份证明》；否则，不需要提供《法定代表人（单位负责人）身份证明》。</w:t>
      </w:r>
    </w:p>
    <w:p w14:paraId="317DE531">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3.供应商为自然人的情形，可不提供本《授权委托书》。</w:t>
      </w:r>
    </w:p>
    <w:p w14:paraId="721DB78B">
      <w:pPr>
        <w:tabs>
          <w:tab w:val="left" w:pos="5580"/>
        </w:tabs>
        <w:spacing w:line="36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24"/>
          <w:szCs w:val="20"/>
          <w:highlight w:val="none"/>
        </w:rPr>
        <w:t>4.供应商应随本《授权委托书》同时提供法定代表人（单位负责人）及委托代理人的有效的身份证或护照等身份证明文件电子件。提供身份证的，应同时提供身份证</w:t>
      </w:r>
      <w:r>
        <w:rPr>
          <w:rFonts w:hint="eastAsia" w:ascii="仿宋" w:hAnsi="仿宋" w:eastAsia="仿宋" w:cs="仿宋"/>
          <w:b/>
          <w:color w:val="auto"/>
          <w:sz w:val="24"/>
          <w:szCs w:val="20"/>
          <w:highlight w:val="none"/>
        </w:rPr>
        <w:t>双面</w:t>
      </w:r>
      <w:r>
        <w:rPr>
          <w:rFonts w:hint="eastAsia" w:ascii="仿宋" w:hAnsi="仿宋" w:eastAsia="仿宋" w:cs="仿宋"/>
          <w:color w:val="auto"/>
          <w:sz w:val="24"/>
          <w:szCs w:val="20"/>
          <w:highlight w:val="none"/>
        </w:rPr>
        <w:t>电子件。</w:t>
      </w:r>
      <w:r>
        <w:rPr>
          <w:rFonts w:hint="eastAsia" w:ascii="仿宋" w:hAnsi="仿宋" w:eastAsia="仿宋" w:cs="仿宋"/>
          <w:color w:val="auto"/>
          <w:sz w:val="30"/>
          <w:szCs w:val="30"/>
          <w:highlight w:val="none"/>
        </w:rPr>
        <w:br w:type="page"/>
      </w:r>
    </w:p>
    <w:p w14:paraId="5733C019">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法定代表人（单位负责人）身份证明</w:t>
      </w:r>
    </w:p>
    <w:p w14:paraId="33F59E2B">
      <w:pPr>
        <w:kinsoku w:val="0"/>
        <w:overflowPunct w:val="0"/>
        <w:spacing w:line="200" w:lineRule="exact"/>
        <w:rPr>
          <w:rFonts w:hint="eastAsia" w:ascii="仿宋" w:hAnsi="仿宋" w:eastAsia="仿宋" w:cs="仿宋"/>
          <w:color w:val="auto"/>
          <w:sz w:val="20"/>
          <w:szCs w:val="20"/>
          <w:highlight w:val="none"/>
        </w:rPr>
      </w:pPr>
    </w:p>
    <w:p w14:paraId="5AB28E00">
      <w:pPr>
        <w:tabs>
          <w:tab w:val="left" w:pos="5580"/>
        </w:tabs>
        <w:spacing w:line="360" w:lineRule="auto"/>
        <w:rPr>
          <w:rFonts w:hint="eastAsia" w:ascii="仿宋" w:hAnsi="仿宋" w:eastAsia="仿宋" w:cs="仿宋"/>
          <w:color w:val="auto"/>
          <w:sz w:val="24"/>
          <w:highlight w:val="none"/>
        </w:rPr>
      </w:pPr>
    </w:p>
    <w:p w14:paraId="3335EEF3">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1B2A755F">
      <w:pPr>
        <w:pStyle w:val="19"/>
        <w:tabs>
          <w:tab w:val="left" w:pos="2412"/>
          <w:tab w:val="left" w:pos="3883"/>
          <w:tab w:val="left" w:pos="5352"/>
          <w:tab w:val="left" w:pos="6821"/>
        </w:tabs>
        <w:kinsoku w:val="0"/>
        <w:overflowPunct w:val="0"/>
        <w:spacing w:line="335"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兹证明，</w:t>
      </w:r>
    </w:p>
    <w:p w14:paraId="659ECF81">
      <w:pPr>
        <w:pStyle w:val="19"/>
        <w:tabs>
          <w:tab w:val="left" w:pos="1690"/>
          <w:tab w:val="left" w:pos="3400"/>
          <w:tab w:val="left" w:pos="5110"/>
          <w:tab w:val="left" w:pos="6821"/>
        </w:tabs>
        <w:kinsoku w:val="0"/>
        <w:overflowPunct w:val="0"/>
        <w:spacing w:line="335" w:lineRule="exact"/>
        <w:rPr>
          <w:rFonts w:hint="eastAsia" w:ascii="仿宋" w:hAnsi="仿宋" w:eastAsia="仿宋" w:cs="仿宋"/>
          <w:color w:val="auto"/>
          <w:highlight w:val="none"/>
        </w:rPr>
      </w:pPr>
      <w:r>
        <w:rPr>
          <w:rFonts w:hint="eastAsia" w:ascii="仿宋" w:hAnsi="仿宋" w:eastAsia="仿宋" w:cs="仿宋"/>
          <w:color w:val="auto"/>
          <w:highlight w:val="none"/>
        </w:rPr>
        <w:t>姓名：____性别：____年龄：____职务：____</w:t>
      </w:r>
    </w:p>
    <w:p w14:paraId="01558322">
      <w:pPr>
        <w:pStyle w:val="19"/>
        <w:tabs>
          <w:tab w:val="left" w:pos="2412"/>
          <w:tab w:val="left" w:pos="3883"/>
          <w:tab w:val="left" w:pos="5352"/>
          <w:tab w:val="left" w:pos="6821"/>
        </w:tabs>
        <w:kinsoku w:val="0"/>
        <w:overflowPunct w:val="0"/>
        <w:spacing w:line="335" w:lineRule="exact"/>
        <w:rPr>
          <w:rFonts w:hint="eastAsia" w:ascii="仿宋" w:hAnsi="仿宋" w:eastAsia="仿宋" w:cs="仿宋"/>
          <w:color w:val="auto"/>
          <w:highlight w:val="none"/>
        </w:rPr>
      </w:pPr>
    </w:p>
    <w:p w14:paraId="06427335">
      <w:pPr>
        <w:pStyle w:val="19"/>
        <w:tabs>
          <w:tab w:val="left" w:pos="2250"/>
          <w:tab w:val="left" w:pos="2412"/>
          <w:tab w:val="left" w:pos="3883"/>
          <w:tab w:val="left" w:pos="5352"/>
          <w:tab w:val="left" w:pos="6821"/>
          <w:tab w:val="clear" w:pos="567"/>
        </w:tabs>
        <w:kinsoku w:val="0"/>
        <w:overflowPunct w:val="0"/>
        <w:spacing w:line="335" w:lineRule="exact"/>
        <w:rPr>
          <w:rFonts w:hint="eastAsia" w:ascii="仿宋" w:hAnsi="仿宋" w:eastAsia="仿宋" w:cs="仿宋"/>
          <w:color w:val="auto"/>
          <w:highlight w:val="none"/>
        </w:rPr>
      </w:pPr>
      <w:r>
        <w:rPr>
          <w:rFonts w:hint="eastAsia" w:ascii="仿宋" w:hAnsi="仿宋" w:eastAsia="仿宋" w:cs="仿宋"/>
          <w:color w:val="auto"/>
          <w:highlight w:val="none"/>
        </w:rPr>
        <w:t>系</w:t>
      </w:r>
      <w:r>
        <w:rPr>
          <w:rFonts w:hint="eastAsia" w:ascii="仿宋" w:hAnsi="仿宋" w:eastAsia="仿宋" w:cs="仿宋"/>
          <w:color w:val="auto"/>
          <w:highlight w:val="none"/>
          <w:u w:val="single"/>
        </w:rPr>
        <w:tab/>
      </w:r>
      <w:r>
        <w:rPr>
          <w:rFonts w:hint="eastAsia" w:ascii="仿宋" w:hAnsi="仿宋" w:eastAsia="仿宋" w:cs="仿宋"/>
          <w:color w:val="auto"/>
          <w:highlight w:val="none"/>
        </w:rPr>
        <w:t>（投标人名称）的法定代表人（单位负责人）。</w:t>
      </w:r>
    </w:p>
    <w:p w14:paraId="72A76EBD">
      <w:pPr>
        <w:pStyle w:val="19"/>
        <w:tabs>
          <w:tab w:val="left" w:pos="2412"/>
          <w:tab w:val="left" w:pos="3883"/>
          <w:tab w:val="left" w:pos="5352"/>
          <w:tab w:val="left" w:pos="6821"/>
        </w:tabs>
        <w:kinsoku w:val="0"/>
        <w:overflowPunct w:val="0"/>
        <w:spacing w:line="335" w:lineRule="exact"/>
        <w:rPr>
          <w:rFonts w:hint="eastAsia" w:ascii="仿宋" w:hAnsi="仿宋" w:eastAsia="仿宋" w:cs="仿宋"/>
          <w:color w:val="auto"/>
          <w:highlight w:val="none"/>
        </w:rPr>
      </w:pPr>
    </w:p>
    <w:p w14:paraId="6F098484">
      <w:pPr>
        <w:pStyle w:val="19"/>
        <w:kinsoku w:val="0"/>
        <w:overflowPunct w:val="0"/>
        <w:spacing w:line="583" w:lineRule="auto"/>
        <w:ind w:right="-46"/>
        <w:rPr>
          <w:rFonts w:hint="eastAsia" w:ascii="仿宋" w:hAnsi="仿宋" w:eastAsia="仿宋" w:cs="仿宋"/>
          <w:color w:val="auto"/>
          <w:szCs w:val="20"/>
          <w:highlight w:val="none"/>
        </w:rPr>
      </w:pPr>
      <w:r>
        <w:rPr>
          <w:rFonts w:hint="eastAsia" w:ascii="仿宋" w:hAnsi="仿宋" w:eastAsia="仿宋" w:cs="仿宋"/>
          <w:color w:val="auto"/>
          <w:szCs w:val="20"/>
          <w:highlight w:val="none"/>
        </w:rPr>
        <w:t>附：法定代表人（单位负责人）身份证或护照等身份证明文件电子件：</w:t>
      </w:r>
    </w:p>
    <w:p w14:paraId="6E95818C">
      <w:pPr>
        <w:pStyle w:val="19"/>
        <w:kinsoku w:val="0"/>
        <w:overflowPunct w:val="0"/>
        <w:spacing w:line="583" w:lineRule="auto"/>
        <w:ind w:right="4305"/>
        <w:rPr>
          <w:rFonts w:hint="eastAsia" w:ascii="仿宋" w:hAnsi="仿宋" w:eastAsia="仿宋" w:cs="仿宋"/>
          <w:color w:val="auto"/>
          <w:spacing w:val="-3"/>
          <w:highlight w:val="none"/>
        </w:rPr>
      </w:pPr>
    </w:p>
    <w:p w14:paraId="7AC3BD3D">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57468304">
      <w:pPr>
        <w:pStyle w:val="19"/>
        <w:kinsoku w:val="0"/>
        <w:overflowPunct w:val="0"/>
        <w:spacing w:line="583" w:lineRule="auto"/>
        <w:ind w:right="95"/>
        <w:rPr>
          <w:rFonts w:hint="eastAsia" w:ascii="仿宋" w:hAnsi="仿宋" w:eastAsia="仿宋" w:cs="仿宋"/>
          <w:color w:val="auto"/>
          <w:spacing w:val="-3"/>
          <w:highlight w:val="none"/>
        </w:rPr>
      </w:pPr>
      <w:r>
        <w:rPr>
          <w:rFonts w:hint="eastAsia" w:ascii="仿宋" w:hAnsi="仿宋" w:eastAsia="仿宋" w:cs="仿宋"/>
          <w:color w:val="auto"/>
          <w:spacing w:val="-3"/>
          <w:highlight w:val="none"/>
        </w:rPr>
        <w:t>法定代表人（</w:t>
      </w:r>
      <w:r>
        <w:rPr>
          <w:rFonts w:hint="eastAsia" w:ascii="仿宋" w:hAnsi="仿宋" w:eastAsia="仿宋" w:cs="仿宋"/>
          <w:color w:val="auto"/>
          <w:highlight w:val="none"/>
        </w:rPr>
        <w:t>单位负责人</w:t>
      </w:r>
      <w:r>
        <w:rPr>
          <w:rFonts w:hint="eastAsia" w:ascii="仿宋" w:hAnsi="仿宋" w:eastAsia="仿宋" w:cs="仿宋"/>
          <w:color w:val="auto"/>
          <w:spacing w:val="-3"/>
          <w:highlight w:val="none"/>
        </w:rPr>
        <w:t>）（</w:t>
      </w:r>
      <w:r>
        <w:rPr>
          <w:rFonts w:hint="eastAsia" w:ascii="仿宋" w:hAnsi="仿宋" w:eastAsia="仿宋" w:cs="仿宋"/>
          <w:color w:val="auto"/>
          <w:highlight w:val="none"/>
          <w:lang w:eastAsia="zh-CN"/>
        </w:rPr>
        <w:t>签字或签章或印鉴</w:t>
      </w:r>
      <w:r>
        <w:rPr>
          <w:rFonts w:hint="eastAsia" w:ascii="仿宋" w:hAnsi="仿宋" w:eastAsia="仿宋" w:cs="仿宋"/>
          <w:color w:val="auto"/>
          <w:spacing w:val="-3"/>
          <w:highlight w:val="none"/>
        </w:rPr>
        <w:t>）：_______</w:t>
      </w:r>
    </w:p>
    <w:p w14:paraId="4D996B79">
      <w:pPr>
        <w:autoSpaceDE w:val="0"/>
        <w:autoSpaceDN w:val="0"/>
        <w:adjustRightInd w:val="0"/>
        <w:snapToGrid w:val="0"/>
        <w:spacing w:line="360" w:lineRule="auto"/>
        <w:rPr>
          <w:rFonts w:hint="eastAsia" w:ascii="仿宋" w:hAnsi="仿宋" w:eastAsia="仿宋" w:cs="仿宋"/>
          <w:color w:val="auto"/>
          <w:sz w:val="24"/>
          <w:highlight w:val="none"/>
        </w:rPr>
      </w:pPr>
    </w:p>
    <w:p w14:paraId="7F4AD768">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2F4C27E9">
      <w:pPr>
        <w:widowControl/>
        <w:jc w:val="left"/>
        <w:rPr>
          <w:rFonts w:hint="eastAsia" w:ascii="仿宋" w:hAnsi="仿宋" w:eastAsia="仿宋" w:cs="仿宋"/>
          <w:i/>
          <w:color w:val="auto"/>
          <w:sz w:val="24"/>
          <w:szCs w:val="20"/>
          <w:highlight w:val="none"/>
          <w:u w:val="single"/>
        </w:rPr>
      </w:pPr>
    </w:p>
    <w:p w14:paraId="193A0F7B">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p>
    <w:p w14:paraId="23961E25">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开标一览表</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Pr>
          <w:rFonts w:hint="eastAsia" w:ascii="仿宋" w:hAnsi="仿宋" w:eastAsia="仿宋" w:cs="仿宋"/>
          <w:color w:val="auto"/>
          <w:sz w:val="24"/>
          <w:szCs w:val="20"/>
          <w:highlight w:val="none"/>
        </w:rPr>
        <w:t>（实质性格式）</w:t>
      </w:r>
    </w:p>
    <w:p w14:paraId="0103995A">
      <w:pPr>
        <w:spacing w:line="240" w:lineRule="auto"/>
        <w:jc w:val="center"/>
        <w:rPr>
          <w:rFonts w:hint="eastAsia" w:ascii="仿宋" w:hAnsi="仿宋" w:eastAsia="仿宋" w:cs="仿宋"/>
          <w:b/>
          <w:color w:val="auto"/>
          <w:sz w:val="36"/>
          <w:szCs w:val="36"/>
          <w:highlight w:val="none"/>
        </w:rPr>
      </w:pPr>
      <w:bookmarkStart w:id="865" w:name="_Toc164608827"/>
      <w:bookmarkStart w:id="866" w:name="_Toc164608672"/>
      <w:bookmarkStart w:id="867" w:name="_Toc195842923"/>
      <w:bookmarkStart w:id="868" w:name="_Toc226965831"/>
      <w:bookmarkStart w:id="869" w:name="_Toc264969248"/>
      <w:bookmarkStart w:id="870" w:name="_Toc305158900"/>
      <w:bookmarkStart w:id="871" w:name="_Toc226309802"/>
      <w:bookmarkStart w:id="872" w:name="_Toc226965748"/>
      <w:bookmarkStart w:id="873" w:name="_Toc305158826"/>
      <w:bookmarkStart w:id="874" w:name="_Toc265228396"/>
      <w:bookmarkStart w:id="875" w:name="_Toc226337254"/>
      <w:r>
        <w:rPr>
          <w:rFonts w:hint="eastAsia" w:ascii="仿宋" w:hAnsi="仿宋" w:eastAsia="仿宋" w:cs="仿宋"/>
          <w:b/>
          <w:color w:val="auto"/>
          <w:sz w:val="36"/>
          <w:szCs w:val="36"/>
          <w:highlight w:val="none"/>
        </w:rPr>
        <w:t>开标一览表</w:t>
      </w:r>
      <w:bookmarkEnd w:id="865"/>
      <w:bookmarkEnd w:id="866"/>
      <w:bookmarkEnd w:id="867"/>
      <w:bookmarkEnd w:id="868"/>
      <w:bookmarkEnd w:id="869"/>
      <w:bookmarkEnd w:id="870"/>
      <w:bookmarkEnd w:id="871"/>
      <w:bookmarkEnd w:id="872"/>
      <w:bookmarkEnd w:id="873"/>
      <w:bookmarkEnd w:id="874"/>
      <w:bookmarkEnd w:id="875"/>
    </w:p>
    <w:p w14:paraId="2C2602DF">
      <w:pPr>
        <w:tabs>
          <w:tab w:val="left" w:pos="1800"/>
          <w:tab w:val="left" w:pos="5580"/>
        </w:tabs>
        <w:spacing w:line="360" w:lineRule="auto"/>
        <w:jc w:val="left"/>
        <w:rPr>
          <w:rFonts w:hint="eastAsia" w:ascii="仿宋" w:hAnsi="仿宋" w:eastAsia="仿宋" w:cs="仿宋"/>
          <w:i/>
          <w:color w:val="auto"/>
          <w:sz w:val="24"/>
          <w:highlight w:val="none"/>
        </w:rPr>
      </w:pPr>
    </w:p>
    <w:p w14:paraId="4153F243">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1BDCF6B7">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2026年北京市朝阳区教育服务保障中心及其所属幼儿园保安服务项目（一标包）</w:t>
      </w:r>
    </w:p>
    <w:tbl>
      <w:tblPr>
        <w:tblStyle w:val="45"/>
        <w:tblW w:w="5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62"/>
        <w:gridCol w:w="2172"/>
        <w:gridCol w:w="3109"/>
        <w:gridCol w:w="2597"/>
        <w:gridCol w:w="1195"/>
      </w:tblGrid>
      <w:tr w14:paraId="329F9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387" w:type="pct"/>
            <w:vAlign w:val="center"/>
          </w:tcPr>
          <w:p w14:paraId="22DF9961">
            <w:pPr>
              <w:tabs>
                <w:tab w:val="left" w:pos="5580"/>
              </w:tabs>
              <w:jc w:val="center"/>
              <w:rPr>
                <w:rFonts w:hint="default"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标包号</w:t>
            </w:r>
          </w:p>
        </w:tc>
        <w:tc>
          <w:tcPr>
            <w:tcW w:w="1104" w:type="pct"/>
            <w:vAlign w:val="center"/>
          </w:tcPr>
          <w:p w14:paraId="4A739068">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投标人名称</w:t>
            </w:r>
          </w:p>
        </w:tc>
        <w:tc>
          <w:tcPr>
            <w:tcW w:w="1580" w:type="pct"/>
            <w:vAlign w:val="center"/>
          </w:tcPr>
          <w:p w14:paraId="4CADA96D">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投标报价（人民币元）</w:t>
            </w:r>
          </w:p>
        </w:tc>
        <w:tc>
          <w:tcPr>
            <w:tcW w:w="1320" w:type="pct"/>
            <w:vAlign w:val="center"/>
          </w:tcPr>
          <w:p w14:paraId="2564BFC6">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合同履行期限</w:t>
            </w:r>
          </w:p>
        </w:tc>
        <w:tc>
          <w:tcPr>
            <w:tcW w:w="607" w:type="pct"/>
            <w:vAlign w:val="center"/>
          </w:tcPr>
          <w:p w14:paraId="521B5728">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其他声明</w:t>
            </w:r>
          </w:p>
        </w:tc>
      </w:tr>
      <w:tr w14:paraId="2A8BE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387" w:type="pct"/>
            <w:vAlign w:val="center"/>
          </w:tcPr>
          <w:p w14:paraId="64A29B40">
            <w:pPr>
              <w:tabs>
                <w:tab w:val="left" w:pos="5580"/>
              </w:tabs>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一标包</w:t>
            </w:r>
          </w:p>
        </w:tc>
        <w:tc>
          <w:tcPr>
            <w:tcW w:w="1104" w:type="pct"/>
            <w:vAlign w:val="center"/>
          </w:tcPr>
          <w:p w14:paraId="70F6CC7F">
            <w:pPr>
              <w:tabs>
                <w:tab w:val="left" w:pos="5580"/>
              </w:tabs>
              <w:jc w:val="center"/>
              <w:rPr>
                <w:rFonts w:hint="eastAsia" w:ascii="仿宋" w:hAnsi="仿宋" w:eastAsia="仿宋" w:cs="仿宋"/>
                <w:color w:val="auto"/>
                <w:sz w:val="24"/>
                <w:highlight w:val="none"/>
              </w:rPr>
            </w:pPr>
          </w:p>
        </w:tc>
        <w:tc>
          <w:tcPr>
            <w:tcW w:w="1580" w:type="pct"/>
            <w:vAlign w:val="center"/>
          </w:tcPr>
          <w:p w14:paraId="179E2C4E">
            <w:pPr>
              <w:tabs>
                <w:tab w:val="left" w:pos="5580"/>
              </w:tabs>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大写：        </w:t>
            </w:r>
          </w:p>
          <w:p w14:paraId="02C51A27">
            <w:pPr>
              <w:tabs>
                <w:tab w:val="left" w:pos="5580"/>
              </w:tabs>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小写： </w:t>
            </w:r>
          </w:p>
        </w:tc>
        <w:tc>
          <w:tcPr>
            <w:tcW w:w="1320" w:type="pct"/>
            <w:vAlign w:val="center"/>
          </w:tcPr>
          <w:p w14:paraId="78DAB11B">
            <w:pPr>
              <w:tabs>
                <w:tab w:val="left" w:pos="5580"/>
              </w:tabs>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一年，计划于2026年01月01日起至2026年12月31日止，最终以合同约定时间为准。</w:t>
            </w:r>
          </w:p>
        </w:tc>
        <w:tc>
          <w:tcPr>
            <w:tcW w:w="607" w:type="pct"/>
            <w:vAlign w:val="center"/>
          </w:tcPr>
          <w:p w14:paraId="6E2AD5BB">
            <w:pPr>
              <w:tabs>
                <w:tab w:val="left" w:pos="5580"/>
              </w:tabs>
              <w:jc w:val="center"/>
              <w:rPr>
                <w:rFonts w:hint="eastAsia" w:ascii="仿宋" w:hAnsi="仿宋" w:eastAsia="仿宋" w:cs="仿宋"/>
                <w:color w:val="auto"/>
                <w:sz w:val="24"/>
                <w:highlight w:val="none"/>
              </w:rPr>
            </w:pPr>
          </w:p>
        </w:tc>
      </w:tr>
    </w:tbl>
    <w:p w14:paraId="52401AD1">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color w:val="auto"/>
          <w:kern w:val="0"/>
          <w:sz w:val="24"/>
          <w:highlight w:val="none"/>
        </w:rPr>
      </w:pPr>
    </w:p>
    <w:p w14:paraId="13462CCD">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注：</w:t>
      </w:r>
    </w:p>
    <w:p w14:paraId="3312FF7F">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b/>
          <w:bCs/>
          <w:color w:val="auto"/>
          <w:sz w:val="24"/>
          <w:szCs w:val="20"/>
          <w:highlight w:val="none"/>
        </w:rPr>
      </w:pPr>
      <w:r>
        <w:rPr>
          <w:rFonts w:hint="eastAsia" w:ascii="仿宋" w:hAnsi="仿宋" w:eastAsia="仿宋" w:cs="仿宋"/>
          <w:b/>
          <w:bCs/>
          <w:color w:val="auto"/>
          <w:kern w:val="0"/>
          <w:sz w:val="24"/>
          <w:highlight w:val="none"/>
        </w:rPr>
        <w:t>1</w:t>
      </w:r>
      <w:r>
        <w:rPr>
          <w:rFonts w:hint="eastAsia" w:ascii="仿宋" w:hAnsi="仿宋" w:eastAsia="仿宋" w:cs="仿宋"/>
          <w:b/>
          <w:bCs/>
          <w:color w:val="auto"/>
          <w:sz w:val="24"/>
          <w:szCs w:val="20"/>
          <w:highlight w:val="none"/>
        </w:rPr>
        <w:t>.此表中，每包的投标报价应和《投标分项报价表》中的总价相一致。</w:t>
      </w:r>
    </w:p>
    <w:p w14:paraId="7F709366">
      <w:pPr>
        <w:keepNext w:val="0"/>
        <w:keepLines w:val="0"/>
        <w:pageBreakBefore w:val="0"/>
        <w:widowControl w:val="0"/>
        <w:tabs>
          <w:tab w:val="left" w:pos="5580"/>
        </w:tabs>
        <w:kinsoku/>
        <w:wordWrap/>
        <w:overflowPunct/>
        <w:topLinePunct w:val="0"/>
        <w:bidi w:val="0"/>
        <w:snapToGrid/>
        <w:spacing w:line="360" w:lineRule="auto"/>
        <w:textAlignment w:val="auto"/>
        <w:rPr>
          <w:rFonts w:hint="eastAsia" w:ascii="仿宋" w:hAnsi="仿宋" w:eastAsia="仿宋" w:cs="仿宋"/>
          <w:b/>
          <w:bCs/>
          <w:color w:val="auto"/>
          <w:sz w:val="24"/>
          <w:szCs w:val="20"/>
          <w:highlight w:val="none"/>
        </w:rPr>
      </w:pPr>
      <w:r>
        <w:rPr>
          <w:rFonts w:hint="eastAsia" w:ascii="仿宋" w:hAnsi="仿宋" w:eastAsia="仿宋" w:cs="仿宋"/>
          <w:b/>
          <w:bCs/>
          <w:color w:val="auto"/>
          <w:sz w:val="24"/>
          <w:szCs w:val="20"/>
          <w:highlight w:val="none"/>
        </w:rPr>
        <w:t>2.本表必须按包分别填写。</w:t>
      </w:r>
    </w:p>
    <w:p w14:paraId="017F8D4B">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p>
    <w:p w14:paraId="160B9DC2">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2568B89A">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545F5A0D">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7382F0A3">
      <w:pPr>
        <w:widowControl/>
        <w:jc w:val="left"/>
        <w:rPr>
          <w:rFonts w:hint="eastAsia" w:ascii="仿宋" w:hAnsi="仿宋" w:eastAsia="仿宋" w:cs="仿宋"/>
          <w:color w:val="auto"/>
          <w:sz w:val="24"/>
          <w:szCs w:val="20"/>
          <w:highlight w:val="none"/>
        </w:rPr>
      </w:pPr>
      <w:bookmarkStart w:id="876" w:name="_Toc226965749"/>
      <w:bookmarkStart w:id="877" w:name="_Toc265228397"/>
      <w:bookmarkStart w:id="878" w:name="_Toc142311060"/>
      <w:bookmarkStart w:id="879" w:name="_Toc150480796"/>
      <w:bookmarkStart w:id="880" w:name="_Toc226309803"/>
      <w:bookmarkStart w:id="881" w:name="_Toc226965832"/>
      <w:bookmarkStart w:id="882" w:name="_Toc226337255"/>
      <w:bookmarkStart w:id="883" w:name="_Toc127151558"/>
      <w:bookmarkStart w:id="884" w:name="_Toc264969249"/>
      <w:bookmarkStart w:id="885" w:name="_Toc150774763"/>
      <w:bookmarkStart w:id="886" w:name="_Toc305158827"/>
      <w:bookmarkStart w:id="887" w:name="_Toc195842924"/>
      <w:bookmarkStart w:id="888" w:name="_Toc305158901"/>
    </w:p>
    <w:p w14:paraId="1FDECBD0">
      <w:pPr>
        <w:widowControl/>
        <w:jc w:val="left"/>
        <w:rPr>
          <w:rFonts w:hint="eastAsia" w:ascii="仿宋" w:hAnsi="仿宋" w:eastAsia="仿宋" w:cs="仿宋"/>
          <w:color w:val="auto"/>
          <w:sz w:val="24"/>
          <w:szCs w:val="20"/>
          <w:highlight w:val="none"/>
        </w:rPr>
      </w:pPr>
    </w:p>
    <w:p w14:paraId="4931397E">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sectPr>
          <w:headerReference r:id="rId18" w:type="first"/>
          <w:footerReference r:id="rId20" w:type="first"/>
          <w:headerReference r:id="rId17" w:type="even"/>
          <w:footerReference r:id="rId19" w:type="even"/>
          <w:pgSz w:w="11907" w:h="16840"/>
          <w:pgMar w:top="1440" w:right="1080" w:bottom="1440" w:left="1080" w:header="851" w:footer="851" w:gutter="0"/>
          <w:pgNumType w:fmt="decimal"/>
          <w:cols w:space="720" w:num="1"/>
          <w:docGrid w:linePitch="462" w:charSpace="0"/>
        </w:sectPr>
      </w:pPr>
    </w:p>
    <w:p w14:paraId="5749B734">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投标分项报价表</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767A06E8">
      <w:pPr>
        <w:spacing w:line="360" w:lineRule="exact"/>
        <w:jc w:val="center"/>
        <w:rPr>
          <w:rFonts w:hint="eastAsia" w:ascii="仿宋" w:hAnsi="仿宋" w:eastAsia="仿宋" w:cs="仿宋"/>
          <w:color w:val="auto"/>
          <w:sz w:val="36"/>
          <w:szCs w:val="36"/>
          <w:highlight w:val="none"/>
        </w:rPr>
      </w:pPr>
    </w:p>
    <w:p w14:paraId="269144E7">
      <w:pPr>
        <w:spacing w:line="36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投标分项报价表</w:t>
      </w:r>
    </w:p>
    <w:p w14:paraId="341E6778">
      <w:pPr>
        <w:spacing w:line="260" w:lineRule="exact"/>
        <w:jc w:val="center"/>
        <w:rPr>
          <w:rFonts w:hint="eastAsia" w:ascii="仿宋" w:hAnsi="仿宋" w:eastAsia="仿宋" w:cs="仿宋"/>
          <w:color w:val="auto"/>
          <w:sz w:val="36"/>
          <w:szCs w:val="36"/>
          <w:highlight w:val="none"/>
        </w:rPr>
      </w:pPr>
    </w:p>
    <w:p w14:paraId="0C48DC3F">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5BCF27DD">
      <w:pPr>
        <w:tabs>
          <w:tab w:val="left" w:pos="1800"/>
          <w:tab w:val="left" w:pos="5580"/>
        </w:tabs>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2026年北京市朝阳区教育服务保障中心及其所属幼儿园保安服务项目（一标包）</w:t>
      </w:r>
    </w:p>
    <w:p w14:paraId="6DA9BD6B">
      <w:pPr>
        <w:tabs>
          <w:tab w:val="left" w:pos="1800"/>
          <w:tab w:val="left" w:pos="5580"/>
        </w:tabs>
        <w:rPr>
          <w:rFonts w:hint="eastAsia" w:ascii="仿宋" w:hAnsi="仿宋" w:eastAsia="仿宋" w:cs="仿宋"/>
          <w:color w:val="auto"/>
          <w:sz w:val="24"/>
          <w:highlight w:val="none"/>
          <w:u w:val="single"/>
        </w:rPr>
      </w:pPr>
    </w:p>
    <w:p w14:paraId="178FBDAE">
      <w:pPr>
        <w:tabs>
          <w:tab w:val="left" w:pos="1800"/>
          <w:tab w:val="left" w:pos="5580"/>
        </w:tabs>
        <w:rPr>
          <w:rFonts w:hint="eastAsia" w:ascii="仿宋" w:hAnsi="仿宋" w:eastAsia="仿宋" w:cs="仿宋"/>
          <w:color w:val="auto"/>
          <w:sz w:val="24"/>
          <w:highlight w:val="none"/>
        </w:rPr>
      </w:pPr>
      <w:r>
        <w:rPr>
          <w:rFonts w:hint="eastAsia" w:ascii="仿宋" w:hAnsi="仿宋" w:eastAsia="仿宋" w:cs="仿宋"/>
          <w:color w:val="auto"/>
          <w:sz w:val="24"/>
          <w:highlight w:val="none"/>
        </w:rPr>
        <w:t>报价单位：人民币元</w:t>
      </w:r>
    </w:p>
    <w:tbl>
      <w:tblPr>
        <w:tblStyle w:val="4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783"/>
        <w:gridCol w:w="1431"/>
        <w:gridCol w:w="1214"/>
        <w:gridCol w:w="1553"/>
        <w:gridCol w:w="3036"/>
      </w:tblGrid>
      <w:tr w14:paraId="76269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29" w:type="pct"/>
            <w:vAlign w:val="center"/>
          </w:tcPr>
          <w:p w14:paraId="034814D5">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904" w:type="pct"/>
            <w:vAlign w:val="center"/>
          </w:tcPr>
          <w:p w14:paraId="276EB993">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分项名称</w:t>
            </w:r>
          </w:p>
        </w:tc>
        <w:tc>
          <w:tcPr>
            <w:tcW w:w="727" w:type="pct"/>
            <w:vAlign w:val="center"/>
          </w:tcPr>
          <w:p w14:paraId="254B0FD0">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单价（元）</w:t>
            </w:r>
          </w:p>
        </w:tc>
        <w:tc>
          <w:tcPr>
            <w:tcW w:w="615" w:type="pct"/>
            <w:vAlign w:val="center"/>
          </w:tcPr>
          <w:p w14:paraId="41AA332C">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数量</w:t>
            </w:r>
          </w:p>
        </w:tc>
        <w:tc>
          <w:tcPr>
            <w:tcW w:w="788" w:type="pct"/>
            <w:vAlign w:val="center"/>
          </w:tcPr>
          <w:p w14:paraId="7A407D5E">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合价（元）</w:t>
            </w:r>
          </w:p>
        </w:tc>
        <w:tc>
          <w:tcPr>
            <w:tcW w:w="1533" w:type="pct"/>
            <w:vAlign w:val="center"/>
          </w:tcPr>
          <w:p w14:paraId="3573C107">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备注/说明</w:t>
            </w:r>
          </w:p>
        </w:tc>
      </w:tr>
      <w:tr w14:paraId="371D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429" w:type="pct"/>
            <w:vAlign w:val="center"/>
          </w:tcPr>
          <w:p w14:paraId="39A11083">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904" w:type="pct"/>
            <w:vAlign w:val="center"/>
          </w:tcPr>
          <w:p w14:paraId="4DCA751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人工费用</w:t>
            </w:r>
          </w:p>
        </w:tc>
        <w:tc>
          <w:tcPr>
            <w:tcW w:w="727" w:type="pct"/>
            <w:vAlign w:val="center"/>
          </w:tcPr>
          <w:p w14:paraId="0B20C229">
            <w:pPr>
              <w:adjustRightInd w:val="0"/>
              <w:snapToGrid w:val="0"/>
              <w:jc w:val="center"/>
              <w:rPr>
                <w:rFonts w:hint="eastAsia" w:ascii="仿宋" w:hAnsi="仿宋" w:eastAsia="仿宋" w:cs="仿宋"/>
                <w:color w:val="auto"/>
                <w:sz w:val="24"/>
                <w:highlight w:val="none"/>
              </w:rPr>
            </w:pPr>
          </w:p>
        </w:tc>
        <w:tc>
          <w:tcPr>
            <w:tcW w:w="615" w:type="pct"/>
            <w:vAlign w:val="center"/>
          </w:tcPr>
          <w:p w14:paraId="22C5FA33">
            <w:pPr>
              <w:adjustRightInd w:val="0"/>
              <w:snapToGrid w:val="0"/>
              <w:jc w:val="center"/>
              <w:rPr>
                <w:rFonts w:hint="default" w:ascii="仿宋" w:hAnsi="仿宋" w:eastAsia="仿宋" w:cs="仿宋"/>
                <w:color w:val="auto"/>
                <w:sz w:val="24"/>
                <w:highlight w:val="none"/>
                <w:lang w:val="en-US" w:eastAsia="zh-CN"/>
              </w:rPr>
            </w:pPr>
          </w:p>
        </w:tc>
        <w:tc>
          <w:tcPr>
            <w:tcW w:w="788" w:type="pct"/>
            <w:vAlign w:val="center"/>
          </w:tcPr>
          <w:p w14:paraId="2AB0D5C3">
            <w:pPr>
              <w:adjustRightInd w:val="0"/>
              <w:snapToGrid w:val="0"/>
              <w:jc w:val="center"/>
              <w:rPr>
                <w:rFonts w:hint="eastAsia" w:ascii="仿宋" w:hAnsi="仿宋" w:eastAsia="仿宋" w:cs="仿宋"/>
                <w:color w:val="auto"/>
                <w:sz w:val="24"/>
                <w:highlight w:val="none"/>
              </w:rPr>
            </w:pPr>
          </w:p>
        </w:tc>
        <w:tc>
          <w:tcPr>
            <w:tcW w:w="1533" w:type="pct"/>
            <w:vAlign w:val="center"/>
          </w:tcPr>
          <w:p w14:paraId="0E4B077E">
            <w:pPr>
              <w:adjustRightInd w:val="0"/>
              <w:snapToGrid w:val="0"/>
              <w:jc w:val="center"/>
              <w:rPr>
                <w:rFonts w:hint="eastAsia" w:ascii="仿宋" w:hAnsi="仿宋" w:eastAsia="仿宋" w:cs="仿宋"/>
                <w:color w:val="auto"/>
                <w:sz w:val="24"/>
                <w:highlight w:val="none"/>
              </w:rPr>
            </w:pPr>
          </w:p>
        </w:tc>
      </w:tr>
      <w:tr w14:paraId="004A8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29" w:type="pct"/>
            <w:vAlign w:val="center"/>
          </w:tcPr>
          <w:p w14:paraId="10D9E360">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904" w:type="pct"/>
            <w:vAlign w:val="center"/>
          </w:tcPr>
          <w:p w14:paraId="20B557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727" w:type="pct"/>
            <w:vAlign w:val="center"/>
          </w:tcPr>
          <w:p w14:paraId="08FDA2A2">
            <w:pPr>
              <w:adjustRightInd w:val="0"/>
              <w:snapToGrid w:val="0"/>
              <w:jc w:val="center"/>
              <w:rPr>
                <w:rFonts w:hint="eastAsia" w:ascii="仿宋" w:hAnsi="仿宋" w:eastAsia="仿宋" w:cs="仿宋"/>
                <w:color w:val="auto"/>
                <w:sz w:val="24"/>
                <w:highlight w:val="none"/>
              </w:rPr>
            </w:pPr>
          </w:p>
        </w:tc>
        <w:tc>
          <w:tcPr>
            <w:tcW w:w="615" w:type="pct"/>
            <w:vAlign w:val="center"/>
          </w:tcPr>
          <w:p w14:paraId="3EEBF6E6">
            <w:pPr>
              <w:adjustRightInd w:val="0"/>
              <w:snapToGrid w:val="0"/>
              <w:jc w:val="center"/>
              <w:rPr>
                <w:rFonts w:hint="eastAsia" w:ascii="仿宋" w:hAnsi="仿宋" w:eastAsia="仿宋" w:cs="仿宋"/>
                <w:color w:val="auto"/>
                <w:sz w:val="24"/>
                <w:highlight w:val="none"/>
              </w:rPr>
            </w:pPr>
          </w:p>
        </w:tc>
        <w:tc>
          <w:tcPr>
            <w:tcW w:w="788" w:type="pct"/>
            <w:vAlign w:val="center"/>
          </w:tcPr>
          <w:p w14:paraId="7DB610FA">
            <w:pPr>
              <w:adjustRightInd w:val="0"/>
              <w:snapToGrid w:val="0"/>
              <w:jc w:val="center"/>
              <w:rPr>
                <w:rFonts w:hint="eastAsia" w:ascii="仿宋" w:hAnsi="仿宋" w:eastAsia="仿宋" w:cs="仿宋"/>
                <w:color w:val="auto"/>
                <w:sz w:val="24"/>
                <w:highlight w:val="none"/>
              </w:rPr>
            </w:pPr>
          </w:p>
        </w:tc>
        <w:tc>
          <w:tcPr>
            <w:tcW w:w="1533" w:type="pct"/>
            <w:vAlign w:val="center"/>
          </w:tcPr>
          <w:p w14:paraId="6B51E813">
            <w:pPr>
              <w:adjustRightInd w:val="0"/>
              <w:snapToGrid w:val="0"/>
              <w:jc w:val="center"/>
              <w:rPr>
                <w:rFonts w:hint="eastAsia" w:ascii="仿宋" w:hAnsi="仿宋" w:eastAsia="仿宋" w:cs="仿宋"/>
                <w:color w:val="auto"/>
                <w:sz w:val="24"/>
                <w:highlight w:val="none"/>
              </w:rPr>
            </w:pPr>
          </w:p>
        </w:tc>
      </w:tr>
      <w:tr w14:paraId="387A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29" w:type="pct"/>
            <w:vAlign w:val="center"/>
          </w:tcPr>
          <w:p w14:paraId="2A63E37B">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904" w:type="pct"/>
            <w:vAlign w:val="center"/>
          </w:tcPr>
          <w:p w14:paraId="28EBA8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727" w:type="pct"/>
            <w:vAlign w:val="center"/>
          </w:tcPr>
          <w:p w14:paraId="006DA601">
            <w:pPr>
              <w:adjustRightInd w:val="0"/>
              <w:snapToGrid w:val="0"/>
              <w:jc w:val="center"/>
              <w:rPr>
                <w:rFonts w:hint="eastAsia" w:ascii="仿宋" w:hAnsi="仿宋" w:eastAsia="仿宋" w:cs="仿宋"/>
                <w:color w:val="auto"/>
                <w:sz w:val="24"/>
                <w:highlight w:val="none"/>
              </w:rPr>
            </w:pPr>
          </w:p>
        </w:tc>
        <w:tc>
          <w:tcPr>
            <w:tcW w:w="615" w:type="pct"/>
            <w:vAlign w:val="center"/>
          </w:tcPr>
          <w:p w14:paraId="4985FD60">
            <w:pPr>
              <w:adjustRightInd w:val="0"/>
              <w:snapToGrid w:val="0"/>
              <w:jc w:val="center"/>
              <w:rPr>
                <w:rFonts w:hint="eastAsia" w:ascii="仿宋" w:hAnsi="仿宋" w:eastAsia="仿宋" w:cs="仿宋"/>
                <w:color w:val="auto"/>
                <w:sz w:val="24"/>
                <w:highlight w:val="none"/>
              </w:rPr>
            </w:pPr>
          </w:p>
        </w:tc>
        <w:tc>
          <w:tcPr>
            <w:tcW w:w="788" w:type="pct"/>
            <w:vAlign w:val="center"/>
          </w:tcPr>
          <w:p w14:paraId="007DB930">
            <w:pPr>
              <w:adjustRightInd w:val="0"/>
              <w:snapToGrid w:val="0"/>
              <w:jc w:val="center"/>
              <w:rPr>
                <w:rFonts w:hint="eastAsia" w:ascii="仿宋" w:hAnsi="仿宋" w:eastAsia="仿宋" w:cs="仿宋"/>
                <w:color w:val="auto"/>
                <w:sz w:val="24"/>
                <w:highlight w:val="none"/>
              </w:rPr>
            </w:pPr>
          </w:p>
        </w:tc>
        <w:tc>
          <w:tcPr>
            <w:tcW w:w="1533" w:type="pct"/>
            <w:vAlign w:val="center"/>
          </w:tcPr>
          <w:p w14:paraId="0B6BB51D">
            <w:pPr>
              <w:adjustRightInd w:val="0"/>
              <w:snapToGrid w:val="0"/>
              <w:jc w:val="center"/>
              <w:rPr>
                <w:rFonts w:hint="eastAsia" w:ascii="仿宋" w:hAnsi="仿宋" w:eastAsia="仿宋" w:cs="仿宋"/>
                <w:color w:val="auto"/>
                <w:sz w:val="24"/>
                <w:highlight w:val="none"/>
              </w:rPr>
            </w:pPr>
          </w:p>
        </w:tc>
      </w:tr>
      <w:tr w14:paraId="70822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29" w:type="pct"/>
            <w:vAlign w:val="center"/>
          </w:tcPr>
          <w:p w14:paraId="72D15462">
            <w:pPr>
              <w:adjustRightInd w:val="0"/>
              <w:snapToGrid w:val="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tc>
        <w:tc>
          <w:tcPr>
            <w:tcW w:w="904" w:type="pct"/>
            <w:vAlign w:val="center"/>
          </w:tcPr>
          <w:p w14:paraId="2F2D698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727" w:type="pct"/>
            <w:vAlign w:val="center"/>
          </w:tcPr>
          <w:p w14:paraId="05F03CAF">
            <w:pPr>
              <w:adjustRightInd w:val="0"/>
              <w:snapToGrid w:val="0"/>
              <w:jc w:val="center"/>
              <w:rPr>
                <w:rFonts w:hint="eastAsia" w:ascii="仿宋" w:hAnsi="仿宋" w:eastAsia="仿宋" w:cs="仿宋"/>
                <w:color w:val="auto"/>
                <w:sz w:val="24"/>
                <w:highlight w:val="none"/>
              </w:rPr>
            </w:pPr>
          </w:p>
        </w:tc>
        <w:tc>
          <w:tcPr>
            <w:tcW w:w="615" w:type="pct"/>
            <w:vAlign w:val="center"/>
          </w:tcPr>
          <w:p w14:paraId="6B419A86">
            <w:pPr>
              <w:adjustRightInd w:val="0"/>
              <w:snapToGrid w:val="0"/>
              <w:jc w:val="center"/>
              <w:rPr>
                <w:rFonts w:hint="eastAsia" w:ascii="仿宋" w:hAnsi="仿宋" w:eastAsia="仿宋" w:cs="仿宋"/>
                <w:color w:val="auto"/>
                <w:sz w:val="24"/>
                <w:highlight w:val="none"/>
              </w:rPr>
            </w:pPr>
          </w:p>
        </w:tc>
        <w:tc>
          <w:tcPr>
            <w:tcW w:w="788" w:type="pct"/>
            <w:vAlign w:val="center"/>
          </w:tcPr>
          <w:p w14:paraId="504B1131">
            <w:pPr>
              <w:adjustRightInd w:val="0"/>
              <w:snapToGrid w:val="0"/>
              <w:jc w:val="center"/>
              <w:rPr>
                <w:rFonts w:hint="eastAsia" w:ascii="仿宋" w:hAnsi="仿宋" w:eastAsia="仿宋" w:cs="仿宋"/>
                <w:color w:val="auto"/>
                <w:sz w:val="24"/>
                <w:highlight w:val="none"/>
              </w:rPr>
            </w:pPr>
          </w:p>
        </w:tc>
        <w:tc>
          <w:tcPr>
            <w:tcW w:w="1533" w:type="pct"/>
            <w:vAlign w:val="center"/>
          </w:tcPr>
          <w:p w14:paraId="199FBF02">
            <w:pPr>
              <w:adjustRightInd w:val="0"/>
              <w:snapToGrid w:val="0"/>
              <w:jc w:val="center"/>
              <w:rPr>
                <w:rFonts w:hint="eastAsia" w:ascii="仿宋" w:hAnsi="仿宋" w:eastAsia="仿宋" w:cs="仿宋"/>
                <w:color w:val="auto"/>
                <w:sz w:val="24"/>
                <w:highlight w:val="none"/>
              </w:rPr>
            </w:pPr>
          </w:p>
        </w:tc>
      </w:tr>
      <w:tr w14:paraId="477AC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29" w:type="pct"/>
            <w:vAlign w:val="center"/>
          </w:tcPr>
          <w:p w14:paraId="0DA9EA96">
            <w:pPr>
              <w:adjustRightInd w:val="0"/>
              <w:snapToGrid w:val="0"/>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w:t>
            </w:r>
          </w:p>
        </w:tc>
        <w:tc>
          <w:tcPr>
            <w:tcW w:w="904" w:type="pct"/>
            <w:vAlign w:val="center"/>
          </w:tcPr>
          <w:p w14:paraId="01FFEC3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 w:val="24"/>
                <w:highlight w:val="none"/>
              </w:rPr>
            </w:pPr>
          </w:p>
        </w:tc>
        <w:tc>
          <w:tcPr>
            <w:tcW w:w="727" w:type="pct"/>
            <w:vAlign w:val="center"/>
          </w:tcPr>
          <w:p w14:paraId="42B11E68">
            <w:pPr>
              <w:adjustRightInd w:val="0"/>
              <w:snapToGrid w:val="0"/>
              <w:jc w:val="center"/>
              <w:rPr>
                <w:rFonts w:hint="eastAsia" w:ascii="仿宋" w:hAnsi="仿宋" w:eastAsia="仿宋" w:cs="仿宋"/>
                <w:color w:val="auto"/>
                <w:sz w:val="24"/>
                <w:highlight w:val="none"/>
              </w:rPr>
            </w:pPr>
          </w:p>
        </w:tc>
        <w:tc>
          <w:tcPr>
            <w:tcW w:w="615" w:type="pct"/>
            <w:vAlign w:val="center"/>
          </w:tcPr>
          <w:p w14:paraId="7E95100F">
            <w:pPr>
              <w:adjustRightInd w:val="0"/>
              <w:snapToGrid w:val="0"/>
              <w:jc w:val="center"/>
              <w:rPr>
                <w:rFonts w:hint="eastAsia" w:ascii="仿宋" w:hAnsi="仿宋" w:eastAsia="仿宋" w:cs="仿宋"/>
                <w:color w:val="auto"/>
                <w:sz w:val="24"/>
                <w:highlight w:val="none"/>
              </w:rPr>
            </w:pPr>
          </w:p>
        </w:tc>
        <w:tc>
          <w:tcPr>
            <w:tcW w:w="788" w:type="pct"/>
            <w:vAlign w:val="center"/>
          </w:tcPr>
          <w:p w14:paraId="37C57081">
            <w:pPr>
              <w:adjustRightInd w:val="0"/>
              <w:snapToGrid w:val="0"/>
              <w:jc w:val="center"/>
              <w:rPr>
                <w:rFonts w:hint="eastAsia" w:ascii="仿宋" w:hAnsi="仿宋" w:eastAsia="仿宋" w:cs="仿宋"/>
                <w:color w:val="auto"/>
                <w:sz w:val="24"/>
                <w:highlight w:val="none"/>
              </w:rPr>
            </w:pPr>
          </w:p>
        </w:tc>
        <w:tc>
          <w:tcPr>
            <w:tcW w:w="1533" w:type="pct"/>
            <w:vAlign w:val="center"/>
          </w:tcPr>
          <w:p w14:paraId="1E56D64E">
            <w:pPr>
              <w:adjustRightInd w:val="0"/>
              <w:snapToGrid w:val="0"/>
              <w:jc w:val="center"/>
              <w:rPr>
                <w:rFonts w:hint="eastAsia" w:ascii="仿宋" w:hAnsi="仿宋" w:eastAsia="仿宋" w:cs="仿宋"/>
                <w:color w:val="auto"/>
                <w:sz w:val="24"/>
                <w:highlight w:val="none"/>
              </w:rPr>
            </w:pPr>
          </w:p>
        </w:tc>
      </w:tr>
      <w:tr w14:paraId="40B65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678" w:type="pct"/>
            <w:gridSpan w:val="4"/>
            <w:vAlign w:val="center"/>
          </w:tcPr>
          <w:p w14:paraId="74A26668">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b/>
                <w:color w:val="auto"/>
                <w:sz w:val="24"/>
                <w:highlight w:val="none"/>
              </w:rPr>
              <w:t>总价（元）</w:t>
            </w:r>
          </w:p>
        </w:tc>
        <w:tc>
          <w:tcPr>
            <w:tcW w:w="788" w:type="pct"/>
            <w:vAlign w:val="center"/>
          </w:tcPr>
          <w:p w14:paraId="39F49BC9">
            <w:pPr>
              <w:adjustRightInd w:val="0"/>
              <w:snapToGrid w:val="0"/>
              <w:jc w:val="center"/>
              <w:rPr>
                <w:rFonts w:hint="eastAsia" w:ascii="仿宋" w:hAnsi="仿宋" w:eastAsia="仿宋" w:cs="仿宋"/>
                <w:color w:val="auto"/>
                <w:sz w:val="24"/>
                <w:highlight w:val="none"/>
              </w:rPr>
            </w:pPr>
          </w:p>
        </w:tc>
        <w:tc>
          <w:tcPr>
            <w:tcW w:w="1533" w:type="pct"/>
            <w:vAlign w:val="center"/>
          </w:tcPr>
          <w:p w14:paraId="30319551">
            <w:pPr>
              <w:adjustRightInd w:val="0"/>
              <w:snapToGrid w:val="0"/>
              <w:jc w:val="center"/>
              <w:rPr>
                <w:rFonts w:hint="eastAsia" w:ascii="仿宋" w:hAnsi="仿宋" w:eastAsia="仿宋" w:cs="仿宋"/>
                <w:color w:val="auto"/>
                <w:sz w:val="24"/>
                <w:highlight w:val="none"/>
              </w:rPr>
            </w:pPr>
          </w:p>
        </w:tc>
      </w:tr>
    </w:tbl>
    <w:p w14:paraId="7AC54742">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p>
    <w:p w14:paraId="74329625">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2ACE3F0D">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1.本表应按包分别填写。</w:t>
      </w:r>
    </w:p>
    <w:p w14:paraId="1EECCC79">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2.如果不提供分项报价将视为没有实质性响应招标文件。</w:t>
      </w:r>
    </w:p>
    <w:p w14:paraId="5304D514">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3.上述各项的详细规格（如有），可另页描述。</w:t>
      </w:r>
    </w:p>
    <w:p w14:paraId="4D6F3E16">
      <w:pPr>
        <w:tabs>
          <w:tab w:val="left" w:pos="1800"/>
          <w:tab w:val="left" w:pos="5580"/>
        </w:tabs>
        <w:jc w:val="left"/>
        <w:rPr>
          <w:rFonts w:hint="eastAsia" w:ascii="仿宋" w:hAnsi="仿宋" w:eastAsia="仿宋" w:cs="仿宋"/>
          <w:b/>
          <w:color w:val="auto"/>
          <w:sz w:val="24"/>
          <w:highlight w:val="none"/>
        </w:rPr>
      </w:pPr>
    </w:p>
    <w:p w14:paraId="529B2245">
      <w:pPr>
        <w:autoSpaceDE w:val="0"/>
        <w:autoSpaceDN w:val="0"/>
        <w:adjustRightInd w:val="0"/>
        <w:snapToGrid w:val="0"/>
        <w:spacing w:before="25" w:after="25" w:line="360" w:lineRule="auto"/>
        <w:rPr>
          <w:rFonts w:hint="eastAsia" w:ascii="仿宋" w:hAnsi="仿宋" w:eastAsia="仿宋" w:cs="仿宋"/>
          <w:color w:val="auto"/>
          <w:sz w:val="24"/>
          <w:highlight w:val="none"/>
        </w:rPr>
      </w:pPr>
    </w:p>
    <w:p w14:paraId="06FE1E3B">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1DA4E737">
      <w:pPr>
        <w:tabs>
          <w:tab w:val="left" w:pos="1800"/>
          <w:tab w:val="left" w:pos="5580"/>
        </w:tabs>
        <w:jc w:val="left"/>
        <w:rPr>
          <w:rFonts w:hint="eastAsia" w:ascii="仿宋" w:hAnsi="仿宋" w:eastAsia="仿宋" w:cs="仿宋"/>
          <w:b/>
          <w:i/>
          <w:color w:val="auto"/>
          <w:sz w:val="24"/>
          <w:highlight w:val="none"/>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6EAE9CB1">
      <w:pPr>
        <w:adjustRightInd w:val="0"/>
        <w:snapToGrid w:val="0"/>
        <w:spacing w:before="240" w:beforeLines="100" w:after="240" w:afterLines="100"/>
        <w:jc w:val="left"/>
        <w:rPr>
          <w:rFonts w:hint="eastAsia" w:ascii="仿宋" w:hAnsi="仿宋" w:eastAsia="仿宋" w:cs="仿宋"/>
          <w:b/>
          <w:i/>
          <w:color w:val="auto"/>
          <w:sz w:val="24"/>
          <w:highlight w:val="none"/>
        </w:rPr>
        <w:sectPr>
          <w:pgSz w:w="11907" w:h="16840"/>
          <w:pgMar w:top="1440" w:right="1083" w:bottom="1440" w:left="1083" w:header="851" w:footer="851" w:gutter="0"/>
          <w:pgNumType w:fmt="decimal"/>
          <w:cols w:space="720" w:num="1"/>
          <w:docGrid w:linePitch="462" w:charSpace="0"/>
        </w:sectPr>
      </w:pPr>
    </w:p>
    <w:p w14:paraId="18F1739A">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bookmarkStart w:id="889" w:name="_Toc150774765"/>
      <w:bookmarkStart w:id="890" w:name="_Toc195842927"/>
      <w:bookmarkStart w:id="891" w:name="_Toc305158830"/>
      <w:bookmarkStart w:id="892" w:name="_Toc150480798"/>
      <w:bookmarkStart w:id="893" w:name="_Toc226337258"/>
      <w:bookmarkStart w:id="894" w:name="_Toc226965835"/>
      <w:bookmarkStart w:id="895" w:name="_Toc264969252"/>
      <w:bookmarkStart w:id="896" w:name="_Toc265228400"/>
      <w:bookmarkStart w:id="897" w:name="_Toc305158904"/>
      <w:bookmarkStart w:id="898" w:name="_Toc142311062"/>
      <w:bookmarkStart w:id="899" w:name="_Toc226965752"/>
      <w:bookmarkStart w:id="900" w:name="_Toc226309806"/>
      <w:bookmarkStart w:id="901" w:name="_Toc127151562"/>
      <w:bookmarkStart w:id="902" w:name="_Toc305158903"/>
      <w:bookmarkStart w:id="903" w:name="_Toc150480797"/>
      <w:bookmarkStart w:id="904" w:name="_Toc142311061"/>
      <w:bookmarkStart w:id="905" w:name="_Toc226965751"/>
      <w:bookmarkStart w:id="906" w:name="_Toc195842926"/>
      <w:bookmarkStart w:id="907" w:name="_Toc264969251"/>
      <w:bookmarkStart w:id="908" w:name="_Toc150774764"/>
      <w:bookmarkStart w:id="909" w:name="_Toc305158829"/>
      <w:bookmarkStart w:id="910" w:name="_Toc265228399"/>
      <w:bookmarkStart w:id="911" w:name="_Toc127151561"/>
      <w:bookmarkStart w:id="912" w:name="_Toc226965834"/>
      <w:bookmarkStart w:id="913" w:name="_Toc226309805"/>
      <w:bookmarkStart w:id="914" w:name="_Toc226337257"/>
      <w:r>
        <w:rPr>
          <w:rFonts w:hint="eastAsia" w:ascii="仿宋" w:hAnsi="仿宋" w:eastAsia="仿宋" w:cs="仿宋"/>
          <w:color w:val="auto"/>
          <w:sz w:val="24"/>
          <w:szCs w:val="20"/>
          <w:highlight w:val="none"/>
        </w:rPr>
        <w:t>合同条款偏离表</w:t>
      </w:r>
      <w:bookmarkEnd w:id="889"/>
      <w:bookmarkEnd w:id="890"/>
      <w:bookmarkEnd w:id="891"/>
      <w:bookmarkEnd w:id="892"/>
      <w:bookmarkEnd w:id="893"/>
      <w:bookmarkEnd w:id="894"/>
      <w:bookmarkEnd w:id="895"/>
      <w:bookmarkEnd w:id="896"/>
      <w:bookmarkEnd w:id="897"/>
      <w:bookmarkEnd w:id="898"/>
      <w:bookmarkEnd w:id="899"/>
      <w:bookmarkEnd w:id="900"/>
      <w:bookmarkEnd w:id="901"/>
      <w:r>
        <w:rPr>
          <w:rFonts w:hint="eastAsia" w:ascii="仿宋" w:hAnsi="仿宋" w:eastAsia="仿宋" w:cs="仿宋"/>
          <w:color w:val="auto"/>
          <w:sz w:val="24"/>
          <w:szCs w:val="20"/>
          <w:highlight w:val="none"/>
        </w:rPr>
        <w:t>（实质性格式）</w:t>
      </w:r>
    </w:p>
    <w:p w14:paraId="23FFD224">
      <w:pPr>
        <w:spacing w:line="360" w:lineRule="auto"/>
        <w:rPr>
          <w:rFonts w:hint="eastAsia" w:ascii="仿宋" w:hAnsi="仿宋" w:eastAsia="仿宋" w:cs="仿宋"/>
          <w:color w:val="auto"/>
          <w:sz w:val="24"/>
          <w:szCs w:val="20"/>
          <w:highlight w:val="none"/>
        </w:rPr>
      </w:pPr>
    </w:p>
    <w:p w14:paraId="331C96D4">
      <w:pPr>
        <w:tabs>
          <w:tab w:val="left" w:pos="2775"/>
          <w:tab w:val="center" w:pos="4153"/>
        </w:tabs>
        <w:autoSpaceDE w:val="0"/>
        <w:autoSpaceDN w:val="0"/>
        <w:adjustRightInd w:val="0"/>
        <w:spacing w:line="360" w:lineRule="auto"/>
        <w:jc w:val="center"/>
        <w:rPr>
          <w:rFonts w:hint="eastAsia" w:ascii="仿宋" w:hAnsi="仿宋" w:eastAsia="仿宋" w:cs="仿宋"/>
          <w:b/>
          <w:color w:val="auto"/>
          <w:sz w:val="32"/>
          <w:szCs w:val="36"/>
          <w:highlight w:val="none"/>
        </w:rPr>
      </w:pPr>
      <w:r>
        <w:rPr>
          <w:rFonts w:hint="eastAsia" w:ascii="仿宋" w:hAnsi="仿宋" w:eastAsia="仿宋" w:cs="仿宋"/>
          <w:b/>
          <w:color w:val="auto"/>
          <w:sz w:val="32"/>
          <w:szCs w:val="36"/>
          <w:highlight w:val="none"/>
        </w:rPr>
        <w:t>合同条款偏离表</w:t>
      </w:r>
    </w:p>
    <w:p w14:paraId="0C42F66C">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63368A9E">
      <w:pPr>
        <w:tabs>
          <w:tab w:val="left" w:pos="1800"/>
          <w:tab w:val="left" w:pos="5580"/>
        </w:tabs>
        <w:spacing w:line="360" w:lineRule="auto"/>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2026年北京市朝阳区教育服务保障中心及其所属幼儿园保安服务项目（一标包）</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789"/>
        <w:gridCol w:w="1829"/>
        <w:gridCol w:w="1829"/>
        <w:gridCol w:w="2053"/>
        <w:gridCol w:w="1220"/>
      </w:tblGrid>
      <w:tr w14:paraId="198B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0C274311">
            <w:pPr>
              <w:adjustRightInd w:val="0"/>
              <w:snapToGrid w:val="0"/>
              <w:jc w:val="center"/>
              <w:rPr>
                <w:rFonts w:hint="eastAsia" w:ascii="仿宋" w:hAnsi="仿宋" w:eastAsia="仿宋" w:cs="仿宋"/>
                <w:color w:val="auto"/>
                <w:sz w:val="24"/>
                <w:highlight w:val="none"/>
              </w:rPr>
            </w:pPr>
            <w:bookmarkStart w:id="915" w:name="_Hlk144279231"/>
            <w:r>
              <w:rPr>
                <w:rFonts w:hint="eastAsia" w:ascii="仿宋" w:hAnsi="仿宋" w:eastAsia="仿宋" w:cs="仿宋"/>
                <w:color w:val="auto"/>
                <w:sz w:val="24"/>
                <w:highlight w:val="none"/>
              </w:rPr>
              <w:t>序号</w:t>
            </w:r>
          </w:p>
        </w:tc>
        <w:tc>
          <w:tcPr>
            <w:tcW w:w="1646" w:type="dxa"/>
            <w:vAlign w:val="center"/>
          </w:tcPr>
          <w:p w14:paraId="45F82803">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条目号</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页码</w:t>
            </w:r>
          </w:p>
        </w:tc>
        <w:tc>
          <w:tcPr>
            <w:tcW w:w="1688" w:type="dxa"/>
            <w:vAlign w:val="center"/>
          </w:tcPr>
          <w:p w14:paraId="0967CD9F">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要求</w:t>
            </w:r>
          </w:p>
        </w:tc>
        <w:tc>
          <w:tcPr>
            <w:tcW w:w="1688" w:type="dxa"/>
            <w:vAlign w:val="center"/>
          </w:tcPr>
          <w:p w14:paraId="53B53FA2">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投标文件内容</w:t>
            </w:r>
          </w:p>
        </w:tc>
        <w:tc>
          <w:tcPr>
            <w:tcW w:w="1925" w:type="dxa"/>
            <w:vAlign w:val="center"/>
          </w:tcPr>
          <w:p w14:paraId="706BDD5A">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偏离情况</w:t>
            </w:r>
          </w:p>
        </w:tc>
        <w:tc>
          <w:tcPr>
            <w:tcW w:w="1045" w:type="dxa"/>
            <w:vAlign w:val="center"/>
          </w:tcPr>
          <w:p w14:paraId="7616F568">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05A7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0" w:type="auto"/>
            <w:gridSpan w:val="6"/>
            <w:vAlign w:val="center"/>
          </w:tcPr>
          <w:p w14:paraId="47EA1448">
            <w:pPr>
              <w:adjustRightInd w:val="0"/>
              <w:snapToGrid w:val="0"/>
              <w:jc w:val="left"/>
              <w:rPr>
                <w:rFonts w:hint="eastAsia" w:ascii="仿宋" w:hAnsi="仿宋" w:eastAsia="仿宋" w:cs="仿宋"/>
                <w:bCs/>
                <w:color w:val="auto"/>
                <w:sz w:val="24"/>
                <w:highlight w:val="none"/>
              </w:rPr>
            </w:pPr>
            <w:r>
              <w:rPr>
                <w:rFonts w:hint="eastAsia" w:ascii="仿宋" w:hAnsi="仿宋" w:eastAsia="仿宋" w:cs="仿宋"/>
                <w:b/>
                <w:color w:val="auto"/>
                <w:sz w:val="24"/>
                <w:highlight w:val="none"/>
              </w:rPr>
              <w:t>对本项目合同条款的偏离情况</w:t>
            </w:r>
            <w:r>
              <w:rPr>
                <w:rFonts w:hint="eastAsia" w:ascii="仿宋" w:hAnsi="仿宋" w:eastAsia="仿宋" w:cs="仿宋"/>
                <w:bCs/>
                <w:color w:val="auto"/>
                <w:sz w:val="24"/>
                <w:highlight w:val="none"/>
              </w:rPr>
              <w:t>（应进行选择，未选择</w:t>
            </w:r>
            <w:r>
              <w:rPr>
                <w:rFonts w:hint="eastAsia" w:ascii="仿宋" w:hAnsi="仿宋" w:eastAsia="仿宋" w:cs="仿宋"/>
                <w:b/>
                <w:color w:val="auto"/>
                <w:sz w:val="24"/>
                <w:highlight w:val="none"/>
              </w:rPr>
              <w:t>投标无效</w:t>
            </w:r>
            <w:r>
              <w:rPr>
                <w:rFonts w:hint="eastAsia" w:ascii="仿宋" w:hAnsi="仿宋" w:eastAsia="仿宋" w:cs="仿宋"/>
                <w:bCs/>
                <w:color w:val="auto"/>
                <w:sz w:val="24"/>
                <w:highlight w:val="none"/>
              </w:rPr>
              <w:t>）：</w:t>
            </w:r>
          </w:p>
          <w:p w14:paraId="2B610231">
            <w:pPr>
              <w:adjustRightInd w:val="0"/>
              <w:snapToGrid w:val="0"/>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□无偏离</w:t>
            </w:r>
            <w:r>
              <w:rPr>
                <w:rFonts w:hint="eastAsia" w:ascii="仿宋" w:hAnsi="仿宋" w:eastAsia="仿宋" w:cs="仿宋"/>
                <w:color w:val="auto"/>
                <w:sz w:val="24"/>
                <w:highlight w:val="none"/>
              </w:rPr>
              <w:t>（</w:t>
            </w:r>
            <w:r>
              <w:rPr>
                <w:rFonts w:hint="eastAsia" w:ascii="仿宋" w:hAnsi="仿宋" w:eastAsia="仿宋" w:cs="仿宋"/>
                <w:color w:val="auto"/>
                <w:sz w:val="24"/>
                <w:szCs w:val="21"/>
                <w:highlight w:val="none"/>
              </w:rPr>
              <w:t>如无偏离，仅选择无偏离即可；</w:t>
            </w:r>
            <w:r>
              <w:rPr>
                <w:rFonts w:hint="eastAsia" w:ascii="仿宋" w:hAnsi="仿宋" w:eastAsia="仿宋" w:cs="仿宋"/>
                <w:bCs/>
                <w:color w:val="auto"/>
                <w:sz w:val="24"/>
                <w:highlight w:val="none"/>
              </w:rPr>
              <w:t>无偏离即为</w:t>
            </w:r>
            <w:r>
              <w:rPr>
                <w:rFonts w:hint="eastAsia" w:ascii="仿宋" w:hAnsi="仿宋" w:eastAsia="仿宋" w:cs="仿宋"/>
                <w:color w:val="auto"/>
                <w:sz w:val="24"/>
                <w:highlight w:val="none"/>
              </w:rPr>
              <w:t>对合同条款中的所有要求，均视作供应商已对之理解和响应。）</w:t>
            </w:r>
          </w:p>
          <w:p w14:paraId="7A2C95FE">
            <w:pPr>
              <w:adjustRightInd w:val="0"/>
              <w:snapToGrid w:val="0"/>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□有偏离</w:t>
            </w:r>
            <w:r>
              <w:rPr>
                <w:rFonts w:hint="eastAsia" w:ascii="仿宋" w:hAnsi="仿宋" w:eastAsia="仿宋" w:cs="仿宋"/>
                <w:color w:val="auto"/>
                <w:sz w:val="24"/>
                <w:highlight w:val="none"/>
              </w:rPr>
              <w:t>（</w:t>
            </w:r>
            <w:r>
              <w:rPr>
                <w:rFonts w:hint="eastAsia" w:ascii="仿宋" w:hAnsi="仿宋" w:eastAsia="仿宋" w:cs="仿宋"/>
                <w:color w:val="auto"/>
                <w:sz w:val="24"/>
                <w:szCs w:val="21"/>
                <w:highlight w:val="none"/>
              </w:rPr>
              <w:t>如有偏离，</w:t>
            </w:r>
            <w:r>
              <w:rPr>
                <w:rFonts w:hint="eastAsia" w:ascii="仿宋" w:hAnsi="仿宋" w:eastAsia="仿宋" w:cs="仿宋"/>
                <w:color w:val="auto"/>
                <w:sz w:val="24"/>
                <w:highlight w:val="none"/>
              </w:rPr>
              <w:t>则应在本表中对负偏离项逐一列明，否则</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；对合同条款中的所有要求，除本表列明的偏离外，均视作供应商已对之理解和响应。）</w:t>
            </w:r>
          </w:p>
        </w:tc>
      </w:tr>
      <w:tr w14:paraId="39C05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7AD2E31B">
            <w:pPr>
              <w:adjustRightInd w:val="0"/>
              <w:snapToGrid w:val="0"/>
              <w:jc w:val="center"/>
              <w:rPr>
                <w:rFonts w:hint="eastAsia" w:ascii="仿宋" w:hAnsi="仿宋" w:eastAsia="仿宋" w:cs="仿宋"/>
                <w:color w:val="auto"/>
                <w:sz w:val="24"/>
                <w:highlight w:val="none"/>
              </w:rPr>
            </w:pPr>
          </w:p>
        </w:tc>
        <w:tc>
          <w:tcPr>
            <w:tcW w:w="1646" w:type="dxa"/>
            <w:vAlign w:val="center"/>
          </w:tcPr>
          <w:p w14:paraId="09BB5167">
            <w:pPr>
              <w:adjustRightInd w:val="0"/>
              <w:snapToGrid w:val="0"/>
              <w:jc w:val="center"/>
              <w:rPr>
                <w:rFonts w:hint="eastAsia" w:ascii="仿宋" w:hAnsi="仿宋" w:eastAsia="仿宋" w:cs="仿宋"/>
                <w:color w:val="auto"/>
                <w:sz w:val="24"/>
                <w:highlight w:val="none"/>
              </w:rPr>
            </w:pPr>
          </w:p>
        </w:tc>
        <w:tc>
          <w:tcPr>
            <w:tcW w:w="1688" w:type="dxa"/>
            <w:vAlign w:val="center"/>
          </w:tcPr>
          <w:p w14:paraId="3DCD5511">
            <w:pPr>
              <w:adjustRightInd w:val="0"/>
              <w:snapToGrid w:val="0"/>
              <w:jc w:val="center"/>
              <w:rPr>
                <w:rFonts w:hint="eastAsia" w:ascii="仿宋" w:hAnsi="仿宋" w:eastAsia="仿宋" w:cs="仿宋"/>
                <w:color w:val="auto"/>
                <w:sz w:val="24"/>
                <w:highlight w:val="none"/>
              </w:rPr>
            </w:pPr>
          </w:p>
        </w:tc>
        <w:tc>
          <w:tcPr>
            <w:tcW w:w="1688" w:type="dxa"/>
            <w:vAlign w:val="center"/>
          </w:tcPr>
          <w:p w14:paraId="57BCE64C">
            <w:pPr>
              <w:adjustRightInd w:val="0"/>
              <w:snapToGrid w:val="0"/>
              <w:jc w:val="center"/>
              <w:rPr>
                <w:rFonts w:hint="eastAsia" w:ascii="仿宋" w:hAnsi="仿宋" w:eastAsia="仿宋" w:cs="仿宋"/>
                <w:color w:val="auto"/>
                <w:sz w:val="24"/>
                <w:highlight w:val="none"/>
              </w:rPr>
            </w:pPr>
          </w:p>
        </w:tc>
        <w:tc>
          <w:tcPr>
            <w:tcW w:w="1925" w:type="dxa"/>
            <w:vAlign w:val="center"/>
          </w:tcPr>
          <w:p w14:paraId="0791F89E">
            <w:pPr>
              <w:adjustRightInd w:val="0"/>
              <w:snapToGrid w:val="0"/>
              <w:jc w:val="center"/>
              <w:rPr>
                <w:rFonts w:hint="eastAsia" w:ascii="仿宋" w:hAnsi="仿宋" w:eastAsia="仿宋" w:cs="仿宋"/>
                <w:color w:val="auto"/>
                <w:sz w:val="24"/>
                <w:highlight w:val="none"/>
              </w:rPr>
            </w:pPr>
          </w:p>
        </w:tc>
        <w:tc>
          <w:tcPr>
            <w:tcW w:w="1045" w:type="dxa"/>
            <w:vAlign w:val="center"/>
          </w:tcPr>
          <w:p w14:paraId="14AD903B">
            <w:pPr>
              <w:adjustRightInd w:val="0"/>
              <w:snapToGrid w:val="0"/>
              <w:jc w:val="center"/>
              <w:rPr>
                <w:rFonts w:hint="eastAsia" w:ascii="仿宋" w:hAnsi="仿宋" w:eastAsia="仿宋" w:cs="仿宋"/>
                <w:color w:val="auto"/>
                <w:sz w:val="24"/>
                <w:highlight w:val="none"/>
              </w:rPr>
            </w:pPr>
          </w:p>
        </w:tc>
      </w:tr>
      <w:tr w14:paraId="1930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0E287DED">
            <w:pPr>
              <w:adjustRightInd w:val="0"/>
              <w:snapToGrid w:val="0"/>
              <w:jc w:val="center"/>
              <w:rPr>
                <w:rFonts w:hint="eastAsia" w:ascii="仿宋" w:hAnsi="仿宋" w:eastAsia="仿宋" w:cs="仿宋"/>
                <w:color w:val="auto"/>
                <w:sz w:val="24"/>
                <w:highlight w:val="none"/>
              </w:rPr>
            </w:pPr>
          </w:p>
        </w:tc>
        <w:tc>
          <w:tcPr>
            <w:tcW w:w="1646" w:type="dxa"/>
            <w:vAlign w:val="center"/>
          </w:tcPr>
          <w:p w14:paraId="0DDD1D03">
            <w:pPr>
              <w:adjustRightInd w:val="0"/>
              <w:snapToGrid w:val="0"/>
              <w:jc w:val="center"/>
              <w:rPr>
                <w:rFonts w:hint="eastAsia" w:ascii="仿宋" w:hAnsi="仿宋" w:eastAsia="仿宋" w:cs="仿宋"/>
                <w:color w:val="auto"/>
                <w:sz w:val="24"/>
                <w:highlight w:val="none"/>
              </w:rPr>
            </w:pPr>
          </w:p>
        </w:tc>
        <w:tc>
          <w:tcPr>
            <w:tcW w:w="1688" w:type="dxa"/>
            <w:vAlign w:val="center"/>
          </w:tcPr>
          <w:p w14:paraId="3DE18B68">
            <w:pPr>
              <w:adjustRightInd w:val="0"/>
              <w:snapToGrid w:val="0"/>
              <w:jc w:val="center"/>
              <w:rPr>
                <w:rFonts w:hint="eastAsia" w:ascii="仿宋" w:hAnsi="仿宋" w:eastAsia="仿宋" w:cs="仿宋"/>
                <w:color w:val="auto"/>
                <w:sz w:val="24"/>
                <w:highlight w:val="none"/>
              </w:rPr>
            </w:pPr>
          </w:p>
        </w:tc>
        <w:tc>
          <w:tcPr>
            <w:tcW w:w="1688" w:type="dxa"/>
            <w:vAlign w:val="center"/>
          </w:tcPr>
          <w:p w14:paraId="1BA40878">
            <w:pPr>
              <w:adjustRightInd w:val="0"/>
              <w:snapToGrid w:val="0"/>
              <w:jc w:val="center"/>
              <w:rPr>
                <w:rFonts w:hint="eastAsia" w:ascii="仿宋" w:hAnsi="仿宋" w:eastAsia="仿宋" w:cs="仿宋"/>
                <w:color w:val="auto"/>
                <w:sz w:val="24"/>
                <w:highlight w:val="none"/>
              </w:rPr>
            </w:pPr>
          </w:p>
        </w:tc>
        <w:tc>
          <w:tcPr>
            <w:tcW w:w="1925" w:type="dxa"/>
            <w:vAlign w:val="center"/>
          </w:tcPr>
          <w:p w14:paraId="510C9FD3">
            <w:pPr>
              <w:adjustRightInd w:val="0"/>
              <w:snapToGrid w:val="0"/>
              <w:jc w:val="center"/>
              <w:rPr>
                <w:rFonts w:hint="eastAsia" w:ascii="仿宋" w:hAnsi="仿宋" w:eastAsia="仿宋" w:cs="仿宋"/>
                <w:color w:val="auto"/>
                <w:sz w:val="24"/>
                <w:highlight w:val="none"/>
              </w:rPr>
            </w:pPr>
          </w:p>
        </w:tc>
        <w:tc>
          <w:tcPr>
            <w:tcW w:w="1045" w:type="dxa"/>
            <w:vAlign w:val="center"/>
          </w:tcPr>
          <w:p w14:paraId="41D8D281">
            <w:pPr>
              <w:adjustRightInd w:val="0"/>
              <w:snapToGrid w:val="0"/>
              <w:jc w:val="center"/>
              <w:rPr>
                <w:rFonts w:hint="eastAsia" w:ascii="仿宋" w:hAnsi="仿宋" w:eastAsia="仿宋" w:cs="仿宋"/>
                <w:color w:val="auto"/>
                <w:sz w:val="24"/>
                <w:highlight w:val="none"/>
              </w:rPr>
            </w:pPr>
          </w:p>
        </w:tc>
      </w:tr>
      <w:tr w14:paraId="5FC0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3B1FBC80">
            <w:pPr>
              <w:adjustRightInd w:val="0"/>
              <w:snapToGrid w:val="0"/>
              <w:jc w:val="center"/>
              <w:rPr>
                <w:rFonts w:hint="eastAsia" w:ascii="仿宋" w:hAnsi="仿宋" w:eastAsia="仿宋" w:cs="仿宋"/>
                <w:color w:val="auto"/>
                <w:sz w:val="24"/>
                <w:highlight w:val="none"/>
              </w:rPr>
            </w:pPr>
          </w:p>
        </w:tc>
        <w:tc>
          <w:tcPr>
            <w:tcW w:w="1646" w:type="dxa"/>
            <w:vAlign w:val="center"/>
          </w:tcPr>
          <w:p w14:paraId="27D6BE8E">
            <w:pPr>
              <w:adjustRightInd w:val="0"/>
              <w:snapToGrid w:val="0"/>
              <w:jc w:val="center"/>
              <w:rPr>
                <w:rFonts w:hint="eastAsia" w:ascii="仿宋" w:hAnsi="仿宋" w:eastAsia="仿宋" w:cs="仿宋"/>
                <w:color w:val="auto"/>
                <w:sz w:val="24"/>
                <w:highlight w:val="none"/>
              </w:rPr>
            </w:pPr>
          </w:p>
        </w:tc>
        <w:tc>
          <w:tcPr>
            <w:tcW w:w="1688" w:type="dxa"/>
            <w:vAlign w:val="center"/>
          </w:tcPr>
          <w:p w14:paraId="7B4071F6">
            <w:pPr>
              <w:adjustRightInd w:val="0"/>
              <w:snapToGrid w:val="0"/>
              <w:jc w:val="center"/>
              <w:rPr>
                <w:rFonts w:hint="eastAsia" w:ascii="仿宋" w:hAnsi="仿宋" w:eastAsia="仿宋" w:cs="仿宋"/>
                <w:color w:val="auto"/>
                <w:sz w:val="24"/>
                <w:highlight w:val="none"/>
              </w:rPr>
            </w:pPr>
          </w:p>
        </w:tc>
        <w:tc>
          <w:tcPr>
            <w:tcW w:w="1688" w:type="dxa"/>
            <w:vAlign w:val="center"/>
          </w:tcPr>
          <w:p w14:paraId="6E885291">
            <w:pPr>
              <w:adjustRightInd w:val="0"/>
              <w:snapToGrid w:val="0"/>
              <w:jc w:val="center"/>
              <w:rPr>
                <w:rFonts w:hint="eastAsia" w:ascii="仿宋" w:hAnsi="仿宋" w:eastAsia="仿宋" w:cs="仿宋"/>
                <w:color w:val="auto"/>
                <w:sz w:val="24"/>
                <w:highlight w:val="none"/>
              </w:rPr>
            </w:pPr>
          </w:p>
        </w:tc>
        <w:tc>
          <w:tcPr>
            <w:tcW w:w="1925" w:type="dxa"/>
            <w:vAlign w:val="center"/>
          </w:tcPr>
          <w:p w14:paraId="69ED4023">
            <w:pPr>
              <w:adjustRightInd w:val="0"/>
              <w:snapToGrid w:val="0"/>
              <w:jc w:val="center"/>
              <w:rPr>
                <w:rFonts w:hint="eastAsia" w:ascii="仿宋" w:hAnsi="仿宋" w:eastAsia="仿宋" w:cs="仿宋"/>
                <w:color w:val="auto"/>
                <w:sz w:val="24"/>
                <w:highlight w:val="none"/>
              </w:rPr>
            </w:pPr>
          </w:p>
        </w:tc>
        <w:tc>
          <w:tcPr>
            <w:tcW w:w="1045" w:type="dxa"/>
            <w:vAlign w:val="center"/>
          </w:tcPr>
          <w:p w14:paraId="5A2B6389">
            <w:pPr>
              <w:adjustRightInd w:val="0"/>
              <w:snapToGrid w:val="0"/>
              <w:jc w:val="center"/>
              <w:rPr>
                <w:rFonts w:hint="eastAsia" w:ascii="仿宋" w:hAnsi="仿宋" w:eastAsia="仿宋" w:cs="仿宋"/>
                <w:color w:val="auto"/>
                <w:sz w:val="24"/>
                <w:highlight w:val="none"/>
              </w:rPr>
            </w:pPr>
          </w:p>
        </w:tc>
      </w:tr>
      <w:tr w14:paraId="2AA7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36E8B43F">
            <w:pPr>
              <w:adjustRightInd w:val="0"/>
              <w:snapToGrid w:val="0"/>
              <w:jc w:val="center"/>
              <w:rPr>
                <w:rFonts w:hint="eastAsia" w:ascii="仿宋" w:hAnsi="仿宋" w:eastAsia="仿宋" w:cs="仿宋"/>
                <w:color w:val="auto"/>
                <w:sz w:val="24"/>
                <w:highlight w:val="none"/>
              </w:rPr>
            </w:pPr>
          </w:p>
        </w:tc>
        <w:tc>
          <w:tcPr>
            <w:tcW w:w="1646" w:type="dxa"/>
            <w:vAlign w:val="center"/>
          </w:tcPr>
          <w:p w14:paraId="36822118">
            <w:pPr>
              <w:adjustRightInd w:val="0"/>
              <w:snapToGrid w:val="0"/>
              <w:jc w:val="center"/>
              <w:rPr>
                <w:rFonts w:hint="eastAsia" w:ascii="仿宋" w:hAnsi="仿宋" w:eastAsia="仿宋" w:cs="仿宋"/>
                <w:color w:val="auto"/>
                <w:sz w:val="24"/>
                <w:highlight w:val="none"/>
              </w:rPr>
            </w:pPr>
          </w:p>
        </w:tc>
        <w:tc>
          <w:tcPr>
            <w:tcW w:w="1688" w:type="dxa"/>
            <w:vAlign w:val="center"/>
          </w:tcPr>
          <w:p w14:paraId="77CB6238">
            <w:pPr>
              <w:adjustRightInd w:val="0"/>
              <w:snapToGrid w:val="0"/>
              <w:jc w:val="center"/>
              <w:rPr>
                <w:rFonts w:hint="eastAsia" w:ascii="仿宋" w:hAnsi="仿宋" w:eastAsia="仿宋" w:cs="仿宋"/>
                <w:color w:val="auto"/>
                <w:sz w:val="24"/>
                <w:highlight w:val="none"/>
              </w:rPr>
            </w:pPr>
          </w:p>
        </w:tc>
        <w:tc>
          <w:tcPr>
            <w:tcW w:w="1688" w:type="dxa"/>
            <w:vAlign w:val="center"/>
          </w:tcPr>
          <w:p w14:paraId="4BD16C89">
            <w:pPr>
              <w:adjustRightInd w:val="0"/>
              <w:snapToGrid w:val="0"/>
              <w:jc w:val="center"/>
              <w:rPr>
                <w:rFonts w:hint="eastAsia" w:ascii="仿宋" w:hAnsi="仿宋" w:eastAsia="仿宋" w:cs="仿宋"/>
                <w:color w:val="auto"/>
                <w:sz w:val="24"/>
                <w:highlight w:val="none"/>
              </w:rPr>
            </w:pPr>
          </w:p>
        </w:tc>
        <w:tc>
          <w:tcPr>
            <w:tcW w:w="1925" w:type="dxa"/>
            <w:vAlign w:val="center"/>
          </w:tcPr>
          <w:p w14:paraId="68D0AD2F">
            <w:pPr>
              <w:adjustRightInd w:val="0"/>
              <w:snapToGrid w:val="0"/>
              <w:jc w:val="center"/>
              <w:rPr>
                <w:rFonts w:hint="eastAsia" w:ascii="仿宋" w:hAnsi="仿宋" w:eastAsia="仿宋" w:cs="仿宋"/>
                <w:color w:val="auto"/>
                <w:sz w:val="24"/>
                <w:highlight w:val="none"/>
              </w:rPr>
            </w:pPr>
          </w:p>
        </w:tc>
        <w:tc>
          <w:tcPr>
            <w:tcW w:w="1045" w:type="dxa"/>
            <w:vAlign w:val="center"/>
          </w:tcPr>
          <w:p w14:paraId="7BC56C62">
            <w:pPr>
              <w:adjustRightInd w:val="0"/>
              <w:snapToGrid w:val="0"/>
              <w:jc w:val="center"/>
              <w:rPr>
                <w:rFonts w:hint="eastAsia" w:ascii="仿宋" w:hAnsi="仿宋" w:eastAsia="仿宋" w:cs="仿宋"/>
                <w:color w:val="auto"/>
                <w:sz w:val="24"/>
                <w:highlight w:val="none"/>
              </w:rPr>
            </w:pPr>
          </w:p>
        </w:tc>
      </w:tr>
      <w:bookmarkEnd w:id="915"/>
    </w:tbl>
    <w:p w14:paraId="46455FD5">
      <w:pPr>
        <w:tabs>
          <w:tab w:val="left" w:pos="1800"/>
          <w:tab w:val="left" w:pos="5580"/>
        </w:tabs>
        <w:jc w:val="left"/>
        <w:rPr>
          <w:rFonts w:hint="eastAsia" w:ascii="仿宋" w:hAnsi="仿宋" w:eastAsia="仿宋" w:cs="仿宋"/>
          <w:color w:val="auto"/>
          <w:sz w:val="24"/>
          <w:highlight w:val="none"/>
        </w:rPr>
      </w:pPr>
    </w:p>
    <w:p w14:paraId="35FF3509">
      <w:pPr>
        <w:tabs>
          <w:tab w:val="left" w:pos="1800"/>
          <w:tab w:val="left" w:pos="5580"/>
        </w:tabs>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注：“偏离情况”列应据实填写“正偏离”或“负偏离”。</w:t>
      </w:r>
    </w:p>
    <w:p w14:paraId="1F66359D">
      <w:pPr>
        <w:spacing w:line="360" w:lineRule="auto"/>
        <w:rPr>
          <w:rFonts w:hint="eastAsia" w:ascii="仿宋" w:hAnsi="仿宋" w:eastAsia="仿宋" w:cs="仿宋"/>
          <w:color w:val="auto"/>
          <w:sz w:val="24"/>
          <w:szCs w:val="20"/>
          <w:highlight w:val="none"/>
        </w:rPr>
      </w:pPr>
    </w:p>
    <w:p w14:paraId="15603183">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64BF10CA">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 ____________</w:t>
      </w:r>
    </w:p>
    <w:p w14:paraId="44025D2D">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24732EC1">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bookmarkEnd w:id="902"/>
      <w:bookmarkEnd w:id="903"/>
      <w:bookmarkEnd w:id="904"/>
      <w:bookmarkEnd w:id="905"/>
      <w:bookmarkEnd w:id="906"/>
      <w:bookmarkEnd w:id="907"/>
      <w:bookmarkEnd w:id="908"/>
      <w:bookmarkEnd w:id="909"/>
      <w:bookmarkEnd w:id="910"/>
      <w:bookmarkEnd w:id="911"/>
      <w:bookmarkEnd w:id="912"/>
      <w:bookmarkEnd w:id="913"/>
      <w:bookmarkEnd w:id="914"/>
      <w:r>
        <w:rPr>
          <w:rFonts w:hint="eastAsia" w:ascii="仿宋" w:hAnsi="仿宋" w:eastAsia="仿宋" w:cs="仿宋"/>
          <w:color w:val="auto"/>
          <w:sz w:val="24"/>
          <w:szCs w:val="20"/>
          <w:highlight w:val="none"/>
        </w:rPr>
        <w:t>采购需求偏离表（实质性格式）</w:t>
      </w:r>
    </w:p>
    <w:p w14:paraId="48995A70">
      <w:pPr>
        <w:autoSpaceDE w:val="0"/>
        <w:autoSpaceDN w:val="0"/>
        <w:adjustRightInd w:val="0"/>
        <w:spacing w:line="360" w:lineRule="auto"/>
        <w:jc w:val="center"/>
        <w:rPr>
          <w:rFonts w:hint="eastAsia" w:ascii="仿宋" w:hAnsi="仿宋" w:eastAsia="仿宋" w:cs="仿宋"/>
          <w:b/>
          <w:color w:val="auto"/>
          <w:sz w:val="32"/>
          <w:szCs w:val="36"/>
          <w:highlight w:val="none"/>
        </w:rPr>
      </w:pPr>
      <w:r>
        <w:rPr>
          <w:rFonts w:hint="eastAsia" w:ascii="仿宋" w:hAnsi="仿宋" w:eastAsia="仿宋" w:cs="仿宋"/>
          <w:b/>
          <w:color w:val="auto"/>
          <w:sz w:val="32"/>
          <w:szCs w:val="36"/>
          <w:highlight w:val="none"/>
        </w:rPr>
        <w:t>采购需求偏离表</w:t>
      </w:r>
    </w:p>
    <w:p w14:paraId="3982E6CA">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3D9C3F01">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2026年北京市朝阳区教育服务保障中心及其所属幼儿园保安服务项目（一标包）</w:t>
      </w:r>
    </w:p>
    <w:tbl>
      <w:tblPr>
        <w:tblStyle w:val="249"/>
        <w:tblW w:w="9662" w:type="dxa"/>
        <w:tblInd w:w="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9"/>
        <w:gridCol w:w="1776"/>
        <w:gridCol w:w="2088"/>
        <w:gridCol w:w="2441"/>
        <w:gridCol w:w="1557"/>
        <w:gridCol w:w="1021"/>
      </w:tblGrid>
      <w:tr w14:paraId="1CB7A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779" w:type="dxa"/>
            <w:vAlign w:val="top"/>
          </w:tcPr>
          <w:p w14:paraId="417DC44D">
            <w:pPr>
              <w:autoSpaceDE w:val="0"/>
              <w:autoSpaceDN w:val="0"/>
              <w:spacing w:line="331" w:lineRule="auto"/>
              <w:rPr>
                <w:rFonts w:ascii="Arial"/>
                <w:color w:val="auto"/>
                <w:sz w:val="21"/>
                <w:highlight w:val="none"/>
              </w:rPr>
            </w:pPr>
          </w:p>
          <w:p w14:paraId="13A6EDD1">
            <w:pPr>
              <w:pStyle w:val="265"/>
              <w:autoSpaceDE w:val="0"/>
              <w:autoSpaceDN w:val="0"/>
              <w:spacing w:before="78" w:line="222" w:lineRule="auto"/>
              <w:ind w:left="162"/>
              <w:rPr>
                <w:color w:val="auto"/>
                <w:sz w:val="24"/>
                <w:szCs w:val="24"/>
                <w:highlight w:val="none"/>
              </w:rPr>
            </w:pPr>
            <w:r>
              <w:rPr>
                <w:color w:val="auto"/>
                <w:spacing w:val="-8"/>
                <w:sz w:val="24"/>
                <w:szCs w:val="24"/>
                <w:highlight w:val="none"/>
              </w:rPr>
              <w:t>序号</w:t>
            </w:r>
          </w:p>
        </w:tc>
        <w:tc>
          <w:tcPr>
            <w:tcW w:w="1776" w:type="dxa"/>
            <w:vAlign w:val="top"/>
          </w:tcPr>
          <w:p w14:paraId="0F8FF7C1">
            <w:pPr>
              <w:pStyle w:val="265"/>
              <w:autoSpaceDE w:val="0"/>
              <w:autoSpaceDN w:val="0"/>
              <w:spacing w:before="253" w:line="242" w:lineRule="auto"/>
              <w:ind w:left="194" w:right="138" w:hanging="42"/>
              <w:jc w:val="center"/>
              <w:rPr>
                <w:color w:val="auto"/>
                <w:sz w:val="24"/>
                <w:szCs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条目号</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页码</w:t>
            </w:r>
          </w:p>
        </w:tc>
        <w:tc>
          <w:tcPr>
            <w:tcW w:w="2088" w:type="dxa"/>
            <w:vAlign w:val="top"/>
          </w:tcPr>
          <w:p w14:paraId="45FD43B9">
            <w:pPr>
              <w:autoSpaceDE w:val="0"/>
              <w:autoSpaceDN w:val="0"/>
              <w:spacing w:line="331" w:lineRule="auto"/>
              <w:rPr>
                <w:rFonts w:ascii="Arial"/>
                <w:color w:val="auto"/>
                <w:sz w:val="21"/>
                <w:highlight w:val="none"/>
              </w:rPr>
            </w:pPr>
          </w:p>
          <w:p w14:paraId="49D9D48F">
            <w:pPr>
              <w:pStyle w:val="265"/>
              <w:autoSpaceDE w:val="0"/>
              <w:autoSpaceDN w:val="0"/>
              <w:spacing w:before="78" w:line="222" w:lineRule="auto"/>
              <w:ind w:firstLine="234" w:firstLineChars="100"/>
              <w:rPr>
                <w:color w:val="auto"/>
                <w:sz w:val="24"/>
                <w:szCs w:val="24"/>
                <w:highlight w:val="none"/>
              </w:rPr>
            </w:pPr>
            <w:r>
              <w:rPr>
                <w:color w:val="auto"/>
                <w:spacing w:val="-3"/>
                <w:sz w:val="24"/>
                <w:szCs w:val="24"/>
                <w:highlight w:val="none"/>
              </w:rPr>
              <w:t>招标文件要求</w:t>
            </w:r>
          </w:p>
        </w:tc>
        <w:tc>
          <w:tcPr>
            <w:tcW w:w="2441" w:type="dxa"/>
            <w:vAlign w:val="top"/>
          </w:tcPr>
          <w:p w14:paraId="308BAB61">
            <w:pPr>
              <w:autoSpaceDE w:val="0"/>
              <w:autoSpaceDN w:val="0"/>
              <w:spacing w:line="331" w:lineRule="auto"/>
              <w:rPr>
                <w:rFonts w:ascii="Arial"/>
                <w:color w:val="auto"/>
                <w:sz w:val="21"/>
                <w:highlight w:val="none"/>
              </w:rPr>
            </w:pPr>
          </w:p>
          <w:p w14:paraId="002134FB">
            <w:pPr>
              <w:pStyle w:val="265"/>
              <w:autoSpaceDE w:val="0"/>
              <w:autoSpaceDN w:val="0"/>
              <w:spacing w:before="78" w:line="222" w:lineRule="auto"/>
              <w:ind w:left="512"/>
              <w:rPr>
                <w:color w:val="auto"/>
                <w:sz w:val="24"/>
                <w:szCs w:val="24"/>
                <w:highlight w:val="none"/>
              </w:rPr>
            </w:pPr>
            <w:r>
              <w:rPr>
                <w:color w:val="auto"/>
                <w:spacing w:val="-3"/>
                <w:sz w:val="24"/>
                <w:szCs w:val="24"/>
                <w:highlight w:val="none"/>
              </w:rPr>
              <w:t>投标响应内容</w:t>
            </w:r>
          </w:p>
        </w:tc>
        <w:tc>
          <w:tcPr>
            <w:tcW w:w="1557" w:type="dxa"/>
            <w:vAlign w:val="top"/>
          </w:tcPr>
          <w:p w14:paraId="12294DB3">
            <w:pPr>
              <w:autoSpaceDE w:val="0"/>
              <w:autoSpaceDN w:val="0"/>
              <w:spacing w:line="331" w:lineRule="auto"/>
              <w:rPr>
                <w:rFonts w:ascii="Arial"/>
                <w:color w:val="auto"/>
                <w:sz w:val="21"/>
                <w:highlight w:val="none"/>
              </w:rPr>
            </w:pPr>
          </w:p>
          <w:p w14:paraId="5C11D336">
            <w:pPr>
              <w:pStyle w:val="265"/>
              <w:autoSpaceDE w:val="0"/>
              <w:autoSpaceDN w:val="0"/>
              <w:spacing w:before="78" w:line="222" w:lineRule="auto"/>
              <w:ind w:left="315"/>
              <w:rPr>
                <w:color w:val="auto"/>
                <w:sz w:val="24"/>
                <w:szCs w:val="24"/>
                <w:highlight w:val="none"/>
              </w:rPr>
            </w:pPr>
            <w:r>
              <w:rPr>
                <w:color w:val="auto"/>
                <w:spacing w:val="-5"/>
                <w:sz w:val="24"/>
                <w:szCs w:val="24"/>
                <w:highlight w:val="none"/>
              </w:rPr>
              <w:t>偏离情况</w:t>
            </w:r>
          </w:p>
        </w:tc>
        <w:tc>
          <w:tcPr>
            <w:tcW w:w="1021" w:type="dxa"/>
            <w:vAlign w:val="top"/>
          </w:tcPr>
          <w:p w14:paraId="48117964">
            <w:pPr>
              <w:autoSpaceDE w:val="0"/>
              <w:autoSpaceDN w:val="0"/>
              <w:spacing w:line="330" w:lineRule="auto"/>
              <w:rPr>
                <w:rFonts w:ascii="Arial"/>
                <w:color w:val="auto"/>
                <w:sz w:val="21"/>
                <w:highlight w:val="none"/>
              </w:rPr>
            </w:pPr>
          </w:p>
          <w:p w14:paraId="704F70BE">
            <w:pPr>
              <w:pStyle w:val="265"/>
              <w:autoSpaceDE w:val="0"/>
              <w:autoSpaceDN w:val="0"/>
              <w:spacing w:before="78" w:line="224" w:lineRule="auto"/>
              <w:ind w:left="282"/>
              <w:rPr>
                <w:color w:val="auto"/>
                <w:sz w:val="24"/>
                <w:szCs w:val="24"/>
                <w:highlight w:val="none"/>
              </w:rPr>
            </w:pPr>
            <w:r>
              <w:rPr>
                <w:color w:val="auto"/>
                <w:spacing w:val="-9"/>
                <w:sz w:val="24"/>
                <w:szCs w:val="24"/>
                <w:highlight w:val="none"/>
              </w:rPr>
              <w:t>说明</w:t>
            </w:r>
          </w:p>
        </w:tc>
      </w:tr>
      <w:tr w14:paraId="0AB25F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9662" w:type="dxa"/>
            <w:gridSpan w:val="6"/>
            <w:vAlign w:val="top"/>
          </w:tcPr>
          <w:p w14:paraId="0903FFD2">
            <w:pPr>
              <w:pStyle w:val="265"/>
              <w:autoSpaceDE w:val="0"/>
              <w:autoSpaceDN w:val="0"/>
              <w:spacing w:before="35" w:line="222" w:lineRule="auto"/>
              <w:ind w:left="127"/>
              <w:rPr>
                <w:color w:val="auto"/>
                <w:sz w:val="24"/>
                <w:szCs w:val="24"/>
                <w:highlight w:val="none"/>
              </w:rPr>
            </w:pPr>
            <w:r>
              <w:rPr>
                <w:color w:val="auto"/>
                <w:spacing w:val="-3"/>
                <w:sz w:val="24"/>
                <w:szCs w:val="24"/>
                <w:highlight w:val="none"/>
              </w:rPr>
              <w:t>一、 针对本招标文件《采购需求》中标注为“★</w:t>
            </w:r>
            <w:r>
              <w:rPr>
                <w:color w:val="auto"/>
                <w:spacing w:val="-88"/>
                <w:sz w:val="24"/>
                <w:szCs w:val="24"/>
                <w:highlight w:val="none"/>
              </w:rPr>
              <w:t xml:space="preserve"> </w:t>
            </w:r>
            <w:r>
              <w:rPr>
                <w:color w:val="auto"/>
                <w:spacing w:val="-3"/>
                <w:sz w:val="24"/>
                <w:szCs w:val="24"/>
                <w:highlight w:val="none"/>
              </w:rPr>
              <w:t>”、“</w:t>
            </w:r>
            <w:r>
              <w:rPr>
                <w:color w:val="auto"/>
                <w:spacing w:val="-4"/>
                <w:sz w:val="24"/>
                <w:szCs w:val="24"/>
                <w:highlight w:val="none"/>
              </w:rPr>
              <w:t>#</w:t>
            </w:r>
            <w:r>
              <w:rPr>
                <w:color w:val="auto"/>
                <w:spacing w:val="-88"/>
                <w:sz w:val="24"/>
                <w:szCs w:val="24"/>
                <w:highlight w:val="none"/>
              </w:rPr>
              <w:t xml:space="preserve"> </w:t>
            </w:r>
            <w:r>
              <w:rPr>
                <w:color w:val="auto"/>
                <w:spacing w:val="-4"/>
                <w:sz w:val="24"/>
                <w:szCs w:val="24"/>
                <w:highlight w:val="none"/>
              </w:rPr>
              <w:t>”条款：</w:t>
            </w:r>
          </w:p>
          <w:p w14:paraId="7E816A65">
            <w:pPr>
              <w:pStyle w:val="265"/>
              <w:autoSpaceDE w:val="0"/>
              <w:autoSpaceDN w:val="0"/>
              <w:spacing w:before="23" w:line="223" w:lineRule="auto"/>
              <w:ind w:left="126" w:firstLine="2"/>
              <w:rPr>
                <w:color w:val="auto"/>
                <w:sz w:val="24"/>
                <w:szCs w:val="24"/>
                <w:highlight w:val="none"/>
              </w:rPr>
            </w:pPr>
            <w:r>
              <w:rPr>
                <w:color w:val="auto"/>
                <w:spacing w:val="-10"/>
                <w:sz w:val="24"/>
                <w:szCs w:val="24"/>
                <w:highlight w:val="none"/>
              </w:rPr>
              <w:t>（投标人需对“★</w:t>
            </w:r>
            <w:r>
              <w:rPr>
                <w:color w:val="auto"/>
                <w:spacing w:val="-89"/>
                <w:sz w:val="24"/>
                <w:szCs w:val="24"/>
                <w:highlight w:val="none"/>
              </w:rPr>
              <w:t xml:space="preserve"> </w:t>
            </w:r>
            <w:r>
              <w:rPr>
                <w:color w:val="auto"/>
                <w:spacing w:val="-10"/>
                <w:sz w:val="24"/>
                <w:szCs w:val="24"/>
                <w:highlight w:val="none"/>
              </w:rPr>
              <w:t>”、“#</w:t>
            </w:r>
            <w:r>
              <w:rPr>
                <w:color w:val="auto"/>
                <w:spacing w:val="-88"/>
                <w:sz w:val="24"/>
                <w:szCs w:val="24"/>
                <w:highlight w:val="none"/>
              </w:rPr>
              <w:t xml:space="preserve"> </w:t>
            </w:r>
            <w:r>
              <w:rPr>
                <w:color w:val="auto"/>
                <w:spacing w:val="-10"/>
                <w:sz w:val="24"/>
                <w:szCs w:val="24"/>
                <w:highlight w:val="none"/>
              </w:rPr>
              <w:t>”条款（如有）逐项填写</w:t>
            </w:r>
            <w:r>
              <w:rPr>
                <w:color w:val="auto"/>
                <w:spacing w:val="-11"/>
                <w:sz w:val="24"/>
                <w:szCs w:val="24"/>
                <w:highlight w:val="none"/>
              </w:rPr>
              <w:t>；如本项目《采购需求》无“★</w:t>
            </w:r>
            <w:r>
              <w:rPr>
                <w:color w:val="auto"/>
                <w:spacing w:val="-89"/>
                <w:sz w:val="24"/>
                <w:szCs w:val="24"/>
                <w:highlight w:val="none"/>
              </w:rPr>
              <w:t xml:space="preserve"> </w:t>
            </w:r>
            <w:r>
              <w:rPr>
                <w:color w:val="auto"/>
                <w:spacing w:val="-11"/>
                <w:sz w:val="24"/>
                <w:szCs w:val="24"/>
                <w:highlight w:val="none"/>
              </w:rPr>
              <w:t>”、“#</w:t>
            </w:r>
            <w:r>
              <w:rPr>
                <w:color w:val="auto"/>
                <w:spacing w:val="-88"/>
                <w:sz w:val="24"/>
                <w:szCs w:val="24"/>
                <w:highlight w:val="none"/>
              </w:rPr>
              <w:t xml:space="preserve"> </w:t>
            </w:r>
            <w:r>
              <w:rPr>
                <w:color w:val="auto"/>
                <w:spacing w:val="-11"/>
                <w:sz w:val="24"/>
                <w:szCs w:val="24"/>
                <w:highlight w:val="none"/>
              </w:rPr>
              <w:t>”</w:t>
            </w:r>
            <w:r>
              <w:rPr>
                <w:color w:val="auto"/>
                <w:spacing w:val="-5"/>
                <w:sz w:val="24"/>
                <w:szCs w:val="24"/>
                <w:highlight w:val="none"/>
              </w:rPr>
              <w:t>条款，本部分可为空白。）</w:t>
            </w:r>
          </w:p>
        </w:tc>
      </w:tr>
      <w:tr w14:paraId="0E03BC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779" w:type="dxa"/>
            <w:vAlign w:val="top"/>
          </w:tcPr>
          <w:p w14:paraId="399F9DC1">
            <w:pPr>
              <w:pStyle w:val="265"/>
              <w:autoSpaceDE w:val="0"/>
              <w:autoSpaceDN w:val="0"/>
              <w:spacing w:before="285" w:line="315" w:lineRule="exact"/>
              <w:ind w:left="352"/>
              <w:rPr>
                <w:color w:val="auto"/>
                <w:sz w:val="24"/>
                <w:szCs w:val="24"/>
                <w:highlight w:val="none"/>
              </w:rPr>
            </w:pPr>
            <w:r>
              <w:rPr>
                <w:color w:val="auto"/>
                <w:position w:val="1"/>
                <w:sz w:val="24"/>
                <w:szCs w:val="24"/>
                <w:highlight w:val="none"/>
              </w:rPr>
              <w:t>1</w:t>
            </w:r>
          </w:p>
        </w:tc>
        <w:tc>
          <w:tcPr>
            <w:tcW w:w="1776" w:type="dxa"/>
            <w:vAlign w:val="top"/>
          </w:tcPr>
          <w:p w14:paraId="653173B6">
            <w:pPr>
              <w:autoSpaceDE w:val="0"/>
              <w:autoSpaceDN w:val="0"/>
              <w:rPr>
                <w:rFonts w:ascii="Arial"/>
                <w:color w:val="auto"/>
                <w:sz w:val="21"/>
                <w:highlight w:val="none"/>
              </w:rPr>
            </w:pPr>
          </w:p>
        </w:tc>
        <w:tc>
          <w:tcPr>
            <w:tcW w:w="2088" w:type="dxa"/>
            <w:vAlign w:val="top"/>
          </w:tcPr>
          <w:p w14:paraId="078E9D64">
            <w:pPr>
              <w:autoSpaceDE w:val="0"/>
              <w:autoSpaceDN w:val="0"/>
              <w:rPr>
                <w:rFonts w:ascii="Arial"/>
                <w:color w:val="auto"/>
                <w:sz w:val="21"/>
                <w:highlight w:val="none"/>
              </w:rPr>
            </w:pPr>
          </w:p>
        </w:tc>
        <w:tc>
          <w:tcPr>
            <w:tcW w:w="2441" w:type="dxa"/>
            <w:vAlign w:val="top"/>
          </w:tcPr>
          <w:p w14:paraId="5552E2B1">
            <w:pPr>
              <w:autoSpaceDE w:val="0"/>
              <w:autoSpaceDN w:val="0"/>
              <w:rPr>
                <w:rFonts w:ascii="Arial"/>
                <w:color w:val="auto"/>
                <w:sz w:val="21"/>
                <w:highlight w:val="none"/>
              </w:rPr>
            </w:pPr>
          </w:p>
        </w:tc>
        <w:tc>
          <w:tcPr>
            <w:tcW w:w="1557" w:type="dxa"/>
            <w:vAlign w:val="top"/>
          </w:tcPr>
          <w:p w14:paraId="30F4418A">
            <w:pPr>
              <w:autoSpaceDE w:val="0"/>
              <w:autoSpaceDN w:val="0"/>
              <w:rPr>
                <w:rFonts w:ascii="Arial"/>
                <w:color w:val="auto"/>
                <w:sz w:val="21"/>
                <w:highlight w:val="none"/>
              </w:rPr>
            </w:pPr>
          </w:p>
        </w:tc>
        <w:tc>
          <w:tcPr>
            <w:tcW w:w="1021" w:type="dxa"/>
            <w:vAlign w:val="top"/>
          </w:tcPr>
          <w:p w14:paraId="49D02A0A">
            <w:pPr>
              <w:autoSpaceDE w:val="0"/>
              <w:autoSpaceDN w:val="0"/>
              <w:rPr>
                <w:rFonts w:ascii="Arial"/>
                <w:color w:val="auto"/>
                <w:sz w:val="21"/>
                <w:highlight w:val="none"/>
              </w:rPr>
            </w:pPr>
          </w:p>
        </w:tc>
      </w:tr>
      <w:tr w14:paraId="41801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779" w:type="dxa"/>
            <w:vAlign w:val="top"/>
          </w:tcPr>
          <w:p w14:paraId="554E4395">
            <w:pPr>
              <w:pStyle w:val="265"/>
              <w:autoSpaceDE w:val="0"/>
              <w:autoSpaceDN w:val="0"/>
              <w:spacing w:before="291" w:line="383" w:lineRule="exact"/>
              <w:ind w:left="291"/>
              <w:rPr>
                <w:color w:val="auto"/>
                <w:sz w:val="24"/>
                <w:szCs w:val="24"/>
                <w:highlight w:val="none"/>
              </w:rPr>
            </w:pPr>
            <w:r>
              <w:rPr>
                <w:color w:val="auto"/>
                <w:position w:val="3"/>
                <w:sz w:val="24"/>
                <w:szCs w:val="24"/>
                <w:highlight w:val="none"/>
              </w:rPr>
              <w:t>…</w:t>
            </w:r>
          </w:p>
        </w:tc>
        <w:tc>
          <w:tcPr>
            <w:tcW w:w="1776" w:type="dxa"/>
            <w:vAlign w:val="top"/>
          </w:tcPr>
          <w:p w14:paraId="0CBC6F77">
            <w:pPr>
              <w:autoSpaceDE w:val="0"/>
              <w:autoSpaceDN w:val="0"/>
              <w:rPr>
                <w:rFonts w:ascii="Arial"/>
                <w:color w:val="auto"/>
                <w:sz w:val="21"/>
                <w:highlight w:val="none"/>
              </w:rPr>
            </w:pPr>
          </w:p>
        </w:tc>
        <w:tc>
          <w:tcPr>
            <w:tcW w:w="2088" w:type="dxa"/>
            <w:vAlign w:val="top"/>
          </w:tcPr>
          <w:p w14:paraId="3DA83F15">
            <w:pPr>
              <w:autoSpaceDE w:val="0"/>
              <w:autoSpaceDN w:val="0"/>
              <w:rPr>
                <w:rFonts w:ascii="Arial"/>
                <w:color w:val="auto"/>
                <w:sz w:val="21"/>
                <w:highlight w:val="none"/>
              </w:rPr>
            </w:pPr>
          </w:p>
        </w:tc>
        <w:tc>
          <w:tcPr>
            <w:tcW w:w="2441" w:type="dxa"/>
            <w:vAlign w:val="top"/>
          </w:tcPr>
          <w:p w14:paraId="1C18FEB0">
            <w:pPr>
              <w:autoSpaceDE w:val="0"/>
              <w:autoSpaceDN w:val="0"/>
              <w:rPr>
                <w:rFonts w:ascii="Arial"/>
                <w:color w:val="auto"/>
                <w:sz w:val="21"/>
                <w:highlight w:val="none"/>
              </w:rPr>
            </w:pPr>
          </w:p>
        </w:tc>
        <w:tc>
          <w:tcPr>
            <w:tcW w:w="1557" w:type="dxa"/>
            <w:vAlign w:val="top"/>
          </w:tcPr>
          <w:p w14:paraId="6F627A26">
            <w:pPr>
              <w:autoSpaceDE w:val="0"/>
              <w:autoSpaceDN w:val="0"/>
              <w:rPr>
                <w:rFonts w:ascii="Arial"/>
                <w:color w:val="auto"/>
                <w:sz w:val="21"/>
                <w:highlight w:val="none"/>
              </w:rPr>
            </w:pPr>
          </w:p>
        </w:tc>
        <w:tc>
          <w:tcPr>
            <w:tcW w:w="1021" w:type="dxa"/>
            <w:vAlign w:val="top"/>
          </w:tcPr>
          <w:p w14:paraId="19CC9F16">
            <w:pPr>
              <w:autoSpaceDE w:val="0"/>
              <w:autoSpaceDN w:val="0"/>
              <w:rPr>
                <w:rFonts w:ascii="Arial"/>
                <w:color w:val="auto"/>
                <w:sz w:val="21"/>
                <w:highlight w:val="none"/>
              </w:rPr>
            </w:pPr>
          </w:p>
        </w:tc>
      </w:tr>
      <w:tr w14:paraId="639C53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3" w:hRule="atLeast"/>
        </w:trPr>
        <w:tc>
          <w:tcPr>
            <w:tcW w:w="9662" w:type="dxa"/>
            <w:gridSpan w:val="6"/>
            <w:vAlign w:val="top"/>
          </w:tcPr>
          <w:p w14:paraId="32871AEA">
            <w:pPr>
              <w:pStyle w:val="265"/>
              <w:autoSpaceDE w:val="0"/>
              <w:autoSpaceDN w:val="0"/>
              <w:spacing w:before="38" w:line="239" w:lineRule="auto"/>
              <w:ind w:left="125" w:right="121" w:firstLine="5"/>
              <w:rPr>
                <w:color w:val="auto"/>
                <w:sz w:val="24"/>
                <w:szCs w:val="24"/>
                <w:highlight w:val="none"/>
              </w:rPr>
            </w:pPr>
            <w:r>
              <w:rPr>
                <w:color w:val="auto"/>
                <w:spacing w:val="-4"/>
                <w:sz w:val="24"/>
                <w:szCs w:val="24"/>
                <w:highlight w:val="none"/>
              </w:rPr>
              <w:t>二、针对本招标文件《采购需求》中</w:t>
            </w:r>
            <w:r>
              <w:rPr>
                <w:b/>
                <w:bCs/>
                <w:color w:val="auto"/>
                <w:spacing w:val="-4"/>
                <w:sz w:val="24"/>
                <w:szCs w:val="24"/>
                <w:highlight w:val="none"/>
              </w:rPr>
              <w:t>未标注</w:t>
            </w:r>
            <w:r>
              <w:rPr>
                <w:color w:val="auto"/>
                <w:spacing w:val="-4"/>
                <w:sz w:val="24"/>
                <w:szCs w:val="24"/>
                <w:highlight w:val="none"/>
              </w:rPr>
              <w:t>“★</w:t>
            </w:r>
            <w:r>
              <w:rPr>
                <w:color w:val="auto"/>
                <w:spacing w:val="-77"/>
                <w:sz w:val="24"/>
                <w:szCs w:val="24"/>
                <w:highlight w:val="none"/>
              </w:rPr>
              <w:t xml:space="preserve"> </w:t>
            </w:r>
            <w:r>
              <w:rPr>
                <w:color w:val="auto"/>
                <w:spacing w:val="-4"/>
                <w:sz w:val="24"/>
                <w:szCs w:val="24"/>
                <w:highlight w:val="none"/>
              </w:rPr>
              <w:t>”和“#</w:t>
            </w:r>
            <w:r>
              <w:rPr>
                <w:color w:val="auto"/>
                <w:spacing w:val="-88"/>
                <w:sz w:val="24"/>
                <w:szCs w:val="24"/>
                <w:highlight w:val="none"/>
              </w:rPr>
              <w:t xml:space="preserve"> </w:t>
            </w:r>
            <w:r>
              <w:rPr>
                <w:color w:val="auto"/>
                <w:spacing w:val="-4"/>
                <w:sz w:val="24"/>
                <w:szCs w:val="24"/>
                <w:highlight w:val="none"/>
              </w:rPr>
              <w:t>”条款的偏离情况（应进行选择，未选择</w:t>
            </w:r>
            <w:r>
              <w:rPr>
                <w:b/>
                <w:bCs/>
                <w:color w:val="auto"/>
                <w:spacing w:val="-4"/>
                <w:sz w:val="24"/>
                <w:szCs w:val="24"/>
                <w:highlight w:val="none"/>
              </w:rPr>
              <w:t>投标无效</w:t>
            </w:r>
            <w:r>
              <w:rPr>
                <w:color w:val="auto"/>
                <w:sz w:val="24"/>
                <w:szCs w:val="24"/>
                <w:highlight w:val="none"/>
              </w:rPr>
              <w:t>）：</w:t>
            </w:r>
          </w:p>
          <w:p w14:paraId="58524848">
            <w:pPr>
              <w:pStyle w:val="265"/>
              <w:autoSpaceDE w:val="0"/>
              <w:autoSpaceDN w:val="0"/>
              <w:spacing w:line="230" w:lineRule="auto"/>
              <w:ind w:left="137" w:right="186" w:firstLine="3"/>
              <w:rPr>
                <w:color w:val="auto"/>
                <w:sz w:val="24"/>
                <w:szCs w:val="24"/>
                <w:highlight w:val="none"/>
              </w:rPr>
            </w:pPr>
            <w:r>
              <w:rPr>
                <w:color w:val="auto"/>
                <w:spacing w:val="-1"/>
                <w:sz w:val="24"/>
                <w:szCs w:val="24"/>
                <w:highlight w:val="none"/>
              </w:rPr>
              <w:t>□</w:t>
            </w:r>
            <w:r>
              <w:rPr>
                <w:b/>
                <w:bCs/>
                <w:color w:val="auto"/>
                <w:spacing w:val="-1"/>
                <w:sz w:val="24"/>
                <w:szCs w:val="24"/>
                <w:highlight w:val="none"/>
              </w:rPr>
              <w:t>无偏离</w:t>
            </w:r>
            <w:r>
              <w:rPr>
                <w:color w:val="auto"/>
                <w:spacing w:val="-1"/>
                <w:sz w:val="24"/>
                <w:szCs w:val="24"/>
                <w:highlight w:val="none"/>
              </w:rPr>
              <w:t>（如无偏离，仅选择无偏离即可，无须填写下表内容；无偏离即为对采购需</w:t>
            </w:r>
            <w:r>
              <w:rPr>
                <w:color w:val="auto"/>
                <w:spacing w:val="-2"/>
                <w:sz w:val="24"/>
                <w:szCs w:val="24"/>
                <w:highlight w:val="none"/>
              </w:rPr>
              <w:t>求中的所有要求，均视作投标人已对之理解和响应。）</w:t>
            </w:r>
          </w:p>
          <w:p w14:paraId="659B2E18">
            <w:pPr>
              <w:pStyle w:val="265"/>
              <w:autoSpaceDE w:val="0"/>
              <w:autoSpaceDN w:val="0"/>
              <w:spacing w:before="25" w:line="228" w:lineRule="auto"/>
              <w:ind w:left="125" w:right="186" w:firstLine="16"/>
              <w:rPr>
                <w:color w:val="auto"/>
                <w:sz w:val="24"/>
                <w:szCs w:val="24"/>
                <w:highlight w:val="none"/>
              </w:rPr>
            </w:pPr>
            <w:r>
              <w:rPr>
                <w:color w:val="auto"/>
                <w:spacing w:val="-1"/>
                <w:sz w:val="24"/>
                <w:szCs w:val="24"/>
                <w:highlight w:val="none"/>
              </w:rPr>
              <w:t>□</w:t>
            </w:r>
            <w:r>
              <w:rPr>
                <w:b/>
                <w:bCs/>
                <w:color w:val="auto"/>
                <w:spacing w:val="-1"/>
                <w:sz w:val="24"/>
                <w:szCs w:val="24"/>
                <w:highlight w:val="none"/>
              </w:rPr>
              <w:t>有偏离</w:t>
            </w:r>
            <w:r>
              <w:rPr>
                <w:color w:val="auto"/>
                <w:spacing w:val="-1"/>
                <w:sz w:val="24"/>
                <w:szCs w:val="24"/>
                <w:highlight w:val="none"/>
              </w:rPr>
              <w:t>（如有偏离，则应在本表中对偏离项逐一列明；对采购需求中的所有商务、</w:t>
            </w:r>
            <w:r>
              <w:rPr>
                <w:color w:val="auto"/>
                <w:spacing w:val="-2"/>
                <w:sz w:val="24"/>
                <w:szCs w:val="24"/>
                <w:highlight w:val="none"/>
              </w:rPr>
              <w:t>技术</w:t>
            </w:r>
            <w:r>
              <w:rPr>
                <w:color w:val="auto"/>
                <w:spacing w:val="-1"/>
                <w:sz w:val="24"/>
                <w:szCs w:val="24"/>
                <w:highlight w:val="none"/>
              </w:rPr>
              <w:t>要求，除本表列明的偏离外，均视作投标人已对之理解和响应</w:t>
            </w:r>
            <w:r>
              <w:rPr>
                <w:color w:val="auto"/>
                <w:spacing w:val="-2"/>
                <w:sz w:val="24"/>
                <w:szCs w:val="24"/>
                <w:highlight w:val="none"/>
              </w:rPr>
              <w:t>。如选择了“有偏离</w:t>
            </w:r>
            <w:r>
              <w:rPr>
                <w:color w:val="auto"/>
                <w:spacing w:val="-88"/>
                <w:sz w:val="24"/>
                <w:szCs w:val="24"/>
                <w:highlight w:val="none"/>
              </w:rPr>
              <w:t xml:space="preserve"> </w:t>
            </w:r>
            <w:r>
              <w:rPr>
                <w:color w:val="auto"/>
                <w:spacing w:val="-2"/>
                <w:sz w:val="24"/>
                <w:szCs w:val="24"/>
                <w:highlight w:val="none"/>
              </w:rPr>
              <w:t>”但下表无任何文字说明的，</w:t>
            </w:r>
            <w:r>
              <w:rPr>
                <w:b/>
                <w:bCs/>
                <w:color w:val="auto"/>
                <w:spacing w:val="-2"/>
                <w:sz w:val="24"/>
                <w:szCs w:val="24"/>
                <w:highlight w:val="none"/>
              </w:rPr>
              <w:t>投标无效。</w:t>
            </w:r>
            <w:r>
              <w:rPr>
                <w:color w:val="auto"/>
                <w:spacing w:val="-2"/>
                <w:sz w:val="24"/>
                <w:szCs w:val="24"/>
                <w:highlight w:val="none"/>
              </w:rPr>
              <w:t>）</w:t>
            </w:r>
          </w:p>
        </w:tc>
      </w:tr>
      <w:tr w14:paraId="6E6E29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779" w:type="dxa"/>
            <w:vAlign w:val="top"/>
          </w:tcPr>
          <w:p w14:paraId="1B829CF6">
            <w:pPr>
              <w:autoSpaceDE w:val="0"/>
              <w:autoSpaceDN w:val="0"/>
              <w:spacing w:line="268" w:lineRule="auto"/>
              <w:rPr>
                <w:rFonts w:ascii="Arial"/>
                <w:color w:val="auto"/>
                <w:sz w:val="21"/>
                <w:highlight w:val="none"/>
              </w:rPr>
            </w:pPr>
          </w:p>
          <w:p w14:paraId="57652C5E">
            <w:pPr>
              <w:pStyle w:val="265"/>
              <w:autoSpaceDE w:val="0"/>
              <w:autoSpaceDN w:val="0"/>
              <w:spacing w:before="78" w:line="316" w:lineRule="exact"/>
              <w:ind w:left="352"/>
              <w:rPr>
                <w:color w:val="auto"/>
                <w:sz w:val="24"/>
                <w:szCs w:val="24"/>
                <w:highlight w:val="none"/>
              </w:rPr>
            </w:pPr>
            <w:r>
              <w:rPr>
                <w:color w:val="auto"/>
                <w:position w:val="1"/>
                <w:sz w:val="24"/>
                <w:szCs w:val="24"/>
                <w:highlight w:val="none"/>
              </w:rPr>
              <w:t>1</w:t>
            </w:r>
          </w:p>
        </w:tc>
        <w:tc>
          <w:tcPr>
            <w:tcW w:w="1776" w:type="dxa"/>
            <w:vAlign w:val="top"/>
          </w:tcPr>
          <w:p w14:paraId="55235AE6">
            <w:pPr>
              <w:autoSpaceDE w:val="0"/>
              <w:autoSpaceDN w:val="0"/>
              <w:rPr>
                <w:rFonts w:ascii="Arial"/>
                <w:color w:val="auto"/>
                <w:sz w:val="21"/>
                <w:highlight w:val="none"/>
              </w:rPr>
            </w:pPr>
          </w:p>
        </w:tc>
        <w:tc>
          <w:tcPr>
            <w:tcW w:w="2088" w:type="dxa"/>
            <w:vAlign w:val="top"/>
          </w:tcPr>
          <w:p w14:paraId="256EDC05">
            <w:pPr>
              <w:autoSpaceDE w:val="0"/>
              <w:autoSpaceDN w:val="0"/>
              <w:rPr>
                <w:rFonts w:ascii="Arial"/>
                <w:color w:val="auto"/>
                <w:sz w:val="21"/>
                <w:highlight w:val="none"/>
              </w:rPr>
            </w:pPr>
          </w:p>
        </w:tc>
        <w:tc>
          <w:tcPr>
            <w:tcW w:w="2441" w:type="dxa"/>
            <w:vAlign w:val="top"/>
          </w:tcPr>
          <w:p w14:paraId="56DD7625">
            <w:pPr>
              <w:autoSpaceDE w:val="0"/>
              <w:autoSpaceDN w:val="0"/>
              <w:rPr>
                <w:rFonts w:ascii="Arial"/>
                <w:color w:val="auto"/>
                <w:sz w:val="21"/>
                <w:highlight w:val="none"/>
              </w:rPr>
            </w:pPr>
          </w:p>
        </w:tc>
        <w:tc>
          <w:tcPr>
            <w:tcW w:w="1557" w:type="dxa"/>
            <w:vAlign w:val="top"/>
          </w:tcPr>
          <w:p w14:paraId="5D2AF50A">
            <w:pPr>
              <w:autoSpaceDE w:val="0"/>
              <w:autoSpaceDN w:val="0"/>
              <w:rPr>
                <w:rFonts w:ascii="Arial"/>
                <w:color w:val="auto"/>
                <w:sz w:val="21"/>
                <w:highlight w:val="none"/>
              </w:rPr>
            </w:pPr>
          </w:p>
        </w:tc>
        <w:tc>
          <w:tcPr>
            <w:tcW w:w="1021" w:type="dxa"/>
            <w:vAlign w:val="top"/>
          </w:tcPr>
          <w:p w14:paraId="6F000D76">
            <w:pPr>
              <w:autoSpaceDE w:val="0"/>
              <w:autoSpaceDN w:val="0"/>
              <w:rPr>
                <w:rFonts w:ascii="Arial"/>
                <w:color w:val="auto"/>
                <w:sz w:val="21"/>
                <w:highlight w:val="none"/>
              </w:rPr>
            </w:pPr>
          </w:p>
        </w:tc>
      </w:tr>
      <w:tr w14:paraId="62748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779" w:type="dxa"/>
            <w:vAlign w:val="top"/>
          </w:tcPr>
          <w:p w14:paraId="6EE568E8">
            <w:pPr>
              <w:autoSpaceDE w:val="0"/>
              <w:autoSpaceDN w:val="0"/>
              <w:spacing w:line="270" w:lineRule="auto"/>
              <w:rPr>
                <w:rFonts w:ascii="Arial"/>
                <w:color w:val="auto"/>
                <w:sz w:val="21"/>
                <w:highlight w:val="none"/>
              </w:rPr>
            </w:pPr>
          </w:p>
          <w:p w14:paraId="6669CC43">
            <w:pPr>
              <w:pStyle w:val="265"/>
              <w:autoSpaceDE w:val="0"/>
              <w:autoSpaceDN w:val="0"/>
              <w:spacing w:before="78" w:line="383" w:lineRule="exact"/>
              <w:ind w:left="291"/>
              <w:rPr>
                <w:color w:val="auto"/>
                <w:sz w:val="24"/>
                <w:szCs w:val="24"/>
                <w:highlight w:val="none"/>
              </w:rPr>
            </w:pPr>
            <w:r>
              <w:rPr>
                <w:color w:val="auto"/>
                <w:position w:val="3"/>
                <w:sz w:val="24"/>
                <w:szCs w:val="24"/>
                <w:highlight w:val="none"/>
              </w:rPr>
              <w:t>…</w:t>
            </w:r>
          </w:p>
        </w:tc>
        <w:tc>
          <w:tcPr>
            <w:tcW w:w="1776" w:type="dxa"/>
            <w:vAlign w:val="top"/>
          </w:tcPr>
          <w:p w14:paraId="65E0A058">
            <w:pPr>
              <w:autoSpaceDE w:val="0"/>
              <w:autoSpaceDN w:val="0"/>
              <w:rPr>
                <w:rFonts w:ascii="Arial"/>
                <w:color w:val="auto"/>
                <w:sz w:val="21"/>
                <w:highlight w:val="none"/>
              </w:rPr>
            </w:pPr>
          </w:p>
        </w:tc>
        <w:tc>
          <w:tcPr>
            <w:tcW w:w="2088" w:type="dxa"/>
            <w:vAlign w:val="top"/>
          </w:tcPr>
          <w:p w14:paraId="6DE7DCB6">
            <w:pPr>
              <w:autoSpaceDE w:val="0"/>
              <w:autoSpaceDN w:val="0"/>
              <w:rPr>
                <w:rFonts w:ascii="Arial"/>
                <w:color w:val="auto"/>
                <w:sz w:val="21"/>
                <w:highlight w:val="none"/>
              </w:rPr>
            </w:pPr>
          </w:p>
        </w:tc>
        <w:tc>
          <w:tcPr>
            <w:tcW w:w="2441" w:type="dxa"/>
            <w:vAlign w:val="top"/>
          </w:tcPr>
          <w:p w14:paraId="5610C8F3">
            <w:pPr>
              <w:autoSpaceDE w:val="0"/>
              <w:autoSpaceDN w:val="0"/>
              <w:rPr>
                <w:rFonts w:ascii="Arial"/>
                <w:color w:val="auto"/>
                <w:sz w:val="21"/>
                <w:highlight w:val="none"/>
              </w:rPr>
            </w:pPr>
          </w:p>
        </w:tc>
        <w:tc>
          <w:tcPr>
            <w:tcW w:w="1557" w:type="dxa"/>
            <w:vAlign w:val="top"/>
          </w:tcPr>
          <w:p w14:paraId="644D61DD">
            <w:pPr>
              <w:autoSpaceDE w:val="0"/>
              <w:autoSpaceDN w:val="0"/>
              <w:rPr>
                <w:rFonts w:ascii="Arial"/>
                <w:color w:val="auto"/>
                <w:sz w:val="21"/>
                <w:highlight w:val="none"/>
              </w:rPr>
            </w:pPr>
          </w:p>
        </w:tc>
        <w:tc>
          <w:tcPr>
            <w:tcW w:w="1021" w:type="dxa"/>
            <w:vAlign w:val="top"/>
          </w:tcPr>
          <w:p w14:paraId="18421920">
            <w:pPr>
              <w:autoSpaceDE w:val="0"/>
              <w:autoSpaceDN w:val="0"/>
              <w:rPr>
                <w:rFonts w:ascii="Arial"/>
                <w:color w:val="auto"/>
                <w:sz w:val="21"/>
                <w:highlight w:val="none"/>
              </w:rPr>
            </w:pPr>
          </w:p>
        </w:tc>
      </w:tr>
    </w:tbl>
    <w:p w14:paraId="7BEAD15A">
      <w:pPr>
        <w:tabs>
          <w:tab w:val="left" w:pos="1800"/>
          <w:tab w:val="left" w:pos="5580"/>
        </w:tabs>
        <w:jc w:val="left"/>
        <w:rPr>
          <w:rFonts w:hint="eastAsia" w:ascii="仿宋" w:hAnsi="仿宋" w:eastAsia="仿宋" w:cs="仿宋"/>
          <w:color w:val="auto"/>
          <w:sz w:val="24"/>
          <w:highlight w:val="none"/>
        </w:rPr>
      </w:pPr>
    </w:p>
    <w:p w14:paraId="42CA0BBF">
      <w:pPr>
        <w:tabs>
          <w:tab w:val="left" w:pos="1800"/>
          <w:tab w:val="left" w:pos="5580"/>
        </w:tabs>
        <w:jc w:val="left"/>
        <w:rPr>
          <w:rFonts w:hint="eastAsia" w:ascii="仿宋" w:hAnsi="仿宋" w:eastAsia="仿宋" w:cs="仿宋"/>
          <w:color w:val="auto"/>
          <w:sz w:val="24"/>
          <w:highlight w:val="none"/>
        </w:rPr>
      </w:pPr>
      <w:r>
        <w:rPr>
          <w:rFonts w:ascii="仿宋" w:hAnsi="仿宋" w:eastAsia="仿宋" w:cs="仿宋"/>
          <w:b/>
          <w:bCs/>
          <w:color w:val="auto"/>
          <w:spacing w:val="-5"/>
          <w:sz w:val="24"/>
          <w:szCs w:val="24"/>
          <w:highlight w:val="none"/>
        </w:rPr>
        <w:t>注：“偏离情况</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5"/>
          <w:sz w:val="24"/>
          <w:szCs w:val="24"/>
          <w:highlight w:val="none"/>
        </w:rPr>
        <w:t>”列应据实填写“无偏离</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5"/>
          <w:sz w:val="24"/>
          <w:szCs w:val="24"/>
          <w:highlight w:val="none"/>
        </w:rPr>
        <w:t>”、</w:t>
      </w:r>
      <w:r>
        <w:rPr>
          <w:rFonts w:ascii="仿宋" w:hAnsi="仿宋" w:eastAsia="仿宋" w:cs="仿宋"/>
          <w:b/>
          <w:bCs/>
          <w:color w:val="auto"/>
          <w:spacing w:val="-6"/>
          <w:sz w:val="24"/>
          <w:szCs w:val="24"/>
          <w:highlight w:val="none"/>
        </w:rPr>
        <w:t>“正偏离</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6"/>
          <w:sz w:val="24"/>
          <w:szCs w:val="24"/>
          <w:highlight w:val="none"/>
        </w:rPr>
        <w:t>”或“负偏离</w:t>
      </w:r>
      <w:r>
        <w:rPr>
          <w:rFonts w:ascii="仿宋" w:hAnsi="仿宋" w:eastAsia="仿宋" w:cs="仿宋"/>
          <w:color w:val="auto"/>
          <w:spacing w:val="-86"/>
          <w:sz w:val="24"/>
          <w:szCs w:val="24"/>
          <w:highlight w:val="none"/>
        </w:rPr>
        <w:t xml:space="preserve"> </w:t>
      </w:r>
      <w:r>
        <w:rPr>
          <w:rFonts w:ascii="仿宋" w:hAnsi="仿宋" w:eastAsia="仿宋" w:cs="仿宋"/>
          <w:b/>
          <w:bCs/>
          <w:color w:val="auto"/>
          <w:spacing w:val="-6"/>
          <w:sz w:val="24"/>
          <w:szCs w:val="24"/>
          <w:highlight w:val="none"/>
        </w:rPr>
        <w:t>”。</w:t>
      </w:r>
    </w:p>
    <w:p w14:paraId="782CEB53">
      <w:pPr>
        <w:tabs>
          <w:tab w:val="left" w:pos="1800"/>
          <w:tab w:val="left" w:pos="5580"/>
        </w:tabs>
        <w:jc w:val="left"/>
        <w:rPr>
          <w:rFonts w:hint="eastAsia" w:ascii="仿宋" w:hAnsi="仿宋" w:eastAsia="仿宋" w:cs="仿宋"/>
          <w:color w:val="auto"/>
          <w:sz w:val="24"/>
          <w:highlight w:val="none"/>
        </w:rPr>
      </w:pPr>
    </w:p>
    <w:p w14:paraId="7F35EAD5">
      <w:pPr>
        <w:rPr>
          <w:rFonts w:hint="eastAsia" w:ascii="仿宋" w:hAnsi="仿宋" w:eastAsia="仿宋" w:cs="仿宋"/>
          <w:color w:val="auto"/>
          <w:sz w:val="24"/>
          <w:szCs w:val="20"/>
          <w:highlight w:val="none"/>
        </w:rPr>
      </w:pPr>
    </w:p>
    <w:p w14:paraId="2640BE1C">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19E78571">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w:t>
      </w:r>
    </w:p>
    <w:p w14:paraId="1D3A9CD8">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2AE82986">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r>
        <w:rPr>
          <w:rFonts w:hint="eastAsia" w:ascii="仿宋" w:hAnsi="仿宋" w:eastAsia="仿宋" w:cs="仿宋"/>
          <w:color w:val="auto"/>
          <w:sz w:val="24"/>
          <w:szCs w:val="20"/>
          <w:highlight w:val="none"/>
        </w:rPr>
        <w:t>供应商信息采集表</w:t>
      </w:r>
    </w:p>
    <w:tbl>
      <w:tblPr>
        <w:tblStyle w:val="4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321"/>
        <w:gridCol w:w="3322"/>
        <w:gridCol w:w="3320"/>
      </w:tblGrid>
      <w:tr w14:paraId="7A1045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0" w:hRule="atLeast"/>
        </w:trPr>
        <w:tc>
          <w:tcPr>
            <w:tcW w:w="1667" w:type="pct"/>
            <w:vAlign w:val="center"/>
          </w:tcPr>
          <w:p w14:paraId="1C79ED83">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1667" w:type="pct"/>
            <w:vAlign w:val="center"/>
          </w:tcPr>
          <w:p w14:paraId="1D8D33E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供应商所属性别</w:t>
            </w:r>
          </w:p>
        </w:tc>
        <w:tc>
          <w:tcPr>
            <w:tcW w:w="1667" w:type="pct"/>
            <w:vAlign w:val="center"/>
          </w:tcPr>
          <w:p w14:paraId="7D599015">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外商投资类型</w:t>
            </w:r>
          </w:p>
        </w:tc>
      </w:tr>
      <w:tr w14:paraId="421A1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trPr>
        <w:tc>
          <w:tcPr>
            <w:tcW w:w="1667" w:type="pct"/>
          </w:tcPr>
          <w:p w14:paraId="313B747D">
            <w:pPr>
              <w:rPr>
                <w:rFonts w:hint="eastAsia" w:ascii="仿宋" w:hAnsi="仿宋" w:eastAsia="仿宋" w:cs="仿宋"/>
                <w:color w:val="auto"/>
                <w:sz w:val="24"/>
                <w:highlight w:val="none"/>
              </w:rPr>
            </w:pPr>
          </w:p>
        </w:tc>
        <w:tc>
          <w:tcPr>
            <w:tcW w:w="1667" w:type="pct"/>
          </w:tcPr>
          <w:p w14:paraId="0A86E9E7">
            <w:pPr>
              <w:rPr>
                <w:rFonts w:hint="eastAsia" w:ascii="仿宋" w:hAnsi="仿宋" w:eastAsia="仿宋" w:cs="仿宋"/>
                <w:color w:val="auto"/>
                <w:sz w:val="24"/>
                <w:highlight w:val="none"/>
              </w:rPr>
            </w:pPr>
          </w:p>
        </w:tc>
        <w:tc>
          <w:tcPr>
            <w:tcW w:w="1667" w:type="pct"/>
          </w:tcPr>
          <w:p w14:paraId="60686347">
            <w:pPr>
              <w:rPr>
                <w:rFonts w:hint="eastAsia" w:ascii="仿宋" w:hAnsi="仿宋" w:eastAsia="仿宋" w:cs="仿宋"/>
                <w:color w:val="auto"/>
                <w:sz w:val="24"/>
                <w:highlight w:val="none"/>
              </w:rPr>
            </w:pPr>
          </w:p>
        </w:tc>
      </w:tr>
      <w:tr w14:paraId="74A2C3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667" w:type="pct"/>
          </w:tcPr>
          <w:p w14:paraId="2E010156">
            <w:pPr>
              <w:rPr>
                <w:rFonts w:hint="eastAsia" w:ascii="仿宋" w:hAnsi="仿宋" w:eastAsia="仿宋" w:cs="仿宋"/>
                <w:color w:val="auto"/>
                <w:sz w:val="24"/>
                <w:highlight w:val="none"/>
              </w:rPr>
            </w:pPr>
          </w:p>
        </w:tc>
        <w:tc>
          <w:tcPr>
            <w:tcW w:w="1667" w:type="pct"/>
          </w:tcPr>
          <w:p w14:paraId="0FDF6FB3">
            <w:pPr>
              <w:rPr>
                <w:rFonts w:hint="eastAsia" w:ascii="仿宋" w:hAnsi="仿宋" w:eastAsia="仿宋" w:cs="仿宋"/>
                <w:color w:val="auto"/>
                <w:sz w:val="24"/>
                <w:highlight w:val="none"/>
              </w:rPr>
            </w:pPr>
          </w:p>
        </w:tc>
        <w:tc>
          <w:tcPr>
            <w:tcW w:w="1667" w:type="pct"/>
          </w:tcPr>
          <w:p w14:paraId="039CAE7B">
            <w:pPr>
              <w:rPr>
                <w:rFonts w:hint="eastAsia" w:ascii="仿宋" w:hAnsi="仿宋" w:eastAsia="仿宋" w:cs="仿宋"/>
                <w:color w:val="auto"/>
                <w:sz w:val="24"/>
                <w:highlight w:val="none"/>
              </w:rPr>
            </w:pPr>
          </w:p>
        </w:tc>
      </w:tr>
      <w:tr w14:paraId="74B3D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667" w:type="pct"/>
          </w:tcPr>
          <w:p w14:paraId="69CC2D63">
            <w:pPr>
              <w:rPr>
                <w:rFonts w:hint="eastAsia" w:ascii="仿宋" w:hAnsi="仿宋" w:eastAsia="仿宋" w:cs="仿宋"/>
                <w:color w:val="auto"/>
                <w:sz w:val="24"/>
                <w:highlight w:val="none"/>
              </w:rPr>
            </w:pPr>
          </w:p>
        </w:tc>
        <w:tc>
          <w:tcPr>
            <w:tcW w:w="1667" w:type="pct"/>
          </w:tcPr>
          <w:p w14:paraId="6FB54677">
            <w:pPr>
              <w:rPr>
                <w:rFonts w:hint="eastAsia" w:ascii="仿宋" w:hAnsi="仿宋" w:eastAsia="仿宋" w:cs="仿宋"/>
                <w:color w:val="auto"/>
                <w:sz w:val="24"/>
                <w:highlight w:val="none"/>
              </w:rPr>
            </w:pPr>
          </w:p>
        </w:tc>
        <w:tc>
          <w:tcPr>
            <w:tcW w:w="1667" w:type="pct"/>
          </w:tcPr>
          <w:p w14:paraId="51FE8DE6">
            <w:pPr>
              <w:rPr>
                <w:rFonts w:hint="eastAsia" w:ascii="仿宋" w:hAnsi="仿宋" w:eastAsia="仿宋" w:cs="仿宋"/>
                <w:color w:val="auto"/>
                <w:sz w:val="24"/>
                <w:highlight w:val="none"/>
              </w:rPr>
            </w:pPr>
          </w:p>
        </w:tc>
      </w:tr>
      <w:tr w14:paraId="55AFE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 w:hRule="atLeast"/>
        </w:trPr>
        <w:tc>
          <w:tcPr>
            <w:tcW w:w="1667" w:type="pct"/>
          </w:tcPr>
          <w:p w14:paraId="3639E4C0">
            <w:pPr>
              <w:rPr>
                <w:rFonts w:hint="eastAsia" w:ascii="仿宋" w:hAnsi="仿宋" w:eastAsia="仿宋" w:cs="仿宋"/>
                <w:color w:val="auto"/>
                <w:sz w:val="24"/>
                <w:highlight w:val="none"/>
              </w:rPr>
            </w:pPr>
          </w:p>
        </w:tc>
        <w:tc>
          <w:tcPr>
            <w:tcW w:w="1667" w:type="pct"/>
          </w:tcPr>
          <w:p w14:paraId="7C97BEF2">
            <w:pPr>
              <w:rPr>
                <w:rFonts w:hint="eastAsia" w:ascii="仿宋" w:hAnsi="仿宋" w:eastAsia="仿宋" w:cs="仿宋"/>
                <w:color w:val="auto"/>
                <w:sz w:val="24"/>
                <w:highlight w:val="none"/>
              </w:rPr>
            </w:pPr>
          </w:p>
        </w:tc>
        <w:tc>
          <w:tcPr>
            <w:tcW w:w="1667" w:type="pct"/>
          </w:tcPr>
          <w:p w14:paraId="52DFB0AB">
            <w:pPr>
              <w:rPr>
                <w:rFonts w:hint="eastAsia" w:ascii="仿宋" w:hAnsi="仿宋" w:eastAsia="仿宋" w:cs="仿宋"/>
                <w:color w:val="auto"/>
                <w:sz w:val="24"/>
                <w:highlight w:val="none"/>
              </w:rPr>
            </w:pPr>
          </w:p>
        </w:tc>
      </w:tr>
    </w:tbl>
    <w:p w14:paraId="3F6D826D">
      <w:pPr>
        <w:tabs>
          <w:tab w:val="left" w:pos="1800"/>
          <w:tab w:val="left" w:pos="5580"/>
        </w:tabs>
        <w:jc w:val="left"/>
        <w:rPr>
          <w:rFonts w:hint="eastAsia" w:ascii="仿宋" w:hAnsi="仿宋" w:eastAsia="仿宋" w:cs="仿宋"/>
          <w:color w:val="auto"/>
          <w:sz w:val="24"/>
          <w:highlight w:val="none"/>
        </w:rPr>
      </w:pPr>
    </w:p>
    <w:p w14:paraId="2BED3580">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42B87C2C">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1.供应商如为联合体，则应填写联合体各成员信息。</w:t>
      </w:r>
    </w:p>
    <w:p w14:paraId="321BAFE9">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2.供应商所属性别请填写“男”或“女”，指拥有供应商51%以上绝对所有权的性别；绝对所有权拥有者可以是一个人，也可以是多人合计计算。</w:t>
      </w:r>
    </w:p>
    <w:p w14:paraId="10D51EF1">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3.外商投资类型请填写“外商单独投资”、“外商部分投资”或“内资”。</w:t>
      </w:r>
    </w:p>
    <w:p w14:paraId="34FBC372">
      <w:pPr>
        <w:widowControl/>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55E14385">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类似项目业绩表</w:t>
      </w:r>
    </w:p>
    <w:p w14:paraId="78BA35B6">
      <w:pPr>
        <w:autoSpaceDE w:val="0"/>
        <w:autoSpaceDN w:val="0"/>
        <w:adjustRightInd w:val="0"/>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类似项目业绩</w:t>
      </w:r>
    </w:p>
    <w:tbl>
      <w:tblPr>
        <w:tblStyle w:val="45"/>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559"/>
        <w:gridCol w:w="1276"/>
        <w:gridCol w:w="1418"/>
        <w:gridCol w:w="2976"/>
        <w:gridCol w:w="1276"/>
      </w:tblGrid>
      <w:tr w14:paraId="63564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0BE883B3">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序号</w:t>
            </w:r>
          </w:p>
        </w:tc>
        <w:tc>
          <w:tcPr>
            <w:tcW w:w="1559" w:type="dxa"/>
            <w:tcBorders>
              <w:top w:val="single" w:color="auto" w:sz="4" w:space="0"/>
              <w:left w:val="single" w:color="auto" w:sz="4" w:space="0"/>
              <w:bottom w:val="single" w:color="auto" w:sz="4" w:space="0"/>
              <w:right w:val="single" w:color="auto" w:sz="4" w:space="0"/>
            </w:tcBorders>
            <w:vAlign w:val="center"/>
          </w:tcPr>
          <w:p w14:paraId="0F01A2EB">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采购人名称</w:t>
            </w:r>
          </w:p>
        </w:tc>
        <w:tc>
          <w:tcPr>
            <w:tcW w:w="1276" w:type="dxa"/>
            <w:tcBorders>
              <w:top w:val="single" w:color="auto" w:sz="4" w:space="0"/>
              <w:left w:val="single" w:color="auto" w:sz="4" w:space="0"/>
              <w:bottom w:val="single" w:color="auto" w:sz="4" w:space="0"/>
              <w:right w:val="single" w:color="auto" w:sz="4" w:space="0"/>
            </w:tcBorders>
            <w:vAlign w:val="center"/>
          </w:tcPr>
          <w:p w14:paraId="3480A1EF">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项目名称</w:t>
            </w:r>
          </w:p>
        </w:tc>
        <w:tc>
          <w:tcPr>
            <w:tcW w:w="1418" w:type="dxa"/>
            <w:tcBorders>
              <w:top w:val="single" w:color="auto" w:sz="4" w:space="0"/>
              <w:left w:val="single" w:color="auto" w:sz="4" w:space="0"/>
              <w:bottom w:val="single" w:color="auto" w:sz="4" w:space="0"/>
              <w:right w:val="single" w:color="auto" w:sz="4" w:space="0"/>
            </w:tcBorders>
            <w:vAlign w:val="center"/>
          </w:tcPr>
          <w:p w14:paraId="14A4CEF1">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内容简述</w:t>
            </w:r>
          </w:p>
        </w:tc>
        <w:tc>
          <w:tcPr>
            <w:tcW w:w="2976" w:type="dxa"/>
            <w:tcBorders>
              <w:top w:val="single" w:color="auto" w:sz="4" w:space="0"/>
              <w:left w:val="single" w:color="auto" w:sz="4" w:space="0"/>
              <w:bottom w:val="single" w:color="auto" w:sz="4" w:space="0"/>
              <w:right w:val="single" w:color="auto" w:sz="4" w:space="0"/>
            </w:tcBorders>
            <w:vAlign w:val="center"/>
          </w:tcPr>
          <w:p w14:paraId="2A6C20AE">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委托方联系人、联系方式</w:t>
            </w:r>
          </w:p>
        </w:tc>
        <w:tc>
          <w:tcPr>
            <w:tcW w:w="1276" w:type="dxa"/>
            <w:tcBorders>
              <w:top w:val="single" w:color="auto" w:sz="4" w:space="0"/>
              <w:left w:val="single" w:color="auto" w:sz="4" w:space="0"/>
              <w:bottom w:val="single" w:color="auto" w:sz="4" w:space="0"/>
              <w:right w:val="single" w:color="auto" w:sz="4" w:space="0"/>
            </w:tcBorders>
            <w:vAlign w:val="center"/>
          </w:tcPr>
          <w:p w14:paraId="2E29732A">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完成情况</w:t>
            </w:r>
          </w:p>
        </w:tc>
      </w:tr>
      <w:tr w14:paraId="5317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7B2CD089">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1</w:t>
            </w:r>
          </w:p>
        </w:tc>
        <w:tc>
          <w:tcPr>
            <w:tcW w:w="1559" w:type="dxa"/>
            <w:tcBorders>
              <w:top w:val="single" w:color="auto" w:sz="4" w:space="0"/>
              <w:left w:val="single" w:color="auto" w:sz="4" w:space="0"/>
              <w:bottom w:val="single" w:color="auto" w:sz="4" w:space="0"/>
              <w:right w:val="single" w:color="auto" w:sz="4" w:space="0"/>
            </w:tcBorders>
            <w:vAlign w:val="center"/>
          </w:tcPr>
          <w:p w14:paraId="594C42A1">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BDE65F4">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4A6E3ACF">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791B95EF">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B63D18D">
            <w:pPr>
              <w:suppressAutoHyphens/>
              <w:autoSpaceDN w:val="0"/>
              <w:textAlignment w:val="baseline"/>
              <w:rPr>
                <w:rFonts w:hint="eastAsia" w:ascii="仿宋" w:hAnsi="仿宋" w:eastAsia="仿宋" w:cs="仿宋"/>
                <w:color w:val="auto"/>
                <w:kern w:val="3"/>
                <w:sz w:val="24"/>
                <w:highlight w:val="none"/>
              </w:rPr>
            </w:pPr>
          </w:p>
        </w:tc>
      </w:tr>
      <w:tr w14:paraId="6A01F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324C3A03">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2</w:t>
            </w:r>
          </w:p>
        </w:tc>
        <w:tc>
          <w:tcPr>
            <w:tcW w:w="1559" w:type="dxa"/>
            <w:tcBorders>
              <w:top w:val="single" w:color="auto" w:sz="4" w:space="0"/>
              <w:left w:val="single" w:color="auto" w:sz="4" w:space="0"/>
              <w:bottom w:val="single" w:color="auto" w:sz="4" w:space="0"/>
              <w:right w:val="single" w:color="auto" w:sz="4" w:space="0"/>
            </w:tcBorders>
            <w:vAlign w:val="center"/>
          </w:tcPr>
          <w:p w14:paraId="6FE97AFA">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5C0B6D79">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431A519">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042C677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45484F39">
            <w:pPr>
              <w:suppressAutoHyphens/>
              <w:autoSpaceDN w:val="0"/>
              <w:textAlignment w:val="baseline"/>
              <w:rPr>
                <w:rFonts w:hint="eastAsia" w:ascii="仿宋" w:hAnsi="仿宋" w:eastAsia="仿宋" w:cs="仿宋"/>
                <w:color w:val="auto"/>
                <w:kern w:val="3"/>
                <w:sz w:val="24"/>
                <w:highlight w:val="none"/>
              </w:rPr>
            </w:pPr>
          </w:p>
        </w:tc>
      </w:tr>
      <w:tr w14:paraId="71FAA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25973278">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3</w:t>
            </w:r>
          </w:p>
        </w:tc>
        <w:tc>
          <w:tcPr>
            <w:tcW w:w="1559" w:type="dxa"/>
            <w:tcBorders>
              <w:top w:val="single" w:color="auto" w:sz="4" w:space="0"/>
              <w:left w:val="single" w:color="auto" w:sz="4" w:space="0"/>
              <w:bottom w:val="single" w:color="auto" w:sz="4" w:space="0"/>
              <w:right w:val="single" w:color="auto" w:sz="4" w:space="0"/>
            </w:tcBorders>
            <w:vAlign w:val="center"/>
          </w:tcPr>
          <w:p w14:paraId="6CFC482E">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1DEB5081">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FF8A909">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6BD04B9F">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37D0876B">
            <w:pPr>
              <w:suppressAutoHyphens/>
              <w:autoSpaceDN w:val="0"/>
              <w:textAlignment w:val="baseline"/>
              <w:rPr>
                <w:rFonts w:hint="eastAsia" w:ascii="仿宋" w:hAnsi="仿宋" w:eastAsia="仿宋" w:cs="仿宋"/>
                <w:color w:val="auto"/>
                <w:kern w:val="3"/>
                <w:sz w:val="24"/>
                <w:highlight w:val="none"/>
              </w:rPr>
            </w:pPr>
          </w:p>
        </w:tc>
      </w:tr>
      <w:tr w14:paraId="7920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0D79410E">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4</w:t>
            </w:r>
          </w:p>
        </w:tc>
        <w:tc>
          <w:tcPr>
            <w:tcW w:w="1559" w:type="dxa"/>
            <w:tcBorders>
              <w:top w:val="single" w:color="auto" w:sz="4" w:space="0"/>
              <w:left w:val="single" w:color="auto" w:sz="4" w:space="0"/>
              <w:bottom w:val="single" w:color="auto" w:sz="4" w:space="0"/>
              <w:right w:val="single" w:color="auto" w:sz="4" w:space="0"/>
            </w:tcBorders>
            <w:vAlign w:val="center"/>
          </w:tcPr>
          <w:p w14:paraId="22D68EE2">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549296E">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F571734">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59A5C655">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A3860BE">
            <w:pPr>
              <w:suppressAutoHyphens/>
              <w:autoSpaceDN w:val="0"/>
              <w:textAlignment w:val="baseline"/>
              <w:rPr>
                <w:rFonts w:hint="eastAsia" w:ascii="仿宋" w:hAnsi="仿宋" w:eastAsia="仿宋" w:cs="仿宋"/>
                <w:color w:val="auto"/>
                <w:kern w:val="3"/>
                <w:sz w:val="24"/>
                <w:highlight w:val="none"/>
              </w:rPr>
            </w:pPr>
          </w:p>
        </w:tc>
      </w:tr>
      <w:tr w14:paraId="5510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118D9945">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5</w:t>
            </w:r>
          </w:p>
        </w:tc>
        <w:tc>
          <w:tcPr>
            <w:tcW w:w="1559" w:type="dxa"/>
            <w:tcBorders>
              <w:top w:val="single" w:color="auto" w:sz="4" w:space="0"/>
              <w:left w:val="single" w:color="auto" w:sz="4" w:space="0"/>
              <w:bottom w:val="single" w:color="auto" w:sz="4" w:space="0"/>
              <w:right w:val="single" w:color="auto" w:sz="4" w:space="0"/>
            </w:tcBorders>
            <w:vAlign w:val="center"/>
          </w:tcPr>
          <w:p w14:paraId="0C189C11">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9E32ED6">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306C0843">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254571F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E1338F5">
            <w:pPr>
              <w:suppressAutoHyphens/>
              <w:autoSpaceDN w:val="0"/>
              <w:textAlignment w:val="baseline"/>
              <w:rPr>
                <w:rFonts w:hint="eastAsia" w:ascii="仿宋" w:hAnsi="仿宋" w:eastAsia="仿宋" w:cs="仿宋"/>
                <w:color w:val="auto"/>
                <w:kern w:val="3"/>
                <w:sz w:val="24"/>
                <w:highlight w:val="none"/>
              </w:rPr>
            </w:pPr>
          </w:p>
        </w:tc>
      </w:tr>
      <w:tr w14:paraId="7C604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12DF3785">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w:t>
            </w:r>
          </w:p>
        </w:tc>
        <w:tc>
          <w:tcPr>
            <w:tcW w:w="1559" w:type="dxa"/>
            <w:tcBorders>
              <w:top w:val="single" w:color="auto" w:sz="4" w:space="0"/>
              <w:left w:val="single" w:color="auto" w:sz="4" w:space="0"/>
              <w:bottom w:val="single" w:color="auto" w:sz="4" w:space="0"/>
              <w:right w:val="single" w:color="auto" w:sz="4" w:space="0"/>
            </w:tcBorders>
            <w:vAlign w:val="center"/>
          </w:tcPr>
          <w:p w14:paraId="2529839C">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618AEE1">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5D3F61B">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5C419A1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062695E">
            <w:pPr>
              <w:suppressAutoHyphens/>
              <w:autoSpaceDN w:val="0"/>
              <w:textAlignment w:val="baseline"/>
              <w:rPr>
                <w:rFonts w:hint="eastAsia" w:ascii="仿宋" w:hAnsi="仿宋" w:eastAsia="仿宋" w:cs="仿宋"/>
                <w:color w:val="auto"/>
                <w:kern w:val="3"/>
                <w:sz w:val="24"/>
                <w:highlight w:val="none"/>
              </w:rPr>
            </w:pPr>
          </w:p>
        </w:tc>
      </w:tr>
    </w:tbl>
    <w:p w14:paraId="304241C8">
      <w:pPr>
        <w:autoSpaceDE w:val="0"/>
        <w:autoSpaceDN w:val="0"/>
        <w:spacing w:before="120" w:beforeLines="50"/>
        <w:ind w:firstLine="240" w:firstLineChars="100"/>
        <w:rPr>
          <w:rFonts w:hint="eastAsia" w:ascii="仿宋" w:hAnsi="仿宋" w:eastAsia="仿宋" w:cs="仿宋"/>
          <w:color w:val="auto"/>
          <w:kern w:val="0"/>
          <w:sz w:val="24"/>
          <w:highlight w:val="none"/>
        </w:rPr>
      </w:pPr>
    </w:p>
    <w:p w14:paraId="6C69A0C9">
      <w:p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注：</w:t>
      </w:r>
    </w:p>
    <w:p w14:paraId="74FD6114">
      <w:pPr>
        <w:numPr>
          <w:ilvl w:val="0"/>
          <w:numId w:val="0"/>
        </w:num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1.</w:t>
      </w:r>
      <w:r>
        <w:rPr>
          <w:rFonts w:hint="eastAsia" w:ascii="仿宋" w:hAnsi="仿宋" w:eastAsia="仿宋" w:cs="仿宋"/>
          <w:b/>
          <w:bCs/>
          <w:color w:val="auto"/>
          <w:kern w:val="0"/>
          <w:sz w:val="24"/>
          <w:highlight w:val="none"/>
        </w:rPr>
        <w:t>根据“第四章评标方法和评标标准”中的要求，提供相应证明材料；</w:t>
      </w:r>
    </w:p>
    <w:p w14:paraId="753ADA98">
      <w:pPr>
        <w:numPr>
          <w:ilvl w:val="0"/>
          <w:numId w:val="0"/>
        </w:num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2.</w:t>
      </w:r>
      <w:r>
        <w:rPr>
          <w:rFonts w:hint="eastAsia" w:ascii="仿宋" w:hAnsi="仿宋" w:eastAsia="仿宋" w:cs="仿宋"/>
          <w:b/>
          <w:bCs/>
          <w:color w:val="auto"/>
          <w:kern w:val="0"/>
          <w:sz w:val="24"/>
          <w:highlight w:val="none"/>
        </w:rPr>
        <w:t>所有复印件应清晰，并由投标人单位加盖公章。</w:t>
      </w:r>
    </w:p>
    <w:p w14:paraId="2EA5B335">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br w:type="page"/>
      </w:r>
    </w:p>
    <w:p w14:paraId="269A2C88">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中小企业声明函（实质性格式）</w:t>
      </w:r>
    </w:p>
    <w:p w14:paraId="4B696993">
      <w:pPr>
        <w:widowControl/>
        <w:spacing w:line="48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中小企业证明文件</w:t>
      </w:r>
    </w:p>
    <w:p w14:paraId="02A3C8E3">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说明：</w:t>
      </w:r>
    </w:p>
    <w:p w14:paraId="2D46FF61">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1）中小企业参加采购活动，应当出具《中小企业声明函》或《残疾人福利性单位声明函》或由省级以上监狱管理局、戒毒管理局（含新疆生产建设兵团）出具的属于监狱企业的证明文件，以证明中小企业身份。《中小企业声明函》由参加政府采购活动的供应商出具。联合体投标的，《中小企业声明函》可由牵头人出具。</w:t>
      </w:r>
    </w:p>
    <w:p w14:paraId="3B70092D">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31B5F094">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（3）对于多标的采购项目，供应商应充分、准确地了解所提供货物的制造企业、提供服务的承接企业信息。对相关情况了解不清楚的，不建议填报本声明函。</w:t>
      </w:r>
    </w:p>
    <w:p w14:paraId="003E33F7">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4）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如在该程序中未找到本项目文件规定的中小企业划分标准所属行业，则按照《关于印发中小企业划型标准规定的通知（工信部联企业﹝2011﹞300 号）》及本项目文件规定的中小企业划分标准所属行业执行。</w:t>
      </w:r>
    </w:p>
    <w:p w14:paraId="1405B0BB">
      <w:pPr>
        <w:spacing w:before="240" w:beforeLines="100" w:after="240" w:afterLines="100" w:line="360"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36"/>
          <w:szCs w:val="36"/>
          <w:highlight w:val="none"/>
        </w:rPr>
        <w:t>中小企业声明函（工程、服务）</w:t>
      </w:r>
    </w:p>
    <w:p w14:paraId="4E20B403">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本公司（联合体）郑重声明，根据《政府采购促进中小企业发展管理办法》（财库﹝2020﹞46 号）的规定，本公司（联合体）参加（</w:t>
      </w:r>
      <w:r>
        <w:rPr>
          <w:rFonts w:hint="eastAsia" w:ascii="仿宋" w:hAnsi="仿宋" w:eastAsia="仿宋" w:cs="仿宋"/>
          <w:color w:val="auto"/>
          <w:spacing w:val="6"/>
          <w:sz w:val="24"/>
          <w:highlight w:val="none"/>
          <w:lang w:eastAsia="zh-CN"/>
        </w:rPr>
        <w:t>北京市朝阳区教育服务保障中心</w:t>
      </w:r>
      <w:r>
        <w:rPr>
          <w:rFonts w:hint="eastAsia" w:ascii="仿宋" w:hAnsi="仿宋" w:eastAsia="仿宋" w:cs="仿宋"/>
          <w:color w:val="auto"/>
          <w:spacing w:val="6"/>
          <w:sz w:val="24"/>
          <w:highlight w:val="none"/>
        </w:rPr>
        <w:t>）的（</w:t>
      </w:r>
      <w:r>
        <w:rPr>
          <w:rFonts w:hint="eastAsia" w:ascii="仿宋" w:hAnsi="仿宋" w:eastAsia="仿宋" w:cs="仿宋"/>
          <w:color w:val="auto"/>
          <w:spacing w:val="6"/>
          <w:sz w:val="24"/>
          <w:highlight w:val="none"/>
          <w:lang w:eastAsia="zh-CN"/>
        </w:rPr>
        <w:t>2026年北京市朝阳区教育服务保障中心及其所属幼儿园保安服务项目</w:t>
      </w:r>
      <w:r>
        <w:rPr>
          <w:rFonts w:hint="eastAsia" w:ascii="仿宋" w:hAnsi="仿宋" w:eastAsia="仿宋" w:cs="仿宋"/>
          <w:color w:val="auto"/>
          <w:spacing w:val="6"/>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4A234D9">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1.</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2026年北京市朝阳区教育服务保障中心及其所属幼儿园保安服务项目（一标包）</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租赁和商务服务业</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行业；承建（承接）企业为</w:t>
      </w:r>
      <w:r>
        <w:rPr>
          <w:rFonts w:hint="eastAsia" w:ascii="仿宋" w:hAnsi="仿宋" w:eastAsia="仿宋" w:cs="仿宋"/>
          <w:color w:val="auto"/>
          <w:spacing w:val="6"/>
          <w:sz w:val="24"/>
          <w:highlight w:val="none"/>
          <w:u w:val="single"/>
        </w:rPr>
        <w:t>（企业名称）</w:t>
      </w:r>
      <w:r>
        <w:rPr>
          <w:rFonts w:hint="eastAsia" w:ascii="仿宋" w:hAnsi="仿宋" w:eastAsia="仿宋" w:cs="仿宋"/>
          <w:color w:val="auto"/>
          <w:spacing w:val="6"/>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w:t>
      </w:r>
      <w:r>
        <w:rPr>
          <w:rFonts w:hint="eastAsia" w:ascii="仿宋" w:hAnsi="仿宋" w:eastAsia="仿宋" w:cs="仿宋"/>
          <w:color w:val="auto"/>
          <w:spacing w:val="6"/>
          <w:sz w:val="24"/>
          <w:highlight w:val="none"/>
          <w:vertAlign w:val="superscript"/>
        </w:rPr>
        <w:t>1</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（中型企业、小型企业、微型企业）</w:t>
      </w:r>
      <w:r>
        <w:rPr>
          <w:rFonts w:hint="eastAsia" w:ascii="仿宋" w:hAnsi="仿宋" w:eastAsia="仿宋" w:cs="仿宋"/>
          <w:color w:val="auto"/>
          <w:spacing w:val="6"/>
          <w:sz w:val="24"/>
          <w:highlight w:val="none"/>
        </w:rPr>
        <w:t>；</w:t>
      </w:r>
    </w:p>
    <w:p w14:paraId="24B9DCF2">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2.</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2026年北京市朝阳区教育服务保障中心及其所属幼儿园保安服务项目（一标包）</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租赁和商务服务业</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行业；承建（承接）企业为</w:t>
      </w:r>
      <w:r>
        <w:rPr>
          <w:rFonts w:hint="eastAsia" w:ascii="仿宋" w:hAnsi="仿宋" w:eastAsia="仿宋" w:cs="仿宋"/>
          <w:color w:val="auto"/>
          <w:spacing w:val="6"/>
          <w:sz w:val="24"/>
          <w:highlight w:val="none"/>
          <w:u w:val="single"/>
        </w:rPr>
        <w:t>（企业名称）</w:t>
      </w:r>
      <w:r>
        <w:rPr>
          <w:rFonts w:hint="eastAsia" w:ascii="仿宋" w:hAnsi="仿宋" w:eastAsia="仿宋" w:cs="仿宋"/>
          <w:color w:val="auto"/>
          <w:spacing w:val="6"/>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w:t>
      </w:r>
      <w:r>
        <w:rPr>
          <w:rFonts w:hint="eastAsia" w:ascii="仿宋" w:hAnsi="仿宋" w:eastAsia="仿宋" w:cs="仿宋"/>
          <w:color w:val="auto"/>
          <w:spacing w:val="6"/>
          <w:sz w:val="24"/>
          <w:highlight w:val="none"/>
          <w:vertAlign w:val="superscript"/>
        </w:rPr>
        <w:t>1</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（中型企业、小型企业、微型企业）</w:t>
      </w:r>
      <w:r>
        <w:rPr>
          <w:rFonts w:hint="eastAsia" w:ascii="仿宋" w:hAnsi="仿宋" w:eastAsia="仿宋" w:cs="仿宋"/>
          <w:color w:val="auto"/>
          <w:spacing w:val="6"/>
          <w:sz w:val="24"/>
          <w:highlight w:val="none"/>
        </w:rPr>
        <w:t>；</w:t>
      </w:r>
    </w:p>
    <w:p w14:paraId="73240D23">
      <w:pPr>
        <w:spacing w:line="360" w:lineRule="auto"/>
        <w:ind w:firstLine="504"/>
        <w:rPr>
          <w:rFonts w:hint="eastAsia" w:ascii="仿宋" w:hAnsi="仿宋" w:eastAsia="仿宋" w:cs="仿宋"/>
          <w:color w:val="auto"/>
          <w:spacing w:val="6"/>
          <w:sz w:val="24"/>
          <w:highlight w:val="none"/>
        </w:rPr>
      </w:pPr>
    </w:p>
    <w:p w14:paraId="3581B4CC">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w:t>
      </w:r>
    </w:p>
    <w:p w14:paraId="1F12B0A9">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以上企业，不属于大企业的分支机构，不存在控股股东为大企业的情形，也不存在与大企业的负责人为同一人的情形。</w:t>
      </w:r>
    </w:p>
    <w:p w14:paraId="73817C7B">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本企业对上述声明内容的真实性负责。如有虚假，将依法承担相应责任。</w:t>
      </w:r>
    </w:p>
    <w:p w14:paraId="570285E6">
      <w:pPr>
        <w:spacing w:line="360" w:lineRule="auto"/>
        <w:ind w:right="360" w:firstLine="480"/>
        <w:jc w:val="right"/>
        <w:rPr>
          <w:rFonts w:hint="eastAsia" w:ascii="仿宋" w:hAnsi="仿宋" w:eastAsia="仿宋" w:cs="仿宋"/>
          <w:color w:val="auto"/>
          <w:sz w:val="24"/>
          <w:highlight w:val="none"/>
        </w:rPr>
      </w:pPr>
    </w:p>
    <w:p w14:paraId="1F554EEA">
      <w:pPr>
        <w:spacing w:line="360" w:lineRule="auto"/>
        <w:ind w:right="360" w:firstLine="48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企业名称（盖章）：______</w:t>
      </w:r>
    </w:p>
    <w:p w14:paraId="0B780633">
      <w:pPr>
        <w:spacing w:line="360" w:lineRule="auto"/>
        <w:ind w:right="360" w:firstLine="48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期：______</w:t>
      </w:r>
    </w:p>
    <w:p w14:paraId="10673B04">
      <w:pPr>
        <w:spacing w:line="360" w:lineRule="auto"/>
        <w:ind w:right="360" w:firstLine="480"/>
        <w:jc w:val="right"/>
        <w:rPr>
          <w:rFonts w:hint="eastAsia" w:ascii="仿宋" w:hAnsi="仿宋" w:eastAsia="仿宋" w:cs="仿宋"/>
          <w:color w:val="auto"/>
          <w:sz w:val="24"/>
          <w:highlight w:val="none"/>
        </w:rPr>
      </w:pPr>
    </w:p>
    <w:p w14:paraId="6C2D4DAC">
      <w:pPr>
        <w:adjustRightInd w:val="0"/>
        <w:snapToGrid w:val="0"/>
        <w:jc w:val="left"/>
        <w:rPr>
          <w:rFonts w:hint="eastAsia" w:ascii="仿宋" w:hAnsi="仿宋" w:eastAsia="仿宋" w:cs="仿宋"/>
          <w:color w:val="auto"/>
          <w:sz w:val="24"/>
          <w:szCs w:val="21"/>
          <w:highlight w:val="none"/>
        </w:rPr>
      </w:pPr>
    </w:p>
    <w:tbl>
      <w:tblPr>
        <w:tblStyle w:val="45"/>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46"/>
      </w:tblGrid>
      <w:tr w14:paraId="27922D0E">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shd w:val="clear" w:color="auto" w:fill="auto"/>
          </w:tcPr>
          <w:p w14:paraId="4A40BCCA">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vertAlign w:val="superscript"/>
              </w:rPr>
              <w:t>1</w:t>
            </w:r>
            <w:r>
              <w:rPr>
                <w:rFonts w:hint="eastAsia" w:ascii="仿宋" w:hAnsi="仿宋" w:eastAsia="仿宋" w:cs="仿宋"/>
                <w:color w:val="auto"/>
                <w:szCs w:val="21"/>
                <w:highlight w:val="none"/>
              </w:rPr>
              <w:t>从业人员、营业收入、资产总额填报上一年度数据，无上一年度数据的新成立企业可不填报。</w:t>
            </w:r>
          </w:p>
        </w:tc>
      </w:tr>
    </w:tbl>
    <w:p w14:paraId="4B293924">
      <w:pPr>
        <w:widowControl/>
        <w:spacing w:line="276" w:lineRule="auto"/>
        <w:ind w:firstLine="480" w:firstLineChars="200"/>
        <w:jc w:val="center"/>
        <w:rPr>
          <w:rFonts w:hint="eastAsia" w:ascii="仿宋" w:hAnsi="仿宋" w:eastAsia="仿宋" w:cs="仿宋"/>
          <w:b/>
          <w:bCs/>
          <w:color w:val="auto"/>
          <w:kern w:val="28"/>
          <w:sz w:val="32"/>
          <w:szCs w:val="32"/>
          <w:highlight w:val="none"/>
        </w:rPr>
      </w:pPr>
      <w:r>
        <w:rPr>
          <w:rFonts w:hint="eastAsia" w:ascii="仿宋" w:hAnsi="仿宋" w:eastAsia="仿宋" w:cs="仿宋"/>
          <w:color w:val="auto"/>
          <w:sz w:val="24"/>
          <w:highlight w:val="none"/>
        </w:rPr>
        <w:br w:type="page"/>
      </w:r>
      <w:r>
        <w:rPr>
          <w:rFonts w:hint="eastAsia" w:ascii="仿宋" w:hAnsi="仿宋" w:eastAsia="仿宋" w:cs="仿宋"/>
          <w:b/>
          <w:bCs/>
          <w:color w:val="auto"/>
          <w:kern w:val="28"/>
          <w:sz w:val="32"/>
          <w:szCs w:val="32"/>
          <w:highlight w:val="none"/>
        </w:rPr>
        <w:t>残疾人福利性单位声明函</w:t>
      </w:r>
    </w:p>
    <w:p w14:paraId="7D892F34">
      <w:pPr>
        <w:spacing w:line="588" w:lineRule="exact"/>
        <w:ind w:firstLine="504"/>
        <w:rPr>
          <w:rFonts w:hint="eastAsia" w:ascii="仿宋" w:hAnsi="仿宋" w:eastAsia="仿宋" w:cs="仿宋"/>
          <w:color w:val="auto"/>
          <w:spacing w:val="6"/>
          <w:sz w:val="24"/>
          <w:highlight w:val="none"/>
        </w:rPr>
      </w:pPr>
    </w:p>
    <w:p w14:paraId="1DEC39CA">
      <w:pPr>
        <w:spacing w:line="588" w:lineRule="exact"/>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本单位郑重声明，根据《财政部 民政部 中国残疾人联合会关于促进残疾人就业政府采购政策的通知》（财库</w:t>
      </w:r>
      <w:r>
        <w:rPr>
          <w:rFonts w:hint="eastAsia" w:ascii="仿宋" w:hAnsi="仿宋" w:eastAsia="仿宋" w:cs="仿宋"/>
          <w:color w:val="auto"/>
          <w:sz w:val="24"/>
          <w:highlight w:val="none"/>
        </w:rPr>
        <w:t>〔2017〕 141</w:t>
      </w:r>
      <w:r>
        <w:rPr>
          <w:rFonts w:hint="eastAsia" w:ascii="仿宋" w:hAnsi="仿宋" w:eastAsia="仿宋" w:cs="仿宋"/>
          <w:color w:val="auto"/>
          <w:spacing w:val="6"/>
          <w:sz w:val="24"/>
          <w:highlight w:val="none"/>
        </w:rPr>
        <w:t>号）的规定，本单位</w:t>
      </w:r>
      <w:r>
        <w:rPr>
          <w:rFonts w:hint="eastAsia" w:ascii="仿宋" w:hAnsi="仿宋" w:eastAsia="仿宋" w:cs="仿宋"/>
          <w:b/>
          <w:color w:val="auto"/>
          <w:sz w:val="24"/>
          <w:highlight w:val="none"/>
        </w:rPr>
        <w:t>（请进行勾选）</w:t>
      </w:r>
      <w:r>
        <w:rPr>
          <w:rFonts w:hint="eastAsia" w:ascii="仿宋" w:hAnsi="仿宋" w:eastAsia="仿宋" w:cs="仿宋"/>
          <w:color w:val="auto"/>
          <w:spacing w:val="6"/>
          <w:sz w:val="24"/>
          <w:highlight w:val="none"/>
        </w:rPr>
        <w:t>：</w:t>
      </w:r>
    </w:p>
    <w:p w14:paraId="306EC1B7">
      <w:pPr>
        <w:spacing w:line="588" w:lineRule="exact"/>
        <w:ind w:firstLine="482"/>
        <w:rPr>
          <w:rFonts w:hint="eastAsia" w:ascii="仿宋" w:hAnsi="仿宋" w:eastAsia="仿宋" w:cs="仿宋"/>
          <w:b/>
          <w:color w:val="auto"/>
          <w:spacing w:val="6"/>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pacing w:val="6"/>
          <w:sz w:val="24"/>
          <w:highlight w:val="none"/>
        </w:rPr>
        <w:t>不属于符合条件的残疾人福利性单位。</w:t>
      </w:r>
    </w:p>
    <w:p w14:paraId="4A205DDC">
      <w:pPr>
        <w:spacing w:line="588" w:lineRule="exact"/>
        <w:ind w:firstLine="482"/>
        <w:rPr>
          <w:rFonts w:hint="eastAsia" w:ascii="仿宋" w:hAnsi="仿宋" w:eastAsia="仿宋" w:cs="仿宋"/>
          <w:color w:val="auto"/>
          <w:spacing w:val="6"/>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pacing w:val="6"/>
          <w:sz w:val="24"/>
          <w:highlight w:val="none"/>
        </w:rPr>
        <w:t>属于符合条件的残疾人福利性单位，</w:t>
      </w:r>
      <w:r>
        <w:rPr>
          <w:rFonts w:hint="eastAsia" w:ascii="仿宋" w:hAnsi="仿宋" w:eastAsia="仿宋" w:cs="仿宋"/>
          <w:color w:val="auto"/>
          <w:spacing w:val="6"/>
          <w:sz w:val="24"/>
          <w:highlight w:val="none"/>
        </w:rPr>
        <w:t>且本单位参加</w:t>
      </w:r>
      <w:r>
        <w:rPr>
          <w:rFonts w:hint="eastAsia" w:ascii="仿宋" w:hAnsi="仿宋" w:eastAsia="仿宋" w:cs="仿宋"/>
          <w:color w:val="auto"/>
          <w:sz w:val="24"/>
          <w:highlight w:val="none"/>
        </w:rPr>
        <w:t>______</w:t>
      </w:r>
      <w:r>
        <w:rPr>
          <w:rFonts w:hint="eastAsia" w:ascii="仿宋" w:hAnsi="仿宋" w:eastAsia="仿宋" w:cs="仿宋"/>
          <w:color w:val="auto"/>
          <w:spacing w:val="6"/>
          <w:sz w:val="24"/>
          <w:highlight w:val="none"/>
        </w:rPr>
        <w:t>单位的</w:t>
      </w:r>
      <w:r>
        <w:rPr>
          <w:rFonts w:hint="eastAsia" w:ascii="仿宋" w:hAnsi="仿宋" w:eastAsia="仿宋" w:cs="仿宋"/>
          <w:color w:val="auto"/>
          <w:sz w:val="24"/>
          <w:highlight w:val="none"/>
        </w:rPr>
        <w:t>______</w:t>
      </w:r>
      <w:r>
        <w:rPr>
          <w:rFonts w:hint="eastAsia" w:ascii="仿宋" w:hAnsi="仿宋" w:eastAsia="仿宋" w:cs="仿宋"/>
          <w:color w:val="auto"/>
          <w:spacing w:val="6"/>
          <w:sz w:val="24"/>
          <w:highlight w:val="none"/>
        </w:rPr>
        <w:t>项目采购活动提供本单位制造的货物（由本单位承担工程/提供服务），或者提供其他残疾人福利性单位制造的货物（不包括使用非残疾人福利性单位注册商标的货物）。</w:t>
      </w:r>
    </w:p>
    <w:p w14:paraId="0270B9C1">
      <w:pPr>
        <w:spacing w:line="588" w:lineRule="exact"/>
        <w:ind w:firstLine="506" w:firstLineChars="200"/>
        <w:rPr>
          <w:rFonts w:hint="eastAsia" w:ascii="仿宋" w:hAnsi="仿宋" w:eastAsia="仿宋" w:cs="仿宋"/>
          <w:color w:val="auto"/>
          <w:spacing w:val="6"/>
          <w:sz w:val="24"/>
          <w:highlight w:val="none"/>
        </w:rPr>
      </w:pPr>
      <w:r>
        <w:rPr>
          <w:rFonts w:hint="eastAsia" w:ascii="仿宋" w:hAnsi="仿宋" w:eastAsia="仿宋" w:cs="仿宋"/>
          <w:b/>
          <w:color w:val="auto"/>
          <w:spacing w:val="6"/>
          <w:sz w:val="24"/>
          <w:highlight w:val="none"/>
        </w:rPr>
        <w:t>本单位对上述声明的真实性负责。如有虚假，将依法承担相应责任。</w:t>
      </w:r>
    </w:p>
    <w:p w14:paraId="37118E83">
      <w:pPr>
        <w:spacing w:line="588" w:lineRule="exact"/>
        <w:ind w:firstLine="504" w:firstLineChars="200"/>
        <w:rPr>
          <w:rFonts w:hint="eastAsia" w:ascii="仿宋" w:hAnsi="仿宋" w:eastAsia="仿宋" w:cs="仿宋"/>
          <w:color w:val="auto"/>
          <w:spacing w:val="6"/>
          <w:sz w:val="24"/>
          <w:highlight w:val="none"/>
        </w:rPr>
      </w:pPr>
    </w:p>
    <w:p w14:paraId="0F4871C2">
      <w:pPr>
        <w:spacing w:line="588" w:lineRule="exact"/>
        <w:ind w:firstLine="504" w:firstLineChars="200"/>
        <w:rPr>
          <w:rFonts w:hint="eastAsia" w:ascii="仿宋" w:hAnsi="仿宋" w:eastAsia="仿宋" w:cs="仿宋"/>
          <w:color w:val="auto"/>
          <w:spacing w:val="6"/>
          <w:sz w:val="24"/>
          <w:highlight w:val="none"/>
        </w:rPr>
      </w:pPr>
    </w:p>
    <w:p w14:paraId="5CD62156">
      <w:pPr>
        <w:tabs>
          <w:tab w:val="left" w:pos="4860"/>
        </w:tabs>
        <w:spacing w:line="588" w:lineRule="exact"/>
        <w:ind w:right="1560" w:firstLine="504" w:firstLineChars="200"/>
        <w:jc w:val="right"/>
        <w:rPr>
          <w:rFonts w:hint="eastAsia" w:ascii="仿宋" w:hAnsi="仿宋" w:eastAsia="仿宋" w:cs="仿宋"/>
          <w:color w:val="auto"/>
          <w:sz w:val="24"/>
          <w:highlight w:val="none"/>
        </w:rPr>
      </w:pPr>
      <w:r>
        <w:rPr>
          <w:rFonts w:hint="eastAsia" w:ascii="仿宋" w:hAnsi="仿宋" w:eastAsia="仿宋" w:cs="仿宋"/>
          <w:color w:val="auto"/>
          <w:spacing w:val="6"/>
          <w:sz w:val="24"/>
          <w:highlight w:val="none"/>
        </w:rPr>
        <w:t xml:space="preserve">          单位名称（盖章）：</w:t>
      </w:r>
      <w:r>
        <w:rPr>
          <w:rFonts w:hint="eastAsia" w:ascii="仿宋" w:hAnsi="仿宋" w:eastAsia="仿宋" w:cs="仿宋"/>
          <w:color w:val="auto"/>
          <w:sz w:val="24"/>
          <w:highlight w:val="none"/>
        </w:rPr>
        <w:t>______</w:t>
      </w:r>
    </w:p>
    <w:p w14:paraId="71BF6FD5">
      <w:pPr>
        <w:tabs>
          <w:tab w:val="left" w:pos="4860"/>
        </w:tabs>
        <w:spacing w:line="240" w:lineRule="auto"/>
        <w:ind w:right="0" w:firstLine="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 期：______</w:t>
      </w:r>
    </w:p>
    <w:p w14:paraId="39B76096">
      <w:pPr>
        <w:tabs>
          <w:tab w:val="left" w:pos="1800"/>
          <w:tab w:val="left" w:pos="5580"/>
        </w:tabs>
        <w:jc w:val="left"/>
        <w:rPr>
          <w:rFonts w:hint="eastAsia" w:ascii="仿宋" w:hAnsi="仿宋" w:eastAsia="仿宋" w:cs="仿宋"/>
          <w:color w:val="auto"/>
          <w:sz w:val="24"/>
          <w:highlight w:val="none"/>
        </w:rPr>
      </w:pPr>
    </w:p>
    <w:p w14:paraId="6CA70BEF">
      <w:pPr>
        <w:widowControl/>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724F69D0">
      <w:pPr>
        <w:numPr>
          <w:ilvl w:val="0"/>
          <w:numId w:val="15"/>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lang w:val="en-US" w:eastAsia="zh-CN"/>
        </w:rPr>
        <w:t xml:space="preserve"> </w:t>
      </w:r>
      <w:r>
        <w:rPr>
          <w:rFonts w:hint="eastAsia" w:ascii="仿宋" w:hAnsi="仿宋" w:eastAsia="仿宋" w:cs="仿宋"/>
          <w:color w:val="auto"/>
          <w:sz w:val="24"/>
          <w:szCs w:val="20"/>
          <w:highlight w:val="none"/>
        </w:rPr>
        <w:t>项目实施（服务）方案</w:t>
      </w:r>
    </w:p>
    <w:p w14:paraId="25E409A2">
      <w:pPr>
        <w:widowControl/>
        <w:suppressAutoHyphens/>
        <w:autoSpaceDN w:val="0"/>
        <w:spacing w:line="480" w:lineRule="auto"/>
        <w:textAlignment w:val="baseline"/>
        <w:rPr>
          <w:rFonts w:hint="eastAsia" w:ascii="仿宋" w:hAnsi="仿宋" w:eastAsia="仿宋" w:cs="仿宋"/>
          <w:color w:val="auto"/>
          <w:sz w:val="24"/>
          <w:highlight w:val="none"/>
        </w:rPr>
      </w:pPr>
    </w:p>
    <w:p w14:paraId="658A7417">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由</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根据招标文件要求及自身情况自行编写，包括但不限于：</w:t>
      </w:r>
    </w:p>
    <w:p w14:paraId="01B70FED">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（1）详细的项目实施方案；</w:t>
      </w:r>
    </w:p>
    <w:p w14:paraId="07179CEA">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（2）服务内容承诺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如涉及）</w:t>
      </w:r>
      <w:r>
        <w:rPr>
          <w:rFonts w:hint="eastAsia" w:ascii="仿宋" w:hAnsi="仿宋" w:eastAsia="仿宋" w:cs="仿宋"/>
          <w:color w:val="auto"/>
          <w:sz w:val="24"/>
          <w:highlight w:val="none"/>
        </w:rPr>
        <w:t>；</w:t>
      </w:r>
    </w:p>
    <w:p w14:paraId="0243AA62">
      <w:pPr>
        <w:autoSpaceDE w:val="0"/>
        <w:autoSpaceDN w:val="0"/>
        <w:adjustRightInd w:val="0"/>
        <w:snapToGrid w:val="0"/>
        <w:spacing w:before="25" w:after="25"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（3）招标文件要求投标人提交其它文件。</w:t>
      </w:r>
    </w:p>
    <w:p w14:paraId="6C086129">
      <w:pPr>
        <w:widowControl/>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366763E0">
      <w:pPr>
        <w:widowControl/>
        <w:jc w:val="left"/>
        <w:rPr>
          <w:rFonts w:hint="eastAsia" w:ascii="仿宋" w:hAnsi="仿宋" w:eastAsia="仿宋" w:cs="仿宋"/>
          <w:color w:val="auto"/>
          <w:sz w:val="24"/>
          <w:szCs w:val="20"/>
          <w:highlight w:val="none"/>
          <w:lang w:val="en-US" w:eastAsia="zh-CN"/>
        </w:rPr>
        <w:sectPr>
          <w:pgSz w:w="11907" w:h="16840"/>
          <w:pgMar w:top="1440" w:right="1080" w:bottom="1440" w:left="1080" w:header="851" w:footer="851" w:gutter="0"/>
          <w:pgNumType w:fmt="decimal"/>
          <w:cols w:space="720" w:num="1"/>
          <w:docGrid w:linePitch="462" w:charSpace="0"/>
        </w:sectPr>
      </w:pPr>
    </w:p>
    <w:p w14:paraId="20E501B9">
      <w:pPr>
        <w:widowControl/>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11  承诺函（实质性格式）</w:t>
      </w:r>
    </w:p>
    <w:p w14:paraId="2FA1024C">
      <w:pPr>
        <w:autoSpaceDE w:val="0"/>
        <w:autoSpaceDN w:val="0"/>
        <w:adjustRightInd w:val="0"/>
        <w:spacing w:line="360" w:lineRule="auto"/>
        <w:jc w:val="center"/>
        <w:rPr>
          <w:rFonts w:hint="eastAsia" w:ascii="仿宋" w:hAnsi="仿宋" w:eastAsia="仿宋" w:cs="仿宋"/>
          <w:b/>
          <w:color w:val="auto"/>
          <w:sz w:val="36"/>
          <w:szCs w:val="36"/>
          <w:highlight w:val="none"/>
        </w:rPr>
      </w:pPr>
    </w:p>
    <w:p w14:paraId="271DF3D2">
      <w:pPr>
        <w:autoSpaceDE w:val="0"/>
        <w:autoSpaceDN w:val="0"/>
        <w:adjustRightInd w:val="0"/>
        <w:spacing w:line="360" w:lineRule="auto"/>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承诺函</w:t>
      </w:r>
    </w:p>
    <w:p w14:paraId="6C4B71ED">
      <w:pPr>
        <w:spacing w:line="360" w:lineRule="auto"/>
        <w:rPr>
          <w:rFonts w:ascii="仿宋" w:hAnsi="仿宋" w:eastAsia="仿宋" w:cs="仿宋"/>
          <w:color w:val="auto"/>
          <w:highlight w:val="none"/>
        </w:rPr>
      </w:pPr>
    </w:p>
    <w:p w14:paraId="3C44ECB6">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北京市朝阳区教育服务保障中心</w:t>
      </w:r>
    </w:p>
    <w:p w14:paraId="4D33C2AE">
      <w:pPr>
        <w:spacing w:line="360" w:lineRule="auto"/>
        <w:rPr>
          <w:rFonts w:ascii="仿宋" w:hAnsi="仿宋" w:eastAsia="仿宋" w:cs="仿宋"/>
          <w:color w:val="auto"/>
          <w:sz w:val="24"/>
          <w:highlight w:val="none"/>
        </w:rPr>
      </w:pPr>
    </w:p>
    <w:p w14:paraId="17049A3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我方参与投标的</w:t>
      </w:r>
      <w:r>
        <w:rPr>
          <w:rFonts w:hint="eastAsia" w:ascii="仿宋" w:hAnsi="仿宋" w:eastAsia="仿宋" w:cs="仿宋"/>
          <w:color w:val="auto"/>
          <w:sz w:val="24"/>
          <w:highlight w:val="none"/>
          <w:u w:val="singl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中若获中标，我方承诺拟派人员在上岗前具备保安员证、北京市卫生系统健康证明、无犯罪记录证明，且年龄在50周岁以下，在合同履行过程中我方随时接受采购人的监督与检查。若违反此承诺，我方自愿承担由此造成的一切后果。</w:t>
      </w:r>
    </w:p>
    <w:p w14:paraId="1471D927">
      <w:pPr>
        <w:spacing w:line="360" w:lineRule="auto"/>
        <w:rPr>
          <w:rFonts w:ascii="仿宋" w:hAnsi="仿宋" w:eastAsia="仿宋" w:cs="仿宋"/>
          <w:color w:val="auto"/>
          <w:sz w:val="24"/>
          <w:highlight w:val="none"/>
        </w:rPr>
      </w:pPr>
    </w:p>
    <w:p w14:paraId="5A3857D5">
      <w:pPr>
        <w:spacing w:line="360" w:lineRule="auto"/>
        <w:rPr>
          <w:rFonts w:ascii="仿宋" w:hAnsi="仿宋" w:eastAsia="仿宋" w:cs="仿宋"/>
          <w:color w:val="auto"/>
          <w:sz w:val="24"/>
          <w:highlight w:val="none"/>
        </w:rPr>
      </w:pPr>
    </w:p>
    <w:p w14:paraId="50F0DA55">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特此承诺。</w:t>
      </w:r>
    </w:p>
    <w:p w14:paraId="183E9D70">
      <w:pPr>
        <w:spacing w:line="360" w:lineRule="auto"/>
        <w:rPr>
          <w:rFonts w:ascii="仿宋" w:hAnsi="仿宋" w:eastAsia="仿宋" w:cs="仿宋"/>
          <w:color w:val="auto"/>
          <w:sz w:val="24"/>
          <w:highlight w:val="none"/>
        </w:rPr>
      </w:pPr>
    </w:p>
    <w:p w14:paraId="5BA28A03">
      <w:pPr>
        <w:spacing w:line="360" w:lineRule="auto"/>
        <w:rPr>
          <w:rFonts w:ascii="仿宋" w:hAnsi="仿宋" w:eastAsia="仿宋" w:cs="仿宋"/>
          <w:color w:val="auto"/>
          <w:sz w:val="24"/>
          <w:highlight w:val="none"/>
        </w:rPr>
      </w:pPr>
    </w:p>
    <w:p w14:paraId="4CC25615">
      <w:pPr>
        <w:spacing w:line="360" w:lineRule="auto"/>
        <w:rPr>
          <w:rFonts w:ascii="仿宋" w:hAnsi="仿宋" w:eastAsia="仿宋" w:cs="仿宋"/>
          <w:color w:val="auto"/>
          <w:sz w:val="24"/>
          <w:highlight w:val="none"/>
        </w:rPr>
      </w:pPr>
    </w:p>
    <w:p w14:paraId="65038CD6">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7A08CF23">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szCs w:val="20"/>
          <w:highlight w:val="none"/>
          <w:lang w:val="en-US" w:eastAsia="zh-CN"/>
        </w:rPr>
        <w:t>或</w:t>
      </w:r>
      <w:r>
        <w:rPr>
          <w:rFonts w:hint="eastAsia" w:ascii="仿宋" w:hAnsi="仿宋" w:eastAsia="仿宋" w:cs="仿宋"/>
          <w:color w:val="auto"/>
          <w:sz w:val="24"/>
          <w:highlight w:val="none"/>
        </w:rPr>
        <w:t>委托代理人</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 xml:space="preserve">________________                    </w:t>
      </w:r>
    </w:p>
    <w:p w14:paraId="43FF0ED8">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028AAAAE">
      <w:pPr>
        <w:widowControl/>
        <w:jc w:val="left"/>
        <w:rPr>
          <w:rFonts w:hint="eastAsia" w:ascii="仿宋" w:hAnsi="仿宋" w:eastAsia="仿宋" w:cs="仿宋"/>
          <w:color w:val="auto"/>
          <w:sz w:val="24"/>
          <w:szCs w:val="20"/>
          <w:highlight w:val="none"/>
          <w:lang w:val="en-US" w:eastAsia="zh-CN"/>
        </w:rPr>
        <w:sectPr>
          <w:pgSz w:w="11907" w:h="16840"/>
          <w:pgMar w:top="1440" w:right="1080" w:bottom="1440" w:left="1080" w:header="851" w:footer="851" w:gutter="0"/>
          <w:pgNumType w:fmt="decimal"/>
          <w:cols w:space="720" w:num="1"/>
          <w:docGrid w:linePitch="462" w:charSpace="0"/>
        </w:sectPr>
      </w:pPr>
    </w:p>
    <w:p w14:paraId="4072DAAA">
      <w:pPr>
        <w:widowControl/>
        <w:jc w:val="left"/>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 xml:space="preserve">12  </w:t>
      </w:r>
      <w:r>
        <w:rPr>
          <w:rFonts w:hint="eastAsia" w:ascii="仿宋" w:hAnsi="仿宋" w:eastAsia="仿宋" w:cs="仿宋"/>
          <w:color w:val="auto"/>
          <w:sz w:val="24"/>
          <w:szCs w:val="20"/>
          <w:highlight w:val="none"/>
        </w:rPr>
        <w:t>招标文件要求提供或投标人认为应附的其他</w:t>
      </w:r>
      <w:r>
        <w:rPr>
          <w:rFonts w:hint="eastAsia" w:ascii="仿宋" w:hAnsi="仿宋" w:eastAsia="仿宋" w:cs="仿宋"/>
          <w:color w:val="auto"/>
          <w:sz w:val="24"/>
          <w:szCs w:val="20"/>
          <w:highlight w:val="none"/>
          <w:lang w:val="en-US" w:eastAsia="zh-CN"/>
        </w:rPr>
        <w:t>材料</w:t>
      </w:r>
    </w:p>
    <w:sectPr>
      <w:pgSz w:w="11907" w:h="16840"/>
      <w:pgMar w:top="1440" w:right="1080" w:bottom="1440" w:left="1080" w:header="851" w:footer="851" w:gutter="0"/>
      <w:pgNumType w:fmt="decimal"/>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5A68B">
    <w:pPr>
      <w:pStyle w:val="3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8172ED">
                          <w:pPr>
                            <w:pStyle w:val="3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D8172ED">
                    <w:pPr>
                      <w:pStyle w:val="3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4C85C">
    <w:pPr>
      <w:pStyle w:val="3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26D3B2">
                          <w:pPr>
                            <w:pStyle w:val="30"/>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A26D3B2">
                    <w:pPr>
                      <w:pStyle w:val="30"/>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F5E25">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550825FA">
    <w:pPr>
      <w:pStyle w:val="30"/>
      <w:ind w:right="360"/>
    </w:pPr>
  </w:p>
  <w:p w14:paraId="0CDEE4D5"/>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6F193">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B58F1">
    <w:pPr>
      <w:pStyle w:val="30"/>
      <w:tabs>
        <w:tab w:val="center" w:pos="4870"/>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6608C9">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86608C9">
                    <w:pPr>
                      <w:pStyle w:val="3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9EB9F">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2D982EB1">
    <w:pPr>
      <w:pStyle w:val="3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F8D4F">
    <w:pPr>
      <w:pStyle w:val="3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627EE">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73B6C0AE">
    <w:pPr>
      <w:pStyle w:val="30"/>
      <w:ind w:right="360"/>
    </w:pPr>
  </w:p>
  <w:p w14:paraId="450AD0A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98956">
    <w:pPr>
      <w:pStyle w:val="30"/>
    </w:pPr>
  </w:p>
  <w:p w14:paraId="4A868DC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5277E">
    <w:pPr>
      <w:spacing w:line="230" w:lineRule="auto"/>
      <w:ind w:left="4083"/>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6EF811">
                          <w:pPr>
                            <w:pStyle w:val="30"/>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F6EF811">
                    <w:pPr>
                      <w:pStyle w:val="30"/>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5A796">
    <w:pPr>
      <w:spacing w:line="229" w:lineRule="auto"/>
      <w:ind w:left="4123"/>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6572F2">
                          <w:pPr>
                            <w:pStyle w:val="30"/>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96572F2">
                    <w:pPr>
                      <w:pStyle w:val="30"/>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2A70C">
    <w:pPr>
      <w:spacing w:line="229" w:lineRule="auto"/>
      <w:ind w:left="4083"/>
      <w:rPr>
        <w:rFonts w:ascii="宋体" w:hAnsi="宋体" w:eastAsia="宋体" w:cs="宋体"/>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A54957">
                          <w:pPr>
                            <w:pStyle w:val="30"/>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AA54957">
                    <w:pPr>
                      <w:pStyle w:val="30"/>
                    </w:pPr>
                    <w:r>
                      <w:fldChar w:fldCharType="begin"/>
                    </w:r>
                    <w:r>
                      <w:instrText xml:space="preserve"> PAGE  \* MERGEFORMAT </w:instrText>
                    </w:r>
                    <w:r>
                      <w:fldChar w:fldCharType="separate"/>
                    </w:r>
                    <w:r>
                      <w:t>38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53701">
    <w:pPr>
      <w:pStyle w:val="3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7C060">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782B4">
    <w:pPr>
      <w:pStyle w:val="31"/>
    </w:pPr>
  </w:p>
  <w:p w14:paraId="0ECE0B5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83EE3">
    <w:pPr>
      <w:pStyle w:val="31"/>
    </w:pPr>
  </w:p>
  <w:p w14:paraId="3F7168F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5B8DD">
    <w:pPr>
      <w:pStyle w:val="31"/>
    </w:pPr>
  </w:p>
  <w:p w14:paraId="0CD8A4C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7BA69">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japaneseCounting"/>
      <w:lvlText w:val="第%1章"/>
      <w:lvlJc w:val="left"/>
      <w:pPr>
        <w:tabs>
          <w:tab w:val="left" w:pos="4941"/>
        </w:tabs>
        <w:ind w:left="4941" w:hanging="1140"/>
      </w:pPr>
      <w:rPr>
        <w:rFonts w:hint="eastAsia"/>
      </w:rPr>
    </w:lvl>
    <w:lvl w:ilvl="1" w:tentative="0">
      <w:start w:val="1"/>
      <w:numFmt w:val="lowerLetter"/>
      <w:lvlText w:val="%2)"/>
      <w:lvlJc w:val="left"/>
      <w:pPr>
        <w:tabs>
          <w:tab w:val="left" w:pos="4641"/>
        </w:tabs>
        <w:ind w:left="4641" w:hanging="420"/>
      </w:pPr>
    </w:lvl>
    <w:lvl w:ilvl="2" w:tentative="0">
      <w:start w:val="1"/>
      <w:numFmt w:val="lowerRoman"/>
      <w:lvlText w:val="%3."/>
      <w:lvlJc w:val="right"/>
      <w:pPr>
        <w:tabs>
          <w:tab w:val="left" w:pos="5061"/>
        </w:tabs>
        <w:ind w:left="5061" w:hanging="420"/>
      </w:pPr>
    </w:lvl>
    <w:lvl w:ilvl="3" w:tentative="0">
      <w:start w:val="1"/>
      <w:numFmt w:val="decimal"/>
      <w:lvlText w:val="%4."/>
      <w:lvlJc w:val="left"/>
      <w:pPr>
        <w:tabs>
          <w:tab w:val="left" w:pos="5481"/>
        </w:tabs>
        <w:ind w:left="5481" w:hanging="420"/>
      </w:pPr>
    </w:lvl>
    <w:lvl w:ilvl="4" w:tentative="0">
      <w:start w:val="1"/>
      <w:numFmt w:val="lowerLetter"/>
      <w:lvlText w:val="%5)"/>
      <w:lvlJc w:val="left"/>
      <w:pPr>
        <w:tabs>
          <w:tab w:val="left" w:pos="5901"/>
        </w:tabs>
        <w:ind w:left="5901" w:hanging="420"/>
      </w:pPr>
    </w:lvl>
    <w:lvl w:ilvl="5" w:tentative="0">
      <w:start w:val="1"/>
      <w:numFmt w:val="lowerRoman"/>
      <w:lvlText w:val="%6."/>
      <w:lvlJc w:val="right"/>
      <w:pPr>
        <w:tabs>
          <w:tab w:val="left" w:pos="6321"/>
        </w:tabs>
        <w:ind w:left="6321" w:hanging="420"/>
      </w:pPr>
    </w:lvl>
    <w:lvl w:ilvl="6" w:tentative="0">
      <w:start w:val="1"/>
      <w:numFmt w:val="decimal"/>
      <w:lvlText w:val="%7."/>
      <w:lvlJc w:val="left"/>
      <w:pPr>
        <w:tabs>
          <w:tab w:val="left" w:pos="6741"/>
        </w:tabs>
        <w:ind w:left="6741" w:hanging="420"/>
      </w:pPr>
    </w:lvl>
    <w:lvl w:ilvl="7" w:tentative="0">
      <w:start w:val="1"/>
      <w:numFmt w:val="lowerLetter"/>
      <w:lvlText w:val="%8)"/>
      <w:lvlJc w:val="left"/>
      <w:pPr>
        <w:tabs>
          <w:tab w:val="left" w:pos="7161"/>
        </w:tabs>
        <w:ind w:left="7161" w:hanging="420"/>
      </w:pPr>
    </w:lvl>
    <w:lvl w:ilvl="8" w:tentative="0">
      <w:start w:val="1"/>
      <w:numFmt w:val="lowerRoman"/>
      <w:lvlText w:val="%9."/>
      <w:lvlJc w:val="right"/>
      <w:pPr>
        <w:tabs>
          <w:tab w:val="left" w:pos="7581"/>
        </w:tabs>
        <w:ind w:left="7581" w:hanging="420"/>
      </w:pPr>
    </w:lvl>
  </w:abstractNum>
  <w:abstractNum w:abstractNumId="1">
    <w:nsid w:val="0000000A"/>
    <w:multiLevelType w:val="multilevel"/>
    <w:tmpl w:val="0000000A"/>
    <w:lvl w:ilvl="0" w:tentative="0">
      <w:start w:val="1"/>
      <w:numFmt w:val="decimal"/>
      <w:pStyle w:val="92"/>
      <w:lvlText w:val="%1."/>
      <w:lvlJc w:val="left"/>
      <w:pPr>
        <w:ind w:left="420" w:hanging="420"/>
      </w:p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D"/>
    <w:multiLevelType w:val="multilevel"/>
    <w:tmpl w:val="0000000D"/>
    <w:lvl w:ilvl="0" w:tentative="0">
      <w:start w:val="1"/>
      <w:numFmt w:val="lowerLetter"/>
      <w:pStyle w:val="167"/>
      <w:lvlText w:val="%1)"/>
      <w:lvlJc w:val="left"/>
      <w:pPr>
        <w:ind w:left="902" w:hanging="420"/>
      </w:pPr>
      <w:rPr>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
    <w:nsid w:val="00000013"/>
    <w:multiLevelType w:val="singleLevel"/>
    <w:tmpl w:val="00000013"/>
    <w:lvl w:ilvl="0" w:tentative="0">
      <w:start w:val="1"/>
      <w:numFmt w:val="decimal"/>
      <w:pStyle w:val="137"/>
      <w:lvlText w:val="%1."/>
      <w:lvlJc w:val="left"/>
      <w:pPr>
        <w:tabs>
          <w:tab w:val="left" w:pos="360"/>
        </w:tabs>
        <w:ind w:left="360" w:hanging="360"/>
      </w:pPr>
      <w:rPr>
        <w:rFonts w:hint="default"/>
      </w:rPr>
    </w:lvl>
  </w:abstractNum>
  <w:abstractNum w:abstractNumId="4">
    <w:nsid w:val="00000026"/>
    <w:multiLevelType w:val="multilevel"/>
    <w:tmpl w:val="00000026"/>
    <w:lvl w:ilvl="0" w:tentative="0">
      <w:start w:val="1"/>
      <w:numFmt w:val="decimal"/>
      <w:pStyle w:val="86"/>
      <w:isLgl/>
      <w:suff w:val="nothing"/>
      <w:lvlText w:val="%1　"/>
      <w:lvlJc w:val="left"/>
      <w:pPr>
        <w:ind w:left="-25" w:firstLine="0"/>
      </w:pPr>
      <w:rPr>
        <w:rFonts w:hint="default" w:ascii="Times New Roman" w:hAnsi="Times New Roman" w:eastAsia="宋体"/>
        <w:b/>
        <w:i w:val="0"/>
        <w:color w:val="auto"/>
        <w:sz w:val="28"/>
        <w:u w:val="none"/>
      </w:rPr>
    </w:lvl>
    <w:lvl w:ilvl="1" w:tentative="0">
      <w:start w:val="1"/>
      <w:numFmt w:val="decimal"/>
      <w:pStyle w:val="85"/>
      <w:isLgl/>
      <w:suff w:val="nothing"/>
      <w:lvlText w:val="%1.%2　"/>
      <w:lvlJc w:val="left"/>
      <w:pPr>
        <w:ind w:left="-25" w:firstLine="0"/>
      </w:pPr>
      <w:rPr>
        <w:rFonts w:hint="default" w:ascii="Times New Roman" w:hAnsi="Times New Roman" w:eastAsia="宋体"/>
        <w:b/>
        <w:i w:val="0"/>
        <w:snapToGrid/>
        <w:color w:val="auto"/>
        <w:spacing w:val="0"/>
        <w:w w:val="100"/>
        <w:kern w:val="21"/>
        <w:sz w:val="28"/>
        <w:u w:val="none"/>
      </w:rPr>
    </w:lvl>
    <w:lvl w:ilvl="2" w:tentative="0">
      <w:start w:val="1"/>
      <w:numFmt w:val="decimal"/>
      <w:isLgl/>
      <w:suff w:val="nothing"/>
      <w:lvlText w:val="%1.%2.%3　"/>
      <w:lvlJc w:val="left"/>
      <w:pPr>
        <w:ind w:left="-25" w:firstLine="0"/>
      </w:pPr>
      <w:rPr>
        <w:rFonts w:hint="default" w:ascii="Times New Roman" w:hAnsi="Times New Roman" w:eastAsia="黑体"/>
        <w:b/>
        <w:i w:val="0"/>
        <w:sz w:val="28"/>
      </w:rPr>
    </w:lvl>
    <w:lvl w:ilvl="3" w:tentative="0">
      <w:start w:val="1"/>
      <w:numFmt w:val="decimal"/>
      <w:pStyle w:val="122"/>
      <w:isLgl/>
      <w:suff w:val="nothing"/>
      <w:lvlText w:val="%1.%2.%3.%4　"/>
      <w:lvlJc w:val="left"/>
      <w:pPr>
        <w:ind w:left="-25" w:firstLine="0"/>
      </w:pPr>
      <w:rPr>
        <w:rFonts w:hint="default" w:ascii="Times New Roman" w:hAnsi="Times New Roman" w:eastAsia="宋体"/>
        <w:b/>
        <w:i w:val="0"/>
        <w:color w:val="auto"/>
        <w:sz w:val="28"/>
        <w:u w:val="none"/>
      </w:rPr>
    </w:lvl>
    <w:lvl w:ilvl="4" w:tentative="0">
      <w:start w:val="1"/>
      <w:numFmt w:val="decimal"/>
      <w:pStyle w:val="121"/>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pStyle w:val="130"/>
      <w:isLgl/>
      <w:suff w:val="nothing"/>
      <w:lvlText w:val="%1.%2.%3.%4.%5.%6　"/>
      <w:lvlJc w:val="left"/>
      <w:pPr>
        <w:ind w:left="-25" w:firstLine="0"/>
      </w:pPr>
      <w:rPr>
        <w:rFonts w:hint="default" w:ascii="Times New Roman" w:hAnsi="Times New Roman" w:eastAsia="宋体"/>
        <w:b/>
        <w:i w:val="0"/>
        <w:sz w:val="28"/>
      </w:rPr>
    </w:lvl>
    <w:lvl w:ilvl="6" w:tentative="0">
      <w:start w:val="1"/>
      <w:numFmt w:val="lowerLetter"/>
      <w:pStyle w:val="143"/>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pStyle w:val="106"/>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5">
    <w:nsid w:val="00000028"/>
    <w:multiLevelType w:val="multilevel"/>
    <w:tmpl w:val="00000028"/>
    <w:lvl w:ilvl="0" w:tentative="0">
      <w:start w:val="1"/>
      <w:numFmt w:val="decimal"/>
      <w:lvlText w:val="%1．"/>
      <w:lvlJc w:val="left"/>
      <w:pPr>
        <w:tabs>
          <w:tab w:val="left" w:pos="768"/>
        </w:tabs>
        <w:ind w:left="768" w:hanging="360"/>
      </w:pPr>
      <w:rPr>
        <w:rFonts w:hint="eastAsia"/>
      </w:rPr>
    </w:lvl>
    <w:lvl w:ilvl="1" w:tentative="0">
      <w:start w:val="1"/>
      <w:numFmt w:val="decimal"/>
      <w:pStyle w:val="124"/>
      <w:lvlText w:val="%2、"/>
      <w:lvlJc w:val="left"/>
      <w:pPr>
        <w:tabs>
          <w:tab w:val="left" w:pos="1188"/>
        </w:tabs>
        <w:ind w:left="1188" w:hanging="360"/>
      </w:pPr>
      <w:rPr>
        <w:rFonts w:hint="eastAsia"/>
      </w:rPr>
    </w:lvl>
    <w:lvl w:ilvl="2" w:tentative="0">
      <w:start w:val="1"/>
      <w:numFmt w:val="decimal"/>
      <w:lvlText w:val="（%3）"/>
      <w:lvlJc w:val="left"/>
      <w:pPr>
        <w:tabs>
          <w:tab w:val="left" w:pos="1968"/>
        </w:tabs>
        <w:ind w:left="1968" w:hanging="720"/>
      </w:pPr>
      <w:rPr>
        <w:rFonts w:hint="eastAsia"/>
        <w:u w:val="none"/>
      </w:r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6">
    <w:nsid w:val="00000029"/>
    <w:multiLevelType w:val="multilevel"/>
    <w:tmpl w:val="0000002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仿宋" w:hAnsi="仿宋" w:eastAsia="仿宋" w:cs="仿宋"/>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7">
    <w:nsid w:val="0000002F"/>
    <w:multiLevelType w:val="multilevel"/>
    <w:tmpl w:val="0000002F"/>
    <w:lvl w:ilvl="0" w:tentative="0">
      <w:start w:val="1"/>
      <w:numFmt w:val="decimal"/>
      <w:pStyle w:val="91"/>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E230849"/>
    <w:multiLevelType w:val="multilevel"/>
    <w:tmpl w:val="0E230849"/>
    <w:lvl w:ilvl="0" w:tentative="0">
      <w:start w:val="1"/>
      <w:numFmt w:val="decimal"/>
      <w:pStyle w:val="195"/>
      <w:lvlText w:val="%1"/>
      <w:lvlJc w:val="left"/>
      <w:pPr>
        <w:ind w:left="680" w:hanging="680"/>
      </w:pPr>
      <w:rPr>
        <w:rFonts w:hint="eastAsia" w:ascii="宋体" w:hAnsi="宋体" w:eastAsia="宋体"/>
      </w:rPr>
    </w:lvl>
    <w:lvl w:ilvl="1" w:tentative="0">
      <w:start w:val="1"/>
      <w:numFmt w:val="decimal"/>
      <w:pStyle w:val="196"/>
      <w:lvlText w:val="%1.%2"/>
      <w:lvlJc w:val="left"/>
      <w:pPr>
        <w:ind w:left="851" w:hanging="851"/>
      </w:pPr>
      <w:rPr>
        <w:rFonts w:hint="eastAsia" w:ascii="宋体" w:hAnsi="宋体" w:eastAsia="宋体"/>
        <w:color w:val="auto"/>
      </w:rPr>
    </w:lvl>
    <w:lvl w:ilvl="2" w:tentative="0">
      <w:start w:val="1"/>
      <w:numFmt w:val="decimal"/>
      <w:pStyle w:val="197"/>
      <w:lvlText w:val="%1.%2.%3"/>
      <w:lvlJc w:val="left"/>
      <w:pPr>
        <w:ind w:left="851" w:hanging="851"/>
      </w:pPr>
      <w:rPr>
        <w:rFonts w:hint="eastAsia"/>
      </w:rPr>
    </w:lvl>
    <w:lvl w:ilvl="3" w:tentative="0">
      <w:start w:val="1"/>
      <w:numFmt w:val="decimal"/>
      <w:lvlText w:val="%1.%2.%3.%4"/>
      <w:lvlJc w:val="left"/>
      <w:pPr>
        <w:ind w:left="680" w:hanging="680"/>
      </w:pPr>
      <w:rPr>
        <w:rFonts w:hint="eastAsia"/>
      </w:rPr>
    </w:lvl>
    <w:lvl w:ilvl="4" w:tentative="0">
      <w:start w:val="1"/>
      <w:numFmt w:val="decimal"/>
      <w:lvlText w:val="%1.%2.%3.%4.%5"/>
      <w:lvlJc w:val="left"/>
      <w:pPr>
        <w:ind w:left="680" w:hanging="680"/>
      </w:pPr>
      <w:rPr>
        <w:rFonts w:hint="eastAsia"/>
      </w:rPr>
    </w:lvl>
    <w:lvl w:ilvl="5" w:tentative="0">
      <w:start w:val="1"/>
      <w:numFmt w:val="decimal"/>
      <w:lvlText w:val="%1.%2.%3.%4.%5.%6"/>
      <w:lvlJc w:val="left"/>
      <w:pPr>
        <w:ind w:left="680" w:hanging="680"/>
      </w:pPr>
      <w:rPr>
        <w:rFonts w:hint="eastAsia"/>
      </w:rPr>
    </w:lvl>
    <w:lvl w:ilvl="6" w:tentative="0">
      <w:start w:val="1"/>
      <w:numFmt w:val="decimal"/>
      <w:lvlText w:val="%1.%2.%3.%4.%5.%6.%7"/>
      <w:lvlJc w:val="left"/>
      <w:pPr>
        <w:ind w:left="680" w:hanging="680"/>
      </w:pPr>
      <w:rPr>
        <w:rFonts w:hint="eastAsia"/>
      </w:rPr>
    </w:lvl>
    <w:lvl w:ilvl="7" w:tentative="0">
      <w:start w:val="1"/>
      <w:numFmt w:val="decimal"/>
      <w:lvlText w:val="%1.%2.%3.%4.%5.%6.%7.%8"/>
      <w:lvlJc w:val="left"/>
      <w:pPr>
        <w:ind w:left="680" w:hanging="680"/>
      </w:pPr>
      <w:rPr>
        <w:rFonts w:hint="eastAsia"/>
      </w:rPr>
    </w:lvl>
    <w:lvl w:ilvl="8" w:tentative="0">
      <w:start w:val="1"/>
      <w:numFmt w:val="decimal"/>
      <w:lvlText w:val="%1.%2.%3.%4.%5.%6.%7.%8.%9"/>
      <w:lvlJc w:val="left"/>
      <w:pPr>
        <w:ind w:left="680" w:hanging="680"/>
      </w:pPr>
      <w:rPr>
        <w:rFonts w:hint="eastAsia"/>
      </w:rPr>
    </w:lvl>
  </w:abstractNum>
  <w:abstractNum w:abstractNumId="9">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仿宋" w:hAnsi="仿宋" w:eastAsia="仿宋" w:cs="仿宋"/>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0">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1">
    <w:nsid w:val="36367779"/>
    <w:multiLevelType w:val="multilevel"/>
    <w:tmpl w:val="3636777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2">
    <w:nsid w:val="3E487E37"/>
    <w:multiLevelType w:val="multilevel"/>
    <w:tmpl w:val="3E487E37"/>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3">
    <w:nsid w:val="5A232928"/>
    <w:multiLevelType w:val="multilevel"/>
    <w:tmpl w:val="5A232928"/>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4">
    <w:nsid w:val="6E0A4AF0"/>
    <w:multiLevelType w:val="multilevel"/>
    <w:tmpl w:val="6E0A4AF0"/>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num w:numId="1">
    <w:abstractNumId w:val="4"/>
  </w:num>
  <w:num w:numId="2">
    <w:abstractNumId w:val="7"/>
  </w:num>
  <w:num w:numId="3">
    <w:abstractNumId w:val="1"/>
  </w:num>
  <w:num w:numId="4">
    <w:abstractNumId w:val="5"/>
  </w:num>
  <w:num w:numId="5">
    <w:abstractNumId w:val="3"/>
  </w:num>
  <w:num w:numId="6">
    <w:abstractNumId w:val="2"/>
  </w:num>
  <w:num w:numId="7">
    <w:abstractNumId w:val="8"/>
  </w:num>
  <w:num w:numId="8">
    <w:abstractNumId w:val="6"/>
  </w:num>
  <w:num w:numId="9">
    <w:abstractNumId w:val="0"/>
  </w:num>
  <w:num w:numId="10">
    <w:abstractNumId w:val="12"/>
  </w:num>
  <w:num w:numId="11">
    <w:abstractNumId w:val="9"/>
  </w:num>
  <w:num w:numId="12">
    <w:abstractNumId w:val="14"/>
  </w:num>
  <w:num w:numId="13">
    <w:abstractNumId w:val="13"/>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177"/>
    <w:rsid w:val="0002328F"/>
    <w:rsid w:val="00023458"/>
    <w:rsid w:val="000234AD"/>
    <w:rsid w:val="00023CAF"/>
    <w:rsid w:val="00023D59"/>
    <w:rsid w:val="000241AF"/>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D60"/>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6AB"/>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555"/>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0D"/>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4E0"/>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1F8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7F3"/>
    <w:rsid w:val="000848C3"/>
    <w:rsid w:val="000849D7"/>
    <w:rsid w:val="00084A05"/>
    <w:rsid w:val="00084B23"/>
    <w:rsid w:val="00084FE2"/>
    <w:rsid w:val="00085002"/>
    <w:rsid w:val="000851B1"/>
    <w:rsid w:val="00085227"/>
    <w:rsid w:val="000852B5"/>
    <w:rsid w:val="00085657"/>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B55"/>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29F"/>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240"/>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A5"/>
    <w:rsid w:val="000E1CCF"/>
    <w:rsid w:val="000E208B"/>
    <w:rsid w:val="000E2307"/>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5A0"/>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1"/>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1B3"/>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43F"/>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59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349"/>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A9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EB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37"/>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0F00"/>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BC1"/>
    <w:rsid w:val="001D27F7"/>
    <w:rsid w:val="001D2889"/>
    <w:rsid w:val="001D28C9"/>
    <w:rsid w:val="001D2936"/>
    <w:rsid w:val="001D2BF6"/>
    <w:rsid w:val="001D2D30"/>
    <w:rsid w:val="001D3766"/>
    <w:rsid w:val="001D3B44"/>
    <w:rsid w:val="001D3BFA"/>
    <w:rsid w:val="001D3F50"/>
    <w:rsid w:val="001D4067"/>
    <w:rsid w:val="001D4226"/>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445"/>
    <w:rsid w:val="001F0615"/>
    <w:rsid w:val="001F07D6"/>
    <w:rsid w:val="001F07F7"/>
    <w:rsid w:val="001F08D7"/>
    <w:rsid w:val="001F0C50"/>
    <w:rsid w:val="001F126A"/>
    <w:rsid w:val="001F137C"/>
    <w:rsid w:val="001F17AB"/>
    <w:rsid w:val="001F1B18"/>
    <w:rsid w:val="001F1D26"/>
    <w:rsid w:val="001F1E70"/>
    <w:rsid w:val="001F2402"/>
    <w:rsid w:val="001F25F3"/>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607"/>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BDF"/>
    <w:rsid w:val="00235BEE"/>
    <w:rsid w:val="00235DA2"/>
    <w:rsid w:val="00235FCF"/>
    <w:rsid w:val="002365B0"/>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6F"/>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40"/>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5A"/>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3D"/>
    <w:rsid w:val="002B05CF"/>
    <w:rsid w:val="002B0621"/>
    <w:rsid w:val="002B06F7"/>
    <w:rsid w:val="002B073A"/>
    <w:rsid w:val="002B087D"/>
    <w:rsid w:val="002B0D06"/>
    <w:rsid w:val="002B0FF8"/>
    <w:rsid w:val="002B10CA"/>
    <w:rsid w:val="002B12E7"/>
    <w:rsid w:val="002B1700"/>
    <w:rsid w:val="002B1BB8"/>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4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3F14"/>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978"/>
    <w:rsid w:val="002E6E1F"/>
    <w:rsid w:val="002E6ED1"/>
    <w:rsid w:val="002E6ED6"/>
    <w:rsid w:val="002E6EDD"/>
    <w:rsid w:val="002E7067"/>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65"/>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C8B"/>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9D"/>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B9F"/>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842"/>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57F82"/>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47"/>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BF9"/>
    <w:rsid w:val="00395C2B"/>
    <w:rsid w:val="00395E4B"/>
    <w:rsid w:val="00395FF5"/>
    <w:rsid w:val="00396080"/>
    <w:rsid w:val="0039612B"/>
    <w:rsid w:val="0039619B"/>
    <w:rsid w:val="00396378"/>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76B"/>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1D9"/>
    <w:rsid w:val="003B6E88"/>
    <w:rsid w:val="003B6F92"/>
    <w:rsid w:val="003B7140"/>
    <w:rsid w:val="003B73D7"/>
    <w:rsid w:val="003B76B3"/>
    <w:rsid w:val="003B778E"/>
    <w:rsid w:val="003B794F"/>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277"/>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C0F"/>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8E0"/>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0E4"/>
    <w:rsid w:val="003F4362"/>
    <w:rsid w:val="003F479B"/>
    <w:rsid w:val="003F4827"/>
    <w:rsid w:val="003F4839"/>
    <w:rsid w:val="003F4843"/>
    <w:rsid w:val="003F4950"/>
    <w:rsid w:val="003F4AF4"/>
    <w:rsid w:val="003F4BC8"/>
    <w:rsid w:val="003F4E62"/>
    <w:rsid w:val="003F4F42"/>
    <w:rsid w:val="003F5425"/>
    <w:rsid w:val="003F5537"/>
    <w:rsid w:val="003F5556"/>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7F8"/>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C32"/>
    <w:rsid w:val="00423DA1"/>
    <w:rsid w:val="00423E60"/>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8"/>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20E"/>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C1D"/>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26B"/>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16E"/>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5AD"/>
    <w:rsid w:val="00462B83"/>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AF"/>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77F94"/>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48"/>
    <w:rsid w:val="004936C0"/>
    <w:rsid w:val="004936FA"/>
    <w:rsid w:val="0049379C"/>
    <w:rsid w:val="00493956"/>
    <w:rsid w:val="00493F7B"/>
    <w:rsid w:val="004940F6"/>
    <w:rsid w:val="004941FC"/>
    <w:rsid w:val="00494240"/>
    <w:rsid w:val="004942E4"/>
    <w:rsid w:val="00494333"/>
    <w:rsid w:val="00494904"/>
    <w:rsid w:val="004949B4"/>
    <w:rsid w:val="00494AE9"/>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0ED"/>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3B2"/>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760"/>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821"/>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1F1"/>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47"/>
    <w:rsid w:val="004D64B2"/>
    <w:rsid w:val="004D66D9"/>
    <w:rsid w:val="004D6765"/>
    <w:rsid w:val="004D679C"/>
    <w:rsid w:val="004D6B60"/>
    <w:rsid w:val="004D6E88"/>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CAE"/>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6A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97"/>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0B78"/>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82"/>
    <w:rsid w:val="005715E8"/>
    <w:rsid w:val="005717D2"/>
    <w:rsid w:val="00571987"/>
    <w:rsid w:val="00571C53"/>
    <w:rsid w:val="00571C5B"/>
    <w:rsid w:val="00571FD3"/>
    <w:rsid w:val="00572088"/>
    <w:rsid w:val="0057212C"/>
    <w:rsid w:val="005723A4"/>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840"/>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68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CC"/>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14C"/>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2FD2"/>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C90"/>
    <w:rsid w:val="005F2D37"/>
    <w:rsid w:val="005F311F"/>
    <w:rsid w:val="005F3171"/>
    <w:rsid w:val="005F31BB"/>
    <w:rsid w:val="005F32DD"/>
    <w:rsid w:val="005F384F"/>
    <w:rsid w:val="005F38C5"/>
    <w:rsid w:val="005F3934"/>
    <w:rsid w:val="005F3A1C"/>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1E"/>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7CA"/>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069"/>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5CB0"/>
    <w:rsid w:val="006463DB"/>
    <w:rsid w:val="006464DA"/>
    <w:rsid w:val="006465F8"/>
    <w:rsid w:val="0064695D"/>
    <w:rsid w:val="00646A70"/>
    <w:rsid w:val="00646DFA"/>
    <w:rsid w:val="00646E0D"/>
    <w:rsid w:val="00646F0D"/>
    <w:rsid w:val="00646F40"/>
    <w:rsid w:val="00646F88"/>
    <w:rsid w:val="0064725E"/>
    <w:rsid w:val="0064736E"/>
    <w:rsid w:val="00647402"/>
    <w:rsid w:val="00647B99"/>
    <w:rsid w:val="00647D06"/>
    <w:rsid w:val="00647E7B"/>
    <w:rsid w:val="00647ED1"/>
    <w:rsid w:val="00650002"/>
    <w:rsid w:val="006502FC"/>
    <w:rsid w:val="00650441"/>
    <w:rsid w:val="00650683"/>
    <w:rsid w:val="00650A9A"/>
    <w:rsid w:val="00650B72"/>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02"/>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BD5"/>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2"/>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7C0"/>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281"/>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1BA"/>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08AA"/>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602"/>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6DBE"/>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3FE"/>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361"/>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9F0"/>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688"/>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809"/>
    <w:rsid w:val="00716A0C"/>
    <w:rsid w:val="00716A79"/>
    <w:rsid w:val="00716F81"/>
    <w:rsid w:val="007173E4"/>
    <w:rsid w:val="00717492"/>
    <w:rsid w:val="007174F8"/>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10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495"/>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5E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A18"/>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4E96"/>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055"/>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8DF"/>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33D"/>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065"/>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E09"/>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7CB"/>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8FF"/>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48"/>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6E0"/>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96"/>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441"/>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2D6"/>
    <w:rsid w:val="00865414"/>
    <w:rsid w:val="0086559B"/>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5F8"/>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805"/>
    <w:rsid w:val="008C3AB7"/>
    <w:rsid w:val="008C3C01"/>
    <w:rsid w:val="008C3F63"/>
    <w:rsid w:val="008C3FB4"/>
    <w:rsid w:val="008C448F"/>
    <w:rsid w:val="008C48F3"/>
    <w:rsid w:val="008C4953"/>
    <w:rsid w:val="008C4AD1"/>
    <w:rsid w:val="008C4B33"/>
    <w:rsid w:val="008C4C4E"/>
    <w:rsid w:val="008C4E7A"/>
    <w:rsid w:val="008C4FA1"/>
    <w:rsid w:val="008C50A1"/>
    <w:rsid w:val="008C522F"/>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498"/>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76"/>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11"/>
    <w:rsid w:val="00903B3E"/>
    <w:rsid w:val="00903D9D"/>
    <w:rsid w:val="00903EB0"/>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9D2"/>
    <w:rsid w:val="00915CA8"/>
    <w:rsid w:val="0091609D"/>
    <w:rsid w:val="009160C5"/>
    <w:rsid w:val="0091610E"/>
    <w:rsid w:val="0091667B"/>
    <w:rsid w:val="00916843"/>
    <w:rsid w:val="009168CA"/>
    <w:rsid w:val="00916F01"/>
    <w:rsid w:val="009170B2"/>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27"/>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39"/>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5BB"/>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2FA1"/>
    <w:rsid w:val="00943170"/>
    <w:rsid w:val="0094325F"/>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47"/>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1F"/>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CD3"/>
    <w:rsid w:val="00A10D24"/>
    <w:rsid w:val="00A10F73"/>
    <w:rsid w:val="00A11339"/>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C54"/>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16"/>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BEA"/>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32"/>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6FF"/>
    <w:rsid w:val="00A93D0E"/>
    <w:rsid w:val="00A93F0B"/>
    <w:rsid w:val="00A93F4F"/>
    <w:rsid w:val="00A940DF"/>
    <w:rsid w:val="00A9421F"/>
    <w:rsid w:val="00A94354"/>
    <w:rsid w:val="00A94843"/>
    <w:rsid w:val="00A94BD7"/>
    <w:rsid w:val="00A94DED"/>
    <w:rsid w:val="00A94EA5"/>
    <w:rsid w:val="00A94F39"/>
    <w:rsid w:val="00A950FC"/>
    <w:rsid w:val="00A95198"/>
    <w:rsid w:val="00A95310"/>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055"/>
    <w:rsid w:val="00AB01F4"/>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EF7"/>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C4"/>
    <w:rsid w:val="00AD3FF3"/>
    <w:rsid w:val="00AD411D"/>
    <w:rsid w:val="00AD416B"/>
    <w:rsid w:val="00AD4193"/>
    <w:rsid w:val="00AD41EE"/>
    <w:rsid w:val="00AD4420"/>
    <w:rsid w:val="00AD450E"/>
    <w:rsid w:val="00AD47EF"/>
    <w:rsid w:val="00AD486A"/>
    <w:rsid w:val="00AD4B41"/>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14"/>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9A6"/>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23B"/>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5F4A"/>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0C5"/>
    <w:rsid w:val="00B5746F"/>
    <w:rsid w:val="00B574D6"/>
    <w:rsid w:val="00B574DA"/>
    <w:rsid w:val="00B579C3"/>
    <w:rsid w:val="00B57A5C"/>
    <w:rsid w:val="00B57DA4"/>
    <w:rsid w:val="00B57DFA"/>
    <w:rsid w:val="00B60168"/>
    <w:rsid w:val="00B604CD"/>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5F40"/>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5DC"/>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6FA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6D"/>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025"/>
    <w:rsid w:val="00BD5101"/>
    <w:rsid w:val="00BD5375"/>
    <w:rsid w:val="00BD5397"/>
    <w:rsid w:val="00BD53A6"/>
    <w:rsid w:val="00BD5C3F"/>
    <w:rsid w:val="00BD5CEA"/>
    <w:rsid w:val="00BD5E45"/>
    <w:rsid w:val="00BD64AF"/>
    <w:rsid w:val="00BD6552"/>
    <w:rsid w:val="00BD65DA"/>
    <w:rsid w:val="00BD66D6"/>
    <w:rsid w:val="00BD6CA9"/>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4C3D"/>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2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36"/>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3F2C"/>
    <w:rsid w:val="00C445BE"/>
    <w:rsid w:val="00C44609"/>
    <w:rsid w:val="00C44C6E"/>
    <w:rsid w:val="00C45349"/>
    <w:rsid w:val="00C45672"/>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10DD"/>
    <w:rsid w:val="00C511E3"/>
    <w:rsid w:val="00C517F3"/>
    <w:rsid w:val="00C51915"/>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99E"/>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3F4"/>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2C"/>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810"/>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5C8"/>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3FE"/>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5"/>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1F3A"/>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832"/>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B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78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C38"/>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C16"/>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383"/>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3F"/>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A8"/>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B56"/>
    <w:rsid w:val="00DE7D39"/>
    <w:rsid w:val="00DE7EE8"/>
    <w:rsid w:val="00DF049C"/>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020"/>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1C"/>
    <w:rsid w:val="00DF6C9D"/>
    <w:rsid w:val="00DF6E5D"/>
    <w:rsid w:val="00DF70EF"/>
    <w:rsid w:val="00DF72CD"/>
    <w:rsid w:val="00DF73D2"/>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7B2"/>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20"/>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D81"/>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4E7"/>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72"/>
    <w:rsid w:val="00E87BC3"/>
    <w:rsid w:val="00E87D9B"/>
    <w:rsid w:val="00E90073"/>
    <w:rsid w:val="00E903DC"/>
    <w:rsid w:val="00E90611"/>
    <w:rsid w:val="00E90644"/>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03"/>
    <w:rsid w:val="00EC01A5"/>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1"/>
    <w:rsid w:val="00F1326D"/>
    <w:rsid w:val="00F1356F"/>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4E0"/>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799"/>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0EB"/>
    <w:rsid w:val="00F743D0"/>
    <w:rsid w:val="00F7448A"/>
    <w:rsid w:val="00F7473A"/>
    <w:rsid w:val="00F747BE"/>
    <w:rsid w:val="00F749BA"/>
    <w:rsid w:val="00F74EFA"/>
    <w:rsid w:val="00F74FD2"/>
    <w:rsid w:val="00F757D2"/>
    <w:rsid w:val="00F759C3"/>
    <w:rsid w:val="00F75BD4"/>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A8D"/>
    <w:rsid w:val="00F80C2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0AE"/>
    <w:rsid w:val="00F9094D"/>
    <w:rsid w:val="00F90952"/>
    <w:rsid w:val="00F90B92"/>
    <w:rsid w:val="00F91315"/>
    <w:rsid w:val="00F914FA"/>
    <w:rsid w:val="00F9159D"/>
    <w:rsid w:val="00F917D3"/>
    <w:rsid w:val="00F918F5"/>
    <w:rsid w:val="00F91A25"/>
    <w:rsid w:val="00F91F72"/>
    <w:rsid w:val="00F92139"/>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3"/>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4808"/>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0F84"/>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6EC"/>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1A21491"/>
    <w:rsid w:val="01F71839"/>
    <w:rsid w:val="02FE0EF9"/>
    <w:rsid w:val="03487F5A"/>
    <w:rsid w:val="04342794"/>
    <w:rsid w:val="04831683"/>
    <w:rsid w:val="061B3570"/>
    <w:rsid w:val="063C1B12"/>
    <w:rsid w:val="06875D43"/>
    <w:rsid w:val="0796261D"/>
    <w:rsid w:val="086605A0"/>
    <w:rsid w:val="092E319C"/>
    <w:rsid w:val="0AC50087"/>
    <w:rsid w:val="0AC97EDE"/>
    <w:rsid w:val="0B660C1A"/>
    <w:rsid w:val="0EC3241C"/>
    <w:rsid w:val="10E75A8D"/>
    <w:rsid w:val="11B20C52"/>
    <w:rsid w:val="13315E8D"/>
    <w:rsid w:val="137331E2"/>
    <w:rsid w:val="137F5780"/>
    <w:rsid w:val="15474EA4"/>
    <w:rsid w:val="160440C6"/>
    <w:rsid w:val="167F37F2"/>
    <w:rsid w:val="16EF436B"/>
    <w:rsid w:val="17885FB1"/>
    <w:rsid w:val="17B429B6"/>
    <w:rsid w:val="17F93E0B"/>
    <w:rsid w:val="19280FFD"/>
    <w:rsid w:val="1A564145"/>
    <w:rsid w:val="1B1032D2"/>
    <w:rsid w:val="1C455CA5"/>
    <w:rsid w:val="1C9D605B"/>
    <w:rsid w:val="1D2C69D2"/>
    <w:rsid w:val="1D7A683C"/>
    <w:rsid w:val="1ECB4D96"/>
    <w:rsid w:val="1EDE7D3C"/>
    <w:rsid w:val="1FBA4C4D"/>
    <w:rsid w:val="21D60ECF"/>
    <w:rsid w:val="220D4389"/>
    <w:rsid w:val="22784224"/>
    <w:rsid w:val="239E00B4"/>
    <w:rsid w:val="23C15E05"/>
    <w:rsid w:val="24810704"/>
    <w:rsid w:val="24D90A0F"/>
    <w:rsid w:val="251E74A4"/>
    <w:rsid w:val="26C51288"/>
    <w:rsid w:val="271635D9"/>
    <w:rsid w:val="27843CE5"/>
    <w:rsid w:val="27893DAB"/>
    <w:rsid w:val="28DB5305"/>
    <w:rsid w:val="298C503F"/>
    <w:rsid w:val="2A0235B4"/>
    <w:rsid w:val="2B05388C"/>
    <w:rsid w:val="2D9D3CEC"/>
    <w:rsid w:val="2E817504"/>
    <w:rsid w:val="2E975000"/>
    <w:rsid w:val="31295CB7"/>
    <w:rsid w:val="316066EA"/>
    <w:rsid w:val="32144BB9"/>
    <w:rsid w:val="32290665"/>
    <w:rsid w:val="32E70020"/>
    <w:rsid w:val="32EB653A"/>
    <w:rsid w:val="332430D3"/>
    <w:rsid w:val="36BB2509"/>
    <w:rsid w:val="36CA075C"/>
    <w:rsid w:val="374B3595"/>
    <w:rsid w:val="38E525D8"/>
    <w:rsid w:val="38F57BEC"/>
    <w:rsid w:val="38FB0686"/>
    <w:rsid w:val="39FA11AD"/>
    <w:rsid w:val="3AB36FEB"/>
    <w:rsid w:val="3BCB6780"/>
    <w:rsid w:val="3C3D0784"/>
    <w:rsid w:val="3D58176E"/>
    <w:rsid w:val="41553829"/>
    <w:rsid w:val="42CD0A98"/>
    <w:rsid w:val="431A0C09"/>
    <w:rsid w:val="446C13D8"/>
    <w:rsid w:val="46A71F69"/>
    <w:rsid w:val="47631E5E"/>
    <w:rsid w:val="47C168B2"/>
    <w:rsid w:val="48067206"/>
    <w:rsid w:val="480E2158"/>
    <w:rsid w:val="4A6379F6"/>
    <w:rsid w:val="4B65373A"/>
    <w:rsid w:val="4D00163A"/>
    <w:rsid w:val="4D203448"/>
    <w:rsid w:val="4D677143"/>
    <w:rsid w:val="4E45105E"/>
    <w:rsid w:val="4EDE7870"/>
    <w:rsid w:val="4F0F5BE3"/>
    <w:rsid w:val="4F152FF1"/>
    <w:rsid w:val="4F377CED"/>
    <w:rsid w:val="4F6C798B"/>
    <w:rsid w:val="515048DA"/>
    <w:rsid w:val="52422029"/>
    <w:rsid w:val="54684BC5"/>
    <w:rsid w:val="54D8308C"/>
    <w:rsid w:val="55040901"/>
    <w:rsid w:val="558B4D6C"/>
    <w:rsid w:val="5685124F"/>
    <w:rsid w:val="56DF05DE"/>
    <w:rsid w:val="5782210A"/>
    <w:rsid w:val="57FC6189"/>
    <w:rsid w:val="59822FC3"/>
    <w:rsid w:val="5A2103A5"/>
    <w:rsid w:val="5B435A44"/>
    <w:rsid w:val="5C9D2F32"/>
    <w:rsid w:val="5EC65064"/>
    <w:rsid w:val="5F073306"/>
    <w:rsid w:val="5F5F73B9"/>
    <w:rsid w:val="5F7E57E1"/>
    <w:rsid w:val="600D03CE"/>
    <w:rsid w:val="614D13CA"/>
    <w:rsid w:val="61E623F2"/>
    <w:rsid w:val="623D2038"/>
    <w:rsid w:val="623E6F65"/>
    <w:rsid w:val="62BD0031"/>
    <w:rsid w:val="62CD09AC"/>
    <w:rsid w:val="639C3355"/>
    <w:rsid w:val="63AC033A"/>
    <w:rsid w:val="64063AB3"/>
    <w:rsid w:val="65A93705"/>
    <w:rsid w:val="66EE40C9"/>
    <w:rsid w:val="6758123C"/>
    <w:rsid w:val="68073825"/>
    <w:rsid w:val="6838144E"/>
    <w:rsid w:val="684614E3"/>
    <w:rsid w:val="68AA7398"/>
    <w:rsid w:val="6B2E7EEF"/>
    <w:rsid w:val="6DCB7D85"/>
    <w:rsid w:val="6E0E3C8F"/>
    <w:rsid w:val="6F2474E3"/>
    <w:rsid w:val="71AF1919"/>
    <w:rsid w:val="723D1C2B"/>
    <w:rsid w:val="742C597A"/>
    <w:rsid w:val="74F160B9"/>
    <w:rsid w:val="75860393"/>
    <w:rsid w:val="76073129"/>
    <w:rsid w:val="76FF4F78"/>
    <w:rsid w:val="786C2936"/>
    <w:rsid w:val="78D81EAC"/>
    <w:rsid w:val="7A4647B1"/>
    <w:rsid w:val="7BFB1A09"/>
    <w:rsid w:val="7C831E97"/>
    <w:rsid w:val="7CDA277A"/>
    <w:rsid w:val="7DA41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6"/>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59"/>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link w:val="58"/>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4"/>
    <w:basedOn w:val="1"/>
    <w:next w:val="1"/>
    <w:link w:val="232"/>
    <w:autoRedefine/>
    <w:qFormat/>
    <w:uiPriority w:val="0"/>
    <w:pPr>
      <w:keepNext/>
      <w:keepLines/>
      <w:adjustRightInd w:val="0"/>
      <w:spacing w:before="280" w:after="290" w:line="376" w:lineRule="atLeast"/>
      <w:textAlignment w:val="baseline"/>
      <w:outlineLvl w:val="3"/>
    </w:pPr>
    <w:rPr>
      <w:kern w:val="0"/>
      <w:sz w:val="24"/>
      <w:szCs w:val="20"/>
    </w:rPr>
  </w:style>
  <w:style w:type="paragraph" w:styleId="7">
    <w:name w:val="heading 5"/>
    <w:basedOn w:val="1"/>
    <w:next w:val="1"/>
    <w:link w:val="233"/>
    <w:qFormat/>
    <w:uiPriority w:val="0"/>
    <w:pPr>
      <w:keepNext/>
      <w:keepLines/>
      <w:adjustRightInd w:val="0"/>
      <w:spacing w:before="280" w:after="290" w:line="376" w:lineRule="atLeast"/>
      <w:textAlignment w:val="baseline"/>
      <w:outlineLvl w:val="4"/>
    </w:pPr>
    <w:rPr>
      <w:b/>
      <w:kern w:val="0"/>
      <w:sz w:val="28"/>
      <w:szCs w:val="20"/>
    </w:rPr>
  </w:style>
  <w:style w:type="paragraph" w:styleId="8">
    <w:name w:val="heading 6"/>
    <w:basedOn w:val="1"/>
    <w:next w:val="1"/>
    <w:link w:val="234"/>
    <w:qFormat/>
    <w:uiPriority w:val="0"/>
    <w:pPr>
      <w:keepNext/>
      <w:keepLines/>
      <w:adjustRightInd w:val="0"/>
      <w:spacing w:before="240" w:after="64" w:line="320" w:lineRule="atLeast"/>
      <w:textAlignment w:val="baseline"/>
      <w:outlineLvl w:val="5"/>
    </w:pPr>
    <w:rPr>
      <w:rFonts w:ascii="Arial" w:hAnsi="Arial" w:eastAsia="黑体"/>
      <w:b/>
      <w:kern w:val="0"/>
      <w:sz w:val="24"/>
      <w:szCs w:val="20"/>
    </w:rPr>
  </w:style>
  <w:style w:type="paragraph" w:styleId="9">
    <w:name w:val="heading 7"/>
    <w:basedOn w:val="1"/>
    <w:next w:val="1"/>
    <w:link w:val="235"/>
    <w:qFormat/>
    <w:uiPriority w:val="0"/>
    <w:pPr>
      <w:keepNext/>
      <w:keepLines/>
      <w:adjustRightInd w:val="0"/>
      <w:spacing w:before="240" w:after="64" w:line="320" w:lineRule="atLeast"/>
      <w:textAlignment w:val="baseline"/>
      <w:outlineLvl w:val="6"/>
    </w:pPr>
    <w:rPr>
      <w:b/>
      <w:kern w:val="0"/>
      <w:sz w:val="24"/>
      <w:szCs w:val="20"/>
    </w:rPr>
  </w:style>
  <w:style w:type="paragraph" w:styleId="10">
    <w:name w:val="heading 8"/>
    <w:basedOn w:val="1"/>
    <w:next w:val="1"/>
    <w:link w:val="236"/>
    <w:qFormat/>
    <w:uiPriority w:val="0"/>
    <w:pPr>
      <w:keepNext/>
      <w:keepLines/>
      <w:adjustRightInd w:val="0"/>
      <w:spacing w:before="240" w:after="64" w:line="320" w:lineRule="atLeast"/>
      <w:textAlignment w:val="baseline"/>
      <w:outlineLvl w:val="7"/>
    </w:pPr>
    <w:rPr>
      <w:rFonts w:ascii="Arial" w:hAnsi="Arial" w:eastAsia="黑体"/>
      <w:kern w:val="0"/>
      <w:sz w:val="24"/>
      <w:szCs w:val="20"/>
    </w:rPr>
  </w:style>
  <w:style w:type="paragraph" w:styleId="11">
    <w:name w:val="heading 9"/>
    <w:basedOn w:val="1"/>
    <w:next w:val="1"/>
    <w:link w:val="237"/>
    <w:qFormat/>
    <w:uiPriority w:val="0"/>
    <w:pPr>
      <w:keepNext/>
      <w:keepLines/>
      <w:adjustRightInd w:val="0"/>
      <w:spacing w:before="240" w:after="64" w:line="320" w:lineRule="atLeast"/>
      <w:textAlignment w:val="baseline"/>
      <w:outlineLvl w:val="8"/>
    </w:pPr>
    <w:rPr>
      <w:rFonts w:ascii="Arial" w:hAnsi="Arial" w:eastAsia="黑体"/>
      <w:kern w:val="0"/>
      <w:szCs w:val="20"/>
    </w:rPr>
  </w:style>
  <w:style w:type="character" w:default="1" w:styleId="48">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66"/>
    <w:qFormat/>
    <w:uiPriority w:val="0"/>
    <w:pPr>
      <w:autoSpaceDE w:val="0"/>
      <w:autoSpaceDN w:val="0"/>
      <w:adjustRightInd w:val="0"/>
      <w:ind w:firstLine="420"/>
      <w:jc w:val="left"/>
    </w:pPr>
    <w:rPr>
      <w:rFonts w:ascii="宋体"/>
      <w:sz w:val="24"/>
    </w:rPr>
  </w:style>
  <w:style w:type="paragraph" w:styleId="12">
    <w:name w:val="toc 7"/>
    <w:basedOn w:val="1"/>
    <w:next w:val="1"/>
    <w:qFormat/>
    <w:uiPriority w:val="0"/>
    <w:pPr>
      <w:ind w:left="2520" w:leftChars="1200"/>
    </w:pPr>
  </w:style>
  <w:style w:type="paragraph" w:styleId="13">
    <w:name w:val="table of authorities"/>
    <w:basedOn w:val="1"/>
    <w:next w:val="1"/>
    <w:unhideWhenUsed/>
    <w:qFormat/>
    <w:uiPriority w:val="99"/>
    <w:pPr>
      <w:ind w:left="420" w:leftChars="200"/>
    </w:pPr>
  </w:style>
  <w:style w:type="paragraph" w:styleId="14">
    <w:name w:val="caption"/>
    <w:basedOn w:val="1"/>
    <w:next w:val="1"/>
    <w:qFormat/>
    <w:uiPriority w:val="0"/>
    <w:pPr>
      <w:spacing w:line="480" w:lineRule="auto"/>
    </w:pPr>
    <w:rPr>
      <w:rFonts w:ascii="华文中宋" w:hAnsi="华文中宋" w:eastAsia="华文中宋"/>
      <w:sz w:val="36"/>
      <w:szCs w:val="20"/>
    </w:rPr>
  </w:style>
  <w:style w:type="paragraph" w:styleId="15">
    <w:name w:val="Document Map"/>
    <w:basedOn w:val="1"/>
    <w:link w:val="238"/>
    <w:qFormat/>
    <w:uiPriority w:val="0"/>
    <w:pPr>
      <w:shd w:val="clear" w:color="auto" w:fill="000080"/>
    </w:pPr>
  </w:style>
  <w:style w:type="paragraph" w:styleId="16">
    <w:name w:val="toa heading"/>
    <w:basedOn w:val="1"/>
    <w:next w:val="1"/>
    <w:qFormat/>
    <w:uiPriority w:val="0"/>
    <w:pPr>
      <w:spacing w:before="120"/>
    </w:pPr>
    <w:rPr>
      <w:rFonts w:ascii="Arial" w:hAnsi="Arial"/>
      <w:sz w:val="24"/>
    </w:rPr>
  </w:style>
  <w:style w:type="paragraph" w:styleId="17">
    <w:name w:val="annotation text"/>
    <w:basedOn w:val="1"/>
    <w:link w:val="186"/>
    <w:qFormat/>
    <w:uiPriority w:val="99"/>
    <w:pPr>
      <w:jc w:val="left"/>
    </w:pPr>
  </w:style>
  <w:style w:type="paragraph" w:styleId="18">
    <w:name w:val="Body Text 3"/>
    <w:basedOn w:val="1"/>
    <w:link w:val="239"/>
    <w:qFormat/>
    <w:uiPriority w:val="0"/>
    <w:pPr>
      <w:spacing w:after="120"/>
    </w:pPr>
    <w:rPr>
      <w:sz w:val="16"/>
      <w:szCs w:val="16"/>
    </w:rPr>
  </w:style>
  <w:style w:type="paragraph" w:styleId="19">
    <w:name w:val="Body Text"/>
    <w:basedOn w:val="1"/>
    <w:link w:val="240"/>
    <w:qFormat/>
    <w:uiPriority w:val="0"/>
    <w:pPr>
      <w:tabs>
        <w:tab w:val="left" w:pos="567"/>
      </w:tabs>
      <w:spacing w:before="120" w:line="22" w:lineRule="atLeast"/>
    </w:pPr>
    <w:rPr>
      <w:rFonts w:ascii="宋体" w:hAnsi="宋体"/>
      <w:sz w:val="24"/>
    </w:rPr>
  </w:style>
  <w:style w:type="paragraph" w:styleId="20">
    <w:name w:val="Body Text Indent"/>
    <w:basedOn w:val="1"/>
    <w:link w:val="71"/>
    <w:qFormat/>
    <w:uiPriority w:val="0"/>
    <w:pPr>
      <w:spacing w:line="360" w:lineRule="auto"/>
      <w:ind w:firstLine="570"/>
    </w:pPr>
    <w:rPr>
      <w:sz w:val="24"/>
    </w:rPr>
  </w:style>
  <w:style w:type="paragraph" w:styleId="21">
    <w:name w:val="List 2"/>
    <w:basedOn w:val="1"/>
    <w:qFormat/>
    <w:uiPriority w:val="0"/>
    <w:pPr>
      <w:ind w:left="100" w:leftChars="200" w:hanging="200" w:hangingChars="200"/>
    </w:pPr>
  </w:style>
  <w:style w:type="paragraph" w:styleId="22">
    <w:name w:val="Block Text"/>
    <w:basedOn w:val="1"/>
    <w:qFormat/>
    <w:uiPriority w:val="0"/>
    <w:pPr>
      <w:widowControl/>
      <w:ind w:left="480" w:right="-341" w:firstLine="513"/>
    </w:pPr>
    <w:rPr>
      <w:kern w:val="0"/>
      <w:sz w:val="24"/>
      <w:szCs w:val="20"/>
    </w:rPr>
  </w:style>
  <w:style w:type="paragraph" w:styleId="23">
    <w:name w:val="toc 5"/>
    <w:basedOn w:val="1"/>
    <w:next w:val="1"/>
    <w:qFormat/>
    <w:uiPriority w:val="0"/>
    <w:pPr>
      <w:ind w:left="1680" w:leftChars="800"/>
    </w:pPr>
  </w:style>
  <w:style w:type="paragraph" w:styleId="24">
    <w:name w:val="toc 3"/>
    <w:basedOn w:val="1"/>
    <w:next w:val="1"/>
    <w:qFormat/>
    <w:uiPriority w:val="39"/>
    <w:pPr>
      <w:ind w:left="840" w:leftChars="400"/>
    </w:pPr>
  </w:style>
  <w:style w:type="paragraph" w:styleId="25">
    <w:name w:val="Plain Text"/>
    <w:basedOn w:val="1"/>
    <w:link w:val="206"/>
    <w:qFormat/>
    <w:uiPriority w:val="0"/>
    <w:rPr>
      <w:rFonts w:hint="eastAsia" w:ascii="宋体" w:hAnsi="Courier New"/>
      <w:szCs w:val="20"/>
    </w:rPr>
  </w:style>
  <w:style w:type="paragraph" w:styleId="26">
    <w:name w:val="toc 8"/>
    <w:basedOn w:val="1"/>
    <w:next w:val="1"/>
    <w:qFormat/>
    <w:uiPriority w:val="0"/>
    <w:pPr>
      <w:ind w:left="2940" w:leftChars="1400"/>
    </w:pPr>
  </w:style>
  <w:style w:type="paragraph" w:styleId="27">
    <w:name w:val="Date"/>
    <w:basedOn w:val="1"/>
    <w:next w:val="1"/>
    <w:link w:val="241"/>
    <w:qFormat/>
    <w:uiPriority w:val="0"/>
    <w:pPr>
      <w:ind w:left="100" w:leftChars="2500"/>
    </w:pPr>
    <w:rPr>
      <w:rFonts w:ascii="仿宋_GB2312" w:hAnsi="宋体" w:eastAsia="仿宋_GB2312"/>
      <w:color w:val="000000"/>
      <w:sz w:val="24"/>
    </w:rPr>
  </w:style>
  <w:style w:type="paragraph" w:styleId="28">
    <w:name w:val="Body Text Indent 2"/>
    <w:basedOn w:val="1"/>
    <w:link w:val="242"/>
    <w:qFormat/>
    <w:uiPriority w:val="0"/>
    <w:pPr>
      <w:ind w:firstLine="480" w:firstLineChars="200"/>
    </w:pPr>
    <w:rPr>
      <w:rFonts w:ascii="仿宋_GB2312" w:eastAsia="仿宋_GB2312"/>
      <w:sz w:val="24"/>
    </w:rPr>
  </w:style>
  <w:style w:type="paragraph" w:styleId="29">
    <w:name w:val="Balloon Text"/>
    <w:basedOn w:val="1"/>
    <w:link w:val="243"/>
    <w:qFormat/>
    <w:uiPriority w:val="0"/>
    <w:rPr>
      <w:sz w:val="18"/>
      <w:szCs w:val="18"/>
    </w:rPr>
  </w:style>
  <w:style w:type="paragraph" w:styleId="30">
    <w:name w:val="footer"/>
    <w:basedOn w:val="1"/>
    <w:link w:val="173"/>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31">
    <w:name w:val="header"/>
    <w:basedOn w:val="1"/>
    <w:link w:val="80"/>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qFormat/>
    <w:uiPriority w:val="39"/>
    <w:pPr>
      <w:tabs>
        <w:tab w:val="left" w:pos="1050"/>
        <w:tab w:val="right" w:leader="dot" w:pos="8937"/>
      </w:tabs>
      <w:spacing w:line="300" w:lineRule="auto"/>
    </w:pPr>
    <w:rPr>
      <w:rFonts w:ascii="宋体" w:hAnsi="宋体"/>
      <w:b/>
      <w:sz w:val="24"/>
    </w:rPr>
  </w:style>
  <w:style w:type="paragraph" w:styleId="33">
    <w:name w:val="toc 4"/>
    <w:basedOn w:val="1"/>
    <w:next w:val="1"/>
    <w:qFormat/>
    <w:uiPriority w:val="0"/>
    <w:pPr>
      <w:ind w:left="1260" w:leftChars="600"/>
    </w:pPr>
  </w:style>
  <w:style w:type="paragraph" w:styleId="34">
    <w:name w:val="toc 6"/>
    <w:basedOn w:val="1"/>
    <w:next w:val="1"/>
    <w:qFormat/>
    <w:uiPriority w:val="0"/>
    <w:pPr>
      <w:ind w:left="2100" w:leftChars="1000"/>
    </w:pPr>
  </w:style>
  <w:style w:type="paragraph" w:styleId="35">
    <w:name w:val="Body Text Indent 3"/>
    <w:basedOn w:val="1"/>
    <w:link w:val="244"/>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36">
    <w:name w:val="index 9"/>
    <w:basedOn w:val="1"/>
    <w:next w:val="1"/>
    <w:qFormat/>
    <w:uiPriority w:val="0"/>
    <w:pPr>
      <w:ind w:left="1600" w:leftChars="1600"/>
    </w:pPr>
  </w:style>
  <w:style w:type="paragraph" w:styleId="37">
    <w:name w:val="toc 2"/>
    <w:basedOn w:val="1"/>
    <w:next w:val="1"/>
    <w:qFormat/>
    <w:uiPriority w:val="39"/>
    <w:pPr>
      <w:tabs>
        <w:tab w:val="right" w:leader="dot" w:pos="8937"/>
      </w:tabs>
      <w:spacing w:line="312" w:lineRule="auto"/>
      <w:ind w:left="420" w:leftChars="200"/>
    </w:pPr>
  </w:style>
  <w:style w:type="paragraph" w:styleId="38">
    <w:name w:val="toc 9"/>
    <w:basedOn w:val="1"/>
    <w:next w:val="1"/>
    <w:qFormat/>
    <w:uiPriority w:val="0"/>
    <w:pPr>
      <w:ind w:left="3360" w:leftChars="1600"/>
    </w:pPr>
  </w:style>
  <w:style w:type="paragraph" w:styleId="39">
    <w:name w:val="HTML Preformatted"/>
    <w:basedOn w:val="1"/>
    <w:link w:val="24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41">
    <w:name w:val="index 1"/>
    <w:basedOn w:val="1"/>
    <w:next w:val="1"/>
    <w:qFormat/>
    <w:uiPriority w:val="0"/>
    <w:rPr>
      <w:szCs w:val="20"/>
    </w:rPr>
  </w:style>
  <w:style w:type="paragraph" w:styleId="42">
    <w:name w:val="Title"/>
    <w:basedOn w:val="1"/>
    <w:link w:val="192"/>
    <w:qFormat/>
    <w:uiPriority w:val="0"/>
    <w:pPr>
      <w:jc w:val="center"/>
      <w:outlineLvl w:val="0"/>
    </w:pPr>
    <w:rPr>
      <w:b/>
      <w:sz w:val="32"/>
      <w:szCs w:val="20"/>
    </w:rPr>
  </w:style>
  <w:style w:type="paragraph" w:styleId="43">
    <w:name w:val="annotation subject"/>
    <w:basedOn w:val="17"/>
    <w:next w:val="17"/>
    <w:link w:val="246"/>
    <w:qFormat/>
    <w:uiPriority w:val="0"/>
    <w:rPr>
      <w:b/>
      <w:bCs/>
    </w:rPr>
  </w:style>
  <w:style w:type="paragraph" w:styleId="44">
    <w:name w:val="Body Text First Indent 2"/>
    <w:basedOn w:val="20"/>
    <w:link w:val="247"/>
    <w:qFormat/>
    <w:uiPriority w:val="0"/>
    <w:pPr>
      <w:spacing w:after="120" w:line="480" w:lineRule="exact"/>
      <w:ind w:left="420" w:leftChars="200" w:firstLine="420" w:firstLineChars="200"/>
    </w:pPr>
    <w:rPr>
      <w:szCs w:val="20"/>
    </w:rPr>
  </w:style>
  <w:style w:type="table" w:styleId="46">
    <w:name w:val="Table Grid"/>
    <w:basedOn w:val="4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7">
    <w:name w:val="Medium Grid 1 Accent 2"/>
    <w:basedOn w:val="45"/>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9">
    <w:name w:val="Strong"/>
    <w:qFormat/>
    <w:uiPriority w:val="0"/>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Emphasis"/>
    <w:qFormat/>
    <w:uiPriority w:val="0"/>
    <w:rPr>
      <w:color w:val="CC0033"/>
    </w:rPr>
  </w:style>
  <w:style w:type="character" w:styleId="53">
    <w:name w:val="Hyperlink"/>
    <w:qFormat/>
    <w:uiPriority w:val="99"/>
    <w:rPr>
      <w:color w:val="0000FF"/>
      <w:u w:val="single"/>
    </w:rPr>
  </w:style>
  <w:style w:type="character" w:styleId="54">
    <w:name w:val="annotation reference"/>
    <w:basedOn w:val="48"/>
    <w:qFormat/>
    <w:uiPriority w:val="99"/>
    <w:rPr>
      <w:sz w:val="21"/>
      <w:szCs w:val="21"/>
    </w:rPr>
  </w:style>
  <w:style w:type="character" w:styleId="55">
    <w:name w:val="HTML Cite"/>
    <w:qFormat/>
    <w:uiPriority w:val="0"/>
    <w:rPr>
      <w:i/>
      <w:iCs/>
    </w:rPr>
  </w:style>
  <w:style w:type="character" w:customStyle="1" w:styleId="56">
    <w:name w:val="标题 1 Char"/>
    <w:basedOn w:val="48"/>
    <w:link w:val="2"/>
    <w:qFormat/>
    <w:uiPriority w:val="0"/>
    <w:rPr>
      <w:rFonts w:ascii="宋体"/>
      <w:b/>
      <w:kern w:val="44"/>
      <w:sz w:val="32"/>
    </w:rPr>
  </w:style>
  <w:style w:type="character" w:customStyle="1" w:styleId="57">
    <w:name w:val="标题 2 Char"/>
    <w:qFormat/>
    <w:uiPriority w:val="0"/>
    <w:rPr>
      <w:rFonts w:ascii="Arial" w:hAnsi="Arial" w:eastAsia="黑体"/>
      <w:b/>
      <w:sz w:val="30"/>
      <w:lang w:val="en-US" w:eastAsia="zh-CN" w:bidi="ar-SA"/>
    </w:rPr>
  </w:style>
  <w:style w:type="character" w:customStyle="1" w:styleId="58">
    <w:name w:val="标题 3 Char1"/>
    <w:link w:val="5"/>
    <w:qFormat/>
    <w:uiPriority w:val="0"/>
    <w:rPr>
      <w:rFonts w:ascii="宋体" w:eastAsia="宋体"/>
      <w:b/>
      <w:sz w:val="24"/>
      <w:u w:val="single"/>
      <w:lang w:val="en-US" w:eastAsia="zh-CN" w:bidi="ar-SA"/>
    </w:rPr>
  </w:style>
  <w:style w:type="character" w:customStyle="1" w:styleId="59">
    <w:name w:val="标题 2 Char1"/>
    <w:link w:val="3"/>
    <w:qFormat/>
    <w:uiPriority w:val="0"/>
    <w:rPr>
      <w:rFonts w:ascii="Arial" w:hAnsi="Arial" w:eastAsia="黑体"/>
      <w:b/>
      <w:sz w:val="30"/>
      <w:lang w:val="en-US" w:eastAsia="zh-CN" w:bidi="ar-SA"/>
    </w:rPr>
  </w:style>
  <w:style w:type="character" w:customStyle="1" w:styleId="60">
    <w:name w:val="c21"/>
    <w:qFormat/>
    <w:uiPriority w:val="0"/>
    <w:rPr>
      <w:rFonts w:hint="default" w:ascii="ˎ̥" w:hAnsi="ˎ̥"/>
      <w:color w:val="000000"/>
      <w:sz w:val="20"/>
      <w:szCs w:val="20"/>
      <w:u w:val="none"/>
    </w:rPr>
  </w:style>
  <w:style w:type="character" w:customStyle="1" w:styleId="61">
    <w:name w:val="title4"/>
    <w:qFormat/>
    <w:uiPriority w:val="0"/>
    <w:rPr>
      <w:b/>
      <w:bCs/>
      <w:color w:val="1D87B3"/>
      <w:sz w:val="15"/>
      <w:szCs w:val="15"/>
    </w:rPr>
  </w:style>
  <w:style w:type="character" w:customStyle="1" w:styleId="62">
    <w:name w:val="标题 2 Char Char"/>
    <w:qFormat/>
    <w:uiPriority w:val="0"/>
    <w:rPr>
      <w:rFonts w:ascii="Arial" w:hAnsi="Arial" w:eastAsia="黑体"/>
      <w:b/>
      <w:bCs/>
      <w:kern w:val="2"/>
      <w:sz w:val="32"/>
      <w:szCs w:val="32"/>
      <w:lang w:val="en-US" w:eastAsia="zh-CN" w:bidi="ar-SA"/>
    </w:rPr>
  </w:style>
  <w:style w:type="character" w:customStyle="1" w:styleId="63">
    <w:name w:val="black1"/>
    <w:qFormat/>
    <w:uiPriority w:val="0"/>
    <w:rPr>
      <w:color w:val="000000"/>
    </w:rPr>
  </w:style>
  <w:style w:type="character" w:customStyle="1" w:styleId="64">
    <w:name w:val="street-address"/>
    <w:basedOn w:val="48"/>
    <w:qFormat/>
    <w:uiPriority w:val="0"/>
  </w:style>
  <w:style w:type="character" w:customStyle="1" w:styleId="65">
    <w:name w:val="locality"/>
    <w:basedOn w:val="48"/>
    <w:qFormat/>
    <w:uiPriority w:val="0"/>
  </w:style>
  <w:style w:type="character" w:customStyle="1" w:styleId="66">
    <w:name w:val="正文缩进 Char1"/>
    <w:link w:val="4"/>
    <w:qFormat/>
    <w:uiPriority w:val="0"/>
    <w:rPr>
      <w:rFonts w:ascii="宋体" w:eastAsia="宋体"/>
      <w:kern w:val="2"/>
      <w:sz w:val="24"/>
      <w:szCs w:val="24"/>
      <w:lang w:val="en-US" w:eastAsia="zh-CN" w:bidi="ar-SA"/>
    </w:rPr>
  </w:style>
  <w:style w:type="character" w:customStyle="1" w:styleId="67">
    <w:name w:val="正文文本缩进 Char1"/>
    <w:link w:val="68"/>
    <w:qFormat/>
    <w:uiPriority w:val="0"/>
    <w:rPr>
      <w:rFonts w:ascii="宋体" w:hAnsi="宋体" w:eastAsia="宋体"/>
      <w:sz w:val="24"/>
      <w:szCs w:val="24"/>
      <w:lang w:bidi="ar-SA"/>
    </w:rPr>
  </w:style>
  <w:style w:type="paragraph" w:customStyle="1" w:styleId="68">
    <w:name w:val="正文文本缩进1"/>
    <w:basedOn w:val="1"/>
    <w:link w:val="67"/>
    <w:qFormat/>
    <w:uiPriority w:val="0"/>
    <w:pPr>
      <w:spacing w:line="480" w:lineRule="exact"/>
      <w:ind w:firstLine="480" w:firstLineChars="200"/>
    </w:pPr>
    <w:rPr>
      <w:rFonts w:ascii="宋体" w:hAnsi="宋体"/>
      <w:kern w:val="0"/>
      <w:sz w:val="24"/>
    </w:rPr>
  </w:style>
  <w:style w:type="character" w:customStyle="1" w:styleId="69">
    <w:name w:val="Char Char11"/>
    <w:qFormat/>
    <w:uiPriority w:val="0"/>
    <w:rPr>
      <w:rFonts w:ascii="宋体" w:eastAsia="宋体"/>
      <w:b/>
      <w:sz w:val="24"/>
      <w:u w:val="single"/>
      <w:lang w:val="en-US" w:eastAsia="zh-CN" w:bidi="ar-SA"/>
    </w:rPr>
  </w:style>
  <w:style w:type="character" w:customStyle="1" w:styleId="70">
    <w:name w:val="txt"/>
    <w:basedOn w:val="48"/>
    <w:qFormat/>
    <w:uiPriority w:val="0"/>
  </w:style>
  <w:style w:type="character" w:customStyle="1" w:styleId="71">
    <w:name w:val="正文文本缩进 Char2"/>
    <w:link w:val="20"/>
    <w:qFormat/>
    <w:uiPriority w:val="0"/>
    <w:rPr>
      <w:rFonts w:eastAsia="宋体"/>
      <w:kern w:val="2"/>
      <w:sz w:val="24"/>
      <w:szCs w:val="24"/>
      <w:lang w:val="en-US" w:eastAsia="zh-CN" w:bidi="ar-SA"/>
    </w:rPr>
  </w:style>
  <w:style w:type="character" w:customStyle="1" w:styleId="72">
    <w:name w:val="正文缩进 Char Char"/>
    <w:link w:val="73"/>
    <w:qFormat/>
    <w:uiPriority w:val="0"/>
    <w:rPr>
      <w:rFonts w:ascii="宋体" w:eastAsia="宋体"/>
      <w:snapToGrid w:val="0"/>
      <w:color w:val="000000"/>
      <w:kern w:val="28"/>
      <w:sz w:val="28"/>
      <w:lang w:bidi="ar-SA"/>
    </w:rPr>
  </w:style>
  <w:style w:type="paragraph" w:customStyle="1" w:styleId="73">
    <w:name w:val="正文缩进1"/>
    <w:basedOn w:val="1"/>
    <w:link w:val="72"/>
    <w:qFormat/>
    <w:uiPriority w:val="0"/>
    <w:pPr>
      <w:widowControl/>
      <w:adjustRightInd w:val="0"/>
      <w:snapToGrid w:val="0"/>
      <w:spacing w:line="480" w:lineRule="exact"/>
      <w:ind w:firstLine="567"/>
    </w:pPr>
    <w:rPr>
      <w:rFonts w:ascii="宋体"/>
      <w:snapToGrid w:val="0"/>
      <w:color w:val="000000"/>
      <w:kern w:val="28"/>
      <w:sz w:val="28"/>
      <w:szCs w:val="20"/>
    </w:rPr>
  </w:style>
  <w:style w:type="character" w:customStyle="1" w:styleId="74">
    <w:name w:val="普通文字1 Char1"/>
    <w:qFormat/>
    <w:uiPriority w:val="0"/>
    <w:rPr>
      <w:rFonts w:ascii="宋体" w:hAnsi="Courier New" w:eastAsia="宋体"/>
      <w:kern w:val="2"/>
      <w:sz w:val="21"/>
      <w:lang w:val="en-US" w:eastAsia="zh-CN" w:bidi="ar-SA"/>
    </w:rPr>
  </w:style>
  <w:style w:type="character" w:customStyle="1" w:styleId="75">
    <w:name w:val="chanpin1"/>
    <w:qFormat/>
    <w:uiPriority w:val="0"/>
    <w:rPr>
      <w:rFonts w:hint="default" w:ascii="ˎ̥" w:hAnsi="ˎ̥"/>
      <w:color w:val="000000"/>
      <w:sz w:val="20"/>
      <w:szCs w:val="20"/>
      <w:u w:val="none"/>
    </w:rPr>
  </w:style>
  <w:style w:type="character" w:customStyle="1" w:styleId="76">
    <w:name w:val="列出段落 Char1"/>
    <w:link w:val="77"/>
    <w:qFormat/>
    <w:uiPriority w:val="34"/>
    <w:rPr>
      <w:rFonts w:ascii="Calibri" w:hAnsi="Calibri" w:eastAsia="宋体"/>
      <w:kern w:val="2"/>
      <w:sz w:val="21"/>
      <w:szCs w:val="22"/>
      <w:lang w:val="en-US" w:eastAsia="zh-CN" w:bidi="ar-SA"/>
    </w:rPr>
  </w:style>
  <w:style w:type="paragraph" w:styleId="77">
    <w:name w:val="List Paragraph"/>
    <w:basedOn w:val="1"/>
    <w:link w:val="76"/>
    <w:qFormat/>
    <w:uiPriority w:val="34"/>
    <w:pPr>
      <w:ind w:firstLine="420" w:firstLineChars="200"/>
    </w:pPr>
    <w:rPr>
      <w:rFonts w:ascii="Calibri" w:hAnsi="Calibri"/>
      <w:szCs w:val="22"/>
    </w:rPr>
  </w:style>
  <w:style w:type="character" w:customStyle="1" w:styleId="78">
    <w:name w:val="标题 3 Char Char"/>
    <w:qFormat/>
    <w:uiPriority w:val="0"/>
    <w:rPr>
      <w:rFonts w:eastAsia="宋体"/>
      <w:b/>
      <w:bCs/>
      <w:kern w:val="2"/>
      <w:sz w:val="32"/>
      <w:szCs w:val="32"/>
      <w:lang w:val="en-US" w:eastAsia="zh-CN" w:bidi="ar-SA"/>
    </w:rPr>
  </w:style>
  <w:style w:type="character" w:customStyle="1" w:styleId="79">
    <w:name w:val="段1 Char"/>
    <w:qFormat/>
    <w:uiPriority w:val="0"/>
    <w:rPr>
      <w:rFonts w:ascii="宋体" w:eastAsia="宋体"/>
      <w:sz w:val="24"/>
      <w:lang w:val="en-US" w:eastAsia="zh-CN" w:bidi="ar-SA"/>
    </w:rPr>
  </w:style>
  <w:style w:type="character" w:customStyle="1" w:styleId="80">
    <w:name w:val="页眉 Char1"/>
    <w:link w:val="31"/>
    <w:qFormat/>
    <w:uiPriority w:val="0"/>
    <w:rPr>
      <w:rFonts w:eastAsia="宋体"/>
      <w:kern w:val="2"/>
      <w:sz w:val="18"/>
      <w:szCs w:val="18"/>
      <w:lang w:val="en-US" w:eastAsia="zh-CN" w:bidi="ar-SA"/>
    </w:rPr>
  </w:style>
  <w:style w:type="character" w:customStyle="1" w:styleId="81">
    <w:name w:val="chanpin拷贝"/>
    <w:basedOn w:val="48"/>
    <w:qFormat/>
    <w:uiPriority w:val="0"/>
  </w:style>
  <w:style w:type="character" w:customStyle="1" w:styleId="82">
    <w:name w:val="纯文本 Char1"/>
    <w:qFormat/>
    <w:uiPriority w:val="0"/>
    <w:rPr>
      <w:rFonts w:ascii="宋体" w:hAnsi="Courier New" w:eastAsia="宋体"/>
      <w:kern w:val="2"/>
      <w:sz w:val="21"/>
      <w:lang w:val="en-US" w:eastAsia="zh-CN" w:bidi="ar-SA"/>
    </w:rPr>
  </w:style>
  <w:style w:type="character" w:customStyle="1" w:styleId="83">
    <w:name w:val="apple-style-span"/>
    <w:qFormat/>
    <w:uiPriority w:val="0"/>
    <w:rPr>
      <w:rFonts w:cs="Times New Roman"/>
    </w:rPr>
  </w:style>
  <w:style w:type="paragraph" w:customStyle="1" w:styleId="84">
    <w:name w:val="二级条标题"/>
    <w:basedOn w:val="85"/>
    <w:next w:val="1"/>
    <w:qFormat/>
    <w:uiPriority w:val="0"/>
    <w:pPr>
      <w:numPr>
        <w:numId w:val="0"/>
      </w:numPr>
      <w:tabs>
        <w:tab w:val="left" w:pos="360"/>
        <w:tab w:val="left" w:pos="840"/>
      </w:tabs>
      <w:ind w:hanging="840"/>
      <w:outlineLvl w:val="2"/>
    </w:pPr>
    <w:rPr>
      <w:rFonts w:ascii="宋体" w:eastAsia="宋体"/>
      <w:b w:val="0"/>
    </w:rPr>
  </w:style>
  <w:style w:type="paragraph" w:customStyle="1" w:styleId="85">
    <w:name w:val="一级条标题"/>
    <w:basedOn w:val="86"/>
    <w:next w:val="1"/>
    <w:qFormat/>
    <w:uiPriority w:val="0"/>
    <w:pPr>
      <w:numPr>
        <w:ilvl w:val="1"/>
      </w:numPr>
      <w:tabs>
        <w:tab w:val="left" w:pos="360"/>
        <w:tab w:val="left" w:pos="840"/>
      </w:tabs>
      <w:ind w:left="0" w:hanging="840"/>
      <w:outlineLvl w:val="1"/>
    </w:pPr>
  </w:style>
  <w:style w:type="paragraph" w:customStyle="1" w:styleId="86">
    <w:name w:val="章标题"/>
    <w:next w:val="1"/>
    <w:qFormat/>
    <w:uiPriority w:val="0"/>
    <w:pPr>
      <w:numPr>
        <w:ilvl w:val="0"/>
        <w:numId w:val="1"/>
      </w:numPr>
      <w:spacing w:before="156" w:beforeLines="50" w:after="156" w:afterLines="50" w:line="460" w:lineRule="exact"/>
      <w:ind w:left="0"/>
      <w:jc w:val="both"/>
      <w:outlineLvl w:val="0"/>
    </w:pPr>
    <w:rPr>
      <w:rFonts w:ascii="黑体" w:hAnsi="Times New Roman" w:eastAsia="黑体" w:cs="Times New Roman"/>
      <w:b/>
      <w:sz w:val="28"/>
      <w:lang w:val="en-US" w:eastAsia="zh-CN" w:bidi="ar-SA"/>
    </w:rPr>
  </w:style>
  <w:style w:type="paragraph" w:customStyle="1" w:styleId="87">
    <w:name w:val="font7"/>
    <w:basedOn w:val="1"/>
    <w:qFormat/>
    <w:uiPriority w:val="0"/>
    <w:pPr>
      <w:widowControl/>
      <w:spacing w:before="100" w:beforeAutospacing="1" w:after="100" w:afterAutospacing="1"/>
      <w:jc w:val="left"/>
    </w:pPr>
    <w:rPr>
      <w:rFonts w:eastAsia="Arial Unicode MS"/>
      <w:b/>
      <w:bCs/>
      <w:color w:val="000000"/>
      <w:kern w:val="0"/>
      <w:sz w:val="20"/>
      <w:szCs w:val="20"/>
    </w:rPr>
  </w:style>
  <w:style w:type="paragraph" w:customStyle="1" w:styleId="88">
    <w:name w:val="字元 字元"/>
    <w:basedOn w:val="1"/>
    <w:qFormat/>
    <w:uiPriority w:val="0"/>
    <w:rPr>
      <w:rFonts w:ascii="Tahoma" w:hAnsi="Tahoma"/>
      <w:sz w:val="24"/>
      <w:szCs w:val="20"/>
    </w:rPr>
  </w:style>
  <w:style w:type="paragraph" w:customStyle="1" w:styleId="89">
    <w:name w:val="Char3 Char Char Char"/>
    <w:basedOn w:val="1"/>
    <w:qFormat/>
    <w:uiPriority w:val="0"/>
    <w:rPr>
      <w:rFonts w:ascii="Tahoma" w:hAnsi="Tahoma"/>
      <w:sz w:val="24"/>
      <w:szCs w:val="20"/>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1">
    <w:name w:val="项目编号2"/>
    <w:basedOn w:val="92"/>
    <w:qFormat/>
    <w:uiPriority w:val="0"/>
    <w:pPr>
      <w:numPr>
        <w:numId w:val="2"/>
      </w:numPr>
    </w:pPr>
  </w:style>
  <w:style w:type="paragraph" w:customStyle="1" w:styleId="92">
    <w:name w:val="项目编号1"/>
    <w:basedOn w:val="1"/>
    <w:qFormat/>
    <w:uiPriority w:val="0"/>
    <w:pPr>
      <w:numPr>
        <w:ilvl w:val="0"/>
        <w:numId w:val="3"/>
      </w:numPr>
      <w:spacing w:before="100" w:beforeAutospacing="1" w:after="100" w:afterAutospacing="1" w:line="360" w:lineRule="auto"/>
    </w:pPr>
    <w:rPr>
      <w:sz w:val="24"/>
    </w:rPr>
  </w:style>
  <w:style w:type="paragraph" w:customStyle="1" w:styleId="93">
    <w:name w:val="图中文字"/>
    <w:basedOn w:val="1"/>
    <w:qFormat/>
    <w:uiPriority w:val="0"/>
    <w:pPr>
      <w:adjustRightInd w:val="0"/>
      <w:snapToGrid w:val="0"/>
      <w:spacing w:line="0" w:lineRule="atLeast"/>
      <w:jc w:val="center"/>
    </w:pPr>
    <w:rPr>
      <w:sz w:val="24"/>
      <w:szCs w:val="20"/>
    </w:rPr>
  </w:style>
  <w:style w:type="paragraph" w:customStyle="1" w:styleId="94">
    <w:name w:val="xl46"/>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9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96">
    <w:name w:val="Char2"/>
    <w:basedOn w:val="1"/>
    <w:qFormat/>
    <w:uiPriority w:val="0"/>
    <w:rPr>
      <w:rFonts w:ascii="Tahoma" w:hAnsi="Tahoma"/>
      <w:sz w:val="24"/>
      <w:szCs w:val="20"/>
    </w:rPr>
  </w:style>
  <w:style w:type="paragraph" w:customStyle="1" w:styleId="97">
    <w:name w:val="xl35"/>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9">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100">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1">
    <w:name w:val="background1"/>
    <w:basedOn w:val="1"/>
    <w:qFormat/>
    <w:uiPriority w:val="0"/>
    <w:pPr>
      <w:widowControl/>
      <w:spacing w:before="100" w:beforeAutospacing="1" w:after="100" w:afterAutospacing="1"/>
      <w:jc w:val="left"/>
    </w:pPr>
    <w:rPr>
      <w:rFonts w:ascii="宋体" w:hAnsi="宋体" w:cs="宋体"/>
      <w:kern w:val="0"/>
      <w:sz w:val="24"/>
    </w:rPr>
  </w:style>
  <w:style w:type="paragraph" w:customStyle="1" w:styleId="102">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103">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104">
    <w:name w:val="xl36"/>
    <w:basedOn w:val="1"/>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5">
    <w:name w:val="正文 + 宋体"/>
    <w:basedOn w:val="1"/>
    <w:qFormat/>
    <w:uiPriority w:val="0"/>
    <w:pPr>
      <w:widowControl/>
      <w:ind w:left="360" w:hanging="360"/>
      <w:jc w:val="left"/>
    </w:pPr>
    <w:rPr>
      <w:rFonts w:ascii="宋体" w:hAnsi="宋体" w:cs="宋体"/>
      <w:b/>
      <w:bCs/>
      <w:color w:val="000000"/>
      <w:kern w:val="0"/>
      <w:sz w:val="18"/>
      <w:szCs w:val="18"/>
    </w:rPr>
  </w:style>
  <w:style w:type="paragraph" w:customStyle="1" w:styleId="106">
    <w:name w:val="正文列项_数字"/>
    <w:basedOn w:val="1"/>
    <w:qFormat/>
    <w:uiPriority w:val="0"/>
    <w:pPr>
      <w:numPr>
        <w:ilvl w:val="7"/>
        <w:numId w:val="1"/>
      </w:numPr>
      <w:tabs>
        <w:tab w:val="clear" w:pos="860"/>
      </w:tabs>
      <w:autoSpaceDE w:val="0"/>
      <w:autoSpaceDN w:val="0"/>
      <w:spacing w:line="460" w:lineRule="exact"/>
      <w:ind w:left="680" w:leftChars="530" w:hanging="150" w:hangingChars="150"/>
      <w:outlineLvl w:val="7"/>
    </w:pPr>
    <w:rPr>
      <w:rFonts w:ascii="宋体"/>
      <w:kern w:val="0"/>
      <w:sz w:val="28"/>
      <w:szCs w:val="20"/>
    </w:rPr>
  </w:style>
  <w:style w:type="paragraph" w:customStyle="1" w:styleId="107">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8">
    <w:name w:val="xl37"/>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9">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110">
    <w:name w:val="font8"/>
    <w:basedOn w:val="1"/>
    <w:qFormat/>
    <w:uiPriority w:val="0"/>
    <w:pPr>
      <w:widowControl/>
      <w:spacing w:before="100" w:beforeAutospacing="1" w:after="100" w:afterAutospacing="1"/>
      <w:jc w:val="left"/>
    </w:pPr>
    <w:rPr>
      <w:kern w:val="0"/>
      <w:sz w:val="36"/>
      <w:szCs w:val="36"/>
    </w:rPr>
  </w:style>
  <w:style w:type="paragraph" w:customStyle="1" w:styleId="111">
    <w:name w:val="Char"/>
    <w:basedOn w:val="1"/>
    <w:qFormat/>
    <w:uiPriority w:val="0"/>
    <w:pPr>
      <w:tabs>
        <w:tab w:val="left" w:pos="360"/>
      </w:tabs>
    </w:pPr>
    <w:rPr>
      <w:sz w:val="24"/>
    </w:rPr>
  </w:style>
  <w:style w:type="paragraph" w:customStyle="1" w:styleId="112">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paragraph" w:customStyle="1" w:styleId="113">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14">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Char Char1"/>
    <w:basedOn w:val="15"/>
    <w:qFormat/>
    <w:uiPriority w:val="0"/>
    <w:rPr>
      <w:rFonts w:ascii="Tahoma" w:hAnsi="Tahoma"/>
      <w:sz w:val="24"/>
    </w:rPr>
  </w:style>
  <w:style w:type="paragraph" w:customStyle="1" w:styleId="11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117">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18">
    <w:name w:val="xl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19">
    <w:name w:val="样式 宋体 五号 行距: 单倍行距"/>
    <w:basedOn w:val="1"/>
    <w:qFormat/>
    <w:uiPriority w:val="0"/>
    <w:pPr>
      <w:adjustRightInd w:val="0"/>
      <w:jc w:val="left"/>
      <w:textAlignment w:val="baseline"/>
    </w:pPr>
    <w:rPr>
      <w:rFonts w:ascii="宋体" w:hAnsi="宋体"/>
      <w:kern w:val="0"/>
      <w:szCs w:val="20"/>
    </w:rPr>
  </w:style>
  <w:style w:type="paragraph" w:customStyle="1" w:styleId="120">
    <w:name w:val="Char1 Char Char Char1"/>
    <w:basedOn w:val="1"/>
    <w:qFormat/>
    <w:uiPriority w:val="0"/>
    <w:rPr>
      <w:rFonts w:ascii="Tahoma" w:hAnsi="Tahoma" w:cs="仿宋_GB2312"/>
      <w:sz w:val="24"/>
      <w:szCs w:val="28"/>
    </w:rPr>
  </w:style>
  <w:style w:type="paragraph" w:customStyle="1" w:styleId="121">
    <w:name w:val="四级条标题"/>
    <w:basedOn w:val="122"/>
    <w:next w:val="1"/>
    <w:qFormat/>
    <w:uiPriority w:val="0"/>
    <w:pPr>
      <w:numPr>
        <w:ilvl w:val="4"/>
      </w:numPr>
      <w:tabs>
        <w:tab w:val="left" w:pos="360"/>
        <w:tab w:val="left" w:pos="840"/>
      </w:tabs>
      <w:ind w:left="0" w:hanging="840"/>
      <w:outlineLvl w:val="4"/>
    </w:pPr>
  </w:style>
  <w:style w:type="paragraph" w:customStyle="1" w:styleId="122">
    <w:name w:val="三级条标题"/>
    <w:basedOn w:val="84"/>
    <w:next w:val="1"/>
    <w:qFormat/>
    <w:uiPriority w:val="0"/>
    <w:pPr>
      <w:numPr>
        <w:ilvl w:val="3"/>
        <w:numId w:val="1"/>
      </w:numPr>
      <w:ind w:left="0" w:hanging="840"/>
      <w:outlineLvl w:val="3"/>
    </w:pPr>
  </w:style>
  <w:style w:type="paragraph" w:customStyle="1" w:styleId="123">
    <w:name w:val="??"/>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124">
    <w:name w:val="样式 标题 2 + 宋体 五号 行距: 单倍行距"/>
    <w:basedOn w:val="3"/>
    <w:qFormat/>
    <w:uiPriority w:val="0"/>
    <w:pPr>
      <w:numPr>
        <w:ilvl w:val="1"/>
        <w:numId w:val="4"/>
      </w:numPr>
      <w:autoSpaceDE/>
      <w:autoSpaceDN/>
      <w:spacing w:before="260" w:after="260" w:line="240" w:lineRule="auto"/>
      <w:jc w:val="left"/>
      <w:textAlignment w:val="baseline"/>
    </w:pPr>
    <w:rPr>
      <w:rFonts w:ascii="宋体" w:hAnsi="宋体" w:eastAsia="宋体"/>
      <w:bCs/>
      <w:sz w:val="21"/>
    </w:rPr>
  </w:style>
  <w:style w:type="paragraph" w:customStyle="1" w:styleId="125">
    <w:name w:val="List Paragraph1"/>
    <w:basedOn w:val="1"/>
    <w:qFormat/>
    <w:uiPriority w:val="0"/>
    <w:pPr>
      <w:ind w:firstLine="420" w:firstLineChars="200"/>
    </w:pPr>
    <w:rPr>
      <w:rFonts w:ascii="Calibri" w:hAnsi="Calibri"/>
      <w:szCs w:val="22"/>
    </w:rPr>
  </w:style>
  <w:style w:type="paragraph" w:customStyle="1" w:styleId="126">
    <w:name w:val="项目符号1"/>
    <w:basedOn w:val="127"/>
    <w:qFormat/>
    <w:uiPriority w:val="0"/>
    <w:pPr>
      <w:ind w:left="-25" w:firstLine="0"/>
    </w:pPr>
  </w:style>
  <w:style w:type="paragraph" w:customStyle="1" w:styleId="127">
    <w:name w:val="正文文本样式"/>
    <w:basedOn w:val="1"/>
    <w:qFormat/>
    <w:uiPriority w:val="0"/>
    <w:pPr>
      <w:spacing w:line="360" w:lineRule="auto"/>
      <w:ind w:firstLine="482"/>
    </w:pPr>
    <w:rPr>
      <w:rFonts w:cs="宋体"/>
      <w:sz w:val="24"/>
      <w:szCs w:val="20"/>
    </w:rPr>
  </w:style>
  <w:style w:type="paragraph" w:customStyle="1" w:styleId="128">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12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0">
    <w:name w:val="五级条标题"/>
    <w:basedOn w:val="121"/>
    <w:next w:val="1"/>
    <w:qFormat/>
    <w:uiPriority w:val="0"/>
    <w:pPr>
      <w:numPr>
        <w:ilvl w:val="5"/>
      </w:numPr>
      <w:ind w:left="0" w:hanging="840"/>
      <w:outlineLvl w:val="5"/>
    </w:pPr>
  </w:style>
  <w:style w:type="paragraph" w:customStyle="1" w:styleId="131">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132">
    <w:name w:val="文档正文"/>
    <w:basedOn w:val="1"/>
    <w:qFormat/>
    <w:uiPriority w:val="0"/>
    <w:pPr>
      <w:snapToGrid w:val="0"/>
      <w:spacing w:before="120" w:after="120" w:line="180" w:lineRule="auto"/>
    </w:pPr>
    <w:rPr>
      <w:rFonts w:ascii="Arial" w:hAnsi="Arial"/>
      <w:szCs w:val="20"/>
    </w:rPr>
  </w:style>
  <w:style w:type="paragraph" w:customStyle="1" w:styleId="133">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szCs w:val="20"/>
    </w:rPr>
  </w:style>
  <w:style w:type="paragraph" w:customStyle="1" w:styleId="134">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szCs w:val="20"/>
    </w:rPr>
  </w:style>
  <w:style w:type="paragraph" w:customStyle="1" w:styleId="135">
    <w:name w:val="Char Char Char1 Char"/>
    <w:basedOn w:val="1"/>
    <w:qFormat/>
    <w:uiPriority w:val="0"/>
    <w:rPr>
      <w:rFonts w:ascii="Tahoma" w:hAnsi="Tahoma"/>
      <w:sz w:val="24"/>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137">
    <w:name w:val="1名"/>
    <w:basedOn w:val="1"/>
    <w:qFormat/>
    <w:uiPriority w:val="0"/>
    <w:pPr>
      <w:numPr>
        <w:ilvl w:val="0"/>
        <w:numId w:val="5"/>
      </w:numPr>
      <w:spacing w:before="120"/>
    </w:pPr>
    <w:rPr>
      <w:rFonts w:ascii="宋体"/>
      <w:sz w:val="28"/>
      <w:szCs w:val="20"/>
    </w:rPr>
  </w:style>
  <w:style w:type="paragraph" w:customStyle="1" w:styleId="138">
    <w:name w:val="font9"/>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139">
    <w:name w:val="Char Char Char1 Char1"/>
    <w:basedOn w:val="1"/>
    <w:qFormat/>
    <w:uiPriority w:val="0"/>
    <w:rPr>
      <w:rFonts w:ascii="Tahoma" w:hAnsi="Tahoma"/>
      <w:sz w:val="24"/>
      <w:szCs w:val="20"/>
    </w:rPr>
  </w:style>
  <w:style w:type="paragraph" w:customStyle="1" w:styleId="140">
    <w:name w:val="Char Char Char Char Char Char Char Char Char Char"/>
    <w:basedOn w:val="1"/>
    <w:qFormat/>
    <w:uiPriority w:val="0"/>
  </w:style>
  <w:style w:type="paragraph" w:customStyle="1" w:styleId="141">
    <w:name w:val="Char Char1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2">
    <w:name w:val="Char1"/>
    <w:basedOn w:val="1"/>
    <w:qFormat/>
    <w:uiPriority w:val="0"/>
    <w:pPr>
      <w:tabs>
        <w:tab w:val="left" w:pos="360"/>
      </w:tabs>
    </w:pPr>
    <w:rPr>
      <w:sz w:val="24"/>
    </w:rPr>
  </w:style>
  <w:style w:type="paragraph" w:customStyle="1" w:styleId="143">
    <w:name w:val="正文列项_字母"/>
    <w:basedOn w:val="1"/>
    <w:qFormat/>
    <w:uiPriority w:val="0"/>
    <w:pPr>
      <w:numPr>
        <w:ilvl w:val="6"/>
        <w:numId w:val="1"/>
      </w:numPr>
      <w:tabs>
        <w:tab w:val="clear" w:pos="635"/>
      </w:tabs>
      <w:autoSpaceDE w:val="0"/>
      <w:autoSpaceDN w:val="0"/>
      <w:spacing w:line="460" w:lineRule="exact"/>
      <w:ind w:left="480" w:leftChars="300" w:hanging="180" w:hangingChars="180"/>
      <w:outlineLvl w:val="6"/>
    </w:pPr>
    <w:rPr>
      <w:rFonts w:ascii="宋体"/>
      <w:kern w:val="0"/>
      <w:sz w:val="28"/>
      <w:szCs w:val="20"/>
    </w:rPr>
  </w:style>
  <w:style w:type="paragraph" w:customStyle="1" w:styleId="14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45">
    <w:name w:val="xl4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46">
    <w:name w:val="默认段落字体 Para Char Char Char Char"/>
    <w:basedOn w:val="1"/>
    <w:qFormat/>
    <w:uiPriority w:val="0"/>
    <w:rPr>
      <w:rFonts w:ascii="Arial" w:hAnsi="Arial" w:cs="Arial"/>
      <w:szCs w:val="21"/>
    </w:rPr>
  </w:style>
  <w:style w:type="paragraph" w:customStyle="1" w:styleId="14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14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szCs w:val="20"/>
    </w:rPr>
  </w:style>
  <w:style w:type="paragraph" w:customStyle="1" w:styleId="14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150">
    <w:name w:val="Char Char Char"/>
    <w:basedOn w:val="1"/>
    <w:qFormat/>
    <w:uiPriority w:val="0"/>
    <w:rPr>
      <w:rFonts w:ascii="Tahoma" w:hAnsi="Tahoma"/>
      <w:sz w:val="24"/>
      <w:szCs w:val="20"/>
    </w:rPr>
  </w:style>
  <w:style w:type="paragraph" w:customStyle="1" w:styleId="151">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152">
    <w:name w:val="缺省文本"/>
    <w:basedOn w:val="1"/>
    <w:qFormat/>
    <w:uiPriority w:val="0"/>
    <w:pPr>
      <w:autoSpaceDE w:val="0"/>
      <w:autoSpaceDN w:val="0"/>
      <w:adjustRightInd w:val="0"/>
      <w:jc w:val="left"/>
    </w:pPr>
    <w:rPr>
      <w:kern w:val="0"/>
      <w:sz w:val="24"/>
    </w:rPr>
  </w:style>
  <w:style w:type="paragraph" w:customStyle="1" w:styleId="153">
    <w:name w:val="Char Char Char1"/>
    <w:basedOn w:val="1"/>
    <w:qFormat/>
    <w:uiPriority w:val="0"/>
    <w:rPr>
      <w:rFonts w:ascii="Tahoma" w:hAnsi="Tahoma"/>
      <w:sz w:val="24"/>
      <w:szCs w:val="20"/>
    </w:rPr>
  </w:style>
  <w:style w:type="paragraph" w:customStyle="1" w:styleId="154">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155">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156">
    <w:name w:val="样式2"/>
    <w:basedOn w:val="41"/>
    <w:qFormat/>
    <w:uiPriority w:val="0"/>
    <w:pPr>
      <w:spacing w:line="360" w:lineRule="auto"/>
      <w:jc w:val="center"/>
    </w:pPr>
    <w:rPr>
      <w:sz w:val="24"/>
    </w:rPr>
  </w:style>
  <w:style w:type="paragraph" w:customStyle="1" w:styleId="15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58">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59">
    <w:name w:val="正文 + 楷体_GB2312"/>
    <w:basedOn w:val="1"/>
    <w:qFormat/>
    <w:uiPriority w:val="0"/>
    <w:pPr>
      <w:widowControl/>
      <w:jc w:val="left"/>
    </w:pPr>
    <w:rPr>
      <w:rFonts w:ascii="楷体_GB2312" w:eastAsia="楷体_GB2312" w:cs="Arial"/>
      <w:kern w:val="0"/>
      <w:sz w:val="24"/>
    </w:rPr>
  </w:style>
  <w:style w:type="paragraph" w:customStyle="1" w:styleId="16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szCs w:val="20"/>
    </w:rPr>
  </w:style>
  <w:style w:type="paragraph" w:customStyle="1" w:styleId="161">
    <w:name w:val="1 Char Char Char Char"/>
    <w:basedOn w:val="1"/>
    <w:qFormat/>
    <w:uiPriority w:val="0"/>
    <w:rPr>
      <w:rFonts w:ascii="Tahoma" w:hAnsi="Tahoma"/>
      <w:sz w:val="24"/>
      <w:szCs w:val="20"/>
    </w:rPr>
  </w:style>
  <w:style w:type="paragraph" w:customStyle="1" w:styleId="162">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163">
    <w:name w:val="列出段落1"/>
    <w:basedOn w:val="1"/>
    <w:qFormat/>
    <w:uiPriority w:val="0"/>
    <w:pPr>
      <w:ind w:firstLine="420" w:firstLineChars="200"/>
    </w:pPr>
    <w:rPr>
      <w:rFonts w:ascii="Calibri" w:hAnsi="Calibri"/>
      <w:szCs w:val="22"/>
    </w:rPr>
  </w:style>
  <w:style w:type="paragraph" w:customStyle="1" w:styleId="164">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字元 字元1"/>
    <w:basedOn w:val="1"/>
    <w:qFormat/>
    <w:uiPriority w:val="0"/>
    <w:rPr>
      <w:rFonts w:ascii="Tahoma" w:hAnsi="Tahoma"/>
      <w:sz w:val="24"/>
      <w:szCs w:val="20"/>
    </w:rPr>
  </w:style>
  <w:style w:type="paragraph" w:customStyle="1" w:styleId="166">
    <w:name w:val="_Style 160"/>
    <w:qFormat/>
    <w:uiPriority w:val="0"/>
    <w:rPr>
      <w:rFonts w:ascii="Times New Roman" w:hAnsi="Times New Roman" w:eastAsia="宋体" w:cs="Times New Roman"/>
      <w:kern w:val="2"/>
      <w:sz w:val="21"/>
      <w:szCs w:val="24"/>
      <w:lang w:val="en-US" w:eastAsia="zh-CN" w:bidi="ar-SA"/>
    </w:rPr>
  </w:style>
  <w:style w:type="paragraph" w:customStyle="1" w:styleId="167">
    <w:name w:val="项目编号3"/>
    <w:basedOn w:val="127"/>
    <w:qFormat/>
    <w:uiPriority w:val="0"/>
    <w:pPr>
      <w:numPr>
        <w:ilvl w:val="0"/>
        <w:numId w:val="6"/>
      </w:numPr>
    </w:pPr>
  </w:style>
  <w:style w:type="paragraph" w:customStyle="1" w:styleId="168">
    <w:name w:val="Char21"/>
    <w:basedOn w:val="1"/>
    <w:qFormat/>
    <w:uiPriority w:val="0"/>
    <w:rPr>
      <w:rFonts w:ascii="Tahoma" w:hAnsi="Tahoma"/>
      <w:sz w:val="24"/>
      <w:szCs w:val="20"/>
    </w:rPr>
  </w:style>
  <w:style w:type="paragraph" w:customStyle="1" w:styleId="169">
    <w:name w:val="表格文字"/>
    <w:basedOn w:val="20"/>
    <w:qFormat/>
    <w:uiPriority w:val="0"/>
    <w:pPr>
      <w:spacing w:before="20" w:after="20" w:line="240" w:lineRule="auto"/>
      <w:ind w:firstLine="0"/>
    </w:pPr>
    <w:rPr>
      <w:rFonts w:ascii="Century Gothic" w:hAnsi="Century Gothic"/>
      <w:sz w:val="20"/>
      <w:szCs w:val="20"/>
    </w:rPr>
  </w:style>
  <w:style w:type="paragraph" w:customStyle="1" w:styleId="170">
    <w:name w:val="Char Char Char Char Char Char Char Char Char Char1"/>
    <w:basedOn w:val="1"/>
    <w:qFormat/>
    <w:uiPriority w:val="0"/>
    <w:rPr>
      <w:rFonts w:ascii="宋体" w:hAnsi="宋体" w:cs="Courier New"/>
      <w:sz w:val="32"/>
      <w:szCs w:val="32"/>
    </w:rPr>
  </w:style>
  <w:style w:type="paragraph" w:customStyle="1" w:styleId="171">
    <w:name w:val="正文文本样式 加粗"/>
    <w:basedOn w:val="127"/>
    <w:qFormat/>
    <w:uiPriority w:val="0"/>
    <w:rPr>
      <w:b/>
    </w:rPr>
  </w:style>
  <w:style w:type="paragraph" w:customStyle="1" w:styleId="172">
    <w:name w:val="Char2 Char Char Char Char Char Char"/>
    <w:basedOn w:val="1"/>
    <w:qFormat/>
    <w:uiPriority w:val="0"/>
    <w:pPr>
      <w:widowControl/>
      <w:spacing w:line="400" w:lineRule="exact"/>
      <w:jc w:val="center"/>
    </w:pPr>
  </w:style>
  <w:style w:type="character" w:customStyle="1" w:styleId="173">
    <w:name w:val="页脚 Char1"/>
    <w:link w:val="30"/>
    <w:qFormat/>
    <w:uiPriority w:val="99"/>
    <w:rPr>
      <w:rFonts w:ascii="宋体" w:eastAsia="宋体"/>
      <w:sz w:val="18"/>
      <w:lang w:val="en-US" w:eastAsia="zh-CN" w:bidi="ar-SA"/>
    </w:rPr>
  </w:style>
  <w:style w:type="paragraph" w:customStyle="1" w:styleId="174">
    <w:name w:val="Char Char4"/>
    <w:basedOn w:val="1"/>
    <w:qFormat/>
    <w:uiPriority w:val="0"/>
    <w:pPr>
      <w:widowControl/>
      <w:spacing w:line="400" w:lineRule="exact"/>
      <w:jc w:val="center"/>
    </w:pPr>
  </w:style>
  <w:style w:type="paragraph" w:customStyle="1" w:styleId="175">
    <w:name w:val="Char3 Char Char Char1"/>
    <w:basedOn w:val="1"/>
    <w:qFormat/>
    <w:uiPriority w:val="0"/>
    <w:rPr>
      <w:rFonts w:ascii="Tahoma" w:hAnsi="Tahoma"/>
      <w:sz w:val="24"/>
      <w:szCs w:val="20"/>
    </w:rPr>
  </w:style>
  <w:style w:type="paragraph" w:styleId="176">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7">
    <w:name w:val="22222222222222"/>
    <w:basedOn w:val="1"/>
    <w:qFormat/>
    <w:uiPriority w:val="0"/>
    <w:pPr>
      <w:widowControl/>
      <w:adjustRightInd w:val="0"/>
      <w:spacing w:line="360" w:lineRule="auto"/>
      <w:ind w:firstLine="480" w:firstLineChars="200"/>
      <w:jc w:val="left"/>
    </w:pPr>
    <w:rPr>
      <w:color w:val="FF0000"/>
      <w:kern w:val="0"/>
      <w:sz w:val="24"/>
      <w:szCs w:val="20"/>
    </w:rPr>
  </w:style>
  <w:style w:type="character" w:customStyle="1" w:styleId="178">
    <w:name w:val="中等深浅网格 1 - 强调文字颜色 2 Char"/>
    <w:link w:val="179"/>
    <w:qFormat/>
    <w:uiPriority w:val="0"/>
    <w:rPr>
      <w:kern w:val="2"/>
      <w:sz w:val="21"/>
      <w:szCs w:val="24"/>
      <w:lang w:val="zh-CN" w:eastAsia="zh-CN"/>
    </w:rPr>
  </w:style>
  <w:style w:type="paragraph" w:customStyle="1" w:styleId="179">
    <w:name w:val="1"/>
    <w:link w:val="178"/>
    <w:qFormat/>
    <w:uiPriority w:val="0"/>
    <w:rPr>
      <w:rFonts w:ascii="Times New Roman" w:hAnsi="Times New Roman" w:eastAsia="宋体" w:cs="Times New Roman"/>
      <w:kern w:val="2"/>
      <w:sz w:val="21"/>
      <w:szCs w:val="24"/>
      <w:lang w:val="zh-CN" w:eastAsia="zh-CN" w:bidi="ar-SA"/>
    </w:rPr>
  </w:style>
  <w:style w:type="paragraph" w:customStyle="1" w:styleId="180">
    <w:name w:val="图文"/>
    <w:basedOn w:val="1"/>
    <w:qFormat/>
    <w:uiPriority w:val="0"/>
    <w:pPr>
      <w:adjustRightInd w:val="0"/>
      <w:snapToGrid w:val="0"/>
      <w:spacing w:after="50" w:line="360" w:lineRule="auto"/>
    </w:pPr>
    <w:rPr>
      <w:sz w:val="24"/>
    </w:rPr>
  </w:style>
  <w:style w:type="paragraph" w:customStyle="1" w:styleId="181">
    <w:name w:val="xl23"/>
    <w:basedOn w:val="1"/>
    <w:qFormat/>
    <w:uiPriority w:val="0"/>
    <w:pPr>
      <w:widowControl/>
      <w:spacing w:before="100" w:beforeAutospacing="1" w:after="100" w:afterAutospacing="1" w:line="360" w:lineRule="auto"/>
      <w:textAlignment w:val="top"/>
    </w:pPr>
    <w:rPr>
      <w:kern w:val="0"/>
      <w:sz w:val="24"/>
      <w:szCs w:val="20"/>
    </w:rPr>
  </w:style>
  <w:style w:type="paragraph" w:customStyle="1" w:styleId="182">
    <w:name w:val="正文表格"/>
    <w:basedOn w:val="1"/>
    <w:link w:val="183"/>
    <w:qFormat/>
    <w:uiPriority w:val="0"/>
    <w:pPr>
      <w:adjustRightInd w:val="0"/>
      <w:snapToGrid w:val="0"/>
      <w:jc w:val="left"/>
    </w:pPr>
    <w:rPr>
      <w:rFonts w:ascii="宋体" w:hAnsi="宋体"/>
      <w:color w:val="000000"/>
      <w:szCs w:val="21"/>
    </w:rPr>
  </w:style>
  <w:style w:type="character" w:customStyle="1" w:styleId="183">
    <w:name w:val="正文表格 Char"/>
    <w:link w:val="182"/>
    <w:qFormat/>
    <w:uiPriority w:val="0"/>
    <w:rPr>
      <w:rFonts w:ascii="宋体" w:hAnsi="宋体"/>
      <w:color w:val="000000"/>
      <w:kern w:val="2"/>
      <w:sz w:val="21"/>
      <w:szCs w:val="21"/>
    </w:rPr>
  </w:style>
  <w:style w:type="paragraph" w:customStyle="1" w:styleId="184">
    <w:name w:val="正文重点"/>
    <w:basedOn w:val="1"/>
    <w:link w:val="185"/>
    <w:qFormat/>
    <w:uiPriority w:val="0"/>
    <w:pPr>
      <w:adjustRightInd w:val="0"/>
      <w:spacing w:line="360" w:lineRule="auto"/>
      <w:ind w:firstLine="482" w:firstLineChars="200"/>
      <w:jc w:val="left"/>
      <w:textAlignment w:val="baseline"/>
    </w:pPr>
    <w:rPr>
      <w:b/>
      <w:kern w:val="0"/>
      <w:sz w:val="24"/>
      <w:szCs w:val="20"/>
    </w:rPr>
  </w:style>
  <w:style w:type="character" w:customStyle="1" w:styleId="185">
    <w:name w:val="正文重点 Char"/>
    <w:link w:val="184"/>
    <w:qFormat/>
    <w:uiPriority w:val="0"/>
    <w:rPr>
      <w:b/>
      <w:sz w:val="24"/>
    </w:rPr>
  </w:style>
  <w:style w:type="character" w:customStyle="1" w:styleId="186">
    <w:name w:val="批注文字 Char1"/>
    <w:link w:val="17"/>
    <w:qFormat/>
    <w:uiPriority w:val="99"/>
    <w:rPr>
      <w:kern w:val="2"/>
      <w:sz w:val="21"/>
      <w:szCs w:val="24"/>
    </w:rPr>
  </w:style>
  <w:style w:type="paragraph" w:customStyle="1" w:styleId="187">
    <w:name w:val="标题1-附件"/>
    <w:basedOn w:val="2"/>
    <w:qFormat/>
    <w:uiPriority w:val="0"/>
    <w:pPr>
      <w:jc w:val="left"/>
    </w:pPr>
    <w:rPr>
      <w:sz w:val="24"/>
      <w:szCs w:val="24"/>
    </w:rPr>
  </w:style>
  <w:style w:type="paragraph" w:customStyle="1" w:styleId="188">
    <w:name w:val="正文小标题"/>
    <w:basedOn w:val="1"/>
    <w:next w:val="4"/>
    <w:link w:val="189"/>
    <w:qFormat/>
    <w:uiPriority w:val="0"/>
    <w:pPr>
      <w:adjustRightInd w:val="0"/>
      <w:snapToGrid w:val="0"/>
      <w:spacing w:before="312" w:beforeLines="100" w:after="312" w:afterLines="100"/>
      <w:ind w:firstLine="482"/>
      <w:jc w:val="left"/>
    </w:pPr>
    <w:rPr>
      <w:rFonts w:ascii="宋体" w:hAnsi="宋体"/>
      <w:b/>
      <w:i/>
      <w:color w:val="FF0000"/>
      <w:sz w:val="24"/>
      <w:szCs w:val="20"/>
    </w:rPr>
  </w:style>
  <w:style w:type="character" w:customStyle="1" w:styleId="189">
    <w:name w:val="正文小标题 Char"/>
    <w:link w:val="188"/>
    <w:qFormat/>
    <w:uiPriority w:val="0"/>
    <w:rPr>
      <w:rFonts w:ascii="宋体" w:hAnsi="宋体"/>
      <w:b/>
      <w:i/>
      <w:color w:val="FF0000"/>
      <w:kern w:val="2"/>
      <w:sz w:val="24"/>
    </w:rPr>
  </w:style>
  <w:style w:type="paragraph" w:customStyle="1" w:styleId="190">
    <w:name w:val="正文大标题"/>
    <w:basedOn w:val="188"/>
    <w:next w:val="4"/>
    <w:link w:val="191"/>
    <w:qFormat/>
    <w:uiPriority w:val="0"/>
    <w:pPr>
      <w:jc w:val="center"/>
    </w:pPr>
    <w:rPr>
      <w:i w:val="0"/>
      <w:color w:val="000000"/>
      <w:sz w:val="28"/>
      <w:szCs w:val="21"/>
    </w:rPr>
  </w:style>
  <w:style w:type="character" w:customStyle="1" w:styleId="191">
    <w:name w:val="正文大标题 Char"/>
    <w:link w:val="190"/>
    <w:qFormat/>
    <w:uiPriority w:val="0"/>
    <w:rPr>
      <w:rFonts w:ascii="宋体" w:hAnsi="宋体"/>
      <w:b/>
      <w:color w:val="000000"/>
      <w:kern w:val="2"/>
      <w:sz w:val="28"/>
      <w:szCs w:val="21"/>
    </w:rPr>
  </w:style>
  <w:style w:type="character" w:customStyle="1" w:styleId="192">
    <w:name w:val="标题 Char1"/>
    <w:link w:val="42"/>
    <w:qFormat/>
    <w:uiPriority w:val="0"/>
    <w:rPr>
      <w:b/>
      <w:kern w:val="2"/>
      <w:sz w:val="32"/>
    </w:rPr>
  </w:style>
  <w:style w:type="paragraph" w:customStyle="1" w:styleId="193">
    <w:name w:val="注释"/>
    <w:basedOn w:val="1"/>
    <w:link w:val="194"/>
    <w:qFormat/>
    <w:uiPriority w:val="0"/>
    <w:pPr>
      <w:adjustRightInd w:val="0"/>
      <w:snapToGrid w:val="0"/>
      <w:ind w:left="420" w:hanging="420" w:hangingChars="200"/>
      <w:jc w:val="left"/>
    </w:pPr>
    <w:rPr>
      <w:rFonts w:ascii="宋体" w:hAnsi="宋体"/>
      <w:szCs w:val="21"/>
    </w:rPr>
  </w:style>
  <w:style w:type="character" w:customStyle="1" w:styleId="194">
    <w:name w:val="注释 Char"/>
    <w:link w:val="193"/>
    <w:qFormat/>
    <w:uiPriority w:val="0"/>
    <w:rPr>
      <w:rFonts w:ascii="宋体" w:hAnsi="宋体"/>
      <w:kern w:val="2"/>
      <w:sz w:val="21"/>
      <w:szCs w:val="21"/>
    </w:rPr>
  </w:style>
  <w:style w:type="paragraph" w:customStyle="1" w:styleId="195">
    <w:name w:val="正文须知-1级"/>
    <w:basedOn w:val="1"/>
    <w:next w:val="1"/>
    <w:qFormat/>
    <w:uiPriority w:val="0"/>
    <w:pPr>
      <w:numPr>
        <w:ilvl w:val="0"/>
        <w:numId w:val="7"/>
      </w:numPr>
      <w:adjustRightInd w:val="0"/>
      <w:snapToGrid w:val="0"/>
      <w:spacing w:line="300" w:lineRule="auto"/>
    </w:pPr>
    <w:rPr>
      <w:rFonts w:ascii="宋体" w:hAnsi="Calibri"/>
      <w:sz w:val="24"/>
      <w:szCs w:val="21"/>
    </w:rPr>
  </w:style>
  <w:style w:type="paragraph" w:customStyle="1" w:styleId="196">
    <w:name w:val="正文须知-2级"/>
    <w:basedOn w:val="1"/>
    <w:qFormat/>
    <w:uiPriority w:val="0"/>
    <w:pPr>
      <w:numPr>
        <w:ilvl w:val="1"/>
        <w:numId w:val="7"/>
      </w:numPr>
      <w:adjustRightInd w:val="0"/>
      <w:snapToGrid w:val="0"/>
      <w:spacing w:line="300" w:lineRule="auto"/>
    </w:pPr>
    <w:rPr>
      <w:rFonts w:ascii="宋体" w:hAnsi="Calibri"/>
      <w:sz w:val="24"/>
      <w:szCs w:val="21"/>
    </w:rPr>
  </w:style>
  <w:style w:type="paragraph" w:customStyle="1" w:styleId="197">
    <w:name w:val="正文须知-3级"/>
    <w:basedOn w:val="1"/>
    <w:qFormat/>
    <w:uiPriority w:val="0"/>
    <w:pPr>
      <w:numPr>
        <w:ilvl w:val="2"/>
        <w:numId w:val="7"/>
      </w:numPr>
      <w:adjustRightInd w:val="0"/>
      <w:snapToGrid w:val="0"/>
      <w:spacing w:line="300" w:lineRule="auto"/>
      <w:ind w:hanging="355" w:hangingChars="355"/>
    </w:pPr>
    <w:rPr>
      <w:rFonts w:ascii="宋体" w:hAnsi="Calibri"/>
      <w:sz w:val="24"/>
      <w:szCs w:val="21"/>
    </w:rPr>
  </w:style>
  <w:style w:type="character" w:customStyle="1" w:styleId="198">
    <w:name w:val="批注文字 字符"/>
    <w:qFormat/>
    <w:uiPriority w:val="99"/>
    <w:rPr>
      <w:rFonts w:ascii="Times New Roman" w:hAnsi="Times New Roman" w:eastAsia="宋体" w:cs="Times New Roman"/>
      <w:sz w:val="24"/>
      <w:lang w:val="en-US" w:eastAsia="zh-CN" w:bidi="ar-SA"/>
    </w:rPr>
  </w:style>
  <w:style w:type="character" w:customStyle="1" w:styleId="199">
    <w:name w:val="纯文本 字符"/>
    <w:qFormat/>
    <w:uiPriority w:val="99"/>
    <w:rPr>
      <w:rFonts w:ascii="宋体" w:hAnsi="Courier New" w:eastAsia="宋体" w:cs="Times New Roman"/>
      <w:kern w:val="2"/>
      <w:sz w:val="21"/>
      <w:szCs w:val="21"/>
      <w:lang w:val="en-US" w:eastAsia="zh-CN" w:bidi="ar-SA"/>
    </w:rPr>
  </w:style>
  <w:style w:type="paragraph" w:customStyle="1" w:styleId="200">
    <w:name w:val="表格1"/>
    <w:basedOn w:val="1"/>
    <w:qFormat/>
    <w:uiPriority w:val="0"/>
    <w:pPr>
      <w:ind w:firstLine="480" w:firstLineChars="200"/>
      <w:jc w:val="center"/>
    </w:pPr>
    <w:rPr>
      <w:sz w:val="24"/>
      <w:szCs w:val="20"/>
    </w:rPr>
  </w:style>
  <w:style w:type="character" w:customStyle="1" w:styleId="201">
    <w:name w:val="纯文本 字符1"/>
    <w:qFormat/>
    <w:uiPriority w:val="0"/>
    <w:rPr>
      <w:rFonts w:ascii="宋体" w:hAnsi="Courier New"/>
    </w:rPr>
  </w:style>
  <w:style w:type="character" w:customStyle="1" w:styleId="202">
    <w:name w:val="bjh-p"/>
    <w:qFormat/>
    <w:uiPriority w:val="0"/>
  </w:style>
  <w:style w:type="paragraph" w:customStyle="1" w:styleId="203">
    <w:name w:val="无标题条"/>
    <w:next w:val="1"/>
    <w:qFormat/>
    <w:uiPriority w:val="0"/>
    <w:pPr>
      <w:jc w:val="both"/>
    </w:pPr>
    <w:rPr>
      <w:rFonts w:ascii="Times New Roman" w:hAnsi="Times New Roman" w:eastAsia="宋体" w:cs="Times New Roman"/>
      <w:sz w:val="21"/>
      <w:lang w:val="en-US" w:eastAsia="zh-CN" w:bidi="ar-SA"/>
    </w:rPr>
  </w:style>
  <w:style w:type="character" w:customStyle="1" w:styleId="204">
    <w:name w:val="正文格式 Char"/>
    <w:link w:val="205"/>
    <w:qFormat/>
    <w:locked/>
    <w:uiPriority w:val="0"/>
    <w:rPr>
      <w:rFonts w:ascii="宋体" w:hAnsi="宋体"/>
      <w:sz w:val="24"/>
      <w:szCs w:val="24"/>
      <w:lang w:val="en-GB"/>
    </w:rPr>
  </w:style>
  <w:style w:type="paragraph" w:customStyle="1" w:styleId="205">
    <w:name w:val="正文格式"/>
    <w:basedOn w:val="1"/>
    <w:link w:val="204"/>
    <w:qFormat/>
    <w:uiPriority w:val="0"/>
    <w:pPr>
      <w:spacing w:beforeLines="50" w:line="360" w:lineRule="auto"/>
      <w:ind w:firstLine="480" w:firstLineChars="200"/>
    </w:pPr>
    <w:rPr>
      <w:rFonts w:ascii="宋体" w:hAnsi="宋体"/>
      <w:kern w:val="0"/>
      <w:sz w:val="24"/>
      <w:lang w:val="en-GB"/>
    </w:rPr>
  </w:style>
  <w:style w:type="character" w:customStyle="1" w:styleId="206">
    <w:name w:val="纯文本 Char"/>
    <w:basedOn w:val="48"/>
    <w:link w:val="25"/>
    <w:qFormat/>
    <w:uiPriority w:val="0"/>
    <w:rPr>
      <w:rFonts w:hint="eastAsia" w:ascii="宋体" w:hAnsi="Courier New" w:eastAsia="宋体" w:cs="宋体"/>
      <w:kern w:val="2"/>
      <w:sz w:val="21"/>
    </w:rPr>
  </w:style>
  <w:style w:type="character" w:customStyle="1" w:styleId="207">
    <w:name w:val="标题 3 Char"/>
    <w:qFormat/>
    <w:uiPriority w:val="0"/>
    <w:rPr>
      <w:rFonts w:ascii="宋体" w:eastAsia="宋体"/>
      <w:b/>
      <w:sz w:val="24"/>
      <w:u w:val="single"/>
      <w:lang w:val="en-US" w:eastAsia="zh-CN" w:bidi="ar-SA"/>
    </w:rPr>
  </w:style>
  <w:style w:type="character" w:customStyle="1" w:styleId="208">
    <w:name w:val="正文缩进 Char"/>
    <w:qFormat/>
    <w:uiPriority w:val="0"/>
    <w:rPr>
      <w:rFonts w:ascii="宋体" w:eastAsia="宋体"/>
      <w:kern w:val="2"/>
      <w:sz w:val="24"/>
      <w:szCs w:val="24"/>
      <w:lang w:val="en-US" w:eastAsia="zh-CN" w:bidi="ar-SA"/>
    </w:rPr>
  </w:style>
  <w:style w:type="character" w:customStyle="1" w:styleId="209">
    <w:name w:val="Char Char111"/>
    <w:qFormat/>
    <w:uiPriority w:val="0"/>
    <w:rPr>
      <w:rFonts w:ascii="宋体" w:eastAsia="宋体"/>
      <w:b/>
      <w:sz w:val="24"/>
      <w:u w:val="single"/>
      <w:lang w:val="en-US" w:eastAsia="zh-CN" w:bidi="ar-SA"/>
    </w:rPr>
  </w:style>
  <w:style w:type="character" w:customStyle="1" w:styleId="210">
    <w:name w:val="正文文本缩进 Char"/>
    <w:qFormat/>
    <w:uiPriority w:val="0"/>
    <w:rPr>
      <w:rFonts w:eastAsia="宋体"/>
      <w:kern w:val="2"/>
      <w:sz w:val="24"/>
      <w:szCs w:val="24"/>
      <w:lang w:val="en-US" w:eastAsia="zh-CN" w:bidi="ar-SA"/>
    </w:rPr>
  </w:style>
  <w:style w:type="character" w:customStyle="1" w:styleId="211">
    <w:name w:val="列出段落 Char"/>
    <w:qFormat/>
    <w:uiPriority w:val="0"/>
    <w:rPr>
      <w:rFonts w:ascii="Calibri" w:hAnsi="Calibri" w:eastAsia="宋体"/>
      <w:kern w:val="2"/>
      <w:sz w:val="21"/>
      <w:szCs w:val="22"/>
      <w:lang w:val="en-US" w:eastAsia="zh-CN" w:bidi="ar-SA"/>
    </w:rPr>
  </w:style>
  <w:style w:type="character" w:customStyle="1" w:styleId="212">
    <w:name w:val="页眉 Char"/>
    <w:qFormat/>
    <w:uiPriority w:val="0"/>
    <w:rPr>
      <w:rFonts w:eastAsia="宋体"/>
      <w:kern w:val="2"/>
      <w:sz w:val="18"/>
      <w:szCs w:val="18"/>
      <w:lang w:val="en-US" w:eastAsia="zh-CN" w:bidi="ar-SA"/>
    </w:rPr>
  </w:style>
  <w:style w:type="paragraph" w:customStyle="1" w:styleId="213">
    <w:name w:val="字元 字元2"/>
    <w:basedOn w:val="1"/>
    <w:qFormat/>
    <w:uiPriority w:val="0"/>
    <w:rPr>
      <w:rFonts w:ascii="Tahoma" w:hAnsi="Tahoma"/>
      <w:sz w:val="24"/>
      <w:szCs w:val="20"/>
    </w:rPr>
  </w:style>
  <w:style w:type="paragraph" w:customStyle="1" w:styleId="214">
    <w:name w:val="Char3 Char Char Char2"/>
    <w:basedOn w:val="1"/>
    <w:qFormat/>
    <w:uiPriority w:val="0"/>
    <w:rPr>
      <w:rFonts w:ascii="Tahoma" w:hAnsi="Tahoma"/>
      <w:sz w:val="24"/>
      <w:szCs w:val="20"/>
    </w:rPr>
  </w:style>
  <w:style w:type="paragraph" w:customStyle="1" w:styleId="215">
    <w:name w:val="正文文本缩进2"/>
    <w:basedOn w:val="1"/>
    <w:qFormat/>
    <w:uiPriority w:val="0"/>
    <w:pPr>
      <w:spacing w:line="480" w:lineRule="exact"/>
      <w:ind w:firstLine="480" w:firstLineChars="200"/>
    </w:pPr>
    <w:rPr>
      <w:rFonts w:ascii="宋体" w:hAnsi="宋体"/>
      <w:kern w:val="0"/>
      <w:sz w:val="24"/>
      <w:lang w:val="zh-CN"/>
    </w:rPr>
  </w:style>
  <w:style w:type="paragraph" w:customStyle="1" w:styleId="216">
    <w:name w:val="Char3"/>
    <w:basedOn w:val="1"/>
    <w:qFormat/>
    <w:uiPriority w:val="0"/>
    <w:pPr>
      <w:tabs>
        <w:tab w:val="left" w:pos="360"/>
      </w:tabs>
    </w:pPr>
    <w:rPr>
      <w:sz w:val="24"/>
    </w:rPr>
  </w:style>
  <w:style w:type="paragraph" w:customStyle="1" w:styleId="217">
    <w:name w:val="Char Char Char Char Char Char Char Char Char Char Char Char Char Char Char Char1"/>
    <w:basedOn w:val="1"/>
    <w:qFormat/>
    <w:uiPriority w:val="0"/>
    <w:pPr>
      <w:widowControl/>
      <w:spacing w:after="160" w:line="240" w:lineRule="exact"/>
      <w:jc w:val="center"/>
    </w:pPr>
    <w:rPr>
      <w:rFonts w:ascii="宋体" w:hAnsi="宋体"/>
      <w:b/>
      <w:kern w:val="0"/>
      <w:sz w:val="30"/>
      <w:szCs w:val="30"/>
      <w:lang w:eastAsia="en-US"/>
    </w:rPr>
  </w:style>
  <w:style w:type="paragraph" w:customStyle="1" w:styleId="218">
    <w:name w:val="Char Char1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9">
    <w:name w:val="列出段落2"/>
    <w:basedOn w:val="1"/>
    <w:qFormat/>
    <w:uiPriority w:val="0"/>
    <w:pPr>
      <w:ind w:firstLine="420" w:firstLineChars="200"/>
    </w:pPr>
    <w:rPr>
      <w:rFonts w:ascii="Calibri" w:hAnsi="Calibri"/>
      <w:szCs w:val="22"/>
    </w:rPr>
  </w:style>
  <w:style w:type="paragraph" w:customStyle="1" w:styleId="220">
    <w:name w:val="Char Char Char1 Char2"/>
    <w:basedOn w:val="1"/>
    <w:qFormat/>
    <w:uiPriority w:val="0"/>
    <w:rPr>
      <w:rFonts w:ascii="Tahoma" w:hAnsi="Tahoma"/>
      <w:sz w:val="24"/>
      <w:szCs w:val="20"/>
    </w:rPr>
  </w:style>
  <w:style w:type="paragraph" w:customStyle="1" w:styleId="221">
    <w:name w:val="Char Char Char2"/>
    <w:basedOn w:val="1"/>
    <w:qFormat/>
    <w:uiPriority w:val="0"/>
    <w:rPr>
      <w:rFonts w:ascii="Tahoma" w:hAnsi="Tahoma"/>
      <w:sz w:val="24"/>
      <w:szCs w:val="20"/>
    </w:rPr>
  </w:style>
  <w:style w:type="paragraph" w:customStyle="1" w:styleId="222">
    <w:name w:val="Char Char Char Char Char Char Char2"/>
    <w:basedOn w:val="1"/>
    <w:qFormat/>
    <w:uiPriority w:val="0"/>
    <w:pPr>
      <w:snapToGrid w:val="0"/>
      <w:spacing w:line="360" w:lineRule="auto"/>
      <w:ind w:firstLine="200" w:firstLineChars="200"/>
    </w:pPr>
    <w:rPr>
      <w:rFonts w:eastAsia="仿宋_GB2312"/>
      <w:sz w:val="24"/>
    </w:rPr>
  </w:style>
  <w:style w:type="paragraph" w:customStyle="1" w:styleId="223">
    <w:name w:val="正文缩进2"/>
    <w:basedOn w:val="1"/>
    <w:qFormat/>
    <w:uiPriority w:val="0"/>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224">
    <w:name w:val="修订1"/>
    <w:qFormat/>
    <w:uiPriority w:val="0"/>
    <w:rPr>
      <w:rFonts w:ascii="Times New Roman" w:hAnsi="Times New Roman" w:eastAsia="宋体" w:cs="Times New Roman"/>
      <w:kern w:val="2"/>
      <w:sz w:val="21"/>
      <w:szCs w:val="24"/>
      <w:lang w:val="en-US" w:eastAsia="zh-CN" w:bidi="ar-SA"/>
    </w:rPr>
  </w:style>
  <w:style w:type="paragraph" w:customStyle="1" w:styleId="225">
    <w:name w:val="Char22"/>
    <w:basedOn w:val="1"/>
    <w:qFormat/>
    <w:uiPriority w:val="0"/>
    <w:rPr>
      <w:rFonts w:ascii="Tahoma" w:hAnsi="Tahoma"/>
      <w:sz w:val="24"/>
      <w:szCs w:val="20"/>
    </w:rPr>
  </w:style>
  <w:style w:type="paragraph" w:customStyle="1" w:styleId="226">
    <w:name w:val="Char Char Char Char Char Char Char Char Char Char2"/>
    <w:basedOn w:val="1"/>
    <w:qFormat/>
    <w:uiPriority w:val="0"/>
    <w:rPr>
      <w:rFonts w:ascii="宋体" w:hAnsi="宋体" w:cs="Courier New"/>
      <w:sz w:val="32"/>
      <w:szCs w:val="32"/>
    </w:rPr>
  </w:style>
  <w:style w:type="paragraph" w:customStyle="1" w:styleId="227">
    <w:name w:val="Char2 Char Char Char Char Char Char1"/>
    <w:basedOn w:val="1"/>
    <w:qFormat/>
    <w:uiPriority w:val="0"/>
    <w:pPr>
      <w:widowControl/>
      <w:spacing w:line="400" w:lineRule="exact"/>
      <w:jc w:val="center"/>
    </w:pPr>
  </w:style>
  <w:style w:type="character" w:customStyle="1" w:styleId="228">
    <w:name w:val="页脚 Char"/>
    <w:qFormat/>
    <w:uiPriority w:val="0"/>
    <w:rPr>
      <w:rFonts w:ascii="宋体" w:eastAsia="宋体"/>
      <w:sz w:val="18"/>
      <w:lang w:val="en-US" w:eastAsia="zh-CN" w:bidi="ar-SA"/>
    </w:rPr>
  </w:style>
  <w:style w:type="paragraph" w:customStyle="1" w:styleId="229">
    <w:name w:val="Char Char41"/>
    <w:basedOn w:val="1"/>
    <w:qFormat/>
    <w:uiPriority w:val="0"/>
    <w:pPr>
      <w:widowControl/>
      <w:spacing w:line="400" w:lineRule="exact"/>
      <w:jc w:val="center"/>
    </w:pPr>
  </w:style>
  <w:style w:type="character" w:customStyle="1" w:styleId="230">
    <w:name w:val="批注文字 Char"/>
    <w:qFormat/>
    <w:uiPriority w:val="99"/>
    <w:rPr>
      <w:kern w:val="2"/>
      <w:sz w:val="21"/>
      <w:szCs w:val="24"/>
    </w:rPr>
  </w:style>
  <w:style w:type="character" w:customStyle="1" w:styleId="231">
    <w:name w:val="标题 Char"/>
    <w:qFormat/>
    <w:uiPriority w:val="0"/>
    <w:rPr>
      <w:b/>
      <w:kern w:val="2"/>
      <w:sz w:val="32"/>
    </w:rPr>
  </w:style>
  <w:style w:type="character" w:customStyle="1" w:styleId="232">
    <w:name w:val="标题 4 Char"/>
    <w:basedOn w:val="48"/>
    <w:link w:val="6"/>
    <w:qFormat/>
    <w:uiPriority w:val="0"/>
    <w:rPr>
      <w:sz w:val="24"/>
    </w:rPr>
  </w:style>
  <w:style w:type="character" w:customStyle="1" w:styleId="233">
    <w:name w:val="标题 5 Char"/>
    <w:basedOn w:val="48"/>
    <w:link w:val="7"/>
    <w:qFormat/>
    <w:uiPriority w:val="0"/>
    <w:rPr>
      <w:b/>
      <w:sz w:val="28"/>
    </w:rPr>
  </w:style>
  <w:style w:type="character" w:customStyle="1" w:styleId="234">
    <w:name w:val="标题 6 Char"/>
    <w:basedOn w:val="48"/>
    <w:link w:val="8"/>
    <w:qFormat/>
    <w:uiPriority w:val="0"/>
    <w:rPr>
      <w:rFonts w:ascii="Arial" w:hAnsi="Arial" w:eastAsia="黑体"/>
      <w:b/>
      <w:sz w:val="24"/>
    </w:rPr>
  </w:style>
  <w:style w:type="character" w:customStyle="1" w:styleId="235">
    <w:name w:val="标题 7 Char"/>
    <w:basedOn w:val="48"/>
    <w:link w:val="9"/>
    <w:qFormat/>
    <w:uiPriority w:val="0"/>
    <w:rPr>
      <w:b/>
      <w:sz w:val="24"/>
    </w:rPr>
  </w:style>
  <w:style w:type="character" w:customStyle="1" w:styleId="236">
    <w:name w:val="标题 8 Char"/>
    <w:basedOn w:val="48"/>
    <w:link w:val="10"/>
    <w:qFormat/>
    <w:uiPriority w:val="0"/>
    <w:rPr>
      <w:rFonts w:ascii="Arial" w:hAnsi="Arial" w:eastAsia="黑体"/>
      <w:sz w:val="24"/>
    </w:rPr>
  </w:style>
  <w:style w:type="character" w:customStyle="1" w:styleId="237">
    <w:name w:val="标题 9 Char"/>
    <w:basedOn w:val="48"/>
    <w:link w:val="11"/>
    <w:qFormat/>
    <w:uiPriority w:val="0"/>
    <w:rPr>
      <w:rFonts w:ascii="Arial" w:hAnsi="Arial" w:eastAsia="黑体"/>
      <w:sz w:val="21"/>
    </w:rPr>
  </w:style>
  <w:style w:type="character" w:customStyle="1" w:styleId="238">
    <w:name w:val="文档结构图 Char"/>
    <w:basedOn w:val="48"/>
    <w:link w:val="15"/>
    <w:qFormat/>
    <w:uiPriority w:val="0"/>
    <w:rPr>
      <w:kern w:val="2"/>
      <w:sz w:val="21"/>
      <w:szCs w:val="24"/>
      <w:shd w:val="clear" w:color="auto" w:fill="000080"/>
    </w:rPr>
  </w:style>
  <w:style w:type="character" w:customStyle="1" w:styleId="239">
    <w:name w:val="正文文本 3 Char"/>
    <w:basedOn w:val="48"/>
    <w:link w:val="18"/>
    <w:qFormat/>
    <w:uiPriority w:val="0"/>
    <w:rPr>
      <w:kern w:val="2"/>
      <w:sz w:val="16"/>
      <w:szCs w:val="16"/>
    </w:rPr>
  </w:style>
  <w:style w:type="character" w:customStyle="1" w:styleId="240">
    <w:name w:val="正文文本 Char"/>
    <w:basedOn w:val="48"/>
    <w:link w:val="19"/>
    <w:qFormat/>
    <w:uiPriority w:val="0"/>
    <w:rPr>
      <w:rFonts w:ascii="宋体" w:hAnsi="宋体"/>
      <w:kern w:val="2"/>
      <w:sz w:val="24"/>
      <w:szCs w:val="24"/>
    </w:rPr>
  </w:style>
  <w:style w:type="character" w:customStyle="1" w:styleId="241">
    <w:name w:val="日期 Char"/>
    <w:basedOn w:val="48"/>
    <w:link w:val="27"/>
    <w:qFormat/>
    <w:uiPriority w:val="0"/>
    <w:rPr>
      <w:rFonts w:ascii="仿宋_GB2312" w:hAnsi="宋体" w:eastAsia="仿宋_GB2312"/>
      <w:color w:val="000000"/>
      <w:kern w:val="2"/>
      <w:sz w:val="24"/>
      <w:szCs w:val="24"/>
    </w:rPr>
  </w:style>
  <w:style w:type="character" w:customStyle="1" w:styleId="242">
    <w:name w:val="正文文本缩进 2 Char"/>
    <w:basedOn w:val="48"/>
    <w:link w:val="28"/>
    <w:qFormat/>
    <w:uiPriority w:val="0"/>
    <w:rPr>
      <w:rFonts w:ascii="仿宋_GB2312" w:eastAsia="仿宋_GB2312"/>
      <w:kern w:val="2"/>
      <w:sz w:val="24"/>
      <w:szCs w:val="24"/>
    </w:rPr>
  </w:style>
  <w:style w:type="character" w:customStyle="1" w:styleId="243">
    <w:name w:val="批注框文本 Char"/>
    <w:basedOn w:val="48"/>
    <w:link w:val="29"/>
    <w:qFormat/>
    <w:uiPriority w:val="0"/>
    <w:rPr>
      <w:kern w:val="2"/>
      <w:sz w:val="18"/>
      <w:szCs w:val="18"/>
    </w:rPr>
  </w:style>
  <w:style w:type="character" w:customStyle="1" w:styleId="244">
    <w:name w:val="正文文本缩进 3 Char"/>
    <w:basedOn w:val="48"/>
    <w:link w:val="35"/>
    <w:qFormat/>
    <w:uiPriority w:val="0"/>
    <w:rPr>
      <w:rFonts w:ascii="宋体"/>
      <w:sz w:val="24"/>
    </w:rPr>
  </w:style>
  <w:style w:type="character" w:customStyle="1" w:styleId="245">
    <w:name w:val="HTML 预设格式 Char"/>
    <w:basedOn w:val="48"/>
    <w:link w:val="39"/>
    <w:qFormat/>
    <w:uiPriority w:val="0"/>
    <w:rPr>
      <w:rFonts w:ascii="宋体" w:hAnsi="宋体" w:cs="宋体"/>
      <w:sz w:val="24"/>
      <w:szCs w:val="24"/>
    </w:rPr>
  </w:style>
  <w:style w:type="character" w:customStyle="1" w:styleId="246">
    <w:name w:val="批注主题 Char"/>
    <w:basedOn w:val="198"/>
    <w:link w:val="43"/>
    <w:qFormat/>
    <w:uiPriority w:val="0"/>
    <w:rPr>
      <w:rFonts w:ascii="Times New Roman" w:hAnsi="Times New Roman" w:eastAsia="宋体" w:cs="Times New Roman"/>
      <w:b/>
      <w:bCs/>
      <w:kern w:val="2"/>
      <w:sz w:val="21"/>
      <w:szCs w:val="24"/>
      <w:lang w:val="en-US" w:eastAsia="zh-CN" w:bidi="ar-SA"/>
    </w:rPr>
  </w:style>
  <w:style w:type="character" w:customStyle="1" w:styleId="247">
    <w:name w:val="正文首行缩进 2 Char"/>
    <w:basedOn w:val="71"/>
    <w:link w:val="44"/>
    <w:qFormat/>
    <w:uiPriority w:val="0"/>
    <w:rPr>
      <w:rFonts w:eastAsia="宋体"/>
      <w:kern w:val="2"/>
      <w:sz w:val="24"/>
      <w:szCs w:val="24"/>
      <w:lang w:val="en-US" w:eastAsia="zh-CN" w:bidi="ar-SA"/>
    </w:rPr>
  </w:style>
  <w:style w:type="paragraph" w:customStyle="1" w:styleId="248">
    <w:name w:val="图例"/>
    <w:basedOn w:val="1"/>
    <w:qFormat/>
    <w:uiPriority w:val="0"/>
    <w:pPr>
      <w:spacing w:before="120" w:after="120" w:line="360" w:lineRule="auto"/>
      <w:jc w:val="center"/>
    </w:pPr>
    <w:rPr>
      <w:rFonts w:eastAsia="仿宋_GB2312"/>
      <w:b/>
      <w:sz w:val="24"/>
      <w:szCs w:val="20"/>
    </w:rPr>
  </w:style>
  <w:style w:type="table" w:customStyle="1" w:styleId="249">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50">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251">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252">
    <w:name w:val="cf01"/>
    <w:basedOn w:val="48"/>
    <w:qFormat/>
    <w:uiPriority w:val="0"/>
    <w:rPr>
      <w:rFonts w:hint="eastAsia" w:ascii="Microsoft YaHei UI" w:hAnsi="Microsoft YaHei UI" w:eastAsia="Microsoft YaHei UI"/>
      <w:sz w:val="18"/>
      <w:szCs w:val="18"/>
    </w:rPr>
  </w:style>
  <w:style w:type="character" w:customStyle="1" w:styleId="253">
    <w:name w:val="cf21"/>
    <w:basedOn w:val="48"/>
    <w:qFormat/>
    <w:uiPriority w:val="0"/>
    <w:rPr>
      <w:rFonts w:hint="eastAsia" w:ascii="Microsoft YaHei UI" w:hAnsi="Microsoft YaHei UI" w:eastAsia="Microsoft YaHei UI"/>
      <w:sz w:val="18"/>
      <w:szCs w:val="18"/>
      <w:shd w:val="clear" w:color="auto" w:fill="FFFFFF"/>
    </w:rPr>
  </w:style>
  <w:style w:type="character" w:customStyle="1" w:styleId="254">
    <w:name w:val="cf11"/>
    <w:basedOn w:val="48"/>
    <w:qFormat/>
    <w:uiPriority w:val="0"/>
    <w:rPr>
      <w:rFonts w:hint="eastAsia" w:ascii="Microsoft YaHei UI" w:hAnsi="Microsoft YaHei UI" w:eastAsia="Microsoft YaHei UI"/>
      <w:sz w:val="18"/>
      <w:szCs w:val="18"/>
    </w:rPr>
  </w:style>
  <w:style w:type="paragraph" w:customStyle="1" w:styleId="255">
    <w:name w:val="p0"/>
    <w:basedOn w:val="1"/>
    <w:qFormat/>
    <w:uiPriority w:val="99"/>
    <w:pPr>
      <w:widowControl/>
      <w:suppressAutoHyphens/>
      <w:autoSpaceDN w:val="0"/>
      <w:spacing w:before="100" w:beforeAutospacing="1" w:after="100" w:afterAutospacing="1"/>
      <w:jc w:val="left"/>
    </w:pPr>
    <w:rPr>
      <w:rFonts w:ascii="宋体" w:hAnsi="宋体" w:cs="宋体"/>
      <w:kern w:val="0"/>
      <w:sz w:val="24"/>
    </w:rPr>
  </w:style>
  <w:style w:type="character" w:customStyle="1" w:styleId="256">
    <w:name w:val="未处理的提及1"/>
    <w:basedOn w:val="48"/>
    <w:semiHidden/>
    <w:unhideWhenUsed/>
    <w:qFormat/>
    <w:uiPriority w:val="99"/>
    <w:rPr>
      <w:color w:val="605E5C"/>
      <w:shd w:val="clear" w:color="auto" w:fill="E1DFDD"/>
    </w:rPr>
  </w:style>
  <w:style w:type="character" w:customStyle="1" w:styleId="257">
    <w:name w:val="font11"/>
    <w:basedOn w:val="48"/>
    <w:qFormat/>
    <w:uiPriority w:val="0"/>
    <w:rPr>
      <w:rFonts w:hint="eastAsia" w:ascii="仿宋" w:hAnsi="仿宋" w:eastAsia="仿宋" w:cs="仿宋"/>
      <w:color w:val="000000"/>
      <w:sz w:val="20"/>
      <w:szCs w:val="20"/>
      <w:u w:val="none"/>
    </w:rPr>
  </w:style>
  <w:style w:type="character" w:customStyle="1" w:styleId="258">
    <w:name w:val="font41"/>
    <w:basedOn w:val="48"/>
    <w:qFormat/>
    <w:uiPriority w:val="0"/>
    <w:rPr>
      <w:rFonts w:hint="eastAsia" w:ascii="仿宋" w:hAnsi="仿宋" w:eastAsia="仿宋" w:cs="仿宋"/>
      <w:color w:val="7030A0"/>
      <w:sz w:val="20"/>
      <w:szCs w:val="20"/>
      <w:u w:val="none"/>
    </w:rPr>
  </w:style>
  <w:style w:type="character" w:customStyle="1" w:styleId="259">
    <w:name w:val="font31"/>
    <w:basedOn w:val="48"/>
    <w:qFormat/>
    <w:uiPriority w:val="0"/>
    <w:rPr>
      <w:rFonts w:hint="eastAsia" w:ascii="宋体" w:hAnsi="宋体" w:eastAsia="宋体" w:cs="宋体"/>
      <w:color w:val="000000"/>
      <w:sz w:val="20"/>
      <w:szCs w:val="20"/>
      <w:u w:val="none"/>
    </w:rPr>
  </w:style>
  <w:style w:type="character" w:customStyle="1" w:styleId="260">
    <w:name w:val="font21"/>
    <w:basedOn w:val="48"/>
    <w:qFormat/>
    <w:uiPriority w:val="0"/>
    <w:rPr>
      <w:rFonts w:hint="eastAsia" w:ascii="仿宋" w:hAnsi="仿宋" w:eastAsia="仿宋" w:cs="仿宋"/>
      <w:color w:val="FF0000"/>
      <w:sz w:val="20"/>
      <w:szCs w:val="20"/>
      <w:u w:val="none"/>
    </w:rPr>
  </w:style>
  <w:style w:type="paragraph" w:customStyle="1" w:styleId="261">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262">
    <w:name w:val="修订3"/>
    <w:hidden/>
    <w:unhideWhenUsed/>
    <w:qFormat/>
    <w:uiPriority w:val="99"/>
    <w:rPr>
      <w:rFonts w:ascii="Times New Roman" w:hAnsi="Times New Roman" w:eastAsia="宋体" w:cs="Times New Roman"/>
      <w:kern w:val="2"/>
      <w:sz w:val="21"/>
      <w:szCs w:val="24"/>
      <w:lang w:val="en-US" w:eastAsia="zh-CN" w:bidi="ar-SA"/>
    </w:rPr>
  </w:style>
  <w:style w:type="character" w:customStyle="1" w:styleId="263">
    <w:name w:val="NormalCharacter"/>
    <w:autoRedefine/>
    <w:qFormat/>
    <w:uiPriority w:val="0"/>
  </w:style>
  <w:style w:type="paragraph" w:customStyle="1" w:styleId="264">
    <w:name w:val="_Style 8"/>
    <w:basedOn w:val="1"/>
    <w:next w:val="77"/>
    <w:qFormat/>
    <w:uiPriority w:val="34"/>
    <w:pPr>
      <w:ind w:firstLine="420" w:firstLineChars="200"/>
    </w:pPr>
    <w:rPr>
      <w:rFonts w:ascii="Calibri" w:hAnsi="Calibri"/>
      <w:szCs w:val="22"/>
    </w:rPr>
  </w:style>
  <w:style w:type="paragraph" w:customStyle="1" w:styleId="265">
    <w:name w:val="Table Text"/>
    <w:basedOn w:val="1"/>
    <w:semiHidden/>
    <w:qFormat/>
    <w:uiPriority w:val="0"/>
    <w:rPr>
      <w:rFonts w:ascii="仿宋" w:hAnsi="仿宋" w:eastAsia="仿宋" w:cs="仿宋"/>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png"/><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header" Target="header5.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DAE34-9E7C-46F0-8988-6CA43E308A4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67</Pages>
  <Words>4906</Words>
  <Characters>5522</Characters>
  <Lines>352</Lines>
  <Paragraphs>99</Paragraphs>
  <TotalTime>2</TotalTime>
  <ScaleCrop>false</ScaleCrop>
  <LinksUpToDate>false</LinksUpToDate>
  <CharactersWithSpaces>5625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2024-06-04T09:36:00Z</dcterms:created>
  <dc:creator>Yin Hao</dc:creator>
  <cp:lastModifiedBy>Administrator</cp:lastModifiedBy>
  <cp:lastPrinted>2020-04-01T03:13:00Z</cp:lastPrinted>
  <dcterms:modified xsi:type="dcterms:W3CDTF">2025-12-09T23:47:56Z</dcterms:modified>
  <dc:title>政府采购示范文本（2023）</dc:title>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905A31A8D7C24AE09A80ACC5AF4B619A_13</vt:lpwstr>
  </property>
  <property fmtid="{D5CDD505-2E9C-101B-9397-08002B2CF9AE}" pid="4" name="KSOTemplateDocerSaveRecord">
    <vt:lpwstr>eyJoZGlkIjoiMWU1NDVjZDE4M2EzNWU1NTIxOGRjNzVlZTNhYjg4ZjkiLCJ1c2VySWQiOiIyMTY2OTk3MTYifQ==</vt:lpwstr>
  </property>
</Properties>
</file>