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ind w:firstLine="420" w:firstLineChars="0"/>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2"/>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5719D3BC">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保安服务项目</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eastAsia="zh-CN"/>
        </w:rPr>
        <w:t>四标包</w:t>
      </w:r>
      <w:r>
        <w:rPr>
          <w:rFonts w:hint="eastAsia" w:ascii="仿宋" w:hAnsi="仿宋" w:eastAsia="仿宋" w:cs="仿宋"/>
          <w:bCs/>
          <w:color w:val="auto"/>
          <w:sz w:val="32"/>
          <w:szCs w:val="32"/>
          <w:highlight w:val="none"/>
        </w:rPr>
        <w:t>）</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11010525210200026591-XM001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36</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35393790"/>
      <w:bookmarkStart w:id="3" w:name="_Toc28359002"/>
      <w:bookmarkStart w:id="4" w:name="_Toc35393621"/>
      <w:bookmarkStart w:id="5" w:name="_Toc28359079"/>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11010525210200026591-XM001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2026年北京市朝阳区教育服务保障中心及其所属幼儿园保安服务项目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828.36</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2414"/>
        <w:gridCol w:w="1525"/>
        <w:gridCol w:w="992"/>
        <w:gridCol w:w="3998"/>
      </w:tblGrid>
      <w:tr w14:paraId="74ED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9" w:type="pct"/>
            <w:vAlign w:val="center"/>
          </w:tcPr>
          <w:p w14:paraId="130B1AC2">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24288291">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78C44732">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01" w:type="pct"/>
            <w:vAlign w:val="center"/>
          </w:tcPr>
          <w:p w14:paraId="426C100C">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2019" w:type="pct"/>
            <w:vAlign w:val="center"/>
          </w:tcPr>
          <w:p w14:paraId="7E2662B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6C0C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0B656DF6">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19" w:type="pct"/>
            <w:vAlign w:val="center"/>
          </w:tcPr>
          <w:p w14:paraId="5B32CCF0">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70" w:type="pct"/>
            <w:vAlign w:val="center"/>
          </w:tcPr>
          <w:p w14:paraId="7A9B8FDC">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7462CEA0">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37AE3F0">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为青荷里园、祈东园、安馨园、晨风园、百子园、裕民园提供安保服务，具体详见招标文件第五章采购需求。</w:t>
            </w:r>
          </w:p>
        </w:tc>
      </w:tr>
      <w:tr w14:paraId="609A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489" w:type="pct"/>
            <w:vAlign w:val="center"/>
          </w:tcPr>
          <w:p w14:paraId="5021B78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19" w:type="pct"/>
            <w:vAlign w:val="center"/>
          </w:tcPr>
          <w:p w14:paraId="0F659A2A">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70" w:type="pct"/>
            <w:vAlign w:val="center"/>
          </w:tcPr>
          <w:p w14:paraId="7362C380">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3E238D7A">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6F7E1FC7">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为华翰北（C区）园、华翰南（D区）园、汇景园、天璞园、东风苑园、奥林园提供安保服务，具体详见招标文件第五章采购需求。</w:t>
            </w:r>
          </w:p>
        </w:tc>
      </w:tr>
      <w:tr w14:paraId="19C1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1951A1B1">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19" w:type="pct"/>
            <w:vAlign w:val="center"/>
          </w:tcPr>
          <w:p w14:paraId="5C22A533">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70" w:type="pct"/>
            <w:vAlign w:val="center"/>
          </w:tcPr>
          <w:p w14:paraId="55188351">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522A8C54">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B2CC39E">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为林萃园、东洲园、丽都园、惠新贸大园、冬晟园、瑞福园提供安保服务，具体详见招标文件第五章采购需求。</w:t>
            </w:r>
          </w:p>
        </w:tc>
      </w:tr>
      <w:tr w14:paraId="1FFF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69CB5DD4">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四标包</w:t>
            </w:r>
          </w:p>
        </w:tc>
        <w:tc>
          <w:tcPr>
            <w:tcW w:w="1219" w:type="pct"/>
            <w:vAlign w:val="center"/>
          </w:tcPr>
          <w:p w14:paraId="56A0400A">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四标包</w:t>
            </w:r>
            <w:r>
              <w:rPr>
                <w:rFonts w:hint="eastAsia" w:ascii="仿宋" w:hAnsi="仿宋" w:eastAsia="仿宋" w:cs="仿宋"/>
                <w:color w:val="auto"/>
                <w:sz w:val="21"/>
                <w:szCs w:val="21"/>
                <w:highlight w:val="none"/>
                <w:lang w:eastAsia="zh-CN"/>
              </w:rPr>
              <w:t>）</w:t>
            </w:r>
          </w:p>
        </w:tc>
        <w:tc>
          <w:tcPr>
            <w:tcW w:w="770" w:type="pct"/>
            <w:vAlign w:val="center"/>
          </w:tcPr>
          <w:p w14:paraId="1C84852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159.3</w:t>
            </w:r>
          </w:p>
        </w:tc>
        <w:tc>
          <w:tcPr>
            <w:tcW w:w="501" w:type="pct"/>
            <w:vAlign w:val="center"/>
          </w:tcPr>
          <w:p w14:paraId="3256BD4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12F460CB">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为望京园、瑞祥园、瑞平东园、瑞平西园、嘉悦园提供安保服务，具体详见招标文件第五章采购需求。</w:t>
            </w:r>
          </w:p>
        </w:tc>
      </w:tr>
      <w:tr w14:paraId="313D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78BF3A3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五标包</w:t>
            </w:r>
          </w:p>
        </w:tc>
        <w:tc>
          <w:tcPr>
            <w:tcW w:w="1219" w:type="pct"/>
            <w:vAlign w:val="center"/>
          </w:tcPr>
          <w:p w14:paraId="332201CB">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五标包</w:t>
            </w:r>
            <w:r>
              <w:rPr>
                <w:rFonts w:hint="eastAsia" w:ascii="仿宋" w:hAnsi="仿宋" w:eastAsia="仿宋" w:cs="仿宋"/>
                <w:color w:val="auto"/>
                <w:sz w:val="21"/>
                <w:szCs w:val="21"/>
                <w:highlight w:val="none"/>
                <w:lang w:eastAsia="zh-CN"/>
              </w:rPr>
              <w:t>）</w:t>
            </w:r>
          </w:p>
        </w:tc>
        <w:tc>
          <w:tcPr>
            <w:tcW w:w="770" w:type="pct"/>
            <w:vAlign w:val="center"/>
          </w:tcPr>
          <w:p w14:paraId="59B892F9">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31.86</w:t>
            </w:r>
          </w:p>
        </w:tc>
        <w:tc>
          <w:tcPr>
            <w:tcW w:w="501" w:type="pct"/>
            <w:vAlign w:val="center"/>
          </w:tcPr>
          <w:p w14:paraId="1A1D95F8">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A8AD369">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为双桥址提供安保服务，具体详见招标文件第五章采购需求。</w:t>
            </w:r>
          </w:p>
        </w:tc>
      </w:tr>
      <w:tr w14:paraId="28CB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489" w:type="pct"/>
            <w:vAlign w:val="center"/>
          </w:tcPr>
          <w:p w14:paraId="5241676A">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六标包</w:t>
            </w:r>
          </w:p>
        </w:tc>
        <w:tc>
          <w:tcPr>
            <w:tcW w:w="1219" w:type="pct"/>
            <w:vAlign w:val="center"/>
          </w:tcPr>
          <w:p w14:paraId="1158B7BC">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六标包</w:t>
            </w:r>
            <w:r>
              <w:rPr>
                <w:rFonts w:hint="eastAsia" w:ascii="仿宋" w:hAnsi="仿宋" w:eastAsia="仿宋" w:cs="仿宋"/>
                <w:color w:val="auto"/>
                <w:sz w:val="21"/>
                <w:szCs w:val="21"/>
                <w:highlight w:val="none"/>
                <w:lang w:eastAsia="zh-CN"/>
              </w:rPr>
              <w:t>）</w:t>
            </w:r>
          </w:p>
        </w:tc>
        <w:tc>
          <w:tcPr>
            <w:tcW w:w="770" w:type="pct"/>
            <w:shd w:val="clear" w:color="auto" w:fill="auto"/>
            <w:vAlign w:val="center"/>
          </w:tcPr>
          <w:p w14:paraId="6957973A">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63.72</w:t>
            </w:r>
          </w:p>
        </w:tc>
        <w:tc>
          <w:tcPr>
            <w:tcW w:w="501" w:type="pct"/>
            <w:shd w:val="clear" w:color="auto" w:fill="auto"/>
            <w:vAlign w:val="center"/>
          </w:tcPr>
          <w:p w14:paraId="40A23F1D">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20ED44C1">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为团结湖址、新源里址、恒安大厦址提供安保服务，具体详见招标文件第五章采购需求。</w:t>
            </w:r>
          </w:p>
        </w:tc>
      </w:tr>
    </w:tbl>
    <w:p w14:paraId="2EC102ED">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一年，计划于2026年01月01日起至2026年12月31日止，最终以合同约定时间为准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28359003"/>
      <w:bookmarkStart w:id="8" w:name="_Toc35393622"/>
      <w:bookmarkStart w:id="9" w:name="_Toc35393791"/>
      <w:bookmarkStart w:id="10" w:name="_Toc28359080"/>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04"/>
      <w:bookmarkStart w:id="12" w:name="_Toc28359081"/>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00524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供应商须具备北京市公安机关核发的《保安服务许可证》</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北京市行政区域外的服务企业应在北京市公安机关备案。</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792"/>
      <w:bookmarkStart w:id="14" w:name="_Toc35393623"/>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82"/>
      <w:bookmarkStart w:id="16" w:name="_Toc28359005"/>
      <w:bookmarkStart w:id="17" w:name="_Toc35393624"/>
      <w:bookmarkStart w:id="18" w:name="_Toc35393793"/>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5"/>
      <w:bookmarkStart w:id="20" w:name="OLE_LINK6"/>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val="en-US" w:eastAsia="zh-CN" w:bidi="ar"/>
        </w:rPr>
        <w:t>13</w:t>
      </w:r>
      <w:r>
        <w:rPr>
          <w:rFonts w:hint="eastAsia" w:ascii="仿宋" w:hAnsi="仿宋" w:eastAsia="仿宋" w:cs="仿宋"/>
          <w:color w:val="auto"/>
          <w:sz w:val="24"/>
          <w:highlight w:val="none"/>
          <w:u w:val="single"/>
          <w:lang w:bidi="ar"/>
        </w:rPr>
        <w:t>点</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35393625"/>
      <w:bookmarkStart w:id="22" w:name="_Toc28359007"/>
      <w:bookmarkStart w:id="23" w:name="_Toc28359084"/>
      <w:bookmarkStart w:id="24" w:name="_Toc35393794"/>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795"/>
      <w:bookmarkStart w:id="26" w:name="_Toc35393626"/>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35393796"/>
      <w:bookmarkStart w:id="28" w:name="_Toc35393627"/>
      <w:bookmarkStart w:id="29" w:name="_Toc28359085"/>
      <w:bookmarkStart w:id="30" w:name="_Toc28359008"/>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2AA292B6">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09"/>
      <w:bookmarkStart w:id="32" w:name="_Toc28359086"/>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BF826B2">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5B167DC9">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 xml:space="preserve">马老师 </w:t>
      </w:r>
      <w:r>
        <w:rPr>
          <w:rStyle w:val="263"/>
          <w:rFonts w:hint="eastAsia" w:ascii="仿宋" w:hAnsi="仿宋" w:eastAsia="仿宋" w:cs="仿宋"/>
          <w:color w:val="auto"/>
          <w:sz w:val="24"/>
          <w:highlight w:val="none"/>
          <w:u w:val="single"/>
        </w:rPr>
        <w:t>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10"/>
      <w:bookmarkStart w:id="34" w:name="_Toc28359087"/>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305158928"/>
      <w:bookmarkStart w:id="36" w:name="_Toc226965856"/>
      <w:bookmarkStart w:id="37" w:name="_Toc195842950"/>
      <w:bookmarkStart w:id="38" w:name="_Toc265228423"/>
      <w:bookmarkStart w:id="39" w:name="_Toc127161488"/>
      <w:bookmarkStart w:id="40" w:name="_Toc512937850"/>
      <w:bookmarkStart w:id="41" w:name="_Toc353873938"/>
      <w:bookmarkStart w:id="42" w:name="_Toc264969275"/>
      <w:bookmarkStart w:id="43" w:name="_Toc353825548"/>
      <w:bookmarkStart w:id="44" w:name="_Toc99301420"/>
      <w:bookmarkStart w:id="45" w:name="_Toc150774783"/>
      <w:bookmarkStart w:id="46" w:name="_Toc127151777"/>
      <w:bookmarkStart w:id="47" w:name="_Toc305158854"/>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150774724"/>
      <w:bookmarkStart w:id="49" w:name="_Toc151190146"/>
      <w:bookmarkStart w:id="50" w:name="_Toc226309763"/>
      <w:bookmarkStart w:id="51" w:name="_Toc164608633"/>
      <w:bookmarkStart w:id="52" w:name="_Toc151193617"/>
      <w:bookmarkStart w:id="53" w:name="_Toc164608788"/>
      <w:bookmarkStart w:id="54" w:name="_Toc164229214"/>
      <w:bookmarkStart w:id="55" w:name="_Toc149720812"/>
      <w:bookmarkStart w:id="56" w:name="_Toc520356144"/>
      <w:bookmarkStart w:id="57" w:name="_Toc226337215"/>
      <w:bookmarkStart w:id="58" w:name="_Toc151193907"/>
      <w:bookmarkStart w:id="59" w:name="_Toc150480757"/>
      <w:bookmarkStart w:id="60" w:name="_Toc127151519"/>
      <w:bookmarkStart w:id="61" w:name="_Toc127161433"/>
      <w:bookmarkStart w:id="62" w:name="_Toc151193761"/>
      <w:bookmarkStart w:id="63" w:name="_Toc142311021"/>
      <w:bookmarkStart w:id="64" w:name="_Toc195842884"/>
      <w:bookmarkStart w:id="65" w:name="_Toc127151720"/>
      <w:bookmarkStart w:id="66" w:name="_Toc164351613"/>
      <w:bookmarkStart w:id="67" w:name="_Toc151193689"/>
      <w:bookmarkStart w:id="68" w:name="_Toc151193833"/>
      <w:bookmarkStart w:id="69" w:name="_Toc150774619"/>
      <w:bookmarkStart w:id="70" w:name="_Toc150509270"/>
      <w:bookmarkStart w:id="71" w:name="_Toc226965792"/>
      <w:bookmarkStart w:id="72" w:name="_Toc226965709"/>
      <w:bookmarkStart w:id="73" w:name="_Toc164229360"/>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3" w:type="dxa"/>
              <w:jc w:val="center"/>
              <w:tblLayout w:type="fixed"/>
              <w:tblCellMar>
                <w:top w:w="0" w:type="dxa"/>
                <w:left w:w="108" w:type="dxa"/>
                <w:bottom w:w="0" w:type="dxa"/>
                <w:right w:w="108" w:type="dxa"/>
              </w:tblCellMar>
            </w:tblPr>
            <w:tblGrid>
              <w:gridCol w:w="948"/>
              <w:gridCol w:w="3365"/>
              <w:gridCol w:w="2260"/>
            </w:tblGrid>
            <w:tr w14:paraId="5D8EBF08">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4"/>
                      <w:szCs w:val="22"/>
                      <w:highlight w:val="none"/>
                      <w:lang w:val="en-US" w:eastAsia="zh-CN"/>
                    </w:rPr>
                  </w:pPr>
                  <w:r>
                    <w:rPr>
                      <w:rFonts w:hint="eastAsia" w:ascii="仿宋" w:hAnsi="仿宋" w:eastAsia="仿宋" w:cs="仿宋"/>
                      <w:bCs/>
                      <w:color w:val="auto"/>
                      <w:sz w:val="24"/>
                      <w:szCs w:val="22"/>
                      <w:highlight w:val="none"/>
                      <w:lang w:val="en-US" w:eastAsia="zh-CN"/>
                    </w:rPr>
                    <w:t>标包号</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bCs/>
                      <w:color w:val="auto"/>
                      <w:sz w:val="24"/>
                      <w:szCs w:val="22"/>
                      <w:highlight w:val="none"/>
                      <w:lang w:val="en-US" w:eastAsia="zh-CN"/>
                    </w:rPr>
                    <w:t>标包</w:t>
                  </w:r>
                  <w:r>
                    <w:rPr>
                      <w:rFonts w:hint="eastAsia" w:ascii="仿宋" w:hAnsi="仿宋" w:eastAsia="仿宋" w:cs="仿宋"/>
                      <w:bCs/>
                      <w:color w:val="auto"/>
                      <w:sz w:val="24"/>
                      <w:szCs w:val="22"/>
                      <w:highlight w:val="none"/>
                    </w:rPr>
                    <w:t>名称</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color w:val="auto"/>
                      <w:sz w:val="24"/>
                      <w:szCs w:val="22"/>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eastAsia="zh-CN"/>
                    </w:rPr>
                    <w:t>一标包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2026年北京市朝阳区教育服务保障中心及其所属幼儿园保安服务项目（一标包）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4"/>
                      <w:szCs w:val="24"/>
                      <w:highlight w:val="none"/>
                    </w:rPr>
                  </w:pPr>
                  <w:r>
                    <w:rPr>
                      <w:rFonts w:hint="eastAsia" w:ascii="仿宋" w:hAnsi="仿宋" w:eastAsia="仿宋" w:cs="仿宋"/>
                      <w:bCs w:val="0"/>
                      <w:color w:val="auto"/>
                      <w:sz w:val="24"/>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二标包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二标包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三标包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三标包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2955DF8C">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3343D">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7B4B">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9BC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7040433B">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E2B1">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B3F3">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F44B">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57685CFA">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BCBF">
                  <w:pPr>
                    <w:widowControl/>
                    <w:jc w:val="center"/>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E97F">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27F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4"/>
                      <w:szCs w:val="24"/>
                      <w:highlight w:val="none"/>
                    </w:rPr>
                  </w:pPr>
                  <w:r>
                    <w:rPr>
                      <w:rFonts w:hint="eastAsia" w:ascii="仿宋" w:hAnsi="仿宋" w:eastAsia="仿宋" w:cs="仿宋"/>
                      <w:b/>
                      <w:color w:val="auto"/>
                      <w:sz w:val="24"/>
                      <w:highlight w:val="none"/>
                    </w:rPr>
                    <w:t>其划型标准如下：</w:t>
                  </w:r>
                  <w:r>
                    <w:rPr>
                      <w:rFonts w:hint="eastAsia" w:ascii="仿宋" w:hAnsi="仿宋" w:eastAsia="仿宋" w:cs="仿宋"/>
                      <w:bCs/>
                      <w:color w:val="auto"/>
                      <w:sz w:val="24"/>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4"/>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一标包：投标保证金人民币叁万捌仟贰佰元；</w:t>
            </w:r>
          </w:p>
          <w:p w14:paraId="495F0A61">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二标包：投标保证金人民币叁万捌仟壹佰元；</w:t>
            </w:r>
          </w:p>
          <w:p w14:paraId="06DC1FAF">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三标包：投标保证金人民币叁万捌仟元；</w:t>
            </w:r>
          </w:p>
          <w:p w14:paraId="271A3559">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四标包：投标保证金人民币叁万壹仟元；</w:t>
            </w:r>
          </w:p>
          <w:p w14:paraId="032988DC">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五标包：投标保证金人民币陆仟元；</w:t>
            </w:r>
          </w:p>
          <w:p w14:paraId="69EDA2EB">
            <w:pPr>
              <w:pStyle w:val="25"/>
              <w:adjustRightInd w:val="0"/>
              <w:snapToGrid w:val="0"/>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六标包：投标保证金人民币壹万贰仟元；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68267079">
            <w:pPr>
              <w:pStyle w:val="25"/>
              <w:adjustRightInd w:val="0"/>
              <w:snapToGrid w:val="0"/>
              <w:spacing w:line="276"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4712425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投标保证金可以不予退还的其他情形：</w:t>
            </w:r>
          </w:p>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w:t>
            </w:r>
          </w:p>
          <w:p w14:paraId="4308AB0C">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■有，具体情形：</w:t>
            </w:r>
          </w:p>
          <w:p w14:paraId="440AC21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（1）在投标有效期内，投标人擅自撤销投标文件的；</w:t>
            </w:r>
          </w:p>
          <w:p w14:paraId="0DDFD60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（2）中标人不按本须知的规定与采购人签订合同的；</w:t>
            </w:r>
          </w:p>
          <w:p w14:paraId="58A21F5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（3）中标人擅自放弃中标的。</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2283A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135B7FB0">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0B913CF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360A89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1F3C3C6F">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021DC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7E9EF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5383B4C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5E52727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08E5A24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47679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3BA7FB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51A4241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03D8E08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5EC7B73">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2CB15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DB5DA99">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1F62DED0">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678AEE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2C23A8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4192393D">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4874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07DA0137">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3642B8A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71042BE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6AFBE6D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2937423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2C5BF3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2897F6A0">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62822A71">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①本项目【一】至【六】标包中，投标人可对其中的任意一个标包或多个标包同时进行投标，但其在上述标包的范围内，最多中标标包的数量为【1】个。</w:t>
            </w:r>
          </w:p>
          <w:p w14:paraId="2D4D52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②如该投标人在【一】至【六】标包中的综合排序中均为第一，则按照标包号的自然顺序确定中标，并以此类推。</w:t>
            </w:r>
          </w:p>
        </w:tc>
      </w:tr>
    </w:tbl>
    <w:p w14:paraId="153CA077">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353873662"/>
      <w:bookmarkStart w:id="75" w:name="_Toc226965790"/>
      <w:bookmarkStart w:id="76" w:name="_Toc142311019"/>
      <w:bookmarkStart w:id="77" w:name="_Toc150774722"/>
      <w:bookmarkStart w:id="78" w:name="_Toc353825542"/>
      <w:bookmarkStart w:id="79" w:name="_Toc226337213"/>
      <w:bookmarkStart w:id="80" w:name="_Toc305158785"/>
      <w:bookmarkStart w:id="81" w:name="_Toc264969207"/>
      <w:bookmarkStart w:id="82" w:name="_Toc353873932"/>
      <w:bookmarkStart w:id="83" w:name="_Toc195842882"/>
      <w:bookmarkStart w:id="84" w:name="_Toc305158859"/>
      <w:bookmarkStart w:id="85" w:name="_Toc127151517"/>
      <w:bookmarkStart w:id="86" w:name="_Toc265228355"/>
      <w:bookmarkStart w:id="87" w:name="_Toc150480755"/>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520356143"/>
      <w:bookmarkStart w:id="89" w:name="_Toc127151518"/>
      <w:r>
        <w:rPr>
          <w:rFonts w:hint="eastAsia" w:ascii="仿宋" w:hAnsi="仿宋" w:eastAsia="仿宋" w:cs="仿宋"/>
          <w:color w:val="auto"/>
          <w:sz w:val="28"/>
          <w:highlight w:val="none"/>
        </w:rPr>
        <w:tab/>
      </w:r>
      <w:bookmarkStart w:id="90" w:name="_Toc265228356"/>
      <w:bookmarkStart w:id="91" w:name="_Toc150480756"/>
      <w:bookmarkStart w:id="92" w:name="_Toc226965791"/>
      <w:bookmarkStart w:id="93" w:name="_Toc151193616"/>
      <w:bookmarkStart w:id="94" w:name="_Toc226337214"/>
      <w:bookmarkStart w:id="95" w:name="_Toc151193906"/>
      <w:bookmarkStart w:id="96" w:name="_Toc150774723"/>
      <w:bookmarkStart w:id="97" w:name="_Toc226965708"/>
      <w:bookmarkStart w:id="98" w:name="_Toc150774618"/>
      <w:bookmarkStart w:id="99" w:name="_Toc151193760"/>
      <w:bookmarkStart w:id="100" w:name="_Toc264969208"/>
      <w:bookmarkStart w:id="101" w:name="_Toc305158786"/>
      <w:bookmarkStart w:id="102" w:name="_Toc151193832"/>
      <w:bookmarkStart w:id="103" w:name="_Toc226309762"/>
      <w:bookmarkStart w:id="104" w:name="_Toc195842883"/>
      <w:bookmarkStart w:id="105" w:name="_Toc151193688"/>
      <w:bookmarkStart w:id="106" w:name="_Toc142311020"/>
      <w:bookmarkStart w:id="107" w:name="_Toc151190145"/>
      <w:bookmarkStart w:id="108" w:name="_Toc150509269"/>
      <w:bookmarkStart w:id="109" w:name="_Toc305158860"/>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265228357"/>
      <w:bookmarkStart w:id="111" w:name="_Toc305158861"/>
      <w:bookmarkStart w:id="112" w:name="_Toc264969209"/>
      <w:bookmarkStart w:id="113" w:name="_Toc305158787"/>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150774725"/>
      <w:bookmarkStart w:id="115" w:name="_Toc195842885"/>
      <w:bookmarkStart w:id="116" w:name="_Toc164351614"/>
      <w:bookmarkStart w:id="117" w:name="_Toc149720813"/>
      <w:bookmarkStart w:id="118" w:name="_Toc151193762"/>
      <w:bookmarkStart w:id="119" w:name="_Toc305158862"/>
      <w:bookmarkStart w:id="120" w:name="_Toc226965710"/>
      <w:bookmarkStart w:id="121" w:name="_Toc151190147"/>
      <w:bookmarkStart w:id="122" w:name="_Toc151193908"/>
      <w:bookmarkStart w:id="123" w:name="_Toc164229215"/>
      <w:bookmarkStart w:id="124" w:name="_Toc226965793"/>
      <w:bookmarkStart w:id="125" w:name="_Toc164608789"/>
      <w:bookmarkStart w:id="126" w:name="_Toc150774620"/>
      <w:bookmarkStart w:id="127" w:name="_Toc226337216"/>
      <w:bookmarkStart w:id="128" w:name="_Toc151193618"/>
      <w:bookmarkStart w:id="129" w:name="_Toc142311022"/>
      <w:bookmarkStart w:id="130" w:name="_Toc127161434"/>
      <w:bookmarkStart w:id="131" w:name="_Toc151193834"/>
      <w:bookmarkStart w:id="132" w:name="_Toc264969210"/>
      <w:bookmarkStart w:id="133" w:name="_Toc226309764"/>
      <w:bookmarkStart w:id="134" w:name="_Toc164229361"/>
      <w:bookmarkStart w:id="135" w:name="_Toc151193690"/>
      <w:bookmarkStart w:id="136" w:name="_Toc150480758"/>
      <w:bookmarkStart w:id="137" w:name="_Toc265228358"/>
      <w:bookmarkStart w:id="138" w:name="_Toc164608634"/>
      <w:bookmarkStart w:id="139" w:name="_Toc150509271"/>
      <w:bookmarkStart w:id="140" w:name="_Toc127151520"/>
      <w:bookmarkStart w:id="141" w:name="_Toc305158788"/>
      <w:bookmarkStart w:id="142" w:name="_Toc127151721"/>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150774622"/>
      <w:bookmarkStart w:id="144" w:name="_Toc151190149"/>
      <w:bookmarkStart w:id="145" w:name="_Toc150509273"/>
      <w:bookmarkStart w:id="146" w:name="_Toc226309766"/>
      <w:bookmarkStart w:id="147" w:name="_Toc142311024"/>
      <w:bookmarkStart w:id="148" w:name="_Toc265228360"/>
      <w:bookmarkStart w:id="149" w:name="_Toc150774727"/>
      <w:bookmarkStart w:id="150" w:name="_Toc127151522"/>
      <w:bookmarkStart w:id="151" w:name="_Toc305158864"/>
      <w:bookmarkStart w:id="152" w:name="_Toc264969212"/>
      <w:bookmarkStart w:id="153" w:name="_Toc520356146"/>
      <w:bookmarkStart w:id="154" w:name="_Toc151193764"/>
      <w:bookmarkStart w:id="155" w:name="_Toc151193910"/>
      <w:bookmarkStart w:id="156" w:name="_Toc150480760"/>
      <w:bookmarkStart w:id="157" w:name="_Toc305158790"/>
      <w:bookmarkStart w:id="158" w:name="_Toc226965712"/>
      <w:bookmarkStart w:id="159" w:name="_Toc226965795"/>
      <w:bookmarkStart w:id="160" w:name="_Toc151193620"/>
      <w:bookmarkStart w:id="161" w:name="_Toc151193692"/>
      <w:bookmarkStart w:id="162" w:name="_Toc151193836"/>
      <w:bookmarkStart w:id="163" w:name="_Toc226337218"/>
      <w:bookmarkStart w:id="164" w:name="_Toc195842887"/>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520356147"/>
      <w:bookmarkStart w:id="169" w:name="_Toc164608637"/>
      <w:bookmarkStart w:id="170" w:name="_Toc151193621"/>
      <w:bookmarkStart w:id="171" w:name="_Toc305158865"/>
      <w:bookmarkStart w:id="172" w:name="_Toc226309767"/>
      <w:bookmarkStart w:id="173" w:name="_Toc142311025"/>
      <w:bookmarkStart w:id="174" w:name="_Toc265228361"/>
      <w:bookmarkStart w:id="175" w:name="_Toc127151523"/>
      <w:bookmarkStart w:id="176" w:name="_Toc164229218"/>
      <w:bookmarkStart w:id="177" w:name="_Toc226965713"/>
      <w:bookmarkStart w:id="178" w:name="_Toc226337219"/>
      <w:bookmarkStart w:id="179" w:name="_Toc149720816"/>
      <w:bookmarkStart w:id="180" w:name="_Toc150774728"/>
      <w:bookmarkStart w:id="181" w:name="_Toc164608792"/>
      <w:bookmarkStart w:id="182" w:name="_Toc151193765"/>
      <w:bookmarkStart w:id="183" w:name="_Toc195842888"/>
      <w:bookmarkStart w:id="184" w:name="_Toc164229364"/>
      <w:bookmarkStart w:id="185" w:name="_Toc150774623"/>
      <w:bookmarkStart w:id="186" w:name="_Toc150480761"/>
      <w:bookmarkStart w:id="187" w:name="_Toc150509274"/>
      <w:bookmarkStart w:id="188" w:name="_Toc305158791"/>
      <w:bookmarkStart w:id="189" w:name="_Toc164351617"/>
      <w:bookmarkStart w:id="190" w:name="_Toc151193837"/>
      <w:bookmarkStart w:id="191" w:name="_Toc226965796"/>
      <w:bookmarkStart w:id="192" w:name="_Toc127161437"/>
      <w:bookmarkStart w:id="193" w:name="_Toc127151724"/>
      <w:bookmarkStart w:id="194" w:name="_Toc151190150"/>
      <w:bookmarkStart w:id="195" w:name="_Toc151193911"/>
      <w:bookmarkStart w:id="196" w:name="_Toc151193693"/>
      <w:bookmarkStart w:id="197" w:name="_Toc264969213"/>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226965716"/>
      <w:bookmarkStart w:id="200" w:name="_Toc151193696"/>
      <w:bookmarkStart w:id="201" w:name="_Toc520356150"/>
      <w:bookmarkStart w:id="202" w:name="_Toc305158794"/>
      <w:bookmarkStart w:id="203" w:name="_Toc151193840"/>
      <w:bookmarkStart w:id="204" w:name="_Toc195842891"/>
      <w:bookmarkStart w:id="205" w:name="_Toc151193914"/>
      <w:bookmarkStart w:id="206" w:name="_Toc142311028"/>
      <w:bookmarkStart w:id="207" w:name="_Toc226965799"/>
      <w:bookmarkStart w:id="208" w:name="_Toc150480764"/>
      <w:bookmarkStart w:id="209" w:name="_Toc151193624"/>
      <w:bookmarkStart w:id="210" w:name="_Toc151193768"/>
      <w:bookmarkStart w:id="211" w:name="_Toc264969216"/>
      <w:bookmarkStart w:id="212" w:name="_Toc151190153"/>
      <w:bookmarkStart w:id="213" w:name="_Toc226309770"/>
      <w:bookmarkStart w:id="214" w:name="_Toc305158868"/>
      <w:bookmarkStart w:id="215" w:name="_Toc150774731"/>
      <w:bookmarkStart w:id="216" w:name="_Toc150509277"/>
      <w:bookmarkStart w:id="217" w:name="_Toc150774626"/>
      <w:bookmarkStart w:id="218" w:name="_Toc265228364"/>
      <w:bookmarkStart w:id="219" w:name="_Toc226337222"/>
      <w:bookmarkStart w:id="220" w:name="_Toc127151526"/>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226965800"/>
      <w:bookmarkStart w:id="222" w:name="_Toc150774627"/>
      <w:bookmarkStart w:id="223" w:name="_Toc150774732"/>
      <w:bookmarkStart w:id="224" w:name="_Toc151193697"/>
      <w:bookmarkStart w:id="225" w:name="_Toc520356151"/>
      <w:bookmarkStart w:id="226" w:name="_Toc151193915"/>
      <w:bookmarkStart w:id="227" w:name="_Toc150480765"/>
      <w:bookmarkStart w:id="228" w:name="_Toc149720820"/>
      <w:bookmarkStart w:id="229" w:name="_Toc305158795"/>
      <w:bookmarkStart w:id="230" w:name="_Toc164351621"/>
      <w:bookmarkStart w:id="231" w:name="_Toc264969217"/>
      <w:bookmarkStart w:id="232" w:name="_Toc151193841"/>
      <w:bookmarkStart w:id="233" w:name="_Toc127151728"/>
      <w:bookmarkStart w:id="234" w:name="_Toc164229368"/>
      <w:bookmarkStart w:id="235" w:name="_Toc164608796"/>
      <w:bookmarkStart w:id="236" w:name="_Toc127151527"/>
      <w:bookmarkStart w:id="237" w:name="_Toc127161441"/>
      <w:bookmarkStart w:id="238" w:name="_Toc305158869"/>
      <w:bookmarkStart w:id="239" w:name="_Toc265228365"/>
      <w:bookmarkStart w:id="240" w:name="_Toc151190154"/>
      <w:bookmarkStart w:id="241" w:name="_Toc226965717"/>
      <w:bookmarkStart w:id="242" w:name="_Toc516367021"/>
      <w:bookmarkStart w:id="243" w:name="_Toc142311029"/>
      <w:bookmarkStart w:id="244" w:name="_Toc226337223"/>
      <w:bookmarkStart w:id="245" w:name="_Toc195842892"/>
      <w:bookmarkStart w:id="246" w:name="_Toc151193625"/>
      <w:bookmarkStart w:id="247" w:name="_Toc226309771"/>
      <w:bookmarkStart w:id="248" w:name="_Toc150509278"/>
      <w:bookmarkStart w:id="249" w:name="_Toc164229222"/>
      <w:bookmarkStart w:id="250" w:name="_Toc164608641"/>
      <w:bookmarkStart w:id="251" w:name="_Toc151193769"/>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Toc516367022"/>
      <w:bookmarkStart w:id="253" w:name="_Ref467306195"/>
      <w:bookmarkStart w:id="254" w:name="_Ref467306676"/>
      <w:bookmarkStart w:id="255" w:name="_Toc127151729"/>
      <w:bookmarkStart w:id="256" w:name="_Toc150480766"/>
      <w:bookmarkStart w:id="257" w:name="_Toc151193698"/>
      <w:bookmarkStart w:id="258" w:name="_Toc151190155"/>
      <w:bookmarkStart w:id="259" w:name="_Toc142311030"/>
      <w:bookmarkStart w:id="260" w:name="_Toc150774628"/>
      <w:bookmarkStart w:id="261" w:name="_Toc164229223"/>
      <w:bookmarkStart w:id="262" w:name="_Toc164608797"/>
      <w:bookmarkStart w:id="263" w:name="_Toc520356152"/>
      <w:bookmarkStart w:id="264" w:name="_Toc164229369"/>
      <w:bookmarkStart w:id="265" w:name="_Toc265228366"/>
      <w:bookmarkStart w:id="266" w:name="_Toc164608642"/>
      <w:bookmarkStart w:id="267" w:name="_Toc149720821"/>
      <w:bookmarkStart w:id="268" w:name="_Toc226965801"/>
      <w:bookmarkStart w:id="269" w:name="_Toc164351622"/>
      <w:bookmarkStart w:id="270" w:name="_Toc195842893"/>
      <w:bookmarkStart w:id="271" w:name="_Toc127161442"/>
      <w:bookmarkStart w:id="272" w:name="_Toc127151528"/>
      <w:bookmarkStart w:id="273" w:name="_Toc151193842"/>
      <w:bookmarkStart w:id="274" w:name="_Toc226309772"/>
      <w:bookmarkStart w:id="275" w:name="_Toc226337224"/>
      <w:bookmarkStart w:id="276" w:name="_Toc305158796"/>
      <w:bookmarkStart w:id="277" w:name="_Toc150509279"/>
      <w:bookmarkStart w:id="278" w:name="_Toc264969218"/>
      <w:bookmarkStart w:id="279" w:name="_Toc305158870"/>
      <w:bookmarkStart w:id="280" w:name="_Toc226965718"/>
      <w:bookmarkStart w:id="281" w:name="_Toc151193626"/>
      <w:bookmarkStart w:id="282" w:name="_Toc150774733"/>
      <w:bookmarkStart w:id="283" w:name="_Toc151193770"/>
      <w:bookmarkStart w:id="284" w:name="_Toc151193916"/>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51193918"/>
      <w:bookmarkStart w:id="287" w:name="_Toc164229371"/>
      <w:bookmarkStart w:id="288" w:name="_Toc520356155"/>
      <w:bookmarkStart w:id="289" w:name="_Toc195842895"/>
      <w:bookmarkStart w:id="290" w:name="_Toc127151731"/>
      <w:bookmarkStart w:id="291" w:name="_Toc164351624"/>
      <w:bookmarkStart w:id="292" w:name="_Toc151190157"/>
      <w:bookmarkStart w:id="293" w:name="_Toc142311032"/>
      <w:bookmarkStart w:id="294" w:name="_Toc164608644"/>
      <w:bookmarkStart w:id="295" w:name="_Toc127161444"/>
      <w:bookmarkStart w:id="296" w:name="_Toc164229225"/>
      <w:bookmarkStart w:id="297" w:name="_Toc127151530"/>
      <w:bookmarkStart w:id="298" w:name="_Toc151193844"/>
      <w:bookmarkStart w:id="299" w:name="_Toc149720823"/>
      <w:bookmarkStart w:id="300" w:name="_Toc164608799"/>
      <w:bookmarkStart w:id="301" w:name="_Toc150774735"/>
      <w:bookmarkStart w:id="302" w:name="_Toc150774630"/>
      <w:bookmarkStart w:id="303" w:name="_Toc151193628"/>
      <w:bookmarkStart w:id="304" w:name="_Toc150480768"/>
      <w:bookmarkStart w:id="305" w:name="_Toc151193772"/>
      <w:bookmarkStart w:id="306" w:name="_Toc150509281"/>
      <w:bookmarkStart w:id="307" w:name="_Toc151193700"/>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305158799"/>
      <w:bookmarkStart w:id="309" w:name="_Toc149720824"/>
      <w:bookmarkStart w:id="310" w:name="_Toc127161445"/>
      <w:bookmarkStart w:id="311" w:name="_Toc151193919"/>
      <w:bookmarkStart w:id="312" w:name="_Toc151190158"/>
      <w:bookmarkStart w:id="313" w:name="_Toc226337227"/>
      <w:bookmarkStart w:id="314" w:name="_Toc164608800"/>
      <w:bookmarkStart w:id="315" w:name="_Toc150480769"/>
      <w:bookmarkStart w:id="316" w:name="_Toc265228369"/>
      <w:bookmarkStart w:id="317" w:name="_Toc142311033"/>
      <w:bookmarkStart w:id="318" w:name="_Toc164608645"/>
      <w:bookmarkStart w:id="319" w:name="_Toc195842896"/>
      <w:bookmarkStart w:id="320" w:name="_Toc151193629"/>
      <w:bookmarkStart w:id="321" w:name="_Toc164229372"/>
      <w:bookmarkStart w:id="322" w:name="_Toc127151531"/>
      <w:bookmarkStart w:id="323" w:name="_Toc150509282"/>
      <w:bookmarkStart w:id="324" w:name="_Toc164351625"/>
      <w:bookmarkStart w:id="325" w:name="_Toc150774631"/>
      <w:bookmarkStart w:id="326" w:name="_Ref467306513"/>
      <w:bookmarkStart w:id="327" w:name="_Toc164229226"/>
      <w:bookmarkStart w:id="328" w:name="_Toc151193701"/>
      <w:bookmarkStart w:id="329" w:name="_Toc127151732"/>
      <w:bookmarkStart w:id="330" w:name="_Toc520356156"/>
      <w:bookmarkStart w:id="331" w:name="_Toc151193845"/>
      <w:bookmarkStart w:id="332" w:name="_Toc264969221"/>
      <w:bookmarkStart w:id="333" w:name="_Toc226309775"/>
      <w:bookmarkStart w:id="334" w:name="_Toc151193773"/>
      <w:bookmarkStart w:id="335" w:name="_Toc226965804"/>
      <w:bookmarkStart w:id="336" w:name="_Toc226965721"/>
      <w:bookmarkStart w:id="337" w:name="_Toc150774736"/>
      <w:bookmarkStart w:id="338" w:name="_Toc305158873"/>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150480770"/>
      <w:bookmarkStart w:id="342" w:name="_Toc150509283"/>
      <w:bookmarkStart w:id="343" w:name="_Toc127151532"/>
      <w:bookmarkStart w:id="344" w:name="_Toc151193630"/>
      <w:bookmarkStart w:id="345" w:name="_Toc226965722"/>
      <w:bookmarkStart w:id="346" w:name="_Toc151193702"/>
      <w:bookmarkStart w:id="347" w:name="_Toc164229373"/>
      <w:bookmarkStart w:id="348" w:name="_Toc265228370"/>
      <w:bookmarkStart w:id="349" w:name="_Toc226965805"/>
      <w:bookmarkStart w:id="350" w:name="_Toc164608646"/>
      <w:bookmarkStart w:id="351" w:name="_Toc520356157"/>
      <w:bookmarkStart w:id="352" w:name="_Toc150774632"/>
      <w:bookmarkStart w:id="353" w:name="_Toc305158800"/>
      <w:bookmarkStart w:id="354" w:name="_Toc264969222"/>
      <w:bookmarkStart w:id="355" w:name="_Toc150774737"/>
      <w:bookmarkStart w:id="356" w:name="_Toc127161446"/>
      <w:bookmarkStart w:id="357" w:name="_Toc151193774"/>
      <w:bookmarkStart w:id="358" w:name="_Toc164351626"/>
      <w:bookmarkStart w:id="359" w:name="_Toc127151733"/>
      <w:bookmarkStart w:id="360" w:name="_Toc164229227"/>
      <w:bookmarkStart w:id="361" w:name="_Toc151193846"/>
      <w:bookmarkStart w:id="362" w:name="_Toc151190159"/>
      <w:bookmarkStart w:id="363" w:name="_Toc164608801"/>
      <w:bookmarkStart w:id="364" w:name="_Toc149720825"/>
      <w:bookmarkStart w:id="365" w:name="_Toc142311034"/>
      <w:bookmarkStart w:id="366" w:name="_Toc226337228"/>
      <w:bookmarkStart w:id="367" w:name="_Toc305158874"/>
      <w:bookmarkStart w:id="368" w:name="_Toc195842897"/>
      <w:bookmarkStart w:id="369" w:name="_Toc151193920"/>
      <w:bookmarkStart w:id="370" w:name="_Toc226309776"/>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195842898"/>
      <w:bookmarkStart w:id="372" w:name="_Toc151190160"/>
      <w:bookmarkStart w:id="373" w:name="_Toc264969223"/>
      <w:bookmarkStart w:id="374" w:name="_Toc150774633"/>
      <w:bookmarkStart w:id="375" w:name="_Toc520356158"/>
      <w:bookmarkStart w:id="376" w:name="_Toc151193775"/>
      <w:bookmarkStart w:id="377" w:name="_Toc265228371"/>
      <w:bookmarkStart w:id="378" w:name="_Toc164608647"/>
      <w:bookmarkStart w:id="379" w:name="_Toc151193921"/>
      <w:bookmarkStart w:id="380" w:name="_Toc164229228"/>
      <w:bookmarkStart w:id="381" w:name="_Toc151193847"/>
      <w:bookmarkStart w:id="382" w:name="_Toc149720826"/>
      <w:bookmarkStart w:id="383" w:name="_Toc226965806"/>
      <w:bookmarkStart w:id="384" w:name="_Toc127151533"/>
      <w:bookmarkStart w:id="385" w:name="_Toc226309777"/>
      <w:bookmarkStart w:id="386" w:name="_Toc127161447"/>
      <w:bookmarkStart w:id="387" w:name="_Toc142311035"/>
      <w:bookmarkStart w:id="388" w:name="_Toc150509284"/>
      <w:bookmarkStart w:id="389" w:name="_Toc305158801"/>
      <w:bookmarkStart w:id="390" w:name="_Toc127151734"/>
      <w:bookmarkStart w:id="391" w:name="_Toc226337229"/>
      <w:bookmarkStart w:id="392" w:name="_Toc164229374"/>
      <w:bookmarkStart w:id="393" w:name="_Toc226965723"/>
      <w:bookmarkStart w:id="394" w:name="_Toc151193703"/>
      <w:bookmarkStart w:id="395" w:name="_Toc164608802"/>
      <w:bookmarkStart w:id="396" w:name="_Toc150774738"/>
      <w:bookmarkStart w:id="397" w:name="_Toc164351627"/>
      <w:bookmarkStart w:id="398" w:name="_Toc150480771"/>
      <w:bookmarkStart w:id="399" w:name="_Toc151193631"/>
      <w:bookmarkStart w:id="400" w:name="_Toc305158875"/>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150509285"/>
      <w:bookmarkStart w:id="402" w:name="_Toc226965807"/>
      <w:bookmarkStart w:id="403" w:name="_Toc305158802"/>
      <w:bookmarkStart w:id="404" w:name="_Toc150480772"/>
      <w:bookmarkStart w:id="405" w:name="_Toc150774739"/>
      <w:bookmarkStart w:id="406" w:name="_Toc226965724"/>
      <w:bookmarkStart w:id="407" w:name="_Toc305158876"/>
      <w:bookmarkStart w:id="408" w:name="_Toc226337230"/>
      <w:bookmarkStart w:id="409" w:name="_Toc150774634"/>
      <w:bookmarkStart w:id="410" w:name="_Toc127151534"/>
      <w:bookmarkStart w:id="411" w:name="_Toc151193776"/>
      <w:bookmarkStart w:id="412" w:name="_Toc265228372"/>
      <w:bookmarkStart w:id="413" w:name="_Toc142311036"/>
      <w:bookmarkStart w:id="414" w:name="_Toc151193922"/>
      <w:bookmarkStart w:id="415" w:name="_Toc520356159"/>
      <w:bookmarkStart w:id="416" w:name="_Toc264969224"/>
      <w:bookmarkStart w:id="417" w:name="_Toc151193632"/>
      <w:bookmarkStart w:id="418" w:name="_Toc151190161"/>
      <w:bookmarkStart w:id="419" w:name="_Toc226309778"/>
      <w:bookmarkStart w:id="420" w:name="_Toc195842899"/>
      <w:bookmarkStart w:id="421" w:name="_Toc151193704"/>
      <w:bookmarkStart w:id="422" w:name="_Toc151193848"/>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164229230"/>
      <w:bookmarkStart w:id="424" w:name="_Toc127151535"/>
      <w:bookmarkStart w:id="425" w:name="_Toc151193849"/>
      <w:bookmarkStart w:id="426" w:name="_Toc127151736"/>
      <w:bookmarkStart w:id="427" w:name="_Toc151193923"/>
      <w:bookmarkStart w:id="428" w:name="_Toc150480773"/>
      <w:bookmarkStart w:id="429" w:name="_Toc142311037"/>
      <w:bookmarkStart w:id="430" w:name="_Toc151193633"/>
      <w:bookmarkStart w:id="431" w:name="_Toc164608649"/>
      <w:bookmarkStart w:id="432" w:name="_Toc151193705"/>
      <w:bookmarkStart w:id="433" w:name="_Toc150774635"/>
      <w:bookmarkStart w:id="434" w:name="_Toc195842900"/>
      <w:bookmarkStart w:id="435" w:name="_Toc226309779"/>
      <w:bookmarkStart w:id="436" w:name="_Toc265228373"/>
      <w:bookmarkStart w:id="437" w:name="_Toc127161449"/>
      <w:bookmarkStart w:id="438" w:name="_Toc151193777"/>
      <w:bookmarkStart w:id="439" w:name="_Toc226965808"/>
      <w:bookmarkStart w:id="440" w:name="_Toc305158803"/>
      <w:bookmarkStart w:id="441" w:name="_Toc226965725"/>
      <w:bookmarkStart w:id="442" w:name="_Toc149720828"/>
      <w:bookmarkStart w:id="443" w:name="_Toc150509286"/>
      <w:bookmarkStart w:id="444" w:name="_Toc305158877"/>
      <w:bookmarkStart w:id="445" w:name="_Toc150774740"/>
      <w:bookmarkStart w:id="446" w:name="_Toc264969225"/>
      <w:bookmarkStart w:id="447" w:name="_Toc151190162"/>
      <w:bookmarkStart w:id="448" w:name="_Toc520356160"/>
      <w:bookmarkStart w:id="449" w:name="_Toc164229376"/>
      <w:bookmarkStart w:id="450" w:name="_Toc164608804"/>
      <w:bookmarkStart w:id="451" w:name="_Toc226337231"/>
      <w:bookmarkStart w:id="452" w:name="_Toc164351629"/>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151193850"/>
      <w:bookmarkStart w:id="454" w:name="_Toc164229377"/>
      <w:bookmarkStart w:id="455" w:name="_Toc150480774"/>
      <w:bookmarkStart w:id="456" w:name="_Toc150509287"/>
      <w:bookmarkStart w:id="457" w:name="_Toc520356161"/>
      <w:bookmarkStart w:id="458" w:name="_Toc151193706"/>
      <w:bookmarkStart w:id="459" w:name="_Toc150774741"/>
      <w:bookmarkStart w:id="460" w:name="_Toc151193924"/>
      <w:bookmarkStart w:id="461" w:name="_Toc164608650"/>
      <w:bookmarkStart w:id="462" w:name="_Toc164608805"/>
      <w:bookmarkStart w:id="463" w:name="_Toc127161450"/>
      <w:bookmarkStart w:id="464" w:name="_Toc226337232"/>
      <w:bookmarkStart w:id="465" w:name="_Toc265228374"/>
      <w:bookmarkStart w:id="466" w:name="_Toc149720829"/>
      <w:bookmarkStart w:id="467" w:name="_Toc305158878"/>
      <w:bookmarkStart w:id="468" w:name="_Toc195842901"/>
      <w:bookmarkStart w:id="469" w:name="_Toc127151737"/>
      <w:bookmarkStart w:id="470" w:name="_Toc164229231"/>
      <w:bookmarkStart w:id="471" w:name="_Toc226965809"/>
      <w:bookmarkStart w:id="472" w:name="_Toc151193778"/>
      <w:bookmarkStart w:id="473" w:name="_Toc164351630"/>
      <w:bookmarkStart w:id="474" w:name="_Toc226309780"/>
      <w:bookmarkStart w:id="475" w:name="_Toc150774636"/>
      <w:bookmarkStart w:id="476" w:name="_Toc127151536"/>
      <w:bookmarkStart w:id="477" w:name="_Toc151190163"/>
      <w:bookmarkStart w:id="478" w:name="_Toc142311038"/>
      <w:bookmarkStart w:id="479" w:name="_Toc151193634"/>
      <w:bookmarkStart w:id="480" w:name="_Toc305158804"/>
      <w:bookmarkStart w:id="481" w:name="_Toc264969226"/>
      <w:bookmarkStart w:id="482" w:name="_Toc226965726"/>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64608806"/>
      <w:bookmarkStart w:id="484" w:name="_Toc151193635"/>
      <w:bookmarkStart w:id="485" w:name="_Toc151193851"/>
      <w:bookmarkStart w:id="486" w:name="_Toc305158879"/>
      <w:bookmarkStart w:id="487" w:name="_Toc520356162"/>
      <w:bookmarkStart w:id="488" w:name="_Toc164351631"/>
      <w:bookmarkStart w:id="489" w:name="_Toc226965810"/>
      <w:bookmarkStart w:id="490" w:name="_Toc164229378"/>
      <w:bookmarkStart w:id="491" w:name="_Toc226965727"/>
      <w:bookmarkStart w:id="492" w:name="_Toc127151738"/>
      <w:bookmarkStart w:id="493" w:name="_Toc265228375"/>
      <w:bookmarkStart w:id="494" w:name="_Toc149720830"/>
      <w:bookmarkStart w:id="495" w:name="_Toc150774742"/>
      <w:bookmarkStart w:id="496" w:name="_Toc164229232"/>
      <w:bookmarkStart w:id="497" w:name="_Toc151193925"/>
      <w:bookmarkStart w:id="498" w:name="_Toc151190164"/>
      <w:bookmarkStart w:id="499" w:name="_Toc142311039"/>
      <w:bookmarkStart w:id="500" w:name="_Toc127161451"/>
      <w:bookmarkStart w:id="501" w:name="_Toc150774637"/>
      <w:bookmarkStart w:id="502" w:name="_Toc195842902"/>
      <w:bookmarkStart w:id="503" w:name="_Toc151193779"/>
      <w:bookmarkStart w:id="504" w:name="_Toc164608651"/>
      <w:bookmarkStart w:id="505" w:name="_Toc226309781"/>
      <w:bookmarkStart w:id="506" w:name="_Toc151193707"/>
      <w:bookmarkStart w:id="507" w:name="_Toc264969227"/>
      <w:bookmarkStart w:id="508" w:name="_Toc305158805"/>
      <w:bookmarkStart w:id="509" w:name="_Toc150509288"/>
      <w:bookmarkStart w:id="510" w:name="_Toc127151537"/>
      <w:bookmarkStart w:id="511" w:name="_Toc226337233"/>
      <w:bookmarkStart w:id="512" w:name="_Toc150480775"/>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150480776"/>
      <w:bookmarkStart w:id="514" w:name="_Toc226965728"/>
      <w:bookmarkStart w:id="515" w:name="_Toc151193926"/>
      <w:bookmarkStart w:id="516" w:name="_Toc520356163"/>
      <w:bookmarkStart w:id="517" w:name="_Toc151193708"/>
      <w:bookmarkStart w:id="518" w:name="_Toc127151538"/>
      <w:bookmarkStart w:id="519" w:name="_Toc150509289"/>
      <w:bookmarkStart w:id="520" w:name="_Toc305158806"/>
      <w:bookmarkStart w:id="521" w:name="_Toc265228376"/>
      <w:bookmarkStart w:id="522" w:name="_Toc226337234"/>
      <w:bookmarkStart w:id="523" w:name="_Toc150774743"/>
      <w:bookmarkStart w:id="524" w:name="_Toc151193852"/>
      <w:bookmarkStart w:id="525" w:name="_Toc305158880"/>
      <w:bookmarkStart w:id="526" w:name="_Toc226965811"/>
      <w:bookmarkStart w:id="527" w:name="_Toc151193780"/>
      <w:bookmarkStart w:id="528" w:name="_Toc151190165"/>
      <w:bookmarkStart w:id="529" w:name="_Toc195842903"/>
      <w:bookmarkStart w:id="530" w:name="_Toc264969228"/>
      <w:bookmarkStart w:id="531" w:name="_Toc150774638"/>
      <w:bookmarkStart w:id="532" w:name="_Toc226309782"/>
      <w:bookmarkStart w:id="533" w:name="_Toc151193636"/>
      <w:bookmarkStart w:id="534" w:name="_Toc142311040"/>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151190166"/>
      <w:bookmarkStart w:id="536" w:name="_Toc151193927"/>
      <w:bookmarkStart w:id="537" w:name="_Toc164229234"/>
      <w:bookmarkStart w:id="538" w:name="_Toc151193781"/>
      <w:bookmarkStart w:id="539" w:name="_Toc150509290"/>
      <w:bookmarkStart w:id="540" w:name="_Toc149720832"/>
      <w:bookmarkStart w:id="541" w:name="_Toc151193853"/>
      <w:bookmarkStart w:id="542" w:name="_Toc164351633"/>
      <w:bookmarkStart w:id="543" w:name="_Toc264969229"/>
      <w:bookmarkStart w:id="544" w:name="_Toc226965729"/>
      <w:bookmarkStart w:id="545" w:name="_Toc127161453"/>
      <w:bookmarkStart w:id="546" w:name="_Toc164229380"/>
      <w:bookmarkStart w:id="547" w:name="_Toc150774744"/>
      <w:bookmarkStart w:id="548" w:name="_Toc226309783"/>
      <w:bookmarkStart w:id="549" w:name="_Toc164608808"/>
      <w:bookmarkStart w:id="550" w:name="_Toc164608653"/>
      <w:bookmarkStart w:id="551" w:name="_Toc305158807"/>
      <w:bookmarkStart w:id="552" w:name="_Toc305158881"/>
      <w:bookmarkStart w:id="553" w:name="_Toc265228377"/>
      <w:bookmarkStart w:id="554" w:name="_Toc226965812"/>
      <w:bookmarkStart w:id="555" w:name="_Toc127151539"/>
      <w:bookmarkStart w:id="556" w:name="_Toc520356164"/>
      <w:bookmarkStart w:id="557" w:name="_Toc150480777"/>
      <w:bookmarkStart w:id="558" w:name="_Toc127151740"/>
      <w:bookmarkStart w:id="559" w:name="_Toc226337235"/>
      <w:bookmarkStart w:id="560" w:name="_Toc195842904"/>
      <w:bookmarkStart w:id="561" w:name="_Toc142311041"/>
      <w:bookmarkStart w:id="562" w:name="_Toc151193709"/>
      <w:bookmarkStart w:id="563" w:name="_Toc151193637"/>
      <w:bookmarkStart w:id="564" w:name="_Toc150774639"/>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127151540"/>
      <w:bookmarkStart w:id="569" w:name="_Toc226309784"/>
      <w:bookmarkStart w:id="570" w:name="_Toc151193638"/>
      <w:bookmarkStart w:id="571" w:name="_Toc127161454"/>
      <w:bookmarkStart w:id="572" w:name="_Toc264969230"/>
      <w:bookmarkStart w:id="573" w:name="_Toc150774745"/>
      <w:bookmarkStart w:id="574" w:name="_Toc150480778"/>
      <w:bookmarkStart w:id="575" w:name="_Toc149720833"/>
      <w:bookmarkStart w:id="576" w:name="_Toc164608809"/>
      <w:bookmarkStart w:id="577" w:name="_Toc226965813"/>
      <w:bookmarkStart w:id="578" w:name="_Toc150774640"/>
      <w:bookmarkStart w:id="579" w:name="_Toc305158882"/>
      <w:bookmarkStart w:id="580" w:name="_Toc151190167"/>
      <w:bookmarkStart w:id="581" w:name="_Toc150509291"/>
      <w:bookmarkStart w:id="582" w:name="_Toc164229235"/>
      <w:bookmarkStart w:id="583" w:name="_Toc164229381"/>
      <w:bookmarkStart w:id="584" w:name="_Toc226337236"/>
      <w:bookmarkStart w:id="585" w:name="_Toc151193854"/>
      <w:bookmarkStart w:id="586" w:name="_Toc127151741"/>
      <w:bookmarkStart w:id="587" w:name="_Toc151193782"/>
      <w:bookmarkStart w:id="588" w:name="_Toc151193710"/>
      <w:bookmarkStart w:id="589" w:name="_Toc195842905"/>
      <w:bookmarkStart w:id="590" w:name="_Toc164608654"/>
      <w:bookmarkStart w:id="591" w:name="_Toc164351634"/>
      <w:bookmarkStart w:id="592" w:name="_Toc305158808"/>
      <w:bookmarkStart w:id="593" w:name="_Toc151193928"/>
      <w:bookmarkStart w:id="594" w:name="_Toc265228378"/>
      <w:bookmarkStart w:id="595" w:name="_Toc142311042"/>
      <w:bookmarkStart w:id="596" w:name="_Toc226965730"/>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150480783"/>
      <w:bookmarkStart w:id="600" w:name="_Toc127151545"/>
      <w:bookmarkStart w:id="601" w:name="_Toc142311047"/>
      <w:bookmarkStart w:id="602" w:name="_Toc150774645"/>
      <w:bookmarkStart w:id="603" w:name="_Toc150774750"/>
      <w:bookmarkStart w:id="604" w:name="_Toc226337241"/>
      <w:bookmarkStart w:id="605" w:name="_Toc151193933"/>
      <w:bookmarkStart w:id="606" w:name="_Toc305158813"/>
      <w:bookmarkStart w:id="607" w:name="_Toc226309789"/>
      <w:bookmarkStart w:id="608" w:name="_Toc151193643"/>
      <w:bookmarkStart w:id="609" w:name="_Toc151190172"/>
      <w:bookmarkStart w:id="610" w:name="_Toc265228383"/>
      <w:bookmarkStart w:id="611" w:name="_Toc226965818"/>
      <w:bookmarkStart w:id="612" w:name="_Toc151193715"/>
      <w:bookmarkStart w:id="613" w:name="_Toc195842910"/>
      <w:bookmarkStart w:id="614" w:name="_Toc150509296"/>
      <w:bookmarkStart w:id="615" w:name="_Toc305158887"/>
      <w:bookmarkStart w:id="616" w:name="_Toc264969235"/>
      <w:bookmarkStart w:id="617" w:name="_Toc151193787"/>
      <w:bookmarkStart w:id="618" w:name="_Toc151193859"/>
      <w:bookmarkStart w:id="619" w:name="_Toc226965735"/>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149720840"/>
      <w:bookmarkStart w:id="621" w:name="_Toc151193935"/>
      <w:bookmarkStart w:id="622" w:name="_Toc127161461"/>
      <w:bookmarkStart w:id="623" w:name="_Toc226337243"/>
      <w:bookmarkStart w:id="624" w:name="_Toc226965820"/>
      <w:bookmarkStart w:id="625" w:name="_Toc164608816"/>
      <w:bookmarkStart w:id="626" w:name="_Toc150509298"/>
      <w:bookmarkStart w:id="627" w:name="_Toc127151547"/>
      <w:bookmarkStart w:id="628" w:name="_Toc305158889"/>
      <w:bookmarkStart w:id="629" w:name="_Toc164351641"/>
      <w:bookmarkStart w:id="630" w:name="_Toc226309791"/>
      <w:bookmarkStart w:id="631" w:name="_Toc150480785"/>
      <w:bookmarkStart w:id="632" w:name="_Toc164229242"/>
      <w:bookmarkStart w:id="633" w:name="_Toc127151748"/>
      <w:bookmarkStart w:id="634" w:name="_Toc151193717"/>
      <w:bookmarkStart w:id="635" w:name="_Toc150774752"/>
      <w:bookmarkStart w:id="636" w:name="_Toc151193861"/>
      <w:bookmarkStart w:id="637" w:name="_Toc264969237"/>
      <w:bookmarkStart w:id="638" w:name="_Toc195842912"/>
      <w:bookmarkStart w:id="639" w:name="_Toc265228385"/>
      <w:bookmarkStart w:id="640" w:name="_Toc150774647"/>
      <w:bookmarkStart w:id="641" w:name="_Toc151190174"/>
      <w:bookmarkStart w:id="642" w:name="_Toc164608661"/>
      <w:bookmarkStart w:id="643" w:name="_Toc305158815"/>
      <w:bookmarkStart w:id="644" w:name="_Toc151193645"/>
      <w:bookmarkStart w:id="645" w:name="_Toc164229388"/>
      <w:bookmarkStart w:id="646" w:name="_Toc226965737"/>
      <w:bookmarkStart w:id="647" w:name="_Toc142311049"/>
      <w:bookmarkStart w:id="648" w:name="_Toc151193789"/>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91"/>
      <w:bookmarkStart w:id="650" w:name="_Toc305158817"/>
      <w:bookmarkStart w:id="651" w:name="_Toc142311051"/>
      <w:bookmarkStart w:id="652" w:name="_Toc127161463"/>
      <w:bookmarkStart w:id="653" w:name="_Toc151193937"/>
      <w:bookmarkStart w:id="654" w:name="_Toc151193791"/>
      <w:bookmarkStart w:id="655" w:name="_Toc151193863"/>
      <w:bookmarkStart w:id="656" w:name="_Toc151193719"/>
      <w:bookmarkStart w:id="657" w:name="_Toc226337245"/>
      <w:bookmarkStart w:id="658" w:name="_Toc164608663"/>
      <w:bookmarkStart w:id="659" w:name="_Toc151190176"/>
      <w:bookmarkStart w:id="660" w:name="_Toc164351643"/>
      <w:bookmarkStart w:id="661" w:name="_Toc164229244"/>
      <w:bookmarkStart w:id="662" w:name="_Toc164229390"/>
      <w:bookmarkStart w:id="663" w:name="_Toc127151750"/>
      <w:bookmarkStart w:id="664" w:name="_Toc150509300"/>
      <w:bookmarkStart w:id="665" w:name="_Toc226965822"/>
      <w:bookmarkStart w:id="666" w:name="_Toc127151549"/>
      <w:bookmarkStart w:id="667" w:name="_Toc164608818"/>
      <w:bookmarkStart w:id="668" w:name="_Toc226965739"/>
      <w:bookmarkStart w:id="669" w:name="_Toc226309793"/>
      <w:bookmarkStart w:id="670" w:name="_Toc264969239"/>
      <w:bookmarkStart w:id="671" w:name="_Toc265228387"/>
      <w:bookmarkStart w:id="672" w:name="_Toc150774754"/>
      <w:bookmarkStart w:id="673" w:name="_Toc150480787"/>
      <w:bookmarkStart w:id="674" w:name="_Toc151193647"/>
      <w:bookmarkStart w:id="675" w:name="_Toc150774649"/>
      <w:bookmarkStart w:id="676" w:name="_Toc149720842"/>
      <w:bookmarkStart w:id="677" w:name="_Toc195842914"/>
      <w:bookmarkStart w:id="678" w:name="_Ref467307090"/>
      <w:bookmarkStart w:id="679" w:name="_Toc520356176"/>
      <w:bookmarkStart w:id="680" w:name="_Ref467306425"/>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Ref467306377"/>
      <w:bookmarkStart w:id="682" w:name="_Toc305158818"/>
      <w:bookmarkStart w:id="683" w:name="_Toc150480788"/>
      <w:bookmarkStart w:id="684" w:name="_Toc264969240"/>
      <w:bookmarkStart w:id="685" w:name="_Toc151190177"/>
      <w:bookmarkStart w:id="686" w:name="_Toc142311052"/>
      <w:bookmarkStart w:id="687" w:name="_Toc127151751"/>
      <w:bookmarkStart w:id="688" w:name="_Toc226965823"/>
      <w:bookmarkStart w:id="689" w:name="_Toc164608819"/>
      <w:bookmarkStart w:id="690" w:name="_Toc151193720"/>
      <w:bookmarkStart w:id="691" w:name="_Toc226965740"/>
      <w:bookmarkStart w:id="692" w:name="_Toc520356175"/>
      <w:bookmarkStart w:id="693" w:name="_Ref467307062"/>
      <w:bookmarkStart w:id="694" w:name="_Toc164229391"/>
      <w:bookmarkStart w:id="695" w:name="_Toc150774650"/>
      <w:bookmarkStart w:id="696" w:name="_Toc151193648"/>
      <w:bookmarkStart w:id="697" w:name="_Toc151193864"/>
      <w:bookmarkStart w:id="698" w:name="_Toc164229245"/>
      <w:bookmarkStart w:id="699" w:name="_Toc151193938"/>
      <w:bookmarkStart w:id="700" w:name="_Toc195842915"/>
      <w:bookmarkStart w:id="701" w:name="_Ref467307204"/>
      <w:bookmarkStart w:id="702" w:name="_Toc127161464"/>
      <w:bookmarkStart w:id="703" w:name="_Ref467306978"/>
      <w:bookmarkStart w:id="704" w:name="_Toc127151550"/>
      <w:bookmarkStart w:id="705" w:name="_Toc226337246"/>
      <w:bookmarkStart w:id="706" w:name="_Toc149720843"/>
      <w:bookmarkStart w:id="707" w:name="_Toc226309794"/>
      <w:bookmarkStart w:id="708" w:name="_Toc305158892"/>
      <w:bookmarkStart w:id="709" w:name="_Toc265228388"/>
      <w:bookmarkStart w:id="710" w:name="_Toc164351644"/>
      <w:bookmarkStart w:id="711" w:name="_Toc150509301"/>
      <w:bookmarkStart w:id="712" w:name="_Toc164608664"/>
      <w:bookmarkStart w:id="713" w:name="_Toc151193792"/>
      <w:bookmarkStart w:id="714" w:name="_Toc150774755"/>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226965827"/>
      <w:bookmarkStart w:id="717" w:name="_Toc305158896"/>
      <w:bookmarkStart w:id="718" w:name="_Toc353825544"/>
      <w:bookmarkStart w:id="719" w:name="_Toc353873934"/>
      <w:bookmarkStart w:id="720" w:name="_Toc150774759"/>
      <w:bookmarkStart w:id="721" w:name="_Toc353873664"/>
      <w:bookmarkStart w:id="722" w:name="_Toc142311056"/>
      <w:bookmarkStart w:id="723" w:name="_Toc305158822"/>
      <w:bookmarkStart w:id="724" w:name="_Toc150480792"/>
      <w:bookmarkStart w:id="725" w:name="_Toc264969244"/>
      <w:bookmarkStart w:id="726" w:name="_Toc226337250"/>
      <w:bookmarkStart w:id="727" w:name="_Toc265228392"/>
      <w:bookmarkStart w:id="728" w:name="_Toc127151554"/>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487900425"/>
      <w:bookmarkEnd w:id="735"/>
      <w:bookmarkStart w:id="736" w:name="_Hlt522424701"/>
      <w:bookmarkEnd w:id="736"/>
      <w:bookmarkStart w:id="737" w:name="_Toc226965858"/>
      <w:bookmarkStart w:id="738" w:name="_Toc127151779"/>
      <w:bookmarkStart w:id="739" w:name="_Toc353825550"/>
      <w:bookmarkStart w:id="740" w:name="_Toc353873940"/>
      <w:bookmarkStart w:id="741" w:name="_Toc127161490"/>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142311043"/>
      <w:bookmarkStart w:id="745" w:name="_Toc226965814"/>
      <w:bookmarkStart w:id="746" w:name="_Toc164229236"/>
      <w:bookmarkStart w:id="747" w:name="_Toc164229382"/>
      <w:bookmarkStart w:id="748" w:name="_Toc226337237"/>
      <w:bookmarkStart w:id="749" w:name="_Toc150774641"/>
      <w:bookmarkStart w:id="750" w:name="_Toc226965731"/>
      <w:bookmarkStart w:id="751" w:name="_Toc150509292"/>
      <w:bookmarkStart w:id="752" w:name="_Toc151193855"/>
      <w:bookmarkStart w:id="753" w:name="_Toc127161455"/>
      <w:bookmarkStart w:id="754" w:name="_Toc195842906"/>
      <w:bookmarkStart w:id="755" w:name="_Toc151193711"/>
      <w:bookmarkStart w:id="756" w:name="_Toc150480779"/>
      <w:bookmarkStart w:id="757" w:name="_Toc305158883"/>
      <w:bookmarkStart w:id="758" w:name="_Toc149720834"/>
      <w:bookmarkStart w:id="759" w:name="_Toc164608655"/>
      <w:bookmarkStart w:id="760" w:name="_Toc265228379"/>
      <w:bookmarkStart w:id="761" w:name="_Toc264969231"/>
      <w:bookmarkStart w:id="762" w:name="_Toc164351635"/>
      <w:bookmarkStart w:id="763" w:name="_Toc151193929"/>
      <w:bookmarkStart w:id="764" w:name="_Toc164608810"/>
      <w:bookmarkStart w:id="765" w:name="_Toc127151541"/>
      <w:bookmarkStart w:id="766" w:name="_Toc151190168"/>
      <w:bookmarkStart w:id="767" w:name="_Toc151193783"/>
      <w:bookmarkStart w:id="768" w:name="_Toc127151742"/>
      <w:bookmarkStart w:id="769" w:name="_Toc151193639"/>
      <w:bookmarkStart w:id="770" w:name="_Toc150774746"/>
      <w:bookmarkStart w:id="771" w:name="_Toc305158809"/>
      <w:bookmarkStart w:id="772" w:name="_Toc226309785"/>
      <w:bookmarkStart w:id="773" w:name="_Toc353873941"/>
      <w:bookmarkStart w:id="774" w:name="_Toc353825551"/>
      <w:bookmarkStart w:id="775" w:name="_Toc265228393"/>
      <w:bookmarkStart w:id="776" w:name="_Toc150774760"/>
      <w:bookmarkStart w:id="777" w:name="_Toc264969245"/>
      <w:bookmarkStart w:id="778" w:name="_Toc353825545"/>
      <w:bookmarkStart w:id="779" w:name="_Toc353873665"/>
      <w:bookmarkStart w:id="780" w:name="_Toc142311057"/>
      <w:bookmarkStart w:id="781" w:name="_Toc226965828"/>
      <w:bookmarkStart w:id="782" w:name="_Toc305158823"/>
      <w:bookmarkStart w:id="783" w:name="_Toc150480793"/>
      <w:bookmarkStart w:id="784" w:name="_Toc226337251"/>
      <w:bookmarkStart w:id="785" w:name="_Toc195842920"/>
      <w:bookmarkStart w:id="786" w:name="_Toc353873935"/>
      <w:bookmarkStart w:id="787" w:name="_Toc305158897"/>
      <w:bookmarkStart w:id="788" w:name="_Toc127151555"/>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150774646"/>
      <w:bookmarkStart w:id="792" w:name="_Toc520356170"/>
      <w:bookmarkStart w:id="793" w:name="_Toc305158814"/>
      <w:bookmarkStart w:id="794" w:name="_Toc127151747"/>
      <w:bookmarkStart w:id="795" w:name="_Toc151193644"/>
      <w:bookmarkStart w:id="796" w:name="_Toc142311048"/>
      <w:bookmarkStart w:id="797" w:name="_Toc151193934"/>
      <w:bookmarkStart w:id="798" w:name="_Toc127161460"/>
      <w:bookmarkStart w:id="799" w:name="_Toc151190173"/>
      <w:bookmarkStart w:id="800" w:name="_Toc265228384"/>
      <w:bookmarkStart w:id="801" w:name="_Toc150509297"/>
      <w:bookmarkStart w:id="802" w:name="_Toc151193716"/>
      <w:bookmarkStart w:id="803" w:name="_Toc150480784"/>
      <w:bookmarkStart w:id="804" w:name="_Toc226337242"/>
      <w:bookmarkStart w:id="805" w:name="_Toc127151546"/>
      <w:bookmarkStart w:id="806" w:name="_Toc149720839"/>
      <w:bookmarkStart w:id="807" w:name="_Toc164229241"/>
      <w:bookmarkStart w:id="808" w:name="_Toc195842911"/>
      <w:bookmarkStart w:id="809" w:name="_Toc226965736"/>
      <w:bookmarkStart w:id="810" w:name="_Toc150774751"/>
      <w:bookmarkStart w:id="811" w:name="_Ref467307010"/>
      <w:bookmarkStart w:id="812" w:name="_Toc164351640"/>
      <w:bookmarkStart w:id="813" w:name="_Toc264969236"/>
      <w:bookmarkStart w:id="814" w:name="_Toc164229387"/>
      <w:bookmarkStart w:id="815" w:name="_Toc305158888"/>
      <w:bookmarkStart w:id="816" w:name="_Toc151193788"/>
      <w:bookmarkStart w:id="817" w:name="_Toc226309790"/>
      <w:bookmarkStart w:id="818" w:name="_Toc164608815"/>
      <w:bookmarkStart w:id="819" w:name="_Toc226965819"/>
      <w:bookmarkStart w:id="820" w:name="_Toc151193860"/>
      <w:bookmarkStart w:id="821" w:name="_Toc164608660"/>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162D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7A496243">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7BB0C361">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093A0065">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55B5E19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452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4F561587">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0A11B440">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20B11A6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28C9B6F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24BF6DA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E1B2CE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5288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restart"/>
            <w:tcBorders>
              <w:top w:val="single" w:color="auto" w:sz="4" w:space="0"/>
              <w:left w:val="single" w:color="auto" w:sz="4" w:space="0"/>
              <w:right w:val="single" w:color="auto" w:sz="4" w:space="0"/>
            </w:tcBorders>
            <w:vAlign w:val="center"/>
          </w:tcPr>
          <w:p w14:paraId="4CC868B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3C158862">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516D66C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7296419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707561C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77C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4D4B8802">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D5B987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4B9C6589">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527C68F">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226273EE">
            <w:pPr>
              <w:numPr>
                <w:ilvl w:val="0"/>
                <w:numId w:val="0"/>
              </w:numPr>
              <w:tabs>
                <w:tab w:val="left" w:pos="1080"/>
              </w:tabs>
              <w:spacing w:line="276" w:lineRule="auto"/>
              <w:ind w:left="0" w:leftChars="0" w:firstLine="0" w:firstLineChars="0"/>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372DDBC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7D2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376FD6FB">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4358308">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74A0F0B9">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0AE3E166">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6170760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20B63D7">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684DF95A">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33BA2D1">
            <w:pPr>
              <w:numPr>
                <w:ilvl w:val="0"/>
                <w:numId w:val="0"/>
              </w:numPr>
              <w:tabs>
                <w:tab w:val="left" w:pos="1080"/>
              </w:tabs>
              <w:spacing w:line="276" w:lineRule="auto"/>
              <w:ind w:left="0" w:leftChars="0" w:firstLine="0" w:firstLineChars="0"/>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6F5F61A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0714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7D96FB6E">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4562716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3017326">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7B6CE79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3CCE73A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49D31287">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32B4264B">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C8F3A7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433F3B97">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08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7DD65EDE">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91FC9A0">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秩序维护</w:t>
            </w:r>
            <w:r>
              <w:rPr>
                <w:rFonts w:hint="eastAsia" w:ascii="仿宋" w:hAnsi="仿宋" w:eastAsia="仿宋" w:cs="仿宋"/>
                <w:color w:val="auto"/>
                <w:kern w:val="0"/>
                <w:sz w:val="21"/>
                <w:szCs w:val="21"/>
                <w:highlight w:val="none"/>
                <w:lang w:val="en-US" w:eastAsia="zh-CN"/>
              </w:rPr>
              <w:t>、安全防范</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vAlign w:val="center"/>
          </w:tcPr>
          <w:p w14:paraId="3CA0A9EA">
            <w:pPr>
              <w:tabs>
                <w:tab w:val="left" w:pos="1080"/>
              </w:tabs>
              <w:spacing w:line="276" w:lineRule="auto"/>
              <w:jc w:val="left"/>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根据服务要求和技术响应情况，对供应商提供的秩序维护、安全防范方案进行评价：</w:t>
            </w:r>
          </w:p>
          <w:p w14:paraId="417BD0F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将“秩序维护”与“安全防范”有机融合，构建了“预防为主、防控结合、快速响应”的一体化治安防控体系，方案体现了从被动值守到主动风险管理、从单一人防到人防、物防、技防相结合的现代安防理念，基于项目地理、建筑、功能、人流特性，进行了全面的安全风险评估，精准识别出治安、消防、交通、秩序等方面的重点区域、高发时段及脆弱环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3B5C0F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②方案涵盖了秩序维护和安全防范的主要方面，两者有结合，但融合度与系统性有待加强，对常规安防工作有明确的制度和流程规定，具备可操作性，但在措施的主动性、精细化或情景覆盖的广度上有所欠缺，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69DBD5BE">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方案对秩序维护和安全防范分别进行描述，内容模块化拼凑感较强，缺乏有机整合与统一指挥</w:t>
            </w:r>
            <w:r>
              <w:rPr>
                <w:rFonts w:hint="eastAsia" w:ascii="仿宋" w:hAnsi="仿宋" w:eastAsia="仿宋" w:cs="仿宋"/>
                <w:bCs/>
                <w:color w:val="auto"/>
                <w:sz w:val="21"/>
                <w:szCs w:val="21"/>
                <w:highlight w:val="none"/>
                <w:lang w:val="en-US" w:eastAsia="zh-CN"/>
              </w:rPr>
              <w:t>，工作措施多为“加强管理”、“提高警惕”、“按时巡逻”等原则性要求，缺乏具体、可执行的操作步骤、判断标准和情景指引，</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C9810F4">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④方案结构混乱，内容严重缺失核心要素，仅简单堆砌少数通用条款，提出的措施不切实际、无法操作，或存在明显管理漏洞与安全风险，</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5AC598CF">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⑤未提供符合要求的方案，或提供的方案与主题完全无关，内容极端简短空洞，或明显抄袭自其他不相关项目文件，得0分。</w:t>
            </w:r>
          </w:p>
        </w:tc>
        <w:tc>
          <w:tcPr>
            <w:tcW w:w="346" w:type="pct"/>
            <w:tcBorders>
              <w:top w:val="single" w:color="auto" w:sz="4" w:space="0"/>
              <w:left w:val="single" w:color="auto" w:sz="4" w:space="0"/>
              <w:bottom w:val="single" w:color="auto" w:sz="4" w:space="0"/>
              <w:right w:val="single" w:color="auto" w:sz="4" w:space="0"/>
            </w:tcBorders>
            <w:vAlign w:val="center"/>
          </w:tcPr>
          <w:p w14:paraId="15BE8BC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1C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1952438">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2F757E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公共设施巡视</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AD3B9FE">
            <w:pPr>
              <w:spacing w:line="276"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根据服务要求和技术响应情况，对供应商提供的公共设施巡视方案进行评价：</w:t>
            </w:r>
          </w:p>
          <w:p w14:paraId="0A540F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①方案基于项目设施清单，建立了分级，巡视范围、对象100%覆盖招标要求，无任何遗漏，巡视路线设计科学、高效，能确保在既定时间内完成对所有设施的检查，根据设施重要性、风险等级和使用频率，差异化设置巡视频次，重点要害部位频次加密，得12分；</w:t>
            </w:r>
          </w:p>
          <w:p w14:paraId="45EA864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②巡视范围和对象覆盖了主要公共设施，分类基本清晰，对主要设施的检查有清单和要求，内容较为全面，得9分；</w:t>
            </w:r>
          </w:p>
          <w:p w14:paraId="5CB6594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③列出了需要巡视的设施大类，但清单不够具体或存在个别遗漏，巡视路线和频次设计较为笼统或机械化，未能明显体现差异化，得6分；</w:t>
            </w:r>
          </w:p>
          <w:p w14:paraId="43F167B8">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④巡视范围、对象不明确，巡视路线、频次设计混乱或明显不合理，无法保证有效覆盖，得3分；</w:t>
            </w:r>
          </w:p>
          <w:p w14:paraId="6CD8D223">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⑤未提供公共设施巡视方案，内容极端空洞，或明显抄袭自不相关项目，得0分。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4EAB073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60FA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56BC20F0">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31ACE39">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交通疏导</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6948F4C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根据服务要求和技术响应情况，对供应商提供的交通疏导方案进行评价：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基于项目交通流量数据，对高峰/平峰时段、车流人流走向、瓶颈节点、潜在冲突点进行了详尽、科学的分析，针对车辆进出引导、停车秩序管理、人车分流、非机动车管理等具体场景，制定了标准化、可视化的操作流程，方案充分运用了专业交通疏导方法、设施和文明沟通技巧，得12分；</w:t>
            </w:r>
          </w:p>
          <w:p w14:paraId="46EF8732">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②对项目交通基本情况有合理的分析，指出了主要的高峰期和关键节点，对主要疏导工作有明确的方法和流程规定，具备专业性和可操作性，但在精细化或对复杂场景的覆盖上有所不足，得9分；</w:t>
            </w:r>
          </w:p>
          <w:p w14:paraId="1F9339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③仅对交通状况进行了一般性描述，缺乏基于具体数据的深入分析，针对性不强，工作措施多为“加强引导”、“维持秩序”等原则性要求，缺乏具体、专业的操作标准和情景化指导，得6分；</w:t>
            </w:r>
          </w:p>
          <w:p w14:paraId="471503A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④未进行有效交通分析，或分析结论与项目实际情况明显不符，提出的疏导方法不切实际、违反交通常识，或存在严重安全隐患，得3分；</w:t>
            </w:r>
          </w:p>
          <w:p w14:paraId="7EFF8630">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⑤未提供交通疏导方案，或提供的方案与主题完全无关，内容极端空洞，或明显抄袭自其他不相关项目，得0分。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5EE37FF1">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07AB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905E51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9731665">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vAlign w:val="top"/>
          </w:tcPr>
          <w:p w14:paraId="612C61F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208AB37B">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26C6FBCF">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16CF8866">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6F4875C7">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7E128C9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2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C5DE8DD">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116AD2E">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vAlign w:val="top"/>
          </w:tcPr>
          <w:p w14:paraId="6A2C7B1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259C3BC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02E2C7DC">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B8B88E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6697063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45802F6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4C50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BF9A70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6D391A4">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vAlign w:val="top"/>
          </w:tcPr>
          <w:p w14:paraId="0FB7A5D0">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46CB4F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27CD745B">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33DF52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19C40F62">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674E8719">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04465CD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69AD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287806B1">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40388C19">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6AA3E54E">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2390"/>
        <w:gridCol w:w="1510"/>
        <w:gridCol w:w="1076"/>
        <w:gridCol w:w="3864"/>
      </w:tblGrid>
      <w:tr w14:paraId="18E9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8" w:type="pct"/>
            <w:vAlign w:val="center"/>
          </w:tcPr>
          <w:p w14:paraId="41A8CEFF">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364F8AC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3FA8797C">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49" w:type="pct"/>
            <w:vAlign w:val="center"/>
          </w:tcPr>
          <w:p w14:paraId="15165E3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需求人数</w:t>
            </w:r>
          </w:p>
        </w:tc>
        <w:tc>
          <w:tcPr>
            <w:tcW w:w="1971" w:type="pct"/>
            <w:vAlign w:val="center"/>
          </w:tcPr>
          <w:p w14:paraId="31E36B5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163F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956" w:type="dxa"/>
            <w:vAlign w:val="center"/>
          </w:tcPr>
          <w:p w14:paraId="5CB26B88">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四标包</w:t>
            </w:r>
          </w:p>
        </w:tc>
        <w:tc>
          <w:tcPr>
            <w:tcW w:w="2390" w:type="dxa"/>
            <w:vAlign w:val="center"/>
          </w:tcPr>
          <w:p w14:paraId="0091FD61">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四标包</w:t>
            </w:r>
            <w:r>
              <w:rPr>
                <w:rFonts w:hint="eastAsia" w:ascii="仿宋" w:hAnsi="仿宋" w:eastAsia="仿宋" w:cs="仿宋"/>
                <w:color w:val="auto"/>
                <w:sz w:val="21"/>
                <w:szCs w:val="21"/>
                <w:highlight w:val="none"/>
                <w:lang w:eastAsia="zh-CN"/>
              </w:rPr>
              <w:t>）</w:t>
            </w:r>
          </w:p>
        </w:tc>
        <w:tc>
          <w:tcPr>
            <w:tcW w:w="1510" w:type="dxa"/>
            <w:vAlign w:val="center"/>
          </w:tcPr>
          <w:p w14:paraId="7A37D01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159.3</w:t>
            </w:r>
          </w:p>
        </w:tc>
        <w:tc>
          <w:tcPr>
            <w:tcW w:w="1076" w:type="dxa"/>
            <w:vAlign w:val="center"/>
          </w:tcPr>
          <w:p w14:paraId="62DAA7B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30人</w:t>
            </w:r>
          </w:p>
        </w:tc>
        <w:tc>
          <w:tcPr>
            <w:tcW w:w="3864" w:type="dxa"/>
            <w:vAlign w:val="center"/>
          </w:tcPr>
          <w:p w14:paraId="6F8CD94F">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为望京园、瑞祥园、瑞平东园、瑞平西园、嘉悦园提供安保服务，具体详见招标文件第五章采购需求。</w:t>
            </w:r>
          </w:p>
        </w:tc>
      </w:tr>
    </w:tbl>
    <w:p w14:paraId="187BA70C">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6EE69B16">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44CFFF0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1.付款条件：按季度支付安保服务费，最后一个季度的安保服务费，采购人将于11月份支付，待合同有效期届满后，双方据实结算安保服务费金额。</w:t>
      </w:r>
    </w:p>
    <w:p w14:paraId="51FD703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4725C55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3.就餐：餐费收取标准:18 元/人/天（早、午饭），含税，由供应商与采购人食材供货商签订合同并据实结算餐费。</w:t>
      </w:r>
    </w:p>
    <w:p w14:paraId="6D0DAF0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4.合同履行期限：一年，计划于2026年01月01日起至2026年12月31日止，最终以合同约定时间为准。</w:t>
      </w:r>
    </w:p>
    <w:p w14:paraId="34AD401E">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2CB37B8F">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各址内的治安、门岗、消防、信报资料接收分发及车辆管理工作，内门卫室及其协助周边、门前三包场地等的清洁卫生，做好防火、防盗、防爆、防破坏、防自然灾害等工作，维护园方正常的园所安全秩序，负责园所24小时门卫守护、园所巡逻及交通指挥值班执勤工作；协助园区应急突发事件的处理及园区安排的有关安全保卫的临时性工作。</w:t>
      </w:r>
    </w:p>
    <w:p w14:paraId="498CA896">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2C845D1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1.负责园区大门24小时值班值守，负责人员、车辆进出校园管理，维护良好的校门秩序；做好来访人员的登记和值班、交接班记录。</w:t>
      </w:r>
    </w:p>
    <w:p w14:paraId="6A28576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2.负责园区周边安全管理，公共区域日常安全检查以及每2小时一次的园区安全巡查，及时发现处置隐患问题和突发事件，维护良好的园区教育教学秩序和正常办公环境。</w:t>
      </w:r>
    </w:p>
    <w:p w14:paraId="74F63AC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3.衣着整洁，待人接物和气有礼貌，不聚众聊天；注意仪容仪表，讲究团结协作，值班时间不得脱岗、误岗、擅自调岗。</w:t>
      </w:r>
    </w:p>
    <w:p w14:paraId="165FA84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4.根据园区工作实际，妥善做好来园人员车辆的引导、停放和秩序维护。</w:t>
      </w:r>
    </w:p>
    <w:p w14:paraId="474941E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5.负责安防监控值班值守工作，相关设备发生故障及时沟通联系，协助做好修理和维护工作。</w:t>
      </w:r>
    </w:p>
    <w:p w14:paraId="31E0FA6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6.贯彻执行各项安全管理规章制度，妥善做好园区防火、防盗、防抢、防暴等各项安全防范工作。</w:t>
      </w:r>
    </w:p>
    <w:p w14:paraId="16E1D6F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7.遇园区大型、重要活动或重大节日，提供临时勤务保障。</w:t>
      </w:r>
    </w:p>
    <w:p w14:paraId="52CA511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8.预防和制止侵害园区的安全事件，随时做好应急处突防范，妥善处理消防安全、突发事件等应急情况。</w:t>
      </w:r>
    </w:p>
    <w:p w14:paraId="6EC8C6D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9.协助做好消防维保，安防维保，消防电气检测，灭火器检测回充等工作。</w:t>
      </w:r>
    </w:p>
    <w:p w14:paraId="728C4AF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10.完成园区交办的其它临时性工作和任务；如辅助园区清运垃圾、做好门前三包等。</w:t>
      </w:r>
    </w:p>
    <w:p w14:paraId="2330E09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11.供应商需每月对保安人员进行人员思想、专业技能、法律层面培训及人员矛盾排查。</w:t>
      </w:r>
    </w:p>
    <w:p w14:paraId="20262F0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12.供应商项目负责人需每月向采购人园所保安工作进行工作汇报。</w:t>
      </w:r>
    </w:p>
    <w:p w14:paraId="700B0EB0">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13.保安人员执勤班次要求每班次两人，每天三班次，每班8小时，高峰执勤达到6人。14.供应商项目负责人需每月对保安人员进行证件核查，保证证件合规且在有效期范围内。</w:t>
      </w:r>
    </w:p>
    <w:p w14:paraId="6EE99BE1">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15.乙方项目负责人需每月向甲方对园所保安工作进行工作汇报。</w:t>
      </w:r>
    </w:p>
    <w:p w14:paraId="5FE16619">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16.供应商需每月对保</w:t>
      </w:r>
      <w:bookmarkStart w:id="916" w:name="_GoBack"/>
      <w:bookmarkEnd w:id="916"/>
      <w:r>
        <w:rPr>
          <w:rFonts w:hint="eastAsia" w:ascii="仿宋" w:hAnsi="仿宋" w:eastAsia="仿宋" w:cs="仿宋"/>
          <w:b w:val="0"/>
          <w:bCs w:val="0"/>
          <w:color w:val="auto"/>
          <w:sz w:val="24"/>
          <w:szCs w:val="24"/>
          <w:highlight w:val="none"/>
          <w:lang w:val="en-US" w:eastAsia="zh-CN"/>
        </w:rPr>
        <w:t>安人员进行岗位培训，包含但不限于法律、技能等培训并留有培训记录。</w:t>
      </w:r>
    </w:p>
    <w:p w14:paraId="3E5B4C78">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17.供应商提供的保安服内容、规程和标准为《中小学幼儿园校园保安服务规范》(DB11/T730-2024)和北京市公安局保安服务操作规程、服务质量的相关要求。</w:t>
      </w:r>
    </w:p>
    <w:p w14:paraId="1D7E94D2">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18.供应商拟派人员在上岗前应具备保安员证、北京市卫生系统健康证明、无犯罪记录证明，且年龄在50周岁以下。</w:t>
      </w:r>
    </w:p>
    <w:p w14:paraId="046AD2B1">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618A116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2C4766C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262E23F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bCs/>
          <w:color w:val="auto"/>
          <w:sz w:val="24"/>
          <w:szCs w:val="24"/>
          <w:highlight w:val="none"/>
          <w:lang w:val="en" w:eastAsia="zh-CN"/>
        </w:rPr>
      </w:pPr>
      <w:r>
        <w:rPr>
          <w:rFonts w:hint="eastAsia" w:ascii="仿宋" w:hAnsi="仿宋" w:eastAsia="仿宋" w:cs="仿宋"/>
          <w:color w:val="auto"/>
          <w:sz w:val="24"/>
          <w:highlight w:val="none"/>
          <w:lang w:val="en-US" w:eastAsia="zh-CN"/>
        </w:rPr>
        <w:t>3.服务单位应做好安全保障等相关服务，如发生服务单位责任事故，造成恶劣影响的，采购人可视情况解除与服务单位的合同关系。</w:t>
      </w:r>
    </w:p>
    <w:p w14:paraId="69140EE1">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六、服务质量考核表</w:t>
      </w:r>
    </w:p>
    <w:p w14:paraId="44E3CE6A">
      <w:pPr>
        <w:spacing w:line="360" w:lineRule="auto"/>
        <w:jc w:val="both"/>
        <w:outlineLvl w:val="0"/>
        <w:rPr>
          <w:rFonts w:asciiTheme="minorEastAsia" w:hAnsiTheme="minorEastAsia" w:eastAsiaTheme="minorEastAsia"/>
          <w:b/>
          <w:color w:val="auto"/>
          <w:sz w:val="36"/>
          <w:szCs w:val="36"/>
          <w:highlight w:val="none"/>
        </w:rPr>
      </w:pPr>
      <w:r>
        <w:rPr>
          <w:color w:val="auto"/>
          <w:highlight w:val="none"/>
        </w:rPr>
        <w:drawing>
          <wp:inline distT="0" distB="0" distL="0" distR="0">
            <wp:extent cx="5968365" cy="7157720"/>
            <wp:effectExtent l="0" t="0" r="1333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5968365" cy="7157720"/>
                    </a:xfrm>
                    <a:prstGeom prst="rect">
                      <a:avLst/>
                    </a:prstGeom>
                  </pic:spPr>
                </pic:pic>
              </a:graphicData>
            </a:graphic>
          </wp:inline>
        </w:drawing>
      </w:r>
      <w:r>
        <w:rPr>
          <w:rFonts w:asciiTheme="minorEastAsia" w:hAnsiTheme="minorEastAsia" w:eastAsiaTheme="minorEastAsia"/>
          <w:b/>
          <w:color w:val="auto"/>
          <w:sz w:val="36"/>
          <w:szCs w:val="36"/>
          <w:highlight w:val="none"/>
        </w:rPr>
        <w:br w:type="page"/>
      </w:r>
      <w:bookmarkStart w:id="823" w:name="_Toc99301425"/>
    </w:p>
    <w:p w14:paraId="53C8E9D5">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bookmarkEnd w:id="823"/>
    </w:p>
    <w:p w14:paraId="345D2ED4">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7BB5099D">
      <w:pPr>
        <w:spacing w:before="114" w:line="225" w:lineRule="auto"/>
        <w:ind w:left="329"/>
        <w:rPr>
          <w:rFonts w:hint="eastAsia" w:ascii="仿宋" w:hAnsi="仿宋" w:eastAsia="仿宋" w:cs="仿宋"/>
          <w:b/>
          <w:bCs/>
          <w:color w:val="auto"/>
          <w:sz w:val="36"/>
          <w:szCs w:val="36"/>
          <w:highlight w:val="none"/>
        </w:rPr>
      </w:pPr>
    </w:p>
    <w:p w14:paraId="7D81AF0F">
      <w:pPr>
        <w:spacing w:before="114" w:line="225" w:lineRule="auto"/>
        <w:rPr>
          <w:rFonts w:hint="eastAsia" w:ascii="仿宋" w:hAnsi="仿宋" w:eastAsia="仿宋" w:cs="仿宋"/>
          <w:b/>
          <w:bCs/>
          <w:color w:val="auto"/>
          <w:sz w:val="36"/>
          <w:szCs w:val="36"/>
          <w:highlight w:val="none"/>
        </w:rPr>
      </w:pPr>
    </w:p>
    <w:p w14:paraId="1EDE378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国资中心幼儿园</w:t>
      </w:r>
      <w:r>
        <w:rPr>
          <w:rFonts w:hint="eastAsia" w:ascii="仿宋" w:hAnsi="仿宋" w:eastAsia="仿宋" w:cs="仿宋"/>
          <w:color w:val="auto"/>
          <w:spacing w:val="-170"/>
          <w:sz w:val="36"/>
          <w:szCs w:val="36"/>
          <w:highlight w:val="none"/>
        </w:rPr>
        <w:t xml:space="preserve"> </w:t>
      </w:r>
      <w:r>
        <w:rPr>
          <w:rFonts w:hint="eastAsia" w:ascii="仿宋" w:hAnsi="仿宋" w:eastAsia="仿宋" w:cs="仿宋"/>
          <w:color w:val="auto"/>
          <w:spacing w:val="5"/>
          <w:sz w:val="36"/>
          <w:szCs w:val="36"/>
          <w:highlight w:val="none"/>
          <w:u w:val="single" w:color="auto"/>
        </w:rPr>
        <w:t xml:space="preserve">     </w:t>
      </w:r>
      <w:r>
        <w:rPr>
          <w:rFonts w:hint="eastAsia" w:ascii="仿宋" w:hAnsi="仿宋" w:eastAsia="仿宋" w:cs="仿宋"/>
          <w:color w:val="auto"/>
          <w:spacing w:val="-126"/>
          <w:sz w:val="36"/>
          <w:szCs w:val="36"/>
          <w:highlight w:val="none"/>
        </w:rPr>
        <w:t xml:space="preserve"> </w:t>
      </w:r>
      <w:r>
        <w:rPr>
          <w:rFonts w:hint="eastAsia" w:ascii="仿宋" w:hAnsi="仿宋" w:eastAsia="仿宋" w:cs="仿宋"/>
          <w:b/>
          <w:bCs/>
          <w:color w:val="auto"/>
          <w:sz w:val="36"/>
          <w:szCs w:val="36"/>
          <w:highlight w:val="none"/>
        </w:rPr>
        <w:t>园等</w:t>
      </w:r>
      <w:r>
        <w:rPr>
          <w:rFonts w:hint="eastAsia" w:ascii="仿宋" w:hAnsi="仿宋" w:eastAsia="仿宋" w:cs="仿宋"/>
          <w:color w:val="auto"/>
          <w:sz w:val="36"/>
          <w:szCs w:val="36"/>
          <w:highlight w:val="none"/>
          <w:u w:val="single" w:color="auto"/>
        </w:rPr>
        <w:t xml:space="preserve">     </w:t>
      </w:r>
      <w:r>
        <w:rPr>
          <w:rFonts w:hint="eastAsia" w:ascii="仿宋" w:hAnsi="仿宋" w:eastAsia="仿宋" w:cs="仿宋"/>
          <w:color w:val="auto"/>
          <w:spacing w:val="-161"/>
          <w:sz w:val="36"/>
          <w:szCs w:val="36"/>
          <w:highlight w:val="none"/>
        </w:rPr>
        <w:t xml:space="preserve"> </w:t>
      </w:r>
      <w:r>
        <w:rPr>
          <w:rFonts w:hint="eastAsia" w:ascii="仿宋" w:hAnsi="仿宋" w:eastAsia="仿宋" w:cs="仿宋"/>
          <w:b/>
          <w:bCs/>
          <w:color w:val="auto"/>
          <w:sz w:val="36"/>
          <w:szCs w:val="36"/>
          <w:highlight w:val="none"/>
        </w:rPr>
        <w:t>所幼儿园</w:t>
      </w:r>
      <w:r>
        <w:rPr>
          <w:rFonts w:hint="eastAsia" w:ascii="仿宋" w:hAnsi="仿宋" w:eastAsia="仿宋" w:cs="仿宋"/>
          <w:color w:val="auto"/>
          <w:spacing w:val="-65"/>
          <w:sz w:val="36"/>
          <w:szCs w:val="36"/>
          <w:highlight w:val="none"/>
        </w:rPr>
        <w:t xml:space="preserve"> </w:t>
      </w: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p>
    <w:p w14:paraId="45738920">
      <w:pPr>
        <w:spacing w:before="114" w:line="225" w:lineRule="auto"/>
        <w:jc w:val="center"/>
        <w:rPr>
          <w:rFonts w:hint="eastAsia" w:ascii="仿宋" w:hAnsi="仿宋" w:eastAsia="仿宋" w:cs="仿宋"/>
          <w:b/>
          <w:bCs/>
          <w:color w:val="auto"/>
          <w:spacing w:val="-2"/>
          <w:sz w:val="36"/>
          <w:szCs w:val="36"/>
          <w:highlight w:val="none"/>
        </w:rPr>
      </w:pPr>
    </w:p>
    <w:p w14:paraId="5B02F1C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月保安服务合同</w:t>
      </w:r>
    </w:p>
    <w:p w14:paraId="11D335AD">
      <w:pPr>
        <w:pStyle w:val="19"/>
        <w:spacing w:line="284" w:lineRule="auto"/>
        <w:rPr>
          <w:rFonts w:hint="eastAsia" w:ascii="仿宋" w:hAnsi="仿宋" w:eastAsia="仿宋" w:cs="仿宋"/>
          <w:color w:val="auto"/>
          <w:sz w:val="28"/>
          <w:szCs w:val="28"/>
          <w:highlight w:val="none"/>
        </w:rPr>
      </w:pPr>
    </w:p>
    <w:p w14:paraId="716C9AA2">
      <w:pPr>
        <w:pStyle w:val="19"/>
        <w:spacing w:line="284" w:lineRule="auto"/>
        <w:rPr>
          <w:rFonts w:hint="eastAsia" w:ascii="仿宋" w:hAnsi="仿宋" w:eastAsia="仿宋" w:cs="仿宋"/>
          <w:color w:val="auto"/>
          <w:sz w:val="28"/>
          <w:szCs w:val="28"/>
          <w:highlight w:val="none"/>
        </w:rPr>
      </w:pPr>
    </w:p>
    <w:p w14:paraId="218E6484">
      <w:pPr>
        <w:pStyle w:val="19"/>
        <w:spacing w:line="246" w:lineRule="auto"/>
        <w:rPr>
          <w:rFonts w:hint="eastAsia" w:ascii="仿宋" w:hAnsi="仿宋" w:eastAsia="仿宋" w:cs="仿宋"/>
          <w:color w:val="auto"/>
          <w:spacing w:val="7"/>
          <w:sz w:val="28"/>
          <w:szCs w:val="28"/>
          <w:highlight w:val="none"/>
        </w:rPr>
      </w:pPr>
    </w:p>
    <w:p w14:paraId="6A6D176C">
      <w:pPr>
        <w:pStyle w:val="19"/>
        <w:spacing w:line="246"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eastAsia="zh-CN"/>
        </w:rPr>
        <w:t>2026年北京市朝阳区教育服务保障中心及其所属幼儿园保安服务项目</w:t>
      </w:r>
      <w:r>
        <w:rPr>
          <w:rFonts w:hint="eastAsia" w:ascii="仿宋" w:hAnsi="仿宋" w:eastAsia="仿宋" w:cs="仿宋"/>
          <w:b/>
          <w:bCs/>
          <w:color w:val="auto"/>
          <w:spacing w:val="7"/>
          <w:sz w:val="36"/>
          <w:szCs w:val="36"/>
          <w:highlight w:val="none"/>
        </w:rPr>
        <w:t>（</w:t>
      </w:r>
      <w:r>
        <w:rPr>
          <w:rFonts w:hint="eastAsia" w:ascii="仿宋" w:hAnsi="仿宋" w:eastAsia="仿宋" w:cs="仿宋"/>
          <w:b/>
          <w:bCs/>
          <w:color w:val="auto"/>
          <w:spacing w:val="7"/>
          <w:sz w:val="36"/>
          <w:szCs w:val="36"/>
          <w:highlight w:val="none"/>
          <w:lang w:val="en-US" w:eastAsia="zh-CN"/>
        </w:rPr>
        <w:t>四标包</w:t>
      </w:r>
      <w:r>
        <w:rPr>
          <w:rFonts w:hint="eastAsia" w:ascii="仿宋" w:hAnsi="仿宋" w:eastAsia="仿宋" w:cs="仿宋"/>
          <w:b/>
          <w:bCs/>
          <w:color w:val="auto"/>
          <w:spacing w:val="7"/>
          <w:sz w:val="36"/>
          <w:szCs w:val="36"/>
          <w:highlight w:val="none"/>
        </w:rPr>
        <w:t>）</w:t>
      </w:r>
    </w:p>
    <w:p w14:paraId="33DB412B">
      <w:pPr>
        <w:pStyle w:val="19"/>
        <w:spacing w:line="247" w:lineRule="auto"/>
        <w:rPr>
          <w:rFonts w:hint="eastAsia" w:ascii="仿宋" w:hAnsi="仿宋" w:eastAsia="仿宋" w:cs="仿宋"/>
          <w:color w:val="auto"/>
          <w:sz w:val="28"/>
          <w:szCs w:val="28"/>
          <w:highlight w:val="none"/>
        </w:rPr>
      </w:pPr>
    </w:p>
    <w:p w14:paraId="07DE81F6">
      <w:pPr>
        <w:pStyle w:val="19"/>
        <w:spacing w:line="247" w:lineRule="auto"/>
        <w:rPr>
          <w:rFonts w:hint="eastAsia" w:ascii="仿宋" w:hAnsi="仿宋" w:eastAsia="仿宋" w:cs="仿宋"/>
          <w:color w:val="auto"/>
          <w:sz w:val="28"/>
          <w:szCs w:val="28"/>
          <w:highlight w:val="none"/>
        </w:rPr>
      </w:pPr>
    </w:p>
    <w:p w14:paraId="21D98EC3">
      <w:pPr>
        <w:pStyle w:val="19"/>
        <w:spacing w:line="247" w:lineRule="auto"/>
        <w:rPr>
          <w:rFonts w:hint="eastAsia" w:ascii="仿宋" w:hAnsi="仿宋" w:eastAsia="仿宋" w:cs="仿宋"/>
          <w:color w:val="auto"/>
          <w:sz w:val="28"/>
          <w:szCs w:val="28"/>
          <w:highlight w:val="none"/>
        </w:rPr>
      </w:pPr>
    </w:p>
    <w:p w14:paraId="0BE04C2E">
      <w:pPr>
        <w:pStyle w:val="19"/>
        <w:spacing w:line="247" w:lineRule="auto"/>
        <w:rPr>
          <w:rFonts w:hint="eastAsia" w:ascii="仿宋" w:hAnsi="仿宋" w:eastAsia="仿宋" w:cs="仿宋"/>
          <w:color w:val="auto"/>
          <w:sz w:val="28"/>
          <w:szCs w:val="28"/>
          <w:highlight w:val="none"/>
        </w:rPr>
      </w:pPr>
    </w:p>
    <w:p w14:paraId="606DAC5C">
      <w:pPr>
        <w:pStyle w:val="19"/>
        <w:spacing w:line="247" w:lineRule="auto"/>
        <w:rPr>
          <w:rFonts w:hint="eastAsia" w:ascii="仿宋" w:hAnsi="仿宋" w:eastAsia="仿宋" w:cs="仿宋"/>
          <w:color w:val="auto"/>
          <w:sz w:val="28"/>
          <w:szCs w:val="28"/>
          <w:highlight w:val="none"/>
        </w:rPr>
      </w:pPr>
    </w:p>
    <w:p w14:paraId="5718A9C1">
      <w:pPr>
        <w:pStyle w:val="19"/>
        <w:spacing w:line="247" w:lineRule="auto"/>
        <w:rPr>
          <w:rFonts w:hint="eastAsia" w:ascii="仿宋" w:hAnsi="仿宋" w:eastAsia="仿宋" w:cs="仿宋"/>
          <w:color w:val="auto"/>
          <w:sz w:val="28"/>
          <w:szCs w:val="28"/>
          <w:highlight w:val="none"/>
        </w:rPr>
      </w:pPr>
    </w:p>
    <w:p w14:paraId="53FF6C7F">
      <w:pPr>
        <w:pStyle w:val="19"/>
        <w:spacing w:line="247" w:lineRule="auto"/>
        <w:rPr>
          <w:rFonts w:hint="eastAsia" w:ascii="仿宋" w:hAnsi="仿宋" w:eastAsia="仿宋" w:cs="仿宋"/>
          <w:color w:val="auto"/>
          <w:sz w:val="28"/>
          <w:szCs w:val="28"/>
          <w:highlight w:val="none"/>
        </w:rPr>
      </w:pPr>
    </w:p>
    <w:p w14:paraId="2973CB33">
      <w:pPr>
        <w:spacing w:before="78" w:line="219" w:lineRule="auto"/>
        <w:ind w:left="54"/>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49058DF7">
      <w:pPr>
        <w:spacing w:before="78" w:line="219" w:lineRule="auto"/>
        <w:ind w:left="54"/>
        <w:rPr>
          <w:rFonts w:hint="eastAsia" w:ascii="仿宋" w:hAnsi="仿宋" w:eastAsia="仿宋" w:cs="仿宋"/>
          <w:b/>
          <w:bCs/>
          <w:color w:val="auto"/>
          <w:spacing w:val="-5"/>
          <w:sz w:val="28"/>
          <w:szCs w:val="28"/>
          <w:highlight w:val="none"/>
          <w:u w:val="single" w:color="auto"/>
        </w:rPr>
      </w:pPr>
    </w:p>
    <w:p w14:paraId="49C06CB7">
      <w:pPr>
        <w:spacing w:before="78" w:line="220" w:lineRule="auto"/>
        <w:ind w:left="46"/>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51560BB5">
      <w:pPr>
        <w:spacing w:line="220" w:lineRule="auto"/>
        <w:rPr>
          <w:rFonts w:hint="eastAsia" w:ascii="仿宋" w:hAnsi="仿宋" w:eastAsia="仿宋" w:cs="仿宋"/>
          <w:color w:val="auto"/>
          <w:sz w:val="28"/>
          <w:szCs w:val="28"/>
          <w:highlight w:val="none"/>
        </w:rPr>
        <w:sectPr>
          <w:footerReference r:id="rId13" w:type="default"/>
          <w:pgSz w:w="11907" w:h="16840"/>
          <w:pgMar w:top="1134" w:right="1134" w:bottom="1134" w:left="1134" w:header="0" w:footer="817" w:gutter="0"/>
          <w:pgNumType w:fmt="decimal"/>
          <w:cols w:space="720" w:num="1"/>
        </w:sectPr>
      </w:pPr>
    </w:p>
    <w:p w14:paraId="7F2423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30"/>
          <w:szCs w:val="30"/>
          <w:highlight w:val="none"/>
          <w:lang w:eastAsia="zh-CN"/>
        </w:rPr>
        <w:t>2026年北京市朝阳区教育服务保障中心及其所属幼儿园保安服务项目</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四标包</w:t>
      </w:r>
      <w:r>
        <w:rPr>
          <w:rFonts w:hint="eastAsia" w:ascii="仿宋" w:hAnsi="仿宋" w:eastAsia="仿宋" w:cs="仿宋"/>
          <w:b/>
          <w:bCs/>
          <w:color w:val="auto"/>
          <w:sz w:val="30"/>
          <w:szCs w:val="30"/>
          <w:highlight w:val="none"/>
        </w:rPr>
        <w:t>）合同书</w:t>
      </w:r>
    </w:p>
    <w:p w14:paraId="724785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E304E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根据《中华人民共和国民法典》及相关法律、法规的规定，甲乙双方在平等、自愿、公平、诚实信用的基础上，经友好协商，就甲方聘用乙方提供保安服务事宜达成一致意见，签订本合同。</w:t>
      </w:r>
    </w:p>
    <w:p w14:paraId="4AE6B6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第一条 保安服务内容、规程和标准</w:t>
      </w:r>
    </w:p>
    <w:p w14:paraId="508C73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乙方根据甲方确认的目标、区域开展安全保卫工作，提供符合学校要求的巡逻、门卫、防火、防盗、防恐等安全服务，配合学校做好安防工作，安排保安服务人员进行值守。</w:t>
      </w:r>
    </w:p>
    <w:p w14:paraId="50A53F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乙方提供的保安服内容、规程和标准为公安部技术监督委员会审核批准的《保安服务操作规程与质量控制》（编号为：GA/T594-2006）和北京市公安局保安服务操作规程、服务质量的相关要求。</w:t>
      </w:r>
    </w:p>
    <w:p w14:paraId="55DB36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第二条 保安服务地点、范围和保安服务人员</w:t>
      </w:r>
    </w:p>
    <w:p w14:paraId="714348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保安服务地点：由甲方指定。</w:t>
      </w:r>
    </w:p>
    <w:p w14:paraId="5E22CC53">
      <w:pPr>
        <w:spacing w:line="147" w:lineRule="exact"/>
        <w:rPr>
          <w:rFonts w:hint="eastAsia" w:ascii="仿宋" w:hAnsi="仿宋" w:eastAsia="仿宋" w:cs="仿宋"/>
          <w:color w:val="auto"/>
          <w:sz w:val="28"/>
          <w:szCs w:val="28"/>
          <w:highlight w:val="none"/>
        </w:rPr>
      </w:pPr>
    </w:p>
    <w:tbl>
      <w:tblPr>
        <w:tblStyle w:val="249"/>
        <w:tblW w:w="84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3458"/>
        <w:gridCol w:w="4158"/>
      </w:tblGrid>
      <w:tr w14:paraId="60A30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02D6766E">
            <w:pPr>
              <w:pStyle w:val="265"/>
              <w:autoSpaceDE w:val="0"/>
              <w:autoSpaceDN w:val="0"/>
              <w:spacing w:before="40" w:line="221" w:lineRule="auto"/>
              <w:ind w:left="162"/>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序号</w:t>
            </w:r>
          </w:p>
        </w:tc>
        <w:tc>
          <w:tcPr>
            <w:tcW w:w="3458" w:type="dxa"/>
            <w:vAlign w:val="top"/>
          </w:tcPr>
          <w:p w14:paraId="7FDF439E">
            <w:pPr>
              <w:pStyle w:val="265"/>
              <w:autoSpaceDE w:val="0"/>
              <w:autoSpaceDN w:val="0"/>
              <w:spacing w:before="41" w:line="220" w:lineRule="auto"/>
              <w:ind w:left="1496"/>
              <w:rPr>
                <w:rFonts w:hint="eastAsia" w:ascii="仿宋" w:hAnsi="仿宋" w:eastAsia="仿宋" w:cs="仿宋"/>
                <w:color w:val="auto"/>
                <w:sz w:val="28"/>
                <w:szCs w:val="28"/>
                <w:highlight w:val="none"/>
              </w:rPr>
            </w:pPr>
            <w:r>
              <w:rPr>
                <w:rFonts w:hint="eastAsia" w:ascii="仿宋" w:hAnsi="仿宋" w:eastAsia="仿宋" w:cs="仿宋"/>
                <w:color w:val="auto"/>
                <w:spacing w:val="-6"/>
                <w:sz w:val="28"/>
                <w:szCs w:val="28"/>
                <w:highlight w:val="none"/>
              </w:rPr>
              <w:t>校名</w:t>
            </w:r>
          </w:p>
        </w:tc>
        <w:tc>
          <w:tcPr>
            <w:tcW w:w="4158" w:type="dxa"/>
            <w:vAlign w:val="top"/>
          </w:tcPr>
          <w:p w14:paraId="6A700780">
            <w:pPr>
              <w:pStyle w:val="265"/>
              <w:autoSpaceDE w:val="0"/>
              <w:autoSpaceDN w:val="0"/>
              <w:spacing w:before="40" w:line="229" w:lineRule="auto"/>
              <w:ind w:left="1844"/>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地址</w:t>
            </w:r>
          </w:p>
        </w:tc>
      </w:tr>
      <w:tr w14:paraId="50AD7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792" w:type="dxa"/>
            <w:vAlign w:val="top"/>
          </w:tcPr>
          <w:p w14:paraId="2F409456">
            <w:pPr>
              <w:pStyle w:val="265"/>
              <w:autoSpaceDE w:val="0"/>
              <w:autoSpaceDN w:val="0"/>
              <w:spacing w:before="51" w:line="241" w:lineRule="auto"/>
              <w:ind w:left="36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3458" w:type="dxa"/>
            <w:vAlign w:val="top"/>
          </w:tcPr>
          <w:p w14:paraId="6F21D4FB">
            <w:pPr>
              <w:autoSpaceDE w:val="0"/>
              <w:autoSpaceDN w:val="0"/>
              <w:rPr>
                <w:rFonts w:hint="eastAsia" w:ascii="仿宋" w:hAnsi="仿宋" w:eastAsia="仿宋" w:cs="仿宋"/>
                <w:color w:val="auto"/>
                <w:sz w:val="28"/>
                <w:szCs w:val="28"/>
                <w:highlight w:val="none"/>
              </w:rPr>
            </w:pPr>
          </w:p>
        </w:tc>
        <w:tc>
          <w:tcPr>
            <w:tcW w:w="4158" w:type="dxa"/>
            <w:vAlign w:val="top"/>
          </w:tcPr>
          <w:p w14:paraId="51EEE1B0">
            <w:pPr>
              <w:autoSpaceDE w:val="0"/>
              <w:autoSpaceDN w:val="0"/>
              <w:rPr>
                <w:rFonts w:hint="eastAsia" w:ascii="仿宋" w:hAnsi="仿宋" w:eastAsia="仿宋" w:cs="仿宋"/>
                <w:color w:val="auto"/>
                <w:sz w:val="28"/>
                <w:szCs w:val="28"/>
                <w:highlight w:val="none"/>
              </w:rPr>
            </w:pPr>
          </w:p>
        </w:tc>
      </w:tr>
      <w:tr w14:paraId="1D58C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2890C5D">
            <w:pPr>
              <w:pStyle w:val="265"/>
              <w:autoSpaceDE w:val="0"/>
              <w:autoSpaceDN w:val="0"/>
              <w:spacing w:before="38" w:line="241" w:lineRule="auto"/>
              <w:ind w:left="34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3458" w:type="dxa"/>
            <w:vAlign w:val="top"/>
          </w:tcPr>
          <w:p w14:paraId="57F4FF1B">
            <w:pPr>
              <w:autoSpaceDE w:val="0"/>
              <w:autoSpaceDN w:val="0"/>
              <w:rPr>
                <w:rFonts w:hint="eastAsia" w:ascii="仿宋" w:hAnsi="仿宋" w:eastAsia="仿宋" w:cs="仿宋"/>
                <w:color w:val="auto"/>
                <w:sz w:val="28"/>
                <w:szCs w:val="28"/>
                <w:highlight w:val="none"/>
              </w:rPr>
            </w:pPr>
          </w:p>
        </w:tc>
        <w:tc>
          <w:tcPr>
            <w:tcW w:w="4158" w:type="dxa"/>
            <w:vAlign w:val="top"/>
          </w:tcPr>
          <w:p w14:paraId="2BE2ADD9">
            <w:pPr>
              <w:autoSpaceDE w:val="0"/>
              <w:autoSpaceDN w:val="0"/>
              <w:rPr>
                <w:rFonts w:hint="eastAsia" w:ascii="仿宋" w:hAnsi="仿宋" w:eastAsia="仿宋" w:cs="仿宋"/>
                <w:color w:val="auto"/>
                <w:sz w:val="28"/>
                <w:szCs w:val="28"/>
                <w:highlight w:val="none"/>
              </w:rPr>
            </w:pPr>
          </w:p>
        </w:tc>
      </w:tr>
      <w:tr w14:paraId="4D281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2EF7B522">
            <w:pPr>
              <w:pStyle w:val="265"/>
              <w:autoSpaceDE w:val="0"/>
              <w:autoSpaceDN w:val="0"/>
              <w:spacing w:before="37"/>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3458" w:type="dxa"/>
            <w:vAlign w:val="top"/>
          </w:tcPr>
          <w:p w14:paraId="20C32BE2">
            <w:pPr>
              <w:autoSpaceDE w:val="0"/>
              <w:autoSpaceDN w:val="0"/>
              <w:rPr>
                <w:rFonts w:hint="eastAsia" w:ascii="仿宋" w:hAnsi="仿宋" w:eastAsia="仿宋" w:cs="仿宋"/>
                <w:color w:val="auto"/>
                <w:sz w:val="28"/>
                <w:szCs w:val="28"/>
                <w:highlight w:val="none"/>
              </w:rPr>
            </w:pPr>
          </w:p>
        </w:tc>
        <w:tc>
          <w:tcPr>
            <w:tcW w:w="4158" w:type="dxa"/>
            <w:vAlign w:val="top"/>
          </w:tcPr>
          <w:p w14:paraId="6AD85B5B">
            <w:pPr>
              <w:autoSpaceDE w:val="0"/>
              <w:autoSpaceDN w:val="0"/>
              <w:rPr>
                <w:rFonts w:hint="eastAsia" w:ascii="仿宋" w:hAnsi="仿宋" w:eastAsia="仿宋" w:cs="仿宋"/>
                <w:color w:val="auto"/>
                <w:sz w:val="28"/>
                <w:szCs w:val="28"/>
                <w:highlight w:val="none"/>
              </w:rPr>
            </w:pPr>
          </w:p>
        </w:tc>
      </w:tr>
      <w:tr w14:paraId="4AC9E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75C288B">
            <w:pPr>
              <w:pStyle w:val="265"/>
              <w:autoSpaceDE w:val="0"/>
              <w:autoSpaceDN w:val="0"/>
              <w:spacing w:before="39" w:line="241" w:lineRule="auto"/>
              <w:ind w:left="34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3458" w:type="dxa"/>
            <w:vAlign w:val="top"/>
          </w:tcPr>
          <w:p w14:paraId="6AE76F66">
            <w:pPr>
              <w:autoSpaceDE w:val="0"/>
              <w:autoSpaceDN w:val="0"/>
              <w:rPr>
                <w:rFonts w:hint="eastAsia" w:ascii="仿宋" w:hAnsi="仿宋" w:eastAsia="仿宋" w:cs="仿宋"/>
                <w:color w:val="auto"/>
                <w:sz w:val="28"/>
                <w:szCs w:val="28"/>
                <w:highlight w:val="none"/>
              </w:rPr>
            </w:pPr>
          </w:p>
        </w:tc>
        <w:tc>
          <w:tcPr>
            <w:tcW w:w="4158" w:type="dxa"/>
            <w:vAlign w:val="top"/>
          </w:tcPr>
          <w:p w14:paraId="390173BA">
            <w:pPr>
              <w:autoSpaceDE w:val="0"/>
              <w:autoSpaceDN w:val="0"/>
              <w:rPr>
                <w:rFonts w:hint="eastAsia" w:ascii="仿宋" w:hAnsi="仿宋" w:eastAsia="仿宋" w:cs="仿宋"/>
                <w:color w:val="auto"/>
                <w:sz w:val="28"/>
                <w:szCs w:val="28"/>
                <w:highlight w:val="none"/>
              </w:rPr>
            </w:pPr>
          </w:p>
        </w:tc>
      </w:tr>
      <w:tr w14:paraId="49CC5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23EC83BA">
            <w:pPr>
              <w:pStyle w:val="265"/>
              <w:autoSpaceDE w:val="0"/>
              <w:autoSpaceDN w:val="0"/>
              <w:spacing w:before="40"/>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3458" w:type="dxa"/>
            <w:vAlign w:val="top"/>
          </w:tcPr>
          <w:p w14:paraId="28241319">
            <w:pPr>
              <w:autoSpaceDE w:val="0"/>
              <w:autoSpaceDN w:val="0"/>
              <w:rPr>
                <w:rFonts w:hint="eastAsia" w:ascii="仿宋" w:hAnsi="仿宋" w:eastAsia="仿宋" w:cs="仿宋"/>
                <w:color w:val="auto"/>
                <w:sz w:val="28"/>
                <w:szCs w:val="28"/>
                <w:highlight w:val="none"/>
              </w:rPr>
            </w:pPr>
          </w:p>
        </w:tc>
        <w:tc>
          <w:tcPr>
            <w:tcW w:w="4158" w:type="dxa"/>
            <w:vAlign w:val="top"/>
          </w:tcPr>
          <w:p w14:paraId="49E568AC">
            <w:pPr>
              <w:autoSpaceDE w:val="0"/>
              <w:autoSpaceDN w:val="0"/>
              <w:rPr>
                <w:rFonts w:hint="eastAsia" w:ascii="仿宋" w:hAnsi="仿宋" w:eastAsia="仿宋" w:cs="仿宋"/>
                <w:color w:val="auto"/>
                <w:sz w:val="28"/>
                <w:szCs w:val="28"/>
                <w:highlight w:val="none"/>
              </w:rPr>
            </w:pPr>
          </w:p>
        </w:tc>
      </w:tr>
    </w:tbl>
    <w:p w14:paraId="267681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792D02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保安服务的范围：甲方确认的区域。</w:t>
      </w:r>
    </w:p>
    <w:p w14:paraId="29E93C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 保安服务人员安排：在甲乙双方确定的保安服务人员的基础上，乙方按甲方的要求提供 24小时值守和巡视。</w:t>
      </w:r>
    </w:p>
    <w:p w14:paraId="082B29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保安服务合同期限</w:t>
      </w:r>
    </w:p>
    <w:p w14:paraId="053949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日至 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rPr>
        <w:t>日。</w:t>
      </w:r>
    </w:p>
    <w:p w14:paraId="45CC91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 保安服务费用标准及支付方式</w:t>
      </w:r>
    </w:p>
    <w:p w14:paraId="3E6B86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 保安服务费用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元/人/月，共计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人；本合同总价为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元（人民币大写          元整）；上述费用为包干的全部费用，包含人员工资、社保、装备费用、培训费用、管理费用、合理的利润、税费等。</w:t>
      </w:r>
    </w:p>
    <w:p w14:paraId="123382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4" w:type="default"/>
          <w:pgSz w:w="11907" w:h="16840"/>
          <w:pgMar w:top="1134" w:right="1134" w:bottom="1134" w:left="1134" w:header="0" w:footer="819" w:gutter="0"/>
          <w:pgNumType w:fmt="decimal"/>
          <w:cols w:space="720" w:num="1"/>
        </w:sectPr>
      </w:pPr>
    </w:p>
    <w:p w14:paraId="5C4B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支付方式：费用按季度支付，甲方于每季度末后向乙方支付上一个季度保安服务费用。乙方按照本合同第八条第一项提供履约担保。最后一个季度的保安费，甲方将于11月份支付，待本合同有效期届满后，双方据实结算服务金额。</w:t>
      </w:r>
    </w:p>
    <w:p w14:paraId="6E3E2B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本合同为固定单价合同，每月被服务单位对安保单位的出勤和服务质量进行打分评价，安保费用据实结算。</w:t>
      </w:r>
    </w:p>
    <w:p w14:paraId="3A7034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乙方收款账户信息</w:t>
      </w:r>
    </w:p>
    <w:p w14:paraId="4ACADB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户  名：</w:t>
      </w:r>
    </w:p>
    <w:p w14:paraId="69F8A9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2B91CA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513875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第五条 甲方的权利和义务</w:t>
      </w:r>
    </w:p>
    <w:p w14:paraId="2FF251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甲方有权对乙方及保安服务人员的工作进行监督、检查和指导，有权要求调换不适合在甲方工作的保安服务人员;甲方有权要求乙方利用寒暑假对保安服务人员进行由公安部门组织的行业培训、由乙方公司组织的业务技能培训、由学校组织的学校工作要求培训。</w:t>
      </w:r>
    </w:p>
    <w:p w14:paraId="3D4DFF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 甲方有权审核乙方提交的执勤方案和工作细则，并有权要求乙方修改完善执勤方案和工作细则。</w:t>
      </w:r>
    </w:p>
    <w:p w14:paraId="218691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甲方为乙方保安服务人员提供必备的工作条件，包括值班室、办公桌椅等。</w:t>
      </w:r>
    </w:p>
    <w:p w14:paraId="1CAFC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 甲方应制定和完善便于操作的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人员出入登记制度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《车辆管理制度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及《安全巡逻制度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等安全管理制度（尤其是要完善上下学高峰期间禁止车辆和校外人员出入校园的规定），同时还应根据工作需要，制定出入证、停车证等，使乙方保安服务人员上岗后有章可循、有证可查。</w:t>
      </w:r>
    </w:p>
    <w:p w14:paraId="663FEC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5.5 甲方对乙方提出的安全防范隐患报告应及时答复，采取必要的改进和防范措施。</w:t>
      </w:r>
    </w:p>
    <w:p w14:paraId="1A2D4F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5.6 尊重乙方保安服务人员的工作权利，教育本单位员工配合和支持乙方保安服务人员履行保安职责。</w:t>
      </w:r>
    </w:p>
    <w:p w14:paraId="76928A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5.7 按合同约定的时间和方式向乙方支付保安服务费。</w:t>
      </w:r>
    </w:p>
    <w:p w14:paraId="796CD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5.8 甲方有权对乙方所提供的保安服务进行考核、考勤，以考核、考勤结果作为支付费用的依据。</w:t>
      </w:r>
    </w:p>
    <w:p w14:paraId="010EA8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第六条 乙方的权利和义务</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6.1 乙方保安服务人员要切实履行职责，在上下学时段要保证不少于三人佩戴制式装备在师生进出门口持械上岗。</w:t>
      </w:r>
    </w:p>
    <w:p w14:paraId="518232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乙方有权对保安服务范围内的安全隐患向甲方书面提出改进意见和建议。</w:t>
      </w:r>
    </w:p>
    <w:p w14:paraId="7332DC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 乙方保安服务人员有权拒绝甲方指派负责人以外人员的直接指挥。</w:t>
      </w:r>
    </w:p>
    <w:p w14:paraId="60A48E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 乙方应根据《中华人民共和国劳动合同法》的规定建立相应的用工制度；负责保安服务人员的工资、奖金、社会保险和其他福利费用；负责发生其他意外伤亡事故时的善后及赔付事宜；提供保安服务人员执勤所需的制式服装及装备。</w:t>
      </w:r>
    </w:p>
    <w:p w14:paraId="220CF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 乙方负责保安服务人员的思想教育、业务培训等日常管理和保安服务人员违纪问题的处理。</w:t>
      </w:r>
    </w:p>
    <w:p w14:paraId="238E69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6.6 乙方应当提供符合本合同约定条件和执勤方案要求的保安服务人员。</w:t>
      </w:r>
    </w:p>
    <w:p w14:paraId="0CC7D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6.7 乙方保证所派保安服务人员身体健康，具有相当的执业水平和职业技能，具备任职岗位的职业资格。</w:t>
      </w:r>
    </w:p>
    <w:p w14:paraId="175680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6.8 乙方应及时调换不适合在甲方工作的保安服务人员。</w:t>
      </w:r>
    </w:p>
    <w:p w14:paraId="644B59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 乙方不得以自身或合同款支付流程时间原因拖欠保安服务人员的工资、其他福利待遇等。因乙方用工制度不完善、未按时发放员工工资、在劳动合同续订、终止或解除等问题上存在争议导致在甲方工作的保安服务人员怠工、罢工，或发生自伤、他伤、妨害学校工作秩序、危害师生人身安全等行为的，乙方应尽快予以妥善处理并承担全部后果和责任。由此给甲方造成的直接或间接损失，均由乙方承担。</w:t>
      </w:r>
    </w:p>
    <w:p w14:paraId="5C1733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第七条 合同解除</w:t>
      </w:r>
    </w:p>
    <w:p w14:paraId="6CC728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乙方未按要求办理有关备案手续或保安员有严重失职、违法乱纪等情形的，甲方有权解除合同，由此造成的损失由乙方负责。</w:t>
      </w:r>
    </w:p>
    <w:p w14:paraId="190AC1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第八条 履约保证</w:t>
      </w:r>
    </w:p>
    <w:p w14:paraId="0FFC8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合同签订生效之日起5个工作日内，乙方应向甲方提交履约担保，履约担保有两种形式：1、履约保证金；2、金融机构、担保机构出具的保函，履约保证金或保函担保金额为合同总价的10%。</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8.2 如乙方未能履行合同规定的相关义务，甲方有权以履约保证金或保函的形式得到补偿。乙方应在保函担保或履约保证金扣除后的七个工作日内补足被扣除部分，并以此作为合同延续的先决条件。</w:t>
      </w:r>
    </w:p>
    <w:p w14:paraId="69131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保函或履约保证金不足以补偿乙方给甲方造成的损失，甲方有权要求乙方按实际发生的损失赔偿。乙方拒绝进行赔偿的，甲方有权没收其全部履约保证金，并有权采取包括法律诉讼等一切合法手段要求乙方承担赔偿责任，并终止合同；由此造成的合同违约责任由乙方承担。</w:t>
      </w:r>
    </w:p>
    <w:p w14:paraId="7D3C0E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合同在履行过程中终止，甲方有优先获得履约保证金赔偿或保函担保赔偿的权利。</w:t>
      </w:r>
    </w:p>
    <w:p w14:paraId="33B1D2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 合同终止后，乙方无重大过错或无违约行为需要抵扣履约保证金的情形，甲方须全额无息返还乙方的履约保证金。</w:t>
      </w:r>
    </w:p>
    <w:p w14:paraId="79A639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第九条 不可抗力</w:t>
      </w:r>
    </w:p>
    <w:p w14:paraId="739271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在本合同期内，任何一方因遭遇法定不可预见、不可避免或不可克服的事件及国家、市、区重大政策变化导致不能全部或部分履行本合同约定的义务的，不承担违约责任。</w:t>
      </w:r>
    </w:p>
    <w:p w14:paraId="05D015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遭遇不可抗力事件的一方应当于不可抗力事件发生后立即通知另一方，并于事件发生之日起30日内提供事件详情(包括合同不能履行、或者部分不能履行或者需要延期履行的理由)及有效证明文件。</w:t>
      </w:r>
    </w:p>
    <w:p w14:paraId="67F53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9.3 不可抗力事件发生后，合同双方应按照事件对履行合同影响的程度，协商决定是否解除本合同，或者部分免除履行本合同的责任，或者延期履行本合同。</w:t>
      </w:r>
    </w:p>
    <w:p w14:paraId="74D00B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第十条 违约责任</w:t>
      </w:r>
    </w:p>
    <w:p w14:paraId="7FB769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在合同有效期内，任何一方无正当理由单方解除合同的，应承担违约责任，向对方支付本合同总额百分之二十的违约金。</w:t>
      </w:r>
    </w:p>
    <w:p w14:paraId="26111B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甲方无正当理由迟延履行合同款支付手续的，每迟延一日，应按迟延支付部分的万分之三向乙方支付逾期滞纳金。</w:t>
      </w:r>
    </w:p>
    <w:p w14:paraId="79C8C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因乙方保安服务人员失职、渎职造成甲方经济损失的，甲方有权依据有关部门出具的相关证明要求乙方承担相应的赔偿责任。</w:t>
      </w:r>
    </w:p>
    <w:p w14:paraId="7AD798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若甲方在实际工作中发现乙方提供的服务与要求不符的情况，或发现乙方保安服务人员有失职、渎职的情况，乙方应在甲方提出更换要求后三个工作日内及时更换保安服务人员，若迟延更换的，每迟延一日，应按年度保安服务费总额的千分之一向甲方支付违约金。乙方迟延更换超过一个月的，甲方有权解除合同，并要求乙方承担违约责任。</w:t>
      </w:r>
    </w:p>
    <w:p w14:paraId="0AC3F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10.5 一方违约导致另一方不得不通过法律手段主张权利的，违约方还应承担守约方因此而支出的合理费用，包括但不限于律师费、诉讼费、调查取证费、差旅费。</w:t>
      </w:r>
    </w:p>
    <w:p w14:paraId="0B1DFF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第十一条 双方协商的其他内容</w:t>
      </w:r>
    </w:p>
    <w:p w14:paraId="483046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乙方保安工作必须服从甲方的统一管理。</w:t>
      </w:r>
    </w:p>
    <w:p w14:paraId="307041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甲方对于乙方保安服务满意率进行整体计算。综合满意率必须达到</w:t>
      </w:r>
    </w:p>
    <w:p w14:paraId="21D6E4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90%以上（含），综合满意率每低一个百分点，扣除当季度保安服务费的2%，同时乙方必须进行整改；综合满意率低于85%（含），甲方有权解除合同，并由乙方承担合同总额20%的违约金。</w:t>
      </w:r>
    </w:p>
    <w:p w14:paraId="19D0C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因乙方或乙方保安服务人员的故意或过失造成甲方、甲方所属人员或第三方人身或财产损失的，乙方须承担先行赔付责任。</w:t>
      </w:r>
    </w:p>
    <w:p w14:paraId="4D0E4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11.4 乙方保安服务人员的行为构成犯罪的，按刑法相关规定承担法律后果，但该犯罪行为同时对甲方或甲方所属人员造成民事损害的，乙方应对民事部分承担连带赔偿责任。</w:t>
      </w:r>
    </w:p>
    <w:p w14:paraId="78FB3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11.5 对于乙方或乙方保安服务人员造成的甲方财物损失，乙方应按损失财物价值的双倍金额予以赔偿。</w:t>
      </w:r>
    </w:p>
    <w:p w14:paraId="579F4DA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11.6就餐：餐费收取标准:18 元/人/天（早、午饭），含税，由供应商与采购人食材供货商签订合同并据实结算餐费。</w:t>
      </w:r>
    </w:p>
    <w:p w14:paraId="66191D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11.7保安人员执勤班次要求每班次两人，每天三班次，每班8小时，高峰执勤达到6人。</w:t>
      </w:r>
    </w:p>
    <w:p w14:paraId="27E2B66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11.8供应商项目负责人需每月对保安人员进行证件核查，保证证件合规且在有效期范围内。</w:t>
      </w:r>
    </w:p>
    <w:p w14:paraId="22B0F96B">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11.9乙方项目负责人需每月向甲方对园所保安工作进行工作汇报。</w:t>
      </w:r>
    </w:p>
    <w:p w14:paraId="175E36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11.10供应商需每月对保安人员进行岗位培训，包含但不限于法律、技能等培训并留有培训记录。</w:t>
      </w:r>
    </w:p>
    <w:p w14:paraId="04BE2C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第十二条 通知与送达</w:t>
      </w:r>
    </w:p>
    <w:p w14:paraId="5731DC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以履行本合同为目的或与之相关的任何通知均应以亲自递交、邮递、特快专递或传真发至本合同列明的联系地址和联系方式，否则不发生效力。如接受通知的一方联系地址和联系方式发生变更，应及时通知另一方。</w:t>
      </w:r>
    </w:p>
    <w:p w14:paraId="601706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通知被视为送达的日期应按如下方法决定：</w:t>
      </w:r>
    </w:p>
    <w:p w14:paraId="20A733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专人递交的通知在专人递交之时视为送达；</w:t>
      </w:r>
    </w:p>
    <w:p w14:paraId="4E7297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以（预付邮资）挂号信件发出的通知，应在寄出日（以邮戳为准）后第7日视为送达；</w:t>
      </w:r>
    </w:p>
    <w:p w14:paraId="5CB1BB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12.2.3 以快递发送的通知应于交予合法的快递服务发送后第3日视为送达；</w:t>
      </w:r>
    </w:p>
    <w:p w14:paraId="3888D8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12.2.4 以图文、传真发出的通知，在传送日后第1个工作日视为送达。</w:t>
      </w:r>
    </w:p>
    <w:p w14:paraId="32E10A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第十三条 争议解决方式</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本合同履行过程中发生争议的，双方协商解决；双方协商不成的，向甲方住所地人民法院提起诉讼。</w:t>
      </w:r>
    </w:p>
    <w:p w14:paraId="66317C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第十四条 补充条款</w:t>
      </w:r>
    </w:p>
    <w:p w14:paraId="1283BF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本合同未尽事宜，双方补充约定如下，补充条款与本合同具有同等法律效力。</w:t>
      </w:r>
      <w:r>
        <w:rPr>
          <w:rFonts w:hint="eastAsia" w:ascii="仿宋" w:hAnsi="仿宋" w:eastAsia="仿宋" w:cs="仿宋"/>
          <w:b/>
          <w:bCs/>
          <w:color w:val="auto"/>
          <w:sz w:val="24"/>
          <w:szCs w:val="24"/>
          <w:highlight w:val="none"/>
        </w:rPr>
        <w:br w:type="textWrapping"/>
      </w:r>
      <w:r>
        <w:rPr>
          <w:rFonts w:hint="eastAsia" w:ascii="仿宋" w:hAnsi="仿宋" w:eastAsia="仿宋" w:cs="仿宋"/>
          <w:b/>
          <w:bCs/>
          <w:color w:val="auto"/>
          <w:sz w:val="24"/>
          <w:szCs w:val="24"/>
          <w:highlight w:val="none"/>
        </w:rPr>
        <w:t>第十五条其他</w:t>
      </w:r>
    </w:p>
    <w:p w14:paraId="1F1342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本合同一式伍份，自双方签字并盖章之日起生效。甲方执贰份，乙方执贰份，朝阳区教委留存备案壹份，具有同等法律效力。</w:t>
      </w:r>
      <w:r>
        <w:rPr>
          <w:rFonts w:hint="eastAsia" w:ascii="仿宋" w:hAnsi="仿宋" w:eastAsia="仿宋" w:cs="仿宋"/>
          <w:color w:val="auto"/>
          <w:sz w:val="24"/>
          <w:szCs w:val="24"/>
          <w:highlight w:val="none"/>
        </w:rPr>
        <w:br w:type="textWrapping"/>
      </w:r>
    </w:p>
    <w:p w14:paraId="6ECC69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附件：北京市朝阳区教育国资中心幼儿园保安服务管理办法（试行）</w:t>
      </w:r>
    </w:p>
    <w:p w14:paraId="565F35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41A64E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乙方（盖章）：</w:t>
      </w:r>
    </w:p>
    <w:p w14:paraId="74E9A8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法人或授权代表：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法人授权代表：</w:t>
      </w:r>
    </w:p>
    <w:p w14:paraId="67C4BE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联系地址：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联系地址：</w:t>
      </w:r>
    </w:p>
    <w:p w14:paraId="3AF4A3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 话：</w:t>
      </w:r>
    </w:p>
    <w:p w14:paraId="4A842E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传 真：</w:t>
      </w:r>
    </w:p>
    <w:p w14:paraId="7C6180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邮 编：</w:t>
      </w:r>
    </w:p>
    <w:p w14:paraId="3D9F09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14:paraId="53A2E7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附件：</w:t>
      </w:r>
    </w:p>
    <w:p w14:paraId="0FDFB3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北京市朝阳区教育国资中心幼儿园保安服务管理办法（试行）</w:t>
      </w:r>
    </w:p>
    <w:p w14:paraId="64A7CB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2A011F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明确北京市朝阳区教育国资中心幼儿园（以下简称“国资中心幼儿园”）和所聘保安公司（以下简称“保安公司”）的职责与权利，加强对保安公司的监管力度，规范保安公司服务人员在国资中心幼儿园工作标准，切实提高国资中心幼儿园保安服务管理水平。现根据朝阳区教委《关于做好2022年朝阳区教育系统校园保安管理相关工作的通知》、《朝阳区校园保安服务管理办法（修订版）》、北京市朝阳区教育服务保障中心（以下简称“保障中心”）的有关要求，结合工作实际，制定本办法。</w:t>
      </w:r>
    </w:p>
    <w:p w14:paraId="557700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一、总则</w:t>
      </w:r>
    </w:p>
    <w:p w14:paraId="53B3B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资中心幼儿园所聘保安公司是经过相应遴选程序后选定的提供保安相应服务的单位。国资中心幼儿园对派驻保安服务人员管理实行总园统筹、分园落实、逐级管理的工作方式。由总园直接负责指导、管理、协调、联络派驻保安服务人员工作，并向总园长汇报。保安公司与派驻保安服务人员有义务配合保障中心、国资中心幼儿园的管理工作。</w:t>
      </w:r>
    </w:p>
    <w:p w14:paraId="0C238E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二、各方职责</w:t>
      </w:r>
    </w:p>
    <w:p w14:paraId="3C2740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（一）总园职责：</w:t>
      </w:r>
    </w:p>
    <w:p w14:paraId="1E8F3E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1.负责牵头制定国资中心幼儿园保安服务管理办法。</w:t>
      </w:r>
    </w:p>
    <w:p w14:paraId="3E7254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2.从全局角度出发，对保安公司进行指导、管理、联络、监督、落实，并协调解决相关问题。</w:t>
      </w:r>
    </w:p>
    <w:p w14:paraId="164FA5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3.按季度、重大节假日或重大节点召开会议或发布通知，对保安公司统一思想，部署相关工作及要求。</w:t>
      </w:r>
    </w:p>
    <w:p w14:paraId="539333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（二）保安公司职责：</w:t>
      </w:r>
    </w:p>
    <w:p w14:paraId="31CB42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1.了解幼儿园保安服务标准和运营要求，根据合同约定的服务内容及标准配备保安员，并为对其进行岗位职责、工作规范、假勤要求等方面的培训。</w:t>
      </w:r>
    </w:p>
    <w:p w14:paraId="242547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2.对驻派的保安服务人员进行岗前教育和技能培训,按规定为上岗人员办理保安证、健康证、无犯罪记录证明，做到持证上岗。</w:t>
      </w:r>
    </w:p>
    <w:p w14:paraId="67180E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3.每月至少对驻派的保安服务人员进行一次法律、保安专业知识和技能培训，开展职业道德教育，宣传疫情防控规定，并向各分园提交培训记录。</w:t>
      </w:r>
    </w:p>
    <w:p w14:paraId="25160E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4.每学期对所服务分园进行工作总结并向国资中心幼儿园总园进行汇报。</w:t>
      </w:r>
    </w:p>
    <w:p w14:paraId="14D1D9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5.幼儿园提出不能满足保安工作要求以及不服从安排和管理需要调整的服务人员,保安公司应在5个工作日内调整到位。如未按时完成将从当月或季度考核分数中体现。</w:t>
      </w:r>
    </w:p>
    <w:p w14:paraId="5022E4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6.下列情形第三方保安公司必须及时调派其他符合条件保安服务人员：</w:t>
      </w:r>
    </w:p>
    <w:p w14:paraId="63E157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（1）派驻保安服务人员辞职;</w:t>
      </w:r>
    </w:p>
    <w:p w14:paraId="05712F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（2）派驻保安服务人员缺勤(含请假和旷工,下同)连续两天以上, 或一周内两天以上。</w:t>
      </w:r>
    </w:p>
    <w:p w14:paraId="6316B8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7.保安公司根据实际人员情况适当储备可随时上岗人员，可随时补位缺岗人员。</w:t>
      </w:r>
    </w:p>
    <w:p w14:paraId="6F09AC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8.补位人员需在离职或请假人员前一周或三天完成岗前培训，到园熟悉环境，开展工作交接，不得无证上岗。</w:t>
      </w:r>
    </w:p>
    <w:p w14:paraId="1724C1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9.若派驻保安服务人员有违反国资中心幼儿园规章制度保安公司应进行做出相应措施，直至调离国资中心幼儿园。</w:t>
      </w:r>
    </w:p>
    <w:p w14:paraId="554386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10.对有违反国资中心幼儿园规章制度的派驻保安服务人员各分园不予接收。</w:t>
      </w:r>
    </w:p>
    <w:p w14:paraId="70BAC1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11.派驻保安服务人员在保安服务中造成他人人身伤亡和财产损失的,由保安公司赔付。因派驻保安服务人员的失职、渎职致使我园承担责任的,该责任的最终赔偿由保安公司承担。</w:t>
      </w:r>
    </w:p>
    <w:p w14:paraId="4E8A97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（三）各分园职责：</w:t>
      </w:r>
    </w:p>
    <w:p w14:paraId="1609E8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1.与保安公司项目经理或保安队长定期沟通、联络派驻保安服务人员日常工作情况。</w:t>
      </w:r>
    </w:p>
    <w:p w14:paraId="4C788B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2.上岗前，对拟派驻保安服务人员进行证件材料审核，开展笔试与技能考核，视材料审核与技能考核结果决定是否接收。</w:t>
      </w:r>
    </w:p>
    <w:p w14:paraId="6FE0DA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3.各分园按总园要求每月对派驻的保安服务人员日常工作表现进行检查、记录、考核,并按总园要求时限提交考核结果。</w:t>
      </w:r>
    </w:p>
    <w:p w14:paraId="1AB2CB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4.据实记录派驻保安服务人员考勤，并按总园要求时限提交考勤材料。</w:t>
      </w:r>
    </w:p>
    <w:p w14:paraId="17FBBB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5.定期对派驻保安服务人员进幼儿园工作标准、安全防护、仪容仪表等方面进行培训。</w:t>
      </w:r>
    </w:p>
    <w:p w14:paraId="43B6DA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6.每月如实向总园汇报派驻的保安服务人员流动及保安公司对派驻保安服务人员的培训情况，提供相关记录。</w:t>
      </w:r>
    </w:p>
    <w:p w14:paraId="3F0AD1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三、岗位职责</w:t>
      </w:r>
    </w:p>
    <w:p w14:paraId="0D5B18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保安人员</w:t>
      </w:r>
    </w:p>
    <w:p w14:paraId="4203A6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1.负责园区大门 24 小时值班值守，负责人员、车辆进出幼儿园管理和园门疫情防控工作，维护良好的园门秩序；做好来访人员的登记和值班、交接班记录。</w:t>
      </w:r>
    </w:p>
    <w:p w14:paraId="1395C6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2.负责园区及园区周边安全管理，公共区域日常安全检查 以及每2小时一次的园区安全巡查，及时发现处置隐患问题和突发事件，维护良好的园区教育教学秩序和正常办公环境。</w:t>
      </w:r>
    </w:p>
    <w:p w14:paraId="48598F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3.衣着整洁，待人接物和气有礼貌，不聚众聊天。</w:t>
      </w:r>
    </w:p>
    <w:p w14:paraId="2C6D15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4.注意仪容仪表，讲究团结协作，值班时间不得脱岗、误岗、擅自调岗。</w:t>
      </w:r>
    </w:p>
    <w:p w14:paraId="2E0EA8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5.根据园区工作实际，妥善做好来园人员车辆的引导、停放和秩序维护。</w:t>
      </w:r>
    </w:p>
    <w:p w14:paraId="591FEC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6.负责消防和监控值班值守工作；接收并及时处置火警信号，维护幼儿园园消防安全；认真填写并妥善保存中控室值班记录；相关设备发生故障及时沟通联系，协助做好修理和维护工作。</w:t>
      </w:r>
    </w:p>
    <w:p w14:paraId="727928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7.贯彻执行各项安全管理规章制度，妥善做好园区防火、 防盗、防抢、防暴等各项安全防范工作。</w:t>
      </w:r>
    </w:p>
    <w:p w14:paraId="527426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8.遇园区大型、重要活动或重大节日，提供临时勤务保障。</w:t>
      </w:r>
    </w:p>
    <w:p w14:paraId="4154FF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9.预防和制止侵害园区的安全事件，随时做好应急处突防范，妥善处理消防安全、突发事件等应急情况。</w:t>
      </w:r>
    </w:p>
    <w:p w14:paraId="02A888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10.协助做好消防维保，安防维保，消防电气检测，灭火器检测回充等工作。</w:t>
      </w:r>
    </w:p>
    <w:p w14:paraId="10CB84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11.完成园区交办的其它临时性工作和任务。如辅助园区清运垃圾、做好门前三包等。</w:t>
      </w:r>
    </w:p>
    <w:p w14:paraId="2ABB9E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12．保安管理人员每周必须向园区安全工作负责人口头汇报工作及幼儿园派驻保安服务人员情况，重大情况须及时报告。做好详细的执勤记录，原始台帐保存完好，以备核查。</w:t>
      </w:r>
    </w:p>
    <w:p w14:paraId="5BB901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三、管理考核方法</w:t>
      </w:r>
    </w:p>
    <w:p w14:paraId="59431A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国资中心幼儿园根据《朝阳区校园保安服务合同书》条款对各保安公司服务满意率进行整体计算，综合满意率必须达到90%以上（含），综合满意率每低一个百分点，扣除当季度保安服务费的2%，同时相关保安公司进行整改；综合满意率低于85%（含），有权解除合同，并由保安公司承担合同总额20%的违约金。</w:t>
      </w:r>
    </w:p>
    <w:p w14:paraId="7706F5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2.《北京市朝阳区教育国资中心幼儿园保安服务考核评分表》满分为 100 分(各项扣分不受本项分值限制,可以为负分),依据评分标准对每一位派驻保安服务人员与保安公司整体进行评分。</w:t>
      </w:r>
    </w:p>
    <w:p w14:paraId="3E2017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四、附则</w:t>
      </w:r>
    </w:p>
    <w:p w14:paraId="0AC815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（一）本管理办法的解释权归北京市朝阳区教育国资中心幼儿园。</w:t>
      </w:r>
    </w:p>
    <w:p w14:paraId="0661A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5" w:type="default"/>
          <w:pgSz w:w="11907" w:h="16840"/>
          <w:pgMar w:top="1134" w:right="1134" w:bottom="1134" w:left="1134" w:header="0" w:footer="819" w:gutter="0"/>
          <w:pgNumType w:fmt="decimal"/>
          <w:cols w:space="720" w:num="1"/>
        </w:sectPr>
      </w:pPr>
      <w:r>
        <w:rPr>
          <w:rFonts w:hint="eastAsia" w:ascii="仿宋" w:hAnsi="仿宋" w:eastAsia="仿宋" w:cs="仿宋"/>
          <w:color w:val="auto"/>
          <w:sz w:val="24"/>
          <w:szCs w:val="24"/>
          <w:highlight w:val="none"/>
        </w:rPr>
        <w:t>（二）本管理办法自颁布之日起实施。</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w:t>
      </w:r>
      <w:r>
        <w:rPr>
          <w:rFonts w:hint="eastAsia" w:ascii="仿宋" w:hAnsi="仿宋" w:eastAsia="仿宋" w:cs="仿宋"/>
          <w:color w:val="auto"/>
          <w:sz w:val="24"/>
          <w:szCs w:val="20"/>
          <w:highlight w:val="none"/>
          <w:lang w:eastAsia="zh-CN"/>
        </w:rPr>
        <w:t>、《保安服务许可证》</w:t>
      </w:r>
      <w:r>
        <w:rPr>
          <w:rFonts w:hint="eastAsia" w:ascii="仿宋" w:hAnsi="仿宋" w:eastAsia="仿宋" w:cs="仿宋"/>
          <w:color w:val="auto"/>
          <w:sz w:val="24"/>
          <w:szCs w:val="20"/>
          <w:highlight w:val="none"/>
        </w:rPr>
        <w:t>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6"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4890A5F5">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6F0BFECF">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271212"/>
      <w:bookmarkEnd w:id="825"/>
      <w:bookmarkStart w:id="826" w:name="_Hlt520274393"/>
      <w:bookmarkEnd w:id="826"/>
      <w:bookmarkStart w:id="827" w:name="_Hlt520274121"/>
      <w:bookmarkEnd w:id="827"/>
      <w:bookmarkStart w:id="828" w:name="_Hlt520274065"/>
      <w:bookmarkEnd w:id="828"/>
      <w:bookmarkStart w:id="829" w:name="_Hlt520343392"/>
      <w:bookmarkEnd w:id="829"/>
      <w:bookmarkStart w:id="830" w:name="_Hlt520343000"/>
      <w:bookmarkEnd w:id="830"/>
      <w:bookmarkStart w:id="831" w:name="_Hlt520274407"/>
      <w:bookmarkEnd w:id="831"/>
      <w:bookmarkStart w:id="832" w:name="_Hlt520273711"/>
      <w:bookmarkEnd w:id="832"/>
      <w:bookmarkStart w:id="833" w:name="_Hlt520350918"/>
      <w:bookmarkEnd w:id="833"/>
      <w:bookmarkStart w:id="834" w:name="_Hlt520355504"/>
      <w:bookmarkEnd w:id="834"/>
      <w:bookmarkStart w:id="835" w:name="_Toc480942349"/>
      <w:bookmarkStart w:id="836" w:name="_Ref467988698"/>
      <w:bookmarkStart w:id="837" w:name="_Toc520356217"/>
      <w:bookmarkStart w:id="838" w:name="_Toc226309800"/>
      <w:bookmarkStart w:id="839" w:name="_Toc195842921"/>
      <w:bookmarkStart w:id="840" w:name="_Toc142311058"/>
      <w:bookmarkStart w:id="841" w:name="_Toc150480794"/>
      <w:bookmarkStart w:id="842" w:name="_Toc127151556"/>
      <w:bookmarkStart w:id="843" w:name="_Toc226337252"/>
      <w:bookmarkStart w:id="844" w:name="_Toc150774761"/>
      <w:bookmarkStart w:id="845" w:name="_Toc226965746"/>
      <w:bookmarkStart w:id="846" w:name="_Toc226965829"/>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2026年北京市朝阳区教育服务保障中心及其所属幼儿园保安服务项目（四标包），</w:t>
      </w:r>
      <w:r>
        <w:rPr>
          <w:rFonts w:hint="eastAsia" w:ascii="仿宋" w:hAnsi="仿宋" w:eastAsia="仿宋" w:cs="仿宋"/>
          <w:color w:val="auto"/>
          <w:sz w:val="24"/>
          <w:szCs w:val="20"/>
          <w:highlight w:val="none"/>
          <w:u w:val="single"/>
          <w:lang w:val="en-US" w:eastAsia="zh-CN"/>
        </w:rPr>
        <w:t>11010525210200026591-XM001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5938"/>
      <w:bookmarkEnd w:id="847"/>
      <w:bookmarkStart w:id="848" w:name="_Hlt520356243"/>
      <w:bookmarkEnd w:id="848"/>
      <w:bookmarkStart w:id="849" w:name="_Toc226965830"/>
      <w:bookmarkStart w:id="850" w:name="_Toc520356218"/>
      <w:bookmarkStart w:id="851" w:name="_Ref467988705"/>
      <w:bookmarkStart w:id="852" w:name="_Toc226965747"/>
      <w:bookmarkStart w:id="853" w:name="_Toc150480795"/>
      <w:bookmarkStart w:id="854" w:name="_Toc265228395"/>
      <w:bookmarkStart w:id="855" w:name="_Toc142311059"/>
      <w:bookmarkStart w:id="856" w:name="_Toc150774762"/>
      <w:bookmarkStart w:id="857" w:name="_Toc480942350"/>
      <w:bookmarkStart w:id="858" w:name="_Toc264969247"/>
      <w:bookmarkStart w:id="859" w:name="_Toc226309801"/>
      <w:bookmarkStart w:id="860" w:name="_Toc305158899"/>
      <w:bookmarkStart w:id="861" w:name="_Toc226337253"/>
      <w:bookmarkStart w:id="862" w:name="_Toc305158825"/>
      <w:bookmarkStart w:id="863" w:name="_Toc195842922"/>
      <w:bookmarkStart w:id="864" w:name="_Toc127151557"/>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2026年北京市朝阳区教育服务保障中心及其所属幼儿园保安服务项目（四标包）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195842923"/>
      <w:bookmarkStart w:id="866" w:name="_Toc226965831"/>
      <w:bookmarkStart w:id="867" w:name="_Toc226337254"/>
      <w:bookmarkStart w:id="868" w:name="_Toc265228396"/>
      <w:bookmarkStart w:id="869" w:name="_Toc264969248"/>
      <w:bookmarkStart w:id="870" w:name="_Toc226965748"/>
      <w:bookmarkStart w:id="871" w:name="_Toc305158900"/>
      <w:bookmarkStart w:id="872" w:name="_Toc164608827"/>
      <w:bookmarkStart w:id="873" w:name="_Toc164608672"/>
      <w:bookmarkStart w:id="874" w:name="_Toc226309802"/>
      <w:bookmarkStart w:id="875" w:name="_Toc305158826"/>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2026年北京市朝阳区教育服务保障中心及其所属幼儿园保安服务项目（四标包）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四标包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150480796"/>
      <w:bookmarkStart w:id="877" w:name="_Toc226309803"/>
      <w:bookmarkStart w:id="878" w:name="_Toc226337255"/>
      <w:bookmarkStart w:id="879" w:name="_Toc127151558"/>
      <w:bookmarkStart w:id="880" w:name="_Toc142311060"/>
      <w:bookmarkStart w:id="881" w:name="_Toc150774763"/>
      <w:bookmarkStart w:id="882" w:name="_Toc226965749"/>
      <w:bookmarkStart w:id="883" w:name="_Toc265228397"/>
      <w:bookmarkStart w:id="884" w:name="_Toc305158901"/>
      <w:bookmarkStart w:id="885" w:name="_Toc195842924"/>
      <w:bookmarkStart w:id="886" w:name="_Toc226965832"/>
      <w:bookmarkStart w:id="887" w:name="_Toc264969249"/>
      <w:bookmarkStart w:id="888" w:name="_Toc305158827"/>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8" w:type="first"/>
          <w:footerReference r:id="rId20" w:type="first"/>
          <w:headerReference r:id="rId17" w:type="even"/>
          <w:footerReference r:id="rId19"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2026年北京市朝阳区教育服务保障中心及其所属幼儿园保安服务项目（四标包）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783"/>
        <w:gridCol w:w="1431"/>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29"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04"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727"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15"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8"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33"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29"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04"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727" w:type="pct"/>
            <w:vAlign w:val="center"/>
          </w:tcPr>
          <w:p w14:paraId="0B20C229">
            <w:pPr>
              <w:adjustRightInd w:val="0"/>
              <w:snapToGrid w:val="0"/>
              <w:jc w:val="center"/>
              <w:rPr>
                <w:rFonts w:hint="eastAsia" w:ascii="仿宋" w:hAnsi="仿宋" w:eastAsia="仿宋" w:cs="仿宋"/>
                <w:color w:val="auto"/>
                <w:sz w:val="24"/>
                <w:highlight w:val="none"/>
              </w:rPr>
            </w:pPr>
          </w:p>
        </w:tc>
        <w:tc>
          <w:tcPr>
            <w:tcW w:w="615"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8" w:type="pct"/>
            <w:vAlign w:val="center"/>
          </w:tcPr>
          <w:p w14:paraId="2AB0D5C3">
            <w:pPr>
              <w:adjustRightInd w:val="0"/>
              <w:snapToGrid w:val="0"/>
              <w:jc w:val="center"/>
              <w:rPr>
                <w:rFonts w:hint="eastAsia" w:ascii="仿宋" w:hAnsi="仿宋" w:eastAsia="仿宋" w:cs="仿宋"/>
                <w:color w:val="auto"/>
                <w:sz w:val="24"/>
                <w:highlight w:val="none"/>
              </w:rPr>
            </w:pPr>
          </w:p>
        </w:tc>
        <w:tc>
          <w:tcPr>
            <w:tcW w:w="1533"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29"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04"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8FDA2A2">
            <w:pPr>
              <w:adjustRightInd w:val="0"/>
              <w:snapToGrid w:val="0"/>
              <w:jc w:val="center"/>
              <w:rPr>
                <w:rFonts w:hint="eastAsia" w:ascii="仿宋" w:hAnsi="仿宋" w:eastAsia="仿宋" w:cs="仿宋"/>
                <w:color w:val="auto"/>
                <w:sz w:val="24"/>
                <w:highlight w:val="none"/>
              </w:rPr>
            </w:pPr>
          </w:p>
        </w:tc>
        <w:tc>
          <w:tcPr>
            <w:tcW w:w="615" w:type="pct"/>
            <w:vAlign w:val="center"/>
          </w:tcPr>
          <w:p w14:paraId="3EEBF6E6">
            <w:pPr>
              <w:adjustRightInd w:val="0"/>
              <w:snapToGrid w:val="0"/>
              <w:jc w:val="center"/>
              <w:rPr>
                <w:rFonts w:hint="eastAsia" w:ascii="仿宋" w:hAnsi="仿宋" w:eastAsia="仿宋" w:cs="仿宋"/>
                <w:color w:val="auto"/>
                <w:sz w:val="24"/>
                <w:highlight w:val="none"/>
              </w:rPr>
            </w:pPr>
          </w:p>
        </w:tc>
        <w:tc>
          <w:tcPr>
            <w:tcW w:w="788" w:type="pct"/>
            <w:vAlign w:val="center"/>
          </w:tcPr>
          <w:p w14:paraId="7DB610FA">
            <w:pPr>
              <w:adjustRightInd w:val="0"/>
              <w:snapToGrid w:val="0"/>
              <w:jc w:val="center"/>
              <w:rPr>
                <w:rFonts w:hint="eastAsia" w:ascii="仿宋" w:hAnsi="仿宋" w:eastAsia="仿宋" w:cs="仿宋"/>
                <w:color w:val="auto"/>
                <w:sz w:val="24"/>
                <w:highlight w:val="none"/>
              </w:rPr>
            </w:pPr>
          </w:p>
        </w:tc>
        <w:tc>
          <w:tcPr>
            <w:tcW w:w="1533"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04"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06DA601">
            <w:pPr>
              <w:adjustRightInd w:val="0"/>
              <w:snapToGrid w:val="0"/>
              <w:jc w:val="center"/>
              <w:rPr>
                <w:rFonts w:hint="eastAsia" w:ascii="仿宋" w:hAnsi="仿宋" w:eastAsia="仿宋" w:cs="仿宋"/>
                <w:color w:val="auto"/>
                <w:sz w:val="24"/>
                <w:highlight w:val="none"/>
              </w:rPr>
            </w:pPr>
          </w:p>
        </w:tc>
        <w:tc>
          <w:tcPr>
            <w:tcW w:w="615" w:type="pct"/>
            <w:vAlign w:val="center"/>
          </w:tcPr>
          <w:p w14:paraId="4985FD60">
            <w:pPr>
              <w:adjustRightInd w:val="0"/>
              <w:snapToGrid w:val="0"/>
              <w:jc w:val="center"/>
              <w:rPr>
                <w:rFonts w:hint="eastAsia" w:ascii="仿宋" w:hAnsi="仿宋" w:eastAsia="仿宋" w:cs="仿宋"/>
                <w:color w:val="auto"/>
                <w:sz w:val="24"/>
                <w:highlight w:val="none"/>
              </w:rPr>
            </w:pPr>
          </w:p>
        </w:tc>
        <w:tc>
          <w:tcPr>
            <w:tcW w:w="788" w:type="pct"/>
            <w:vAlign w:val="center"/>
          </w:tcPr>
          <w:p w14:paraId="007DB930">
            <w:pPr>
              <w:adjustRightInd w:val="0"/>
              <w:snapToGrid w:val="0"/>
              <w:jc w:val="center"/>
              <w:rPr>
                <w:rFonts w:hint="eastAsia" w:ascii="仿宋" w:hAnsi="仿宋" w:eastAsia="仿宋" w:cs="仿宋"/>
                <w:color w:val="auto"/>
                <w:sz w:val="24"/>
                <w:highlight w:val="none"/>
              </w:rPr>
            </w:pPr>
          </w:p>
        </w:tc>
        <w:tc>
          <w:tcPr>
            <w:tcW w:w="1533"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04"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5F03CAF">
            <w:pPr>
              <w:adjustRightInd w:val="0"/>
              <w:snapToGrid w:val="0"/>
              <w:jc w:val="center"/>
              <w:rPr>
                <w:rFonts w:hint="eastAsia" w:ascii="仿宋" w:hAnsi="仿宋" w:eastAsia="仿宋" w:cs="仿宋"/>
                <w:color w:val="auto"/>
                <w:sz w:val="24"/>
                <w:highlight w:val="none"/>
              </w:rPr>
            </w:pPr>
          </w:p>
        </w:tc>
        <w:tc>
          <w:tcPr>
            <w:tcW w:w="615" w:type="pct"/>
            <w:vAlign w:val="center"/>
          </w:tcPr>
          <w:p w14:paraId="6B419A86">
            <w:pPr>
              <w:adjustRightInd w:val="0"/>
              <w:snapToGrid w:val="0"/>
              <w:jc w:val="center"/>
              <w:rPr>
                <w:rFonts w:hint="eastAsia" w:ascii="仿宋" w:hAnsi="仿宋" w:eastAsia="仿宋" w:cs="仿宋"/>
                <w:color w:val="auto"/>
                <w:sz w:val="24"/>
                <w:highlight w:val="none"/>
              </w:rPr>
            </w:pPr>
          </w:p>
        </w:tc>
        <w:tc>
          <w:tcPr>
            <w:tcW w:w="788" w:type="pct"/>
            <w:vAlign w:val="center"/>
          </w:tcPr>
          <w:p w14:paraId="504B1131">
            <w:pPr>
              <w:adjustRightInd w:val="0"/>
              <w:snapToGrid w:val="0"/>
              <w:jc w:val="center"/>
              <w:rPr>
                <w:rFonts w:hint="eastAsia" w:ascii="仿宋" w:hAnsi="仿宋" w:eastAsia="仿宋" w:cs="仿宋"/>
                <w:color w:val="auto"/>
                <w:sz w:val="24"/>
                <w:highlight w:val="none"/>
              </w:rPr>
            </w:pPr>
          </w:p>
        </w:tc>
        <w:tc>
          <w:tcPr>
            <w:tcW w:w="1533"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04"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727" w:type="pct"/>
            <w:vAlign w:val="center"/>
          </w:tcPr>
          <w:p w14:paraId="42B11E68">
            <w:pPr>
              <w:adjustRightInd w:val="0"/>
              <w:snapToGrid w:val="0"/>
              <w:jc w:val="center"/>
              <w:rPr>
                <w:rFonts w:hint="eastAsia" w:ascii="仿宋" w:hAnsi="仿宋" w:eastAsia="仿宋" w:cs="仿宋"/>
                <w:color w:val="auto"/>
                <w:sz w:val="24"/>
                <w:highlight w:val="none"/>
              </w:rPr>
            </w:pPr>
          </w:p>
        </w:tc>
        <w:tc>
          <w:tcPr>
            <w:tcW w:w="615" w:type="pct"/>
            <w:vAlign w:val="center"/>
          </w:tcPr>
          <w:p w14:paraId="7E95100F">
            <w:pPr>
              <w:adjustRightInd w:val="0"/>
              <w:snapToGrid w:val="0"/>
              <w:jc w:val="center"/>
              <w:rPr>
                <w:rFonts w:hint="eastAsia" w:ascii="仿宋" w:hAnsi="仿宋" w:eastAsia="仿宋" w:cs="仿宋"/>
                <w:color w:val="auto"/>
                <w:sz w:val="24"/>
                <w:highlight w:val="none"/>
              </w:rPr>
            </w:pPr>
          </w:p>
        </w:tc>
        <w:tc>
          <w:tcPr>
            <w:tcW w:w="788" w:type="pct"/>
            <w:vAlign w:val="center"/>
          </w:tcPr>
          <w:p w14:paraId="37C57081">
            <w:pPr>
              <w:adjustRightInd w:val="0"/>
              <w:snapToGrid w:val="0"/>
              <w:jc w:val="center"/>
              <w:rPr>
                <w:rFonts w:hint="eastAsia" w:ascii="仿宋" w:hAnsi="仿宋" w:eastAsia="仿宋" w:cs="仿宋"/>
                <w:color w:val="auto"/>
                <w:sz w:val="24"/>
                <w:highlight w:val="none"/>
              </w:rPr>
            </w:pPr>
          </w:p>
        </w:tc>
        <w:tc>
          <w:tcPr>
            <w:tcW w:w="1533"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78"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8" w:type="pct"/>
            <w:vAlign w:val="center"/>
          </w:tcPr>
          <w:p w14:paraId="39F49BC9">
            <w:pPr>
              <w:adjustRightInd w:val="0"/>
              <w:snapToGrid w:val="0"/>
              <w:jc w:val="center"/>
              <w:rPr>
                <w:rFonts w:hint="eastAsia" w:ascii="仿宋" w:hAnsi="仿宋" w:eastAsia="仿宋" w:cs="仿宋"/>
                <w:color w:val="auto"/>
                <w:sz w:val="24"/>
                <w:highlight w:val="none"/>
              </w:rPr>
            </w:pPr>
          </w:p>
        </w:tc>
        <w:tc>
          <w:tcPr>
            <w:tcW w:w="1533"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226965752"/>
      <w:bookmarkStart w:id="890" w:name="_Toc264969252"/>
      <w:bookmarkStart w:id="891" w:name="_Toc305158830"/>
      <w:bookmarkStart w:id="892" w:name="_Toc305158904"/>
      <w:bookmarkStart w:id="893" w:name="_Toc226337258"/>
      <w:bookmarkStart w:id="894" w:name="_Toc265228400"/>
      <w:bookmarkStart w:id="895" w:name="_Toc127151562"/>
      <w:bookmarkStart w:id="896" w:name="_Toc142311062"/>
      <w:bookmarkStart w:id="897" w:name="_Toc226965835"/>
      <w:bookmarkStart w:id="898" w:name="_Toc226309806"/>
      <w:bookmarkStart w:id="899" w:name="_Toc150774765"/>
      <w:bookmarkStart w:id="900" w:name="_Toc150480798"/>
      <w:bookmarkStart w:id="901" w:name="_Toc195842927"/>
      <w:bookmarkStart w:id="902" w:name="_Toc226965751"/>
      <w:bookmarkStart w:id="903" w:name="_Toc195842926"/>
      <w:bookmarkStart w:id="904" w:name="_Toc127151561"/>
      <w:bookmarkStart w:id="905" w:name="_Toc226965834"/>
      <w:bookmarkStart w:id="906" w:name="_Toc226337257"/>
      <w:bookmarkStart w:id="907" w:name="_Toc305158829"/>
      <w:bookmarkStart w:id="908" w:name="_Toc305158903"/>
      <w:bookmarkStart w:id="909" w:name="_Toc264969251"/>
      <w:bookmarkStart w:id="910" w:name="_Toc142311061"/>
      <w:bookmarkStart w:id="911" w:name="_Toc150480797"/>
      <w:bookmarkStart w:id="912" w:name="_Toc150774764"/>
      <w:bookmarkStart w:id="913" w:name="_Toc226309805"/>
      <w:bookmarkStart w:id="914" w:name="_Toc265228399"/>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2026年北京市朝阳区教育服务保障中心及其所属幼儿园保安服务项目（四标包）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2026年北京市朝阳区教育服务保障中心及其所属幼儿园保安服务项目（四标包）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2026年北京市朝阳区教育服务保障中心及其所属幼儿园保安服务项目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2026年北京市朝阳区教育服务保障中心及其所属幼儿园保安服务项目（四标包）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2026年北京市朝阳区教育服务保障中心及其所属幼儿园保安服务项目（四标包）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保安员证、北京市卫生系统健康证明、无犯罪记录证明，且年龄在50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65038CD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7A08CF23">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43FF0ED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028AAA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D1E05">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AD1E05">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15823E">
                          <w:pPr>
                            <w:pStyle w:val="3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B15823E">
                    <w:pPr>
                      <w:pStyle w:val="3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5520E">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4B5520E">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5277E">
    <w:pPr>
      <w:spacing w:line="230"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87567">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2887567">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A796">
    <w:pPr>
      <w:spacing w:line="229" w:lineRule="auto"/>
      <w:ind w:left="4123"/>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389B7">
                          <w:pPr>
                            <w:pStyle w:val="3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3B389B7">
                    <w:pPr>
                      <w:pStyle w:val="3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2A70C">
    <w:pPr>
      <w:spacing w:line="229" w:lineRule="auto"/>
      <w:ind w:left="4083"/>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8D5BB">
                          <w:pPr>
                            <w:pStyle w:val="3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048D5BB">
                    <w:pPr>
                      <w:pStyle w:val="3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487F5A"/>
    <w:rsid w:val="04342794"/>
    <w:rsid w:val="063C1B12"/>
    <w:rsid w:val="06875D43"/>
    <w:rsid w:val="0796261D"/>
    <w:rsid w:val="086605A0"/>
    <w:rsid w:val="092E319C"/>
    <w:rsid w:val="0A33276E"/>
    <w:rsid w:val="0AC50087"/>
    <w:rsid w:val="0AC97EDE"/>
    <w:rsid w:val="0B660C1A"/>
    <w:rsid w:val="0EC3241C"/>
    <w:rsid w:val="10E75A8D"/>
    <w:rsid w:val="11202FB3"/>
    <w:rsid w:val="11B20C52"/>
    <w:rsid w:val="13315E8D"/>
    <w:rsid w:val="137331E2"/>
    <w:rsid w:val="137F5780"/>
    <w:rsid w:val="15474EA4"/>
    <w:rsid w:val="160440C6"/>
    <w:rsid w:val="167F37F2"/>
    <w:rsid w:val="16EF436B"/>
    <w:rsid w:val="17885FB1"/>
    <w:rsid w:val="17B429B6"/>
    <w:rsid w:val="17F93E0B"/>
    <w:rsid w:val="19280FFD"/>
    <w:rsid w:val="1A564145"/>
    <w:rsid w:val="1B1032D2"/>
    <w:rsid w:val="1C455CA5"/>
    <w:rsid w:val="1C9D605B"/>
    <w:rsid w:val="1D2C69D2"/>
    <w:rsid w:val="1D7A683C"/>
    <w:rsid w:val="1E0D15F2"/>
    <w:rsid w:val="1ECB4D96"/>
    <w:rsid w:val="1EDE7D3C"/>
    <w:rsid w:val="1FBA4C4D"/>
    <w:rsid w:val="21D60ECF"/>
    <w:rsid w:val="220D4389"/>
    <w:rsid w:val="22784224"/>
    <w:rsid w:val="239E00B4"/>
    <w:rsid w:val="23C15E05"/>
    <w:rsid w:val="24D90A0F"/>
    <w:rsid w:val="251E74A4"/>
    <w:rsid w:val="26C51288"/>
    <w:rsid w:val="271635D9"/>
    <w:rsid w:val="27843CE5"/>
    <w:rsid w:val="27893DAB"/>
    <w:rsid w:val="28DB5305"/>
    <w:rsid w:val="298C503F"/>
    <w:rsid w:val="2A0235B4"/>
    <w:rsid w:val="2B05388C"/>
    <w:rsid w:val="2D9D3CEC"/>
    <w:rsid w:val="2E817504"/>
    <w:rsid w:val="2E975000"/>
    <w:rsid w:val="30CC0036"/>
    <w:rsid w:val="31295CB7"/>
    <w:rsid w:val="316066EA"/>
    <w:rsid w:val="32144BB9"/>
    <w:rsid w:val="32290665"/>
    <w:rsid w:val="32E70020"/>
    <w:rsid w:val="32EB653A"/>
    <w:rsid w:val="332430D3"/>
    <w:rsid w:val="36BB2509"/>
    <w:rsid w:val="374B3595"/>
    <w:rsid w:val="38F57BEC"/>
    <w:rsid w:val="38FB0686"/>
    <w:rsid w:val="39FA11AD"/>
    <w:rsid w:val="3A9D6C8E"/>
    <w:rsid w:val="3AB36FEB"/>
    <w:rsid w:val="3BCB6780"/>
    <w:rsid w:val="3C3D0784"/>
    <w:rsid w:val="3D58176E"/>
    <w:rsid w:val="41553829"/>
    <w:rsid w:val="42CD0A98"/>
    <w:rsid w:val="431A0C09"/>
    <w:rsid w:val="446C13D8"/>
    <w:rsid w:val="46A71F69"/>
    <w:rsid w:val="47631E5E"/>
    <w:rsid w:val="47C168B2"/>
    <w:rsid w:val="48067206"/>
    <w:rsid w:val="480E2158"/>
    <w:rsid w:val="4A6379F6"/>
    <w:rsid w:val="4B65373A"/>
    <w:rsid w:val="4D00163A"/>
    <w:rsid w:val="4D677143"/>
    <w:rsid w:val="4E45105E"/>
    <w:rsid w:val="4EDE7870"/>
    <w:rsid w:val="4F0F5BE3"/>
    <w:rsid w:val="4F152FF1"/>
    <w:rsid w:val="4F377CED"/>
    <w:rsid w:val="4F6C798B"/>
    <w:rsid w:val="515048DA"/>
    <w:rsid w:val="52422029"/>
    <w:rsid w:val="54684BC5"/>
    <w:rsid w:val="54D8308C"/>
    <w:rsid w:val="55040901"/>
    <w:rsid w:val="558B4D6C"/>
    <w:rsid w:val="5685124F"/>
    <w:rsid w:val="56B14DEA"/>
    <w:rsid w:val="56DF05DE"/>
    <w:rsid w:val="5782210A"/>
    <w:rsid w:val="57FC6189"/>
    <w:rsid w:val="5A2103A5"/>
    <w:rsid w:val="5B435A44"/>
    <w:rsid w:val="5C953087"/>
    <w:rsid w:val="5C9D2F32"/>
    <w:rsid w:val="5EC65064"/>
    <w:rsid w:val="5F073306"/>
    <w:rsid w:val="5F5F73B9"/>
    <w:rsid w:val="5F7E57E1"/>
    <w:rsid w:val="614D13CA"/>
    <w:rsid w:val="61E623F2"/>
    <w:rsid w:val="623D2038"/>
    <w:rsid w:val="623E6F65"/>
    <w:rsid w:val="62BD0031"/>
    <w:rsid w:val="639C3355"/>
    <w:rsid w:val="63AC033A"/>
    <w:rsid w:val="64063AB3"/>
    <w:rsid w:val="65621340"/>
    <w:rsid w:val="65A93705"/>
    <w:rsid w:val="66EE40C9"/>
    <w:rsid w:val="6758123C"/>
    <w:rsid w:val="67A2745C"/>
    <w:rsid w:val="68073825"/>
    <w:rsid w:val="6838144E"/>
    <w:rsid w:val="684614E3"/>
    <w:rsid w:val="68AA7398"/>
    <w:rsid w:val="6B2E7EEF"/>
    <w:rsid w:val="6DCB7D85"/>
    <w:rsid w:val="6E0E3C8F"/>
    <w:rsid w:val="6F2474E3"/>
    <w:rsid w:val="71AF1919"/>
    <w:rsid w:val="723D1C2B"/>
    <w:rsid w:val="742C597A"/>
    <w:rsid w:val="74F160B9"/>
    <w:rsid w:val="752A66AD"/>
    <w:rsid w:val="75860393"/>
    <w:rsid w:val="76073129"/>
    <w:rsid w:val="77534E09"/>
    <w:rsid w:val="786C2936"/>
    <w:rsid w:val="79981220"/>
    <w:rsid w:val="7A4647B1"/>
    <w:rsid w:val="7BFB1A09"/>
    <w:rsid w:val="7C831E97"/>
    <w:rsid w:val="7CDA277A"/>
    <w:rsid w:val="7DA4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67</Pages>
  <Words>12840</Words>
  <Characters>13540</Characters>
  <Lines>352</Lines>
  <Paragraphs>99</Paragraphs>
  <TotalTime>0</TotalTime>
  <ScaleCrop>false</ScaleCrop>
  <LinksUpToDate>false</LinksUpToDate>
  <CharactersWithSpaces>13679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Administrator</cp:lastModifiedBy>
  <cp:lastPrinted>2020-04-01T03:13:00Z</cp:lastPrinted>
  <dcterms:modified xsi:type="dcterms:W3CDTF">2025-12-09T23:09:20Z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905A31A8D7C24AE09A80ACC5AF4B619A_13</vt:lpwstr>
  </property>
  <property fmtid="{D5CDD505-2E9C-101B-9397-08002B2CF9AE}" pid="4" name="KSOTemplateDocerSaveRecord">
    <vt:lpwstr>eyJoZGlkIjoiMWU1NDVjZDE4M2EzNWU1NTIxOGRjNzVlZTNhYjg4ZjkiLCJ1c2VySWQiOiIyMTY2OTk3MTYifQ==</vt:lpwstr>
  </property>
</Properties>
</file>