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6"/>
        <w:rPr>
          <w:rFonts w:hint="eastAsia" w:ascii="宋体" w:hAnsi="宋体" w:cs="宋体"/>
          <w:b/>
          <w:bCs/>
          <w:sz w:val="60"/>
          <w:szCs w:val="60"/>
        </w:rPr>
      </w:pPr>
    </w:p>
    <w:p>
      <w:pPr>
        <w:pStyle w:val="7"/>
        <w:rPr>
          <w:rFonts w:hint="eastAsia"/>
        </w:rPr>
      </w:pPr>
    </w:p>
    <w:p>
      <w:pPr>
        <w:pStyle w:val="7"/>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2026石景山区图书馆物业管理服务采购项目公开招标文件</w:t>
      </w:r>
    </w:p>
    <w:p>
      <w:pPr>
        <w:spacing w:line="360" w:lineRule="auto"/>
        <w:jc w:val="center"/>
        <w:rPr>
          <w:rFonts w:hint="eastAsia" w:ascii="宋体" w:hAnsi="宋体" w:cs="宋体"/>
          <w:b/>
          <w:bCs/>
          <w:sz w:val="60"/>
          <w:szCs w:val="60"/>
        </w:rPr>
      </w:pPr>
    </w:p>
    <w:p>
      <w:pPr>
        <w:pStyle w:val="24"/>
        <w:rPr>
          <w:rFonts w:hint="eastAsia" w:ascii="宋体" w:hAnsi="宋体" w:cs="宋体"/>
          <w:b/>
          <w:bCs/>
          <w:sz w:val="60"/>
          <w:szCs w:val="60"/>
        </w:rPr>
      </w:pPr>
    </w:p>
    <w:p>
      <w:pPr>
        <w:pStyle w:val="24"/>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w:t>
      </w:r>
      <w:bookmarkStart w:id="0" w:name="OLE_LINK4"/>
      <w:r>
        <w:rPr>
          <w:rFonts w:hint="eastAsia" w:ascii="宋体" w:hAnsi="宋体" w:cs="宋体"/>
          <w:bCs/>
          <w:sz w:val="32"/>
          <w:szCs w:val="32"/>
        </w:rPr>
        <w:t>2026石景山区图书馆物业管理服务采购项目</w:t>
      </w:r>
      <w:bookmarkEnd w:id="0"/>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项目编号：11010725210200017718-XM001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人：北京市石景山区图书馆</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1" w:name="_Toc99301418"/>
      <w:bookmarkStart w:id="2" w:name="_Toc11889"/>
      <w:r>
        <w:rPr>
          <w:rFonts w:hint="eastAsia" w:ascii="宋体" w:hAnsi="宋体" w:cs="宋体"/>
          <w:b/>
          <w:color w:val="auto"/>
          <w:sz w:val="36"/>
          <w:szCs w:val="36"/>
        </w:rPr>
        <w:t>目     录</w:t>
      </w:r>
      <w:bookmarkEnd w:id="1"/>
      <w:bookmarkEnd w:id="2"/>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highlight w:val="none"/>
        </w:rPr>
      </w:pPr>
      <w:r>
        <w:rPr>
          <w:rFonts w:hint="eastAsia" w:cs="宋体"/>
          <w:b w:val="0"/>
          <w:highlight w:val="yellow"/>
        </w:rPr>
        <w:fldChar w:fldCharType="begin"/>
      </w:r>
      <w:r>
        <w:rPr>
          <w:rFonts w:hint="eastAsia" w:cs="宋体"/>
          <w:b w:val="0"/>
          <w:highlight w:val="yellow"/>
        </w:rPr>
        <w:instrText xml:space="preserve"> TOC \o "1-1" \h \z \u </w:instrText>
      </w:r>
      <w:r>
        <w:rPr>
          <w:rFonts w:hint="eastAsia" w:cs="宋体"/>
          <w:b w:val="0"/>
          <w:highlight w:val="yellow"/>
        </w:rPr>
        <w:fldChar w:fldCharType="separate"/>
      </w:r>
      <w:r>
        <w:rPr>
          <w:highlight w:val="none"/>
        </w:rPr>
        <w:fldChar w:fldCharType="begin"/>
      </w:r>
      <w:r>
        <w:rPr>
          <w:highlight w:val="none"/>
        </w:rPr>
        <w:instrText xml:space="preserve"> HYPERLINK \l "_Toc10929"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_Toc10929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"_Toc15240"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_Toc15240 \h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yellow"/>
        </w:rPr>
      </w:pPr>
      <w:r>
        <w:rPr>
          <w:highlight w:val="none"/>
        </w:rPr>
        <w:fldChar w:fldCharType="begin"/>
      </w:r>
      <w:r>
        <w:rPr>
          <w:highlight w:val="none"/>
        </w:rPr>
        <w:instrText xml:space="preserve"> HYPERLINK \l "_Toc26602"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"_Toc5513"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_Toc5513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"_Toc2998" </w:instrText>
      </w:r>
      <w:r>
        <w:rPr>
          <w:highlight w:val="none"/>
        </w:rPr>
        <w:fldChar w:fldCharType="separate"/>
      </w:r>
      <w:r>
        <w:rPr>
          <w:rFonts w:hint="eastAsia" w:cs="宋体"/>
          <w:szCs w:val="36"/>
          <w:highlight w:val="none"/>
        </w:rPr>
        <w:t>第五章   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2</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"_Toc26892" </w:instrText>
      </w:r>
      <w:r>
        <w:rPr>
          <w:highlight w:val="none"/>
        </w:rPr>
        <w:fldChar w:fldCharType="separate"/>
      </w:r>
      <w:r>
        <w:rPr>
          <w:rFonts w:hint="eastAsia" w:cs="宋体"/>
          <w:szCs w:val="36"/>
          <w:highlight w:val="none"/>
        </w:rPr>
        <w:t>第六章   拟签订的合同文本</w:t>
      </w:r>
      <w:r>
        <w:rPr>
          <w:highlight w:val="none"/>
        </w:rPr>
        <w:tab/>
      </w:r>
      <w:r>
        <w:rPr>
          <w:highlight w:val="none"/>
        </w:rPr>
        <w:fldChar w:fldCharType="end"/>
      </w:r>
      <w:r>
        <w:rPr>
          <w:rFonts w:hint="eastAsia"/>
          <w:highlight w:val="none"/>
          <w:lang w:val="en-US" w:eastAsia="zh-CN"/>
        </w:rPr>
        <w:t>43</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"_Toc27509" </w:instrText>
      </w:r>
      <w:r>
        <w:rPr>
          <w:highlight w:val="none"/>
        </w:rPr>
        <w:fldChar w:fldCharType="separate"/>
      </w:r>
      <w:r>
        <w:rPr>
          <w:rFonts w:hint="eastAsia" w:cs="宋体"/>
          <w:szCs w:val="36"/>
          <w:highlight w:val="none"/>
        </w:rPr>
        <w:t>第七章   投标文件格式</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3</w:t>
      </w:r>
    </w:p>
    <w:p>
      <w:pPr>
        <w:pStyle w:val="36"/>
        <w:spacing w:line="360" w:lineRule="auto"/>
        <w:rPr>
          <w:rFonts w:hint="eastAsia" w:cs="宋体"/>
          <w:highlight w:val="none"/>
        </w:rPr>
      </w:pPr>
      <w:r>
        <w:rPr>
          <w:rFonts w:hint="eastAsia" w:cs="宋体"/>
          <w:highlight w:val="yellow"/>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3" w:name="_Toc10929"/>
      <w:r>
        <w:rPr>
          <w:rFonts w:hint="eastAsia" w:ascii="宋体" w:hAnsi="宋体" w:cs="宋体"/>
          <w:b/>
          <w:sz w:val="36"/>
          <w:szCs w:val="36"/>
        </w:rPr>
        <w:t>第一章   投标邀请</w:t>
      </w:r>
      <w:bookmarkEnd w:id="3"/>
    </w:p>
    <w:p>
      <w:pPr>
        <w:pStyle w:val="6"/>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11010725210200017718-XM001</w:t>
      </w:r>
    </w:p>
    <w:p>
      <w:pPr>
        <w:numPr>
          <w:ilvl w:val="0"/>
          <w:numId w:val="9"/>
        </w:numPr>
        <w:spacing w:line="360" w:lineRule="auto"/>
        <w:ind w:firstLine="480" w:firstLineChars="20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2026石景山区图书馆物业管理服务采购项目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177.6</w:t>
      </w:r>
      <w:r>
        <w:rPr>
          <w:rFonts w:hint="eastAsia" w:ascii="宋体" w:hAnsi="宋体" w:cs="宋体"/>
          <w:sz w:val="24"/>
        </w:rPr>
        <w:t>万元、项目最高限价：</w:t>
      </w:r>
      <w:r>
        <w:rPr>
          <w:rFonts w:hint="eastAsia" w:ascii="宋体" w:hAnsi="宋体" w:cs="宋体"/>
          <w:sz w:val="24"/>
          <w:u w:val="single"/>
          <w:lang w:val="en-US" w:eastAsia="zh-CN"/>
        </w:rPr>
        <w:t>177.6</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Cs/>
                <w:sz w:val="24"/>
                <w:lang w:eastAsia="zh-CN"/>
              </w:rPr>
            </w:pPr>
            <w:r>
              <w:rPr>
                <w:rFonts w:hint="eastAsia" w:ascii="宋体" w:hAnsi="宋体" w:cs="宋体"/>
                <w:sz w:val="24"/>
                <w:u w:val="none"/>
                <w:lang w:val="en-US" w:eastAsia="zh-CN"/>
              </w:rPr>
              <w:t>2026</w:t>
            </w:r>
            <w:r>
              <w:rPr>
                <w:rFonts w:hint="eastAsia" w:ascii="宋体" w:hAnsi="宋体" w:cs="宋体"/>
                <w:sz w:val="24"/>
                <w:u w:val="none"/>
              </w:rPr>
              <w:t>石景山区图书馆物业管理服务</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177.6</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6"/>
        <w:spacing w:before="0" w:line="360" w:lineRule="auto"/>
        <w:jc w:val="left"/>
        <w:rPr>
          <w:rFonts w:hint="eastAsia" w:ascii="宋体" w:hAnsi="宋体" w:eastAsia="宋体" w:cs="宋体"/>
          <w:sz w:val="24"/>
          <w:szCs w:val="24"/>
        </w:rPr>
      </w:pPr>
      <w:bookmarkStart w:id="4" w:name="_Toc28359080"/>
      <w:bookmarkStart w:id="5" w:name="_Toc35393622"/>
      <w:bookmarkStart w:id="6" w:name="_Toc28359003"/>
      <w:bookmarkStart w:id="7" w:name="_Toc35393791"/>
      <w:r>
        <w:rPr>
          <w:rFonts w:hint="eastAsia" w:ascii="宋体" w:hAnsi="宋体" w:eastAsia="宋体" w:cs="宋体"/>
          <w:sz w:val="24"/>
          <w:szCs w:val="24"/>
        </w:rPr>
        <w:t>二、申请人的资格要求（须同时满足）</w:t>
      </w:r>
      <w:bookmarkEnd w:id="4"/>
      <w:bookmarkEnd w:id="5"/>
      <w:bookmarkEnd w:id="6"/>
      <w:bookmarkEnd w:id="7"/>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623"/>
      <w:bookmarkStart w:id="9"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highlight w:val="none"/>
          <w:lang w:val="en-US" w:eastAsia="zh-CN"/>
        </w:rPr>
        <w:t xml:space="preserve"> </w:t>
      </w:r>
      <w:r>
        <w:rPr>
          <w:rFonts w:hint="eastAsia"/>
          <w:sz w:val="24"/>
          <w:szCs w:val="24"/>
          <w:highlight w:val="none"/>
        </w:rPr>
        <w:t>■</w:t>
      </w:r>
      <w:r>
        <w:rPr>
          <w:rFonts w:hint="eastAsia" w:ascii="宋体" w:hAnsi="宋体" w:cs="宋体"/>
          <w:sz w:val="24"/>
          <w:highlight w:val="none"/>
        </w:rPr>
        <w:t>小微企业</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采购 </w:t>
      </w:r>
      <w:r>
        <w:rPr>
          <w:rFonts w:hint="eastAsia" w:ascii="宋体" w:hAnsi="宋体" w:cs="宋体"/>
          <w:sz w:val="24"/>
        </w:rPr>
        <w:t>。即 ：提供的货物全部由符合政策要求的</w:t>
      </w:r>
      <w:r>
        <w:rPr>
          <w:rFonts w:hint="eastAsia" w:ascii="宋体" w:hAnsi="宋体" w:cs="宋体"/>
          <w:sz w:val="24"/>
          <w:lang w:eastAsia="zh-CN"/>
        </w:rPr>
        <w:t>中小</w:t>
      </w:r>
      <w:r>
        <w:rPr>
          <w:rFonts w:hint="eastAsia" w:ascii="宋体" w:hAnsi="宋体" w:cs="宋体"/>
          <w:sz w:val="24"/>
        </w:rPr>
        <w:t>/小微企业制造、服务全部由符合政策要求的</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s="宋体"/>
          <w:color w:val="auto"/>
          <w:sz w:val="24"/>
          <w:highlight w:val="none"/>
          <w:lang w:bidi="ar"/>
        </w:rPr>
        <w:t>至</w:t>
      </w:r>
      <w:r>
        <w:rPr>
          <w:rFonts w:hint="eastAsia" w:ascii="宋体" w:hAnsi="宋体" w:cs="宋体"/>
          <w:color w:val="auto"/>
          <w:sz w:val="24"/>
          <w:highlight w:val="none"/>
          <w:u w:val="single"/>
        </w:rPr>
        <w:t>2025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12</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8</w:t>
      </w:r>
      <w:r>
        <w:rPr>
          <w:rFonts w:hint="eastAsia" w:ascii="宋体" w:hAnsi="宋体" w:cs="宋体"/>
          <w:color w:val="auto"/>
          <w:sz w:val="24"/>
          <w:highlight w:val="none"/>
          <w:u w:val="single"/>
          <w:lang w:bidi="ar"/>
        </w:rPr>
        <w:t>日</w:t>
      </w:r>
    </w:p>
    <w:p>
      <w:pPr>
        <w:adjustRightInd w:val="0"/>
        <w:snapToGrid w:val="0"/>
        <w:spacing w:line="360" w:lineRule="auto"/>
        <w:ind w:firstLine="480" w:firstLineChars="200"/>
        <w:rPr>
          <w:rFonts w:hint="eastAsia" w:ascii="宋体" w:hAnsi="宋体" w:cs="宋体"/>
          <w:sz w:val="24"/>
          <w:highlight w:val="none"/>
        </w:rPr>
      </w:pPr>
      <w:bookmarkStart w:id="10" w:name="_Toc28359005"/>
      <w:bookmarkStart w:id="11" w:name="_Toc28359082"/>
      <w:bookmarkStart w:id="12" w:name="_Toc35393624"/>
      <w:bookmarkStart w:id="13" w:name="_Toc35393793"/>
      <w:r>
        <w:rPr>
          <w:rFonts w:hint="eastAsia" w:ascii="宋体" w:hAnsi="宋体" w:cs="宋体"/>
          <w:sz w:val="24"/>
          <w:highlight w:val="none"/>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pPr>
        <w:pStyle w:val="6"/>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10"/>
      <w:bookmarkEnd w:id="11"/>
      <w:r>
        <w:rPr>
          <w:rFonts w:hint="eastAsia" w:ascii="宋体" w:hAnsi="宋体" w:eastAsia="宋体" w:cs="宋体"/>
          <w:sz w:val="24"/>
          <w:szCs w:val="24"/>
          <w:highlight w:val="none"/>
        </w:rPr>
        <w:t>截止时间、开标时间和地点</w:t>
      </w:r>
      <w:bookmarkEnd w:id="12"/>
      <w:bookmarkEnd w:id="13"/>
    </w:p>
    <w:p>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上午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w:t>
      </w:r>
      <w:r>
        <w:rPr>
          <w:rFonts w:hint="eastAsia" w:ascii="宋体" w:hAnsi="宋体" w:cs="宋体"/>
          <w:bCs/>
          <w:color w:val="auto"/>
          <w:sz w:val="24"/>
          <w:highlight w:val="none"/>
          <w:lang w:bidi="ar"/>
        </w:rPr>
        <w:t>（</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highlight w:val="none"/>
          <w:lang w:bidi="ar"/>
        </w:rPr>
        <w:t>地点：</w:t>
      </w:r>
      <w:r>
        <w:rPr>
          <w:rFonts w:hint="eastAsia" w:ascii="宋体" w:hAnsi="宋体" w:cs="宋体"/>
          <w:sz w:val="24"/>
          <w:highlight w:val="none"/>
          <w:u w:val="single"/>
          <w:lang w:bidi="ar"/>
        </w:rPr>
        <w:t>北京市政府采购电子交易平台</w:t>
      </w:r>
      <w:r>
        <w:rPr>
          <w:rFonts w:hint="eastAsia" w:ascii="宋体" w:hAnsi="宋体" w:cs="宋体"/>
          <w:sz w:val="24"/>
          <w:highlight w:val="none"/>
          <w:u w:val="single"/>
          <w:lang w:val="zh-TW" w:bidi="ar"/>
        </w:rPr>
        <w:t>（</w:t>
      </w:r>
      <w:r>
        <w:rPr>
          <w:rFonts w:hint="eastAsia" w:ascii="宋体" w:hAnsi="宋体" w:cs="宋体"/>
          <w:sz w:val="24"/>
          <w:highlight w:val="none"/>
          <w:u w:val="single"/>
          <w:lang w:bidi="ar"/>
        </w:rPr>
        <w:t>本项目采用远程电子</w:t>
      </w:r>
      <w:r>
        <w:rPr>
          <w:rFonts w:hint="eastAsia" w:ascii="宋体" w:hAnsi="宋体" w:cs="宋体"/>
          <w:sz w:val="24"/>
          <w:u w:val="single"/>
          <w:lang w:bidi="ar"/>
        </w:rPr>
        <w:t>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6"/>
        <w:spacing w:before="0" w:line="360" w:lineRule="auto"/>
        <w:jc w:val="left"/>
        <w:rPr>
          <w:rFonts w:hint="eastAsia" w:ascii="宋体" w:hAnsi="宋体" w:eastAsia="宋体" w:cs="宋体"/>
          <w:sz w:val="24"/>
          <w:szCs w:val="24"/>
        </w:rPr>
      </w:pPr>
      <w:bookmarkStart w:id="14" w:name="_Toc35393794"/>
      <w:bookmarkStart w:id="15" w:name="_Toc35393625"/>
      <w:bookmarkStart w:id="16" w:name="_Toc28359084"/>
      <w:bookmarkStart w:id="17" w:name="_Toc28359007"/>
      <w:r>
        <w:rPr>
          <w:rFonts w:hint="eastAsia" w:ascii="宋体" w:hAnsi="宋体" w:eastAsia="宋体" w:cs="宋体"/>
          <w:sz w:val="24"/>
          <w:szCs w:val="24"/>
        </w:rPr>
        <w:t>五、公告期限</w:t>
      </w:r>
      <w:bookmarkEnd w:id="14"/>
      <w:bookmarkEnd w:id="15"/>
      <w:bookmarkEnd w:id="16"/>
      <w:bookmarkEnd w:id="17"/>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6"/>
        <w:spacing w:before="0" w:line="360" w:lineRule="auto"/>
        <w:jc w:val="left"/>
        <w:rPr>
          <w:rFonts w:hint="eastAsia" w:ascii="宋体" w:hAnsi="宋体" w:eastAsia="宋体" w:cs="宋体"/>
          <w:sz w:val="24"/>
          <w:szCs w:val="24"/>
        </w:rPr>
      </w:pPr>
      <w:bookmarkStart w:id="18" w:name="_Toc35393795"/>
      <w:bookmarkStart w:id="19" w:name="_Toc35393626"/>
      <w:r>
        <w:rPr>
          <w:rFonts w:hint="eastAsia" w:ascii="宋体" w:hAnsi="宋体" w:eastAsia="宋体" w:cs="宋体"/>
          <w:sz w:val="24"/>
          <w:szCs w:val="24"/>
        </w:rPr>
        <w:t>六、其他补充事宜</w:t>
      </w:r>
      <w:bookmarkEnd w:id="18"/>
      <w:bookmarkEnd w:id="19"/>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3"/>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3"/>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3"/>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3"/>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3"/>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3"/>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3"/>
        <w:spacing w:before="15" w:line="360" w:lineRule="auto"/>
        <w:ind w:left="498"/>
        <w:rPr>
          <w:rFonts w:hint="eastAsia" w:cs="宋体"/>
        </w:rPr>
      </w:pPr>
      <w:r>
        <w:rPr>
          <w:rFonts w:hint="eastAsia" w:cs="宋体"/>
          <w:spacing w:val="3"/>
        </w:rPr>
        <w:t>3.2 注册</w:t>
      </w:r>
    </w:p>
    <w:p>
      <w:pPr>
        <w:pStyle w:val="3"/>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3"/>
        <w:spacing w:before="9" w:line="360" w:lineRule="auto"/>
        <w:ind w:left="498"/>
        <w:rPr>
          <w:rFonts w:hint="eastAsia" w:cs="宋体"/>
        </w:rPr>
      </w:pPr>
      <w:r>
        <w:rPr>
          <w:rFonts w:hint="eastAsia" w:cs="宋体"/>
          <w:spacing w:val="1"/>
        </w:rPr>
        <w:t>3.3 驱动、客户端下载</w:t>
      </w:r>
    </w:p>
    <w:p>
      <w:pPr>
        <w:pStyle w:val="3"/>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3"/>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3"/>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3"/>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3"/>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3"/>
        <w:spacing w:before="11" w:line="360" w:lineRule="auto"/>
        <w:ind w:left="498"/>
        <w:rPr>
          <w:rFonts w:hint="eastAsia" w:cs="宋体"/>
        </w:rPr>
      </w:pPr>
      <w:r>
        <w:rPr>
          <w:rFonts w:hint="eastAsia" w:cs="宋体"/>
          <w:spacing w:val="1"/>
        </w:rPr>
        <w:t>3.5 编制电子投标文件</w:t>
      </w:r>
    </w:p>
    <w:p>
      <w:pPr>
        <w:pStyle w:val="3"/>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3"/>
        <w:spacing w:before="15" w:line="360" w:lineRule="auto"/>
        <w:ind w:left="498"/>
        <w:rPr>
          <w:rFonts w:hint="eastAsia" w:cs="宋体"/>
        </w:rPr>
      </w:pPr>
      <w:r>
        <w:rPr>
          <w:rFonts w:hint="eastAsia" w:cs="宋体"/>
          <w:spacing w:val="1"/>
        </w:rPr>
        <w:t>3.6 提交电子投标文件</w:t>
      </w:r>
    </w:p>
    <w:p>
      <w:pPr>
        <w:pStyle w:val="3"/>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3"/>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3"/>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28359008"/>
      <w:bookmarkStart w:id="21" w:name="_Toc28359085"/>
      <w:bookmarkStart w:id="22" w:name="_Toc35393627"/>
      <w:bookmarkStart w:id="23" w:name="_Toc35393796"/>
    </w:p>
    <w:p>
      <w:pPr>
        <w:pStyle w:val="6"/>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09"/>
      <w:bookmarkStart w:id="25"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北京市石景山区图书馆</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石景山区八角南路2号</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rPr>
        <w:t>联系方式：</w:t>
      </w:r>
      <w:r>
        <w:rPr>
          <w:rFonts w:hint="eastAsia" w:ascii="宋体" w:hAnsi="宋体" w:cs="宋体"/>
          <w:sz w:val="24"/>
          <w:u w:val="single"/>
          <w:lang w:eastAsia="zh-CN"/>
        </w:rPr>
        <w:t>纪庆学68874077</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pPr>
        <w:spacing w:line="360" w:lineRule="auto"/>
        <w:ind w:firstLine="480" w:firstLineChars="200"/>
        <w:jc w:val="left"/>
        <w:rPr>
          <w:rFonts w:hint="eastAsia" w:ascii="宋体" w:hAnsi="宋体" w:cs="宋体"/>
          <w:sz w:val="24"/>
        </w:rPr>
      </w:pPr>
      <w:bookmarkStart w:id="26" w:name="_Toc28359010"/>
      <w:bookmarkStart w:id="27"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bookmarkStart w:id="28" w:name="OLE_LINK3"/>
      <w:bookmarkStart w:id="29" w:name="OLE_LINK23"/>
      <w:r>
        <w:rPr>
          <w:rFonts w:hint="eastAsia" w:ascii="宋体" w:hAnsi="宋体" w:cs="宋体"/>
          <w:sz w:val="24"/>
          <w:u w:val="single"/>
          <w:lang w:val="en-US" w:eastAsia="zh-CN"/>
        </w:rPr>
        <w:t>010-</w:t>
      </w:r>
      <w:r>
        <w:rPr>
          <w:rFonts w:hint="eastAsia" w:ascii="宋体" w:hAnsi="宋体" w:cs="宋体"/>
          <w:bCs/>
          <w:color w:val="000000"/>
          <w:sz w:val="24"/>
          <w:u w:val="single"/>
        </w:rPr>
        <w:t>81927379</w:t>
      </w:r>
      <w:bookmarkEnd w:id="28"/>
    </w:p>
    <w:bookmarkEnd w:id="29"/>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6"/>
      <w:bookmarkEnd w:id="27"/>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hAnsi="宋体" w:cs="宋体"/>
          <w:sz w:val="24"/>
          <w:u w:val="single"/>
          <w:lang w:eastAsia="zh-CN"/>
        </w:rPr>
        <w:t>刘思彤</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bookmarkStart w:id="30" w:name="OLE_LINK10"/>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bookmarkEnd w:id="30"/>
    </w:p>
    <w:p>
      <w:pPr>
        <w:spacing w:before="76" w:line="360" w:lineRule="auto"/>
        <w:ind w:right="58"/>
        <w:jc w:val="center"/>
        <w:rPr>
          <w:rFonts w:hint="eastAsia" w:ascii="宋体" w:hAnsi="宋体" w:cs="宋体"/>
          <w:spacing w:val="-12"/>
          <w:sz w:val="24"/>
        </w:rPr>
      </w:pPr>
    </w:p>
    <w:p>
      <w:pPr>
        <w:pStyle w:val="6"/>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rPr>
          <w:rFonts w:hint="eastAsia"/>
        </w:rPr>
      </w:pPr>
    </w:p>
    <w:p>
      <w:pPr>
        <w:pStyle w:val="7"/>
        <w:rPr>
          <w:rFonts w:hint="eastAsia" w:ascii="宋体" w:hAnsi="宋体" w:cs="宋体"/>
          <w:spacing w:val="-12"/>
          <w:sz w:val="24"/>
        </w:rPr>
      </w:pPr>
    </w:p>
    <w:p>
      <w:pPr>
        <w:pStyle w:val="7"/>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31" w:name="_Toc226965856"/>
      <w:bookmarkStart w:id="32" w:name="_Toc264969275"/>
      <w:bookmarkStart w:id="33" w:name="_Toc195842950"/>
      <w:bookmarkStart w:id="34" w:name="_Toc127151777"/>
      <w:bookmarkStart w:id="35" w:name="_Toc353873938"/>
      <w:bookmarkStart w:id="36" w:name="_Toc512937850"/>
      <w:bookmarkStart w:id="37" w:name="_Toc15240"/>
      <w:bookmarkStart w:id="38" w:name="_Toc305158928"/>
      <w:bookmarkStart w:id="39" w:name="_Toc353825548"/>
      <w:bookmarkStart w:id="40" w:name="_Toc305158854"/>
      <w:bookmarkStart w:id="41" w:name="_Toc150774783"/>
      <w:bookmarkStart w:id="42" w:name="_Toc265228423"/>
      <w:bookmarkStart w:id="43" w:name="_Toc127161488"/>
      <w:r>
        <w:rPr>
          <w:rFonts w:hint="eastAsia" w:ascii="宋体" w:hAnsi="宋体" w:cs="宋体"/>
          <w:b/>
          <w:sz w:val="36"/>
          <w:szCs w:val="36"/>
        </w:rPr>
        <w:t>第二章   投标人须知</w:t>
      </w:r>
      <w:bookmarkEnd w:id="31"/>
      <w:bookmarkEnd w:id="32"/>
      <w:bookmarkEnd w:id="33"/>
      <w:bookmarkEnd w:id="34"/>
      <w:bookmarkEnd w:id="35"/>
      <w:bookmarkEnd w:id="36"/>
      <w:bookmarkEnd w:id="37"/>
      <w:bookmarkEnd w:id="38"/>
      <w:bookmarkEnd w:id="39"/>
      <w:bookmarkEnd w:id="40"/>
      <w:bookmarkEnd w:id="41"/>
      <w:bookmarkEnd w:id="42"/>
      <w:bookmarkEnd w:id="43"/>
    </w:p>
    <w:p>
      <w:pPr>
        <w:pStyle w:val="6"/>
        <w:tabs>
          <w:tab w:val="center" w:pos="4592"/>
          <w:tab w:val="left" w:pos="7860"/>
        </w:tabs>
        <w:spacing w:before="0" w:line="360" w:lineRule="auto"/>
        <w:rPr>
          <w:rFonts w:hint="eastAsia" w:ascii="宋体" w:hAnsi="宋体" w:eastAsia="宋体" w:cs="宋体"/>
          <w:sz w:val="28"/>
        </w:rPr>
      </w:pPr>
      <w:bookmarkStart w:id="44" w:name="_Toc150509270"/>
      <w:bookmarkStart w:id="45" w:name="_Toc127151720"/>
      <w:bookmarkStart w:id="46" w:name="_Toc150774724"/>
      <w:bookmarkStart w:id="47" w:name="_Toc142311021"/>
      <w:bookmarkStart w:id="48" w:name="_Toc149720812"/>
      <w:bookmarkStart w:id="49" w:name="_Toc164608788"/>
      <w:bookmarkStart w:id="50" w:name="_Toc164229360"/>
      <w:bookmarkStart w:id="51" w:name="_Toc226965792"/>
      <w:bookmarkStart w:id="52" w:name="_Toc520356144"/>
      <w:bookmarkStart w:id="53" w:name="_Toc164351613"/>
      <w:bookmarkStart w:id="54" w:name="_Toc151193689"/>
      <w:bookmarkStart w:id="55" w:name="_Toc226309763"/>
      <w:bookmarkStart w:id="56" w:name="_Toc226337215"/>
      <w:bookmarkStart w:id="57" w:name="_Toc151193833"/>
      <w:bookmarkStart w:id="58" w:name="_Toc164229214"/>
      <w:bookmarkStart w:id="59" w:name="_Toc151193617"/>
      <w:bookmarkStart w:id="60" w:name="_Toc151190146"/>
      <w:bookmarkStart w:id="61" w:name="_Toc127161433"/>
      <w:bookmarkStart w:id="62" w:name="_Toc164608633"/>
      <w:bookmarkStart w:id="63" w:name="_Toc150480757"/>
      <w:bookmarkStart w:id="64" w:name="_Toc226965709"/>
      <w:bookmarkStart w:id="65" w:name="_Toc151193761"/>
      <w:bookmarkStart w:id="66" w:name="_Toc151193907"/>
      <w:bookmarkStart w:id="67" w:name="_Toc127151519"/>
      <w:bookmarkStart w:id="68" w:name="_Toc150774619"/>
      <w:bookmarkStart w:id="69" w:name="_Toc195842884"/>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highlight w:val="none"/>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val="en-US" w:eastAsia="zh-CN"/>
                    </w:rPr>
                    <w:t>2026</w:t>
                  </w:r>
                  <w:r>
                    <w:rPr>
                      <w:rFonts w:hint="eastAsia" w:ascii="宋体" w:hAnsi="宋体" w:cs="宋体"/>
                      <w:sz w:val="24"/>
                      <w:u w:val="single"/>
                    </w:rPr>
                    <w:t>石景山区图书馆物业管理服务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物业管理</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8"/>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8"/>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8"/>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8"/>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8"/>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8"/>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8"/>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8"/>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70" w:name="_Toc226337213"/>
      <w:bookmarkStart w:id="71" w:name="_Toc195842882"/>
      <w:bookmarkStart w:id="72" w:name="_Toc150480755"/>
      <w:bookmarkStart w:id="73" w:name="_Toc305158785"/>
      <w:bookmarkStart w:id="74" w:name="_Toc265228355"/>
      <w:bookmarkStart w:id="75" w:name="_Toc226965790"/>
      <w:bookmarkStart w:id="76" w:name="_Toc305158859"/>
      <w:bookmarkStart w:id="77" w:name="_Toc353825542"/>
      <w:bookmarkStart w:id="78" w:name="_Toc353873932"/>
      <w:bookmarkStart w:id="79" w:name="_Toc264969207"/>
      <w:bookmarkStart w:id="80" w:name="_Toc150774722"/>
      <w:bookmarkStart w:id="81" w:name="_Toc127151517"/>
      <w:bookmarkStart w:id="82" w:name="_Toc353873662"/>
      <w:bookmarkStart w:id="83" w:name="_Toc142311019"/>
      <w:r>
        <w:rPr>
          <w:rFonts w:hint="eastAsia" w:ascii="宋体" w:hAnsi="宋体" w:cs="宋体"/>
          <w:b/>
          <w:sz w:val="28"/>
          <w:szCs w:val="28"/>
        </w:rPr>
        <w:t>投标人须知</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6"/>
        <w:tabs>
          <w:tab w:val="center" w:pos="4592"/>
          <w:tab w:val="left" w:pos="7860"/>
        </w:tabs>
        <w:spacing w:before="0" w:line="360" w:lineRule="auto"/>
        <w:jc w:val="left"/>
        <w:rPr>
          <w:rFonts w:hint="eastAsia" w:ascii="宋体" w:hAnsi="宋体" w:eastAsia="宋体" w:cs="宋体"/>
          <w:sz w:val="28"/>
        </w:rPr>
      </w:pPr>
      <w:bookmarkStart w:id="84" w:name="_Toc520356143"/>
      <w:bookmarkStart w:id="85" w:name="_Toc127151518"/>
      <w:r>
        <w:rPr>
          <w:rFonts w:hint="eastAsia" w:ascii="宋体" w:hAnsi="宋体" w:eastAsia="宋体" w:cs="宋体"/>
          <w:sz w:val="28"/>
        </w:rPr>
        <w:tab/>
      </w:r>
      <w:bookmarkStart w:id="86" w:name="_Toc142311020"/>
      <w:bookmarkStart w:id="87" w:name="_Toc226965791"/>
      <w:bookmarkStart w:id="88" w:name="_Toc150509269"/>
      <w:bookmarkStart w:id="89" w:name="_Toc151193832"/>
      <w:bookmarkStart w:id="90" w:name="_Toc226337214"/>
      <w:bookmarkStart w:id="91" w:name="_Toc265228356"/>
      <w:bookmarkStart w:id="92" w:name="_Toc305158786"/>
      <w:bookmarkStart w:id="93" w:name="_Toc195842883"/>
      <w:bookmarkStart w:id="94" w:name="_Toc150774618"/>
      <w:bookmarkStart w:id="95" w:name="_Toc151193760"/>
      <w:bookmarkStart w:id="96" w:name="_Toc305158860"/>
      <w:bookmarkStart w:id="97" w:name="_Toc151190145"/>
      <w:bookmarkStart w:id="98" w:name="_Toc151193688"/>
      <w:bookmarkStart w:id="99" w:name="_Toc150774723"/>
      <w:bookmarkStart w:id="100" w:name="_Toc151193616"/>
      <w:bookmarkStart w:id="101" w:name="_Toc264969208"/>
      <w:bookmarkStart w:id="102" w:name="_Toc151193906"/>
      <w:bookmarkStart w:id="103" w:name="_Toc226309762"/>
      <w:bookmarkStart w:id="104" w:name="_Toc150480756"/>
      <w:bookmarkStart w:id="105" w:name="_Toc226965708"/>
      <w:r>
        <w:rPr>
          <w:rFonts w:hint="eastAsia" w:ascii="宋体" w:hAnsi="宋体" w:eastAsia="宋体" w:cs="宋体"/>
          <w:sz w:val="28"/>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6" w:name="_Toc265228357"/>
      <w:bookmarkStart w:id="107" w:name="_Toc264969209"/>
      <w:bookmarkStart w:id="108" w:name="_Toc305158787"/>
      <w:bookmarkStart w:id="109" w:name="_Toc305158861"/>
      <w:r>
        <w:rPr>
          <w:rFonts w:hint="eastAsia" w:ascii="宋体" w:hAnsi="宋体" w:cs="宋体"/>
          <w:sz w:val="24"/>
        </w:rPr>
        <w:t>采购人、采购代理机构、投标人</w:t>
      </w:r>
      <w:bookmarkEnd w:id="106"/>
      <w:bookmarkEnd w:id="107"/>
      <w:bookmarkEnd w:id="108"/>
      <w:bookmarkEnd w:id="109"/>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0" w:name="_Toc265228358"/>
      <w:bookmarkStart w:id="111" w:name="_Toc151193690"/>
      <w:bookmarkStart w:id="112" w:name="_Toc151193762"/>
      <w:bookmarkStart w:id="113" w:name="_Toc164608634"/>
      <w:bookmarkStart w:id="114" w:name="_Toc226965710"/>
      <w:bookmarkStart w:id="115" w:name="_Toc226965793"/>
      <w:bookmarkStart w:id="116" w:name="_Toc150774620"/>
      <w:bookmarkStart w:id="117" w:name="_Toc150509271"/>
      <w:bookmarkStart w:id="118" w:name="_Toc151193834"/>
      <w:bookmarkStart w:id="119" w:name="_Toc305158788"/>
      <w:bookmarkStart w:id="120" w:name="_Toc142311022"/>
      <w:bookmarkStart w:id="121" w:name="_Toc150480758"/>
      <w:bookmarkStart w:id="122" w:name="_Toc226309764"/>
      <w:bookmarkStart w:id="123" w:name="_Toc151190147"/>
      <w:bookmarkStart w:id="124" w:name="_Toc195842885"/>
      <w:bookmarkStart w:id="125" w:name="_Toc127161434"/>
      <w:bookmarkStart w:id="126" w:name="_Toc164608789"/>
      <w:bookmarkStart w:id="127" w:name="_Toc127151721"/>
      <w:bookmarkStart w:id="128" w:name="_Toc150774725"/>
      <w:bookmarkStart w:id="129" w:name="_Toc226337216"/>
      <w:bookmarkStart w:id="130" w:name="_Toc164351614"/>
      <w:bookmarkStart w:id="131" w:name="_Toc127151520"/>
      <w:bookmarkStart w:id="132" w:name="_Toc149720813"/>
      <w:bookmarkStart w:id="133" w:name="_Toc305158862"/>
      <w:bookmarkStart w:id="134" w:name="_Toc264969210"/>
      <w:bookmarkStart w:id="135" w:name="_Toc164229215"/>
      <w:bookmarkStart w:id="136" w:name="_Toc151193908"/>
      <w:bookmarkStart w:id="137" w:name="_Toc151193618"/>
      <w:bookmarkStart w:id="138" w:name="_Toc164229361"/>
      <w:r>
        <w:rPr>
          <w:rFonts w:hint="eastAsia" w:ascii="宋体" w:hAnsi="宋体" w:cs="宋体"/>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9" w:name="_Toc151193692"/>
      <w:bookmarkStart w:id="140" w:name="_Toc150774622"/>
      <w:bookmarkStart w:id="141" w:name="_Toc520356146"/>
      <w:bookmarkStart w:id="142" w:name="_Toc265228360"/>
      <w:bookmarkStart w:id="143" w:name="_Toc226965712"/>
      <w:bookmarkStart w:id="144" w:name="_Toc195842887"/>
      <w:bookmarkStart w:id="145" w:name="_Toc305158790"/>
      <w:bookmarkStart w:id="146" w:name="_Toc151193620"/>
      <w:bookmarkStart w:id="147" w:name="_Toc151193910"/>
      <w:bookmarkStart w:id="148" w:name="_Toc150774727"/>
      <w:bookmarkStart w:id="149" w:name="_Toc305158864"/>
      <w:bookmarkStart w:id="150" w:name="_Toc226337218"/>
      <w:bookmarkStart w:id="151" w:name="_Toc127151522"/>
      <w:bookmarkStart w:id="152" w:name="_Toc226309766"/>
      <w:bookmarkStart w:id="153" w:name="_Toc151190149"/>
      <w:bookmarkStart w:id="154" w:name="_Toc150480760"/>
      <w:bookmarkStart w:id="155" w:name="_Toc151193836"/>
      <w:bookmarkStart w:id="156" w:name="_Toc264969212"/>
      <w:bookmarkStart w:id="157" w:name="_Toc226965795"/>
      <w:bookmarkStart w:id="158" w:name="_Toc150509273"/>
      <w:bookmarkStart w:id="159" w:name="_Toc151193764"/>
      <w:bookmarkStart w:id="160" w:name="_Toc142311024"/>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3"/>
        <w:spacing w:before="176" w:line="360" w:lineRule="auto"/>
        <w:ind w:left="1984" w:right="129" w:hanging="885"/>
        <w:rPr>
          <w:rFonts w:hint="eastAsia" w:cs="宋体"/>
          <w:b w:val="0"/>
          <w:bCs w:val="0"/>
        </w:rPr>
      </w:pPr>
      <w:r>
        <w:rPr>
          <w:rFonts w:hint="eastAsia" w:cs="宋体"/>
          <w:spacing w:val="-1"/>
        </w:rPr>
        <w:t>5.1.1 政府采购应当采购本国货物、工程和服务。但</w:t>
      </w:r>
      <w:r>
        <w:rPr>
          <w:rFonts w:hint="eastAsia" w:cs="宋体"/>
          <w:b w:val="0"/>
          <w:bCs w:val="0"/>
          <w:spacing w:val="-1"/>
        </w:rPr>
        <w:t>有《中华人民共和国政府采购法》第十条规定情形的除外。</w:t>
      </w:r>
    </w:p>
    <w:p>
      <w:pPr>
        <w:pStyle w:val="3"/>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3"/>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1" w:name="_1.8_计量单位"/>
      <w:bookmarkEnd w:id="161"/>
    </w:p>
    <w:p>
      <w:pPr>
        <w:pStyle w:val="6"/>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2" w:name="_Toc226337219"/>
      <w:bookmarkStart w:id="163" w:name="_Toc149720816"/>
      <w:bookmarkStart w:id="164" w:name="_Toc127161437"/>
      <w:bookmarkStart w:id="165" w:name="_Toc164351617"/>
      <w:bookmarkStart w:id="166" w:name="_Toc226965713"/>
      <w:bookmarkStart w:id="167" w:name="_Toc151193765"/>
      <w:bookmarkStart w:id="168" w:name="_Toc151193911"/>
      <w:bookmarkStart w:id="169" w:name="_Toc127151523"/>
      <w:bookmarkStart w:id="170" w:name="_Toc264969213"/>
      <w:bookmarkStart w:id="171" w:name="_Toc226965796"/>
      <w:bookmarkStart w:id="172" w:name="_Toc195842888"/>
      <w:bookmarkStart w:id="173" w:name="_Toc164608792"/>
      <w:bookmarkStart w:id="174" w:name="_Toc305158791"/>
      <w:bookmarkStart w:id="175" w:name="_Toc164229364"/>
      <w:bookmarkStart w:id="176" w:name="_Toc142311025"/>
      <w:bookmarkStart w:id="177" w:name="_Toc164608637"/>
      <w:bookmarkStart w:id="178" w:name="_Toc150774728"/>
      <w:bookmarkStart w:id="179" w:name="_Toc151193837"/>
      <w:bookmarkStart w:id="180" w:name="_Toc265228361"/>
      <w:bookmarkStart w:id="181" w:name="_Toc150774623"/>
      <w:bookmarkStart w:id="182" w:name="_Toc520356147"/>
      <w:bookmarkStart w:id="183" w:name="_Toc151190150"/>
      <w:bookmarkStart w:id="184" w:name="_Toc151193693"/>
      <w:bookmarkStart w:id="185" w:name="_Toc164229218"/>
      <w:bookmarkStart w:id="186" w:name="_Toc305158865"/>
      <w:bookmarkStart w:id="187" w:name="_Toc151193621"/>
      <w:bookmarkStart w:id="188" w:name="_Toc150509274"/>
      <w:bookmarkStart w:id="189" w:name="_Toc127151724"/>
      <w:bookmarkStart w:id="190" w:name="_Toc226309767"/>
      <w:bookmarkStart w:id="191" w:name="_Toc150480761"/>
      <w:r>
        <w:rPr>
          <w:rFonts w:hint="eastAsia" w:ascii="宋体" w:hAnsi="宋体" w:cs="宋体"/>
          <w:sz w:val="24"/>
        </w:rPr>
        <w:t>招标文件构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2" w:name="_Toc516367020"/>
      <w:bookmarkStart w:id="193" w:name="_Toc226965799"/>
      <w:bookmarkStart w:id="194" w:name="_Toc151193696"/>
      <w:bookmarkStart w:id="195" w:name="_Toc142311028"/>
      <w:bookmarkStart w:id="196" w:name="_Toc226337222"/>
      <w:bookmarkStart w:id="197" w:name="_Toc195842891"/>
      <w:bookmarkStart w:id="198" w:name="_Toc151193768"/>
      <w:bookmarkStart w:id="199" w:name="_Toc226965716"/>
      <w:bookmarkStart w:id="200" w:name="_Toc305158868"/>
      <w:bookmarkStart w:id="201" w:name="_Toc226309770"/>
      <w:bookmarkStart w:id="202" w:name="_Toc127151526"/>
      <w:bookmarkStart w:id="203" w:name="_Toc151193914"/>
      <w:bookmarkStart w:id="204" w:name="_Toc265228364"/>
      <w:bookmarkStart w:id="205" w:name="_Toc520356150"/>
      <w:bookmarkStart w:id="206" w:name="_Toc264969216"/>
      <w:bookmarkStart w:id="207" w:name="_Toc151193840"/>
      <w:bookmarkStart w:id="208" w:name="_Toc151190153"/>
      <w:bookmarkStart w:id="209" w:name="_Toc150509277"/>
      <w:bookmarkStart w:id="210" w:name="_Toc150480764"/>
      <w:bookmarkStart w:id="211" w:name="_Toc150774731"/>
      <w:bookmarkStart w:id="212" w:name="_Toc151193624"/>
      <w:bookmarkStart w:id="213" w:name="_Toc305158794"/>
      <w:bookmarkStart w:id="214" w:name="_Toc150774626"/>
    </w:p>
    <w:p>
      <w:pPr>
        <w:pStyle w:val="6"/>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2"/>
      <w:r>
        <w:rPr>
          <w:rFonts w:hint="eastAsia" w:ascii="宋体" w:hAnsi="宋体" w:eastAsia="宋体" w:cs="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5" w:name="_Toc150774627"/>
      <w:bookmarkStart w:id="216" w:name="_Toc520356151"/>
      <w:bookmarkStart w:id="217" w:name="_Toc127151527"/>
      <w:bookmarkStart w:id="218" w:name="_Toc150774732"/>
      <w:bookmarkStart w:id="219" w:name="_Toc151193841"/>
      <w:bookmarkStart w:id="220" w:name="_Toc264969217"/>
      <w:bookmarkStart w:id="221" w:name="_Toc151193625"/>
      <w:bookmarkStart w:id="222" w:name="_Toc164351621"/>
      <w:bookmarkStart w:id="223" w:name="_Toc151193915"/>
      <w:bookmarkStart w:id="224" w:name="_Toc127151728"/>
      <w:bookmarkStart w:id="225" w:name="_Toc151193697"/>
      <w:bookmarkStart w:id="226" w:name="_Toc195842892"/>
      <w:bookmarkStart w:id="227" w:name="_Toc164608641"/>
      <w:bookmarkStart w:id="228" w:name="_Toc226965717"/>
      <w:bookmarkStart w:id="229" w:name="_Toc226309771"/>
      <w:bookmarkStart w:id="230" w:name="_Toc265228365"/>
      <w:bookmarkStart w:id="231" w:name="_Toc142311029"/>
      <w:bookmarkStart w:id="232" w:name="_Toc149720820"/>
      <w:bookmarkStart w:id="233" w:name="_Toc305158795"/>
      <w:bookmarkStart w:id="234" w:name="_Toc150480765"/>
      <w:bookmarkStart w:id="235" w:name="_Toc151193769"/>
      <w:bookmarkStart w:id="236" w:name="_Toc226965800"/>
      <w:bookmarkStart w:id="237" w:name="_Toc127161441"/>
      <w:bookmarkStart w:id="238" w:name="_Toc226337223"/>
      <w:bookmarkStart w:id="239" w:name="_Toc150509278"/>
      <w:bookmarkStart w:id="240" w:name="_Toc164229368"/>
      <w:bookmarkStart w:id="241" w:name="_Toc516367021"/>
      <w:bookmarkStart w:id="242" w:name="_Toc305158869"/>
      <w:bookmarkStart w:id="243" w:name="_Toc151190154"/>
      <w:bookmarkStart w:id="244" w:name="_Toc164608796"/>
      <w:bookmarkStart w:id="245" w:name="_Toc164229222"/>
      <w:r>
        <w:rPr>
          <w:rFonts w:hint="eastAsia" w:ascii="宋体" w:hAnsi="宋体" w:cs="宋体"/>
          <w:sz w:val="24"/>
        </w:rPr>
        <w:t>投标范围、投标文件中计量单位的使用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6" w:name="_Toc516367022"/>
      <w:bookmarkStart w:id="247" w:name="_Ref467306676"/>
      <w:bookmarkStart w:id="248" w:name="_Ref467306195"/>
      <w:bookmarkStart w:id="249" w:name="_Toc226309772"/>
      <w:bookmarkStart w:id="250" w:name="_Toc164351622"/>
      <w:bookmarkStart w:id="251" w:name="_Toc150480766"/>
      <w:bookmarkStart w:id="252" w:name="_Toc150509279"/>
      <w:bookmarkStart w:id="253" w:name="_Toc127161442"/>
      <w:bookmarkStart w:id="254" w:name="_Toc151193916"/>
      <w:bookmarkStart w:id="255" w:name="_Toc151193770"/>
      <w:bookmarkStart w:id="256" w:name="_Toc265228366"/>
      <w:bookmarkStart w:id="257" w:name="_Toc150774733"/>
      <w:bookmarkStart w:id="258" w:name="_Toc151193698"/>
      <w:bookmarkStart w:id="259" w:name="_Toc164229223"/>
      <w:bookmarkStart w:id="260" w:name="_Toc151190155"/>
      <w:bookmarkStart w:id="261" w:name="_Toc520356152"/>
      <w:bookmarkStart w:id="262" w:name="_Toc226965801"/>
      <w:bookmarkStart w:id="263" w:name="_Toc305158870"/>
      <w:bookmarkStart w:id="264" w:name="_Toc164608642"/>
      <w:bookmarkStart w:id="265" w:name="_Toc151193842"/>
      <w:bookmarkStart w:id="266" w:name="_Toc226337224"/>
      <w:bookmarkStart w:id="267" w:name="_Toc164229369"/>
      <w:bookmarkStart w:id="268" w:name="_Toc127151729"/>
      <w:bookmarkStart w:id="269" w:name="_Toc127151528"/>
      <w:bookmarkStart w:id="270" w:name="_Toc151193626"/>
      <w:bookmarkStart w:id="271" w:name="_Toc305158796"/>
      <w:bookmarkStart w:id="272" w:name="_Toc226965718"/>
      <w:bookmarkStart w:id="273" w:name="_Toc142311030"/>
      <w:bookmarkStart w:id="274" w:name="_Toc164608797"/>
      <w:bookmarkStart w:id="275" w:name="_Toc264969218"/>
      <w:bookmarkStart w:id="276" w:name="_Toc150774628"/>
      <w:bookmarkStart w:id="277" w:name="_Toc149720821"/>
      <w:bookmarkStart w:id="278" w:name="_Toc195842893"/>
      <w:r>
        <w:rPr>
          <w:rFonts w:hint="eastAsia" w:ascii="宋体" w:hAnsi="宋体" w:cs="宋体"/>
          <w:sz w:val="24"/>
        </w:rPr>
        <w:t>投标文件</w:t>
      </w:r>
      <w:bookmarkEnd w:id="246"/>
      <w:bookmarkEnd w:id="247"/>
      <w:bookmarkEnd w:id="248"/>
      <w:r>
        <w:rPr>
          <w:rFonts w:hint="eastAsia" w:ascii="宋体" w:hAnsi="宋体" w:cs="宋体"/>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9"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9"/>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80" w:name="_Toc151193918"/>
      <w:bookmarkStart w:id="281" w:name="_Toc150509281"/>
      <w:bookmarkStart w:id="282" w:name="_Toc164229371"/>
      <w:bookmarkStart w:id="283" w:name="_Toc151193844"/>
      <w:bookmarkStart w:id="284" w:name="_Toc151193772"/>
      <w:bookmarkStart w:id="285" w:name="_Toc151193700"/>
      <w:bookmarkStart w:id="286" w:name="_Toc127161444"/>
      <w:bookmarkStart w:id="287" w:name="_Toc164608799"/>
      <w:bookmarkStart w:id="288" w:name="_Toc150774735"/>
      <w:bookmarkStart w:id="289" w:name="_Toc127151731"/>
      <w:bookmarkStart w:id="290" w:name="_Toc150774630"/>
      <w:bookmarkStart w:id="291" w:name="_Toc195842895"/>
      <w:bookmarkStart w:id="292" w:name="_Toc151193628"/>
      <w:bookmarkStart w:id="293" w:name="_Toc149720823"/>
      <w:bookmarkStart w:id="294" w:name="_Toc164351624"/>
      <w:bookmarkStart w:id="295" w:name="_Toc142311032"/>
      <w:bookmarkStart w:id="296" w:name="_Toc150480768"/>
      <w:bookmarkStart w:id="297" w:name="_Toc520356155"/>
      <w:bookmarkStart w:id="298" w:name="_Toc164608644"/>
      <w:bookmarkStart w:id="299" w:name="_Toc127151530"/>
      <w:bookmarkStart w:id="300" w:name="_Toc151190157"/>
      <w:bookmarkStart w:id="301" w:name="_Toc164229225"/>
      <w:r>
        <w:rPr>
          <w:rFonts w:hint="eastAsia" w:ascii="宋体" w:hAnsi="宋体" w:cs="宋体"/>
          <w:sz w:val="24"/>
        </w:rPr>
        <w:t>投标报价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2" w:name="_Toc150509282"/>
      <w:bookmarkStart w:id="303" w:name="_Toc226309775"/>
      <w:bookmarkStart w:id="304" w:name="_Toc149720824"/>
      <w:bookmarkStart w:id="305" w:name="_Toc226965721"/>
      <w:bookmarkStart w:id="306" w:name="_Toc164229372"/>
      <w:bookmarkStart w:id="307" w:name="_Toc150774736"/>
      <w:bookmarkStart w:id="308" w:name="_Toc142311033"/>
      <w:bookmarkStart w:id="309" w:name="_Toc164608645"/>
      <w:bookmarkStart w:id="310" w:name="_Toc151193919"/>
      <w:bookmarkStart w:id="311" w:name="_Toc305158799"/>
      <w:bookmarkStart w:id="312" w:name="_Toc226965804"/>
      <w:bookmarkStart w:id="313" w:name="_Toc150480769"/>
      <w:bookmarkStart w:id="314" w:name="_Toc151193845"/>
      <w:bookmarkStart w:id="315" w:name="_Toc151190158"/>
      <w:bookmarkStart w:id="316" w:name="_Toc127161445"/>
      <w:bookmarkStart w:id="317" w:name="_Toc151193701"/>
      <w:bookmarkStart w:id="318" w:name="_Toc264969221"/>
      <w:bookmarkStart w:id="319" w:name="_Toc265228369"/>
      <w:bookmarkStart w:id="320" w:name="_Toc127151732"/>
      <w:bookmarkStart w:id="321" w:name="_Toc195842896"/>
      <w:bookmarkStart w:id="322" w:name="_Toc164351625"/>
      <w:bookmarkStart w:id="323" w:name="_Toc164608800"/>
      <w:bookmarkStart w:id="324" w:name="_Toc520356156"/>
      <w:bookmarkStart w:id="325" w:name="_Toc151193629"/>
      <w:bookmarkStart w:id="326" w:name="_Toc164229226"/>
      <w:bookmarkStart w:id="327" w:name="_Toc151193773"/>
      <w:bookmarkStart w:id="328" w:name="_Toc127151531"/>
      <w:bookmarkStart w:id="329" w:name="_Toc226337227"/>
      <w:bookmarkStart w:id="330" w:name="_Toc305158873"/>
      <w:bookmarkStart w:id="331" w:name="_Toc150774631"/>
      <w:bookmarkStart w:id="332" w:name="_Ref467306513"/>
      <w:r>
        <w:rPr>
          <w:rFonts w:hint="eastAsia" w:ascii="宋体" w:hAnsi="宋体" w:cs="宋体"/>
          <w:sz w:val="24"/>
        </w:rPr>
        <w:t>投标保证金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3" w:name="_Toc151190159"/>
      <w:bookmarkStart w:id="334" w:name="_Toc226965722"/>
      <w:bookmarkStart w:id="335" w:name="_Toc151193702"/>
      <w:bookmarkStart w:id="336" w:name="_Toc264969222"/>
      <w:bookmarkStart w:id="337" w:name="_Toc151193846"/>
      <w:bookmarkStart w:id="338" w:name="_Toc305158874"/>
      <w:bookmarkStart w:id="339" w:name="_Toc164351626"/>
      <w:bookmarkStart w:id="340" w:name="_Toc265228370"/>
      <w:bookmarkStart w:id="341" w:name="_Toc151193774"/>
      <w:bookmarkStart w:id="342" w:name="_Toc142311034"/>
      <w:bookmarkStart w:id="343" w:name="_Toc150480770"/>
      <w:bookmarkStart w:id="344" w:name="_Toc226965805"/>
      <w:bookmarkStart w:id="345" w:name="_Toc127161446"/>
      <w:bookmarkStart w:id="346" w:name="_Toc195842897"/>
      <w:bookmarkStart w:id="347" w:name="_Toc151193920"/>
      <w:bookmarkStart w:id="348" w:name="_Toc164608801"/>
      <w:bookmarkStart w:id="349" w:name="_Toc127151733"/>
      <w:bookmarkStart w:id="350" w:name="_Toc226309776"/>
      <w:bookmarkStart w:id="351" w:name="_Toc149720825"/>
      <w:bookmarkStart w:id="352" w:name="_Toc164229227"/>
      <w:bookmarkStart w:id="353" w:name="_Toc305158800"/>
      <w:bookmarkStart w:id="354" w:name="_Toc164608646"/>
      <w:bookmarkStart w:id="355" w:name="_Toc226337228"/>
      <w:bookmarkStart w:id="356" w:name="_Toc150509283"/>
      <w:bookmarkStart w:id="357" w:name="_Toc150774632"/>
      <w:bookmarkStart w:id="358" w:name="_Toc164229373"/>
      <w:bookmarkStart w:id="359" w:name="_Toc151193630"/>
      <w:bookmarkStart w:id="360" w:name="_Toc127151532"/>
      <w:bookmarkStart w:id="361" w:name="_Toc150774737"/>
      <w:bookmarkStart w:id="362" w:name="_Toc520356157"/>
      <w:r>
        <w:rPr>
          <w:rFonts w:hint="eastAsia" w:ascii="宋体" w:hAnsi="宋体" w:cs="宋体"/>
          <w:sz w:val="24"/>
        </w:rPr>
        <w:t>投标有效期</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3" w:name="_Toc151193848"/>
      <w:bookmarkStart w:id="364" w:name="_Toc265228372"/>
      <w:bookmarkStart w:id="365" w:name="_Toc150480772"/>
      <w:bookmarkStart w:id="366" w:name="_Toc226965807"/>
      <w:bookmarkStart w:id="367" w:name="_Toc305158876"/>
      <w:bookmarkStart w:id="368" w:name="_Toc195842899"/>
      <w:bookmarkStart w:id="369" w:name="_Toc226965724"/>
      <w:bookmarkStart w:id="370" w:name="_Toc305158802"/>
      <w:bookmarkStart w:id="371" w:name="_Toc151193922"/>
      <w:bookmarkStart w:id="372" w:name="_Toc142311036"/>
      <w:bookmarkStart w:id="373" w:name="_Toc151190161"/>
      <w:bookmarkStart w:id="374" w:name="_Toc264969224"/>
      <w:bookmarkStart w:id="375" w:name="_Toc151193632"/>
      <w:bookmarkStart w:id="376" w:name="_Toc127151534"/>
      <w:bookmarkStart w:id="377" w:name="_Toc150774739"/>
      <w:bookmarkStart w:id="378" w:name="_Toc151193776"/>
      <w:bookmarkStart w:id="379" w:name="_Toc520356159"/>
      <w:bookmarkStart w:id="380" w:name="_Toc226337230"/>
      <w:bookmarkStart w:id="381" w:name="_Toc150774634"/>
      <w:bookmarkStart w:id="382" w:name="_Toc150509285"/>
      <w:bookmarkStart w:id="383" w:name="_Toc226309778"/>
      <w:bookmarkStart w:id="384" w:name="_Toc151193704"/>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6"/>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5" w:name="_Toc265228373"/>
      <w:bookmarkStart w:id="386" w:name="_Toc150480773"/>
      <w:bookmarkStart w:id="387" w:name="_Toc151193705"/>
      <w:bookmarkStart w:id="388" w:name="_Toc226337231"/>
      <w:bookmarkStart w:id="389" w:name="_Toc520356160"/>
      <w:bookmarkStart w:id="390" w:name="_Toc149720828"/>
      <w:bookmarkStart w:id="391" w:name="_Toc150774635"/>
      <w:bookmarkStart w:id="392" w:name="_Toc305158877"/>
      <w:bookmarkStart w:id="393" w:name="_Toc164608649"/>
      <w:bookmarkStart w:id="394" w:name="_Toc226309779"/>
      <w:bookmarkStart w:id="395" w:name="_Toc127151736"/>
      <w:bookmarkStart w:id="396" w:name="_Toc151190162"/>
      <w:bookmarkStart w:id="397" w:name="_Toc150774740"/>
      <w:bookmarkStart w:id="398" w:name="_Toc150509286"/>
      <w:bookmarkStart w:id="399" w:name="_Toc226965808"/>
      <w:bookmarkStart w:id="400" w:name="_Toc305158803"/>
      <w:bookmarkStart w:id="401" w:name="_Toc164229376"/>
      <w:bookmarkStart w:id="402" w:name="_Toc151193633"/>
      <w:bookmarkStart w:id="403" w:name="_Toc151193777"/>
      <w:bookmarkStart w:id="404" w:name="_Toc142311037"/>
      <w:bookmarkStart w:id="405" w:name="_Toc195842900"/>
      <w:bookmarkStart w:id="406" w:name="_Toc127161449"/>
      <w:bookmarkStart w:id="407" w:name="_Toc151193923"/>
      <w:bookmarkStart w:id="408" w:name="_Toc164351629"/>
      <w:bookmarkStart w:id="409" w:name="_Toc264969225"/>
      <w:bookmarkStart w:id="410" w:name="_Toc151193849"/>
      <w:bookmarkStart w:id="411" w:name="_Toc127151535"/>
      <w:bookmarkStart w:id="412" w:name="_Toc164229230"/>
      <w:bookmarkStart w:id="413" w:name="_Toc164608804"/>
      <w:bookmarkStart w:id="414" w:name="_Toc226965725"/>
      <w:r>
        <w:rPr>
          <w:rFonts w:hint="eastAsia" w:ascii="宋体" w:hAnsi="宋体" w:cs="宋体"/>
          <w:sz w:val="24"/>
        </w:rPr>
        <w:t>投标文件的</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5" w:name="_Toc151193778"/>
      <w:bookmarkStart w:id="416" w:name="_Toc195842901"/>
      <w:bookmarkStart w:id="417" w:name="_Toc226337232"/>
      <w:bookmarkStart w:id="418" w:name="_Toc305158804"/>
      <w:bookmarkStart w:id="419" w:name="_Toc151190163"/>
      <w:bookmarkStart w:id="420" w:name="_Toc150774636"/>
      <w:bookmarkStart w:id="421" w:name="_Toc127151536"/>
      <w:bookmarkStart w:id="422" w:name="_Toc265228374"/>
      <w:bookmarkStart w:id="423" w:name="_Toc151193634"/>
      <w:bookmarkStart w:id="424" w:name="_Toc164608805"/>
      <w:bookmarkStart w:id="425" w:name="_Toc164351630"/>
      <w:bookmarkStart w:id="426" w:name="_Toc164608650"/>
      <w:bookmarkStart w:id="427" w:name="_Toc226965726"/>
      <w:bookmarkStart w:id="428" w:name="_Toc520356161"/>
      <w:bookmarkStart w:id="429" w:name="_Toc305158878"/>
      <w:bookmarkStart w:id="430" w:name="_Toc150480774"/>
      <w:bookmarkStart w:id="431" w:name="_Toc127151737"/>
      <w:bookmarkStart w:id="432" w:name="_Toc264969226"/>
      <w:bookmarkStart w:id="433" w:name="_Toc151193924"/>
      <w:bookmarkStart w:id="434" w:name="_Toc226309780"/>
      <w:bookmarkStart w:id="435" w:name="_Toc151193706"/>
      <w:bookmarkStart w:id="436" w:name="_Toc127161450"/>
      <w:bookmarkStart w:id="437" w:name="_Toc150774741"/>
      <w:bookmarkStart w:id="438" w:name="_Toc149720829"/>
      <w:bookmarkStart w:id="439" w:name="_Toc150509287"/>
      <w:bookmarkStart w:id="440" w:name="_Toc226965809"/>
      <w:bookmarkStart w:id="441" w:name="_Toc164229377"/>
      <w:bookmarkStart w:id="442" w:name="_Toc151193850"/>
      <w:bookmarkStart w:id="443" w:name="_Toc164229231"/>
      <w:bookmarkStart w:id="444" w:name="_Toc142311038"/>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5" w:name="_Toc164608651"/>
      <w:bookmarkStart w:id="446" w:name="_Toc226965810"/>
      <w:bookmarkStart w:id="447" w:name="_Toc127151537"/>
      <w:bookmarkStart w:id="448" w:name="_Toc127151738"/>
      <w:bookmarkStart w:id="449" w:name="_Toc226965727"/>
      <w:bookmarkStart w:id="450" w:name="_Toc226309781"/>
      <w:bookmarkStart w:id="451" w:name="_Toc264969227"/>
      <w:bookmarkStart w:id="452" w:name="_Toc305158805"/>
      <w:bookmarkStart w:id="453" w:name="_Toc151193925"/>
      <w:bookmarkStart w:id="454" w:name="_Toc164608806"/>
      <w:bookmarkStart w:id="455" w:name="_Toc164229378"/>
      <w:bookmarkStart w:id="456" w:name="_Toc142311039"/>
      <w:bookmarkStart w:id="457" w:name="_Toc151190164"/>
      <w:bookmarkStart w:id="458" w:name="_Toc127161451"/>
      <w:bookmarkStart w:id="459" w:name="_Toc265228375"/>
      <w:bookmarkStart w:id="460" w:name="_Toc150480775"/>
      <w:bookmarkStart w:id="461" w:name="_Toc164229232"/>
      <w:bookmarkStart w:id="462" w:name="_Toc151193635"/>
      <w:bookmarkStart w:id="463" w:name="_Toc520356162"/>
      <w:bookmarkStart w:id="464" w:name="_Toc150774637"/>
      <w:bookmarkStart w:id="465" w:name="_Toc151193707"/>
      <w:bookmarkStart w:id="466" w:name="_Toc151193851"/>
      <w:bookmarkStart w:id="467" w:name="_Toc151193779"/>
      <w:bookmarkStart w:id="468" w:name="_Toc164351631"/>
      <w:bookmarkStart w:id="469" w:name="_Toc149720830"/>
      <w:bookmarkStart w:id="470" w:name="_Toc150509288"/>
      <w:bookmarkStart w:id="471" w:name="_Toc150774742"/>
      <w:bookmarkStart w:id="472" w:name="_Toc195842902"/>
      <w:bookmarkStart w:id="473" w:name="_Toc305158879"/>
      <w:bookmarkStart w:id="474" w:name="_Toc226337233"/>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6"/>
        <w:spacing w:before="0" w:line="360" w:lineRule="auto"/>
        <w:rPr>
          <w:rFonts w:hint="eastAsia" w:ascii="宋体" w:hAnsi="宋体" w:eastAsia="宋体" w:cs="宋体"/>
          <w:sz w:val="28"/>
        </w:rPr>
      </w:pPr>
      <w:bookmarkStart w:id="475" w:name="_Toc226965811"/>
      <w:bookmarkStart w:id="476" w:name="_Toc226965728"/>
      <w:bookmarkStart w:id="477" w:name="_Toc150774638"/>
      <w:bookmarkStart w:id="478" w:name="_Toc226337234"/>
      <w:bookmarkStart w:id="479" w:name="_Toc142311040"/>
      <w:bookmarkStart w:id="480" w:name="_Toc150480776"/>
      <w:bookmarkStart w:id="481" w:name="_Toc151193926"/>
      <w:bookmarkStart w:id="482" w:name="_Toc265228376"/>
      <w:bookmarkStart w:id="483" w:name="_Toc226309782"/>
      <w:bookmarkStart w:id="484" w:name="_Toc151190165"/>
      <w:bookmarkStart w:id="485" w:name="_Toc264969228"/>
      <w:bookmarkStart w:id="486" w:name="_Toc305158806"/>
      <w:bookmarkStart w:id="487" w:name="_Toc151193708"/>
      <w:bookmarkStart w:id="488" w:name="_Toc151193780"/>
      <w:bookmarkStart w:id="489" w:name="_Toc150774743"/>
      <w:bookmarkStart w:id="490" w:name="_Toc151193852"/>
      <w:bookmarkStart w:id="491" w:name="_Toc151193636"/>
      <w:bookmarkStart w:id="492" w:name="_Toc150509289"/>
      <w:bookmarkStart w:id="493" w:name="_Toc305158880"/>
      <w:bookmarkStart w:id="494" w:name="_Toc127151538"/>
      <w:bookmarkStart w:id="495" w:name="_Toc195842903"/>
      <w:bookmarkStart w:id="496" w:name="_Toc520356163"/>
      <w:r>
        <w:rPr>
          <w:rFonts w:hint="eastAsia" w:ascii="宋体" w:hAnsi="宋体" w:eastAsia="宋体" w:cs="宋体"/>
          <w:sz w:val="28"/>
        </w:rPr>
        <w:t>五   开标、资格审查及评标</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7" w:name="_Toc151190166"/>
      <w:bookmarkStart w:id="498" w:name="_Toc151193781"/>
      <w:bookmarkStart w:id="499" w:name="_Toc150480777"/>
      <w:bookmarkStart w:id="500" w:name="_Toc164229380"/>
      <w:bookmarkStart w:id="501" w:name="_Toc149720832"/>
      <w:bookmarkStart w:id="502" w:name="_Toc164351633"/>
      <w:bookmarkStart w:id="503" w:name="_Toc264969229"/>
      <w:bookmarkStart w:id="504" w:name="_Toc150774639"/>
      <w:bookmarkStart w:id="505" w:name="_Toc520356164"/>
      <w:bookmarkStart w:id="506" w:name="_Toc150774744"/>
      <w:bookmarkStart w:id="507" w:name="_Toc127151539"/>
      <w:bookmarkStart w:id="508" w:name="_Toc150509290"/>
      <w:bookmarkStart w:id="509" w:name="_Toc127161453"/>
      <w:bookmarkStart w:id="510" w:name="_Toc142311041"/>
      <w:bookmarkStart w:id="511" w:name="_Toc305158807"/>
      <w:bookmarkStart w:id="512" w:name="_Toc265228377"/>
      <w:bookmarkStart w:id="513" w:name="_Toc226337235"/>
      <w:bookmarkStart w:id="514" w:name="_Toc151193637"/>
      <w:bookmarkStart w:id="515" w:name="_Toc195842904"/>
      <w:bookmarkStart w:id="516" w:name="_Toc226965812"/>
      <w:bookmarkStart w:id="517" w:name="_Toc151193709"/>
      <w:bookmarkStart w:id="518" w:name="_Toc226965729"/>
      <w:bookmarkStart w:id="519" w:name="_Toc164229234"/>
      <w:bookmarkStart w:id="520" w:name="_Toc164608808"/>
      <w:bookmarkStart w:id="521" w:name="_Toc151193927"/>
      <w:bookmarkStart w:id="522" w:name="_Toc151193853"/>
      <w:bookmarkStart w:id="523" w:name="_Toc226309783"/>
      <w:bookmarkStart w:id="524" w:name="_Toc127151740"/>
      <w:bookmarkStart w:id="525" w:name="_Toc305158881"/>
      <w:bookmarkStart w:id="526" w:name="_Toc164608653"/>
      <w:r>
        <w:rPr>
          <w:rFonts w:hint="eastAsia" w:ascii="宋体" w:hAnsi="宋体" w:cs="宋体"/>
          <w:sz w:val="24"/>
        </w:rPr>
        <w:t>开标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7"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7"/>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8" w:name="_Toc150774745"/>
      <w:bookmarkStart w:id="529" w:name="_Toc127161454"/>
      <w:bookmarkStart w:id="530" w:name="_Toc127151741"/>
      <w:bookmarkStart w:id="531" w:name="_Toc127151540"/>
      <w:bookmarkStart w:id="532" w:name="_Toc226337236"/>
      <w:bookmarkStart w:id="533" w:name="_Toc305158808"/>
      <w:bookmarkStart w:id="534" w:name="_Toc142311042"/>
      <w:bookmarkStart w:id="535" w:name="_Toc151193638"/>
      <w:bookmarkStart w:id="536" w:name="_Toc265228378"/>
      <w:bookmarkStart w:id="537" w:name="_Toc305158882"/>
      <w:bookmarkStart w:id="538" w:name="_Toc164351634"/>
      <w:bookmarkStart w:id="539" w:name="_Toc226965813"/>
      <w:bookmarkStart w:id="540" w:name="_Toc151193928"/>
      <w:bookmarkStart w:id="541" w:name="_Toc151193710"/>
      <w:bookmarkStart w:id="542" w:name="_Toc195842905"/>
      <w:bookmarkStart w:id="543" w:name="_Toc164229235"/>
      <w:bookmarkStart w:id="544" w:name="_Toc150509291"/>
      <w:bookmarkStart w:id="545" w:name="_Toc164229381"/>
      <w:bookmarkStart w:id="546" w:name="_Toc264969230"/>
      <w:bookmarkStart w:id="547" w:name="_Toc164608654"/>
      <w:bookmarkStart w:id="548" w:name="_Toc151193782"/>
      <w:bookmarkStart w:id="549" w:name="_Toc164608809"/>
      <w:bookmarkStart w:id="550" w:name="_Toc226965730"/>
      <w:bookmarkStart w:id="551" w:name="_Toc150480778"/>
      <w:bookmarkStart w:id="552" w:name="_Toc150774640"/>
      <w:bookmarkStart w:id="553" w:name="_Toc151190167"/>
      <w:bookmarkStart w:id="554" w:name="_Toc151193854"/>
      <w:bookmarkStart w:id="555" w:name="_Toc149720833"/>
      <w:bookmarkStart w:id="556" w:name="_Toc226309784"/>
      <w:r>
        <w:rPr>
          <w:rFonts w:hint="eastAsia" w:ascii="宋体" w:hAnsi="宋体" w:cs="宋体"/>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7"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7"/>
      <w:bookmarkStart w:id="558"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6"/>
        <w:spacing w:before="0" w:line="360" w:lineRule="auto"/>
        <w:rPr>
          <w:rFonts w:hint="eastAsia" w:ascii="宋体" w:hAnsi="宋体" w:eastAsia="宋体" w:cs="宋体"/>
          <w:sz w:val="28"/>
        </w:rPr>
      </w:pPr>
      <w:bookmarkStart w:id="559" w:name="_Toc150480783"/>
      <w:bookmarkStart w:id="560" w:name="_Toc305158887"/>
      <w:bookmarkStart w:id="561" w:name="_Toc150774750"/>
      <w:bookmarkStart w:id="562" w:name="_Toc127151545"/>
      <w:bookmarkStart w:id="563" w:name="_Toc305158813"/>
      <w:bookmarkStart w:id="564" w:name="_Toc151193859"/>
      <w:bookmarkStart w:id="565" w:name="_Toc151193787"/>
      <w:bookmarkStart w:id="566" w:name="_Toc151193933"/>
      <w:bookmarkStart w:id="567" w:name="_Toc265228383"/>
      <w:bookmarkStart w:id="568" w:name="_Toc150774645"/>
      <w:bookmarkStart w:id="569" w:name="_Toc226337241"/>
      <w:bookmarkStart w:id="570" w:name="_Toc226965818"/>
      <w:bookmarkStart w:id="571" w:name="_Toc151190172"/>
      <w:bookmarkStart w:id="572" w:name="_Toc264969235"/>
      <w:bookmarkStart w:id="573" w:name="_Toc226309789"/>
      <w:bookmarkStart w:id="574" w:name="_Toc142311047"/>
      <w:bookmarkStart w:id="575" w:name="_Toc195842910"/>
      <w:bookmarkStart w:id="576" w:name="_Toc151193715"/>
      <w:bookmarkStart w:id="577" w:name="_Toc226965735"/>
      <w:bookmarkStart w:id="578" w:name="_Toc151193643"/>
      <w:bookmarkStart w:id="579" w:name="_Toc150509296"/>
      <w:r>
        <w:rPr>
          <w:rFonts w:hint="eastAsia" w:ascii="宋体" w:hAnsi="宋体" w:eastAsia="宋体" w:cs="宋体"/>
          <w:sz w:val="28"/>
        </w:rPr>
        <w:t xml:space="preserve">六   </w:t>
      </w:r>
      <w:bookmarkEnd w:id="558"/>
      <w:r>
        <w:rPr>
          <w:rFonts w:hint="eastAsia" w:ascii="宋体" w:hAnsi="宋体" w:eastAsia="宋体" w:cs="宋体"/>
          <w:sz w:val="28"/>
        </w:rPr>
        <w:t>确定中标</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Start w:id="580" w:name="_Toc151193717"/>
      <w:bookmarkStart w:id="581" w:name="_Toc151193645"/>
      <w:bookmarkStart w:id="582" w:name="_Toc151190174"/>
      <w:bookmarkStart w:id="583" w:name="_Toc164229388"/>
      <w:bookmarkStart w:id="584" w:name="_Toc164351641"/>
      <w:bookmarkStart w:id="585" w:name="_Toc151193935"/>
      <w:bookmarkStart w:id="586" w:name="_Toc264969237"/>
      <w:bookmarkStart w:id="587" w:name="_Toc305158815"/>
      <w:bookmarkStart w:id="588" w:name="_Toc226965820"/>
      <w:bookmarkStart w:id="589" w:name="_Toc226337243"/>
      <w:bookmarkStart w:id="590" w:name="_Toc150774647"/>
      <w:bookmarkStart w:id="591" w:name="_Toc164229242"/>
      <w:bookmarkStart w:id="592" w:name="_Toc127151547"/>
      <w:bookmarkStart w:id="593" w:name="_Toc127151748"/>
      <w:bookmarkStart w:id="594" w:name="_Toc150774752"/>
      <w:bookmarkStart w:id="595" w:name="_Toc164608816"/>
      <w:bookmarkStart w:id="596" w:name="_Toc150480785"/>
      <w:bookmarkStart w:id="597" w:name="_Toc151193861"/>
      <w:bookmarkStart w:id="598" w:name="_Toc142311049"/>
      <w:bookmarkStart w:id="599" w:name="_Toc149720840"/>
      <w:bookmarkStart w:id="600" w:name="_Toc305158889"/>
      <w:bookmarkStart w:id="601" w:name="_Toc150509298"/>
      <w:bookmarkStart w:id="602" w:name="_Toc127161461"/>
      <w:bookmarkStart w:id="603" w:name="_Toc151193789"/>
      <w:bookmarkStart w:id="604" w:name="_Toc226965737"/>
      <w:bookmarkStart w:id="605" w:name="_Toc265228385"/>
      <w:bookmarkStart w:id="606" w:name="_Toc226309791"/>
      <w:bookmarkStart w:id="607" w:name="_Toc164608661"/>
      <w:bookmarkStart w:id="608" w:name="_Toc195842912"/>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9" w:name="_Toc305158817"/>
      <w:bookmarkStart w:id="610" w:name="_Toc305158891"/>
      <w:bookmarkStart w:id="611" w:name="_Toc151193791"/>
      <w:bookmarkStart w:id="612" w:name="_Toc265228387"/>
      <w:bookmarkStart w:id="613" w:name="_Toc150774649"/>
      <w:bookmarkStart w:id="614" w:name="_Toc164351643"/>
      <w:bookmarkStart w:id="615" w:name="_Toc226965739"/>
      <w:bookmarkStart w:id="616" w:name="_Toc127151750"/>
      <w:bookmarkStart w:id="617" w:name="_Toc142311051"/>
      <w:bookmarkStart w:id="618" w:name="_Toc226337245"/>
      <w:bookmarkStart w:id="619" w:name="_Toc226965822"/>
      <w:bookmarkStart w:id="620" w:name="_Toc149720842"/>
      <w:bookmarkStart w:id="621" w:name="_Toc127151549"/>
      <w:bookmarkStart w:id="622" w:name="_Toc150774754"/>
      <w:bookmarkStart w:id="623" w:name="_Toc264969239"/>
      <w:bookmarkStart w:id="624" w:name="_Toc151193863"/>
      <w:bookmarkStart w:id="625" w:name="_Toc195842914"/>
      <w:bookmarkStart w:id="626" w:name="_Toc150509300"/>
      <w:bookmarkStart w:id="627" w:name="_Toc164229244"/>
      <w:bookmarkStart w:id="628" w:name="_Toc164608663"/>
      <w:bookmarkStart w:id="629" w:name="_Toc151190176"/>
      <w:bookmarkStart w:id="630" w:name="_Toc164608818"/>
      <w:bookmarkStart w:id="631" w:name="_Toc151193647"/>
      <w:bookmarkStart w:id="632" w:name="_Toc164229390"/>
      <w:bookmarkStart w:id="633" w:name="_Toc151193937"/>
      <w:bookmarkStart w:id="634" w:name="_Toc150480787"/>
      <w:bookmarkStart w:id="635" w:name="_Toc226309793"/>
      <w:bookmarkStart w:id="636" w:name="_Toc127161463"/>
      <w:bookmarkStart w:id="637" w:name="_Toc151193719"/>
      <w:bookmarkStart w:id="638" w:name="_Ref467306425"/>
      <w:bookmarkStart w:id="639" w:name="_Toc520356176"/>
      <w:bookmarkStart w:id="640" w:name="_Ref467307090"/>
      <w:r>
        <w:rPr>
          <w:rFonts w:hint="eastAsia" w:ascii="宋体" w:hAnsi="宋体" w:cs="宋体"/>
          <w:sz w:val="24"/>
        </w:rPr>
        <w:t>中标公告与中标通知书</w:t>
      </w:r>
      <w:bookmarkEnd w:id="609"/>
      <w:bookmarkEnd w:id="61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1" w:name="_Toc195842915"/>
      <w:bookmarkStart w:id="642" w:name="_Toc164229391"/>
      <w:bookmarkStart w:id="643" w:name="_Ref467306377"/>
      <w:bookmarkStart w:id="644" w:name="_Toc151193792"/>
      <w:bookmarkStart w:id="645" w:name="_Ref467306978"/>
      <w:bookmarkStart w:id="646" w:name="_Toc305158892"/>
      <w:bookmarkStart w:id="647" w:name="_Toc151193720"/>
      <w:bookmarkStart w:id="648" w:name="_Toc264969240"/>
      <w:bookmarkStart w:id="649" w:name="_Toc164608664"/>
      <w:bookmarkStart w:id="650" w:name="_Toc142311052"/>
      <w:bookmarkStart w:id="651" w:name="_Toc305158818"/>
      <w:bookmarkStart w:id="652" w:name="_Toc226965823"/>
      <w:bookmarkStart w:id="653" w:name="_Toc149720843"/>
      <w:bookmarkStart w:id="654" w:name="_Toc151193648"/>
      <w:bookmarkStart w:id="655" w:name="_Toc226337246"/>
      <w:bookmarkStart w:id="656" w:name="_Toc164608819"/>
      <w:bookmarkStart w:id="657" w:name="_Toc520356175"/>
      <w:bookmarkStart w:id="658" w:name="_Ref467307204"/>
      <w:bookmarkStart w:id="659" w:name="_Toc150774650"/>
      <w:bookmarkStart w:id="660" w:name="_Toc226309794"/>
      <w:bookmarkStart w:id="661" w:name="_Toc127151751"/>
      <w:bookmarkStart w:id="662" w:name="_Toc226965740"/>
      <w:bookmarkStart w:id="663" w:name="_Ref467307062"/>
      <w:bookmarkStart w:id="664" w:name="_Toc151193938"/>
      <w:bookmarkStart w:id="665" w:name="_Toc164351644"/>
      <w:bookmarkStart w:id="666" w:name="_Toc127151550"/>
      <w:bookmarkStart w:id="667" w:name="_Toc150774755"/>
      <w:bookmarkStart w:id="668" w:name="_Toc150480788"/>
      <w:bookmarkStart w:id="669" w:name="_Toc151190177"/>
      <w:bookmarkStart w:id="670" w:name="_Toc265228388"/>
      <w:bookmarkStart w:id="671" w:name="_Toc150509301"/>
      <w:bookmarkStart w:id="672" w:name="_Toc151193864"/>
      <w:bookmarkStart w:id="673" w:name="_Toc127161464"/>
      <w:bookmarkStart w:id="674" w:name="_Toc164229245"/>
      <w:r>
        <w:rPr>
          <w:rFonts w:hint="eastAsia" w:ascii="宋体" w:hAnsi="宋体" w:cs="宋体"/>
          <w:sz w:val="24"/>
        </w:rPr>
        <w:t>签订合同</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8"/>
    <w:bookmarkEnd w:id="639"/>
    <w:bookmarkEnd w:id="640"/>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5" w:name="_Toc142311056"/>
      <w:bookmarkStart w:id="676" w:name="_Toc305158896"/>
      <w:bookmarkStart w:id="677" w:name="_Toc226337250"/>
      <w:bookmarkStart w:id="678" w:name="_Toc150480792"/>
      <w:bookmarkStart w:id="679" w:name="_Toc353873934"/>
      <w:bookmarkStart w:id="680" w:name="_Toc264969244"/>
      <w:bookmarkStart w:id="681" w:name="_Toc305158822"/>
      <w:bookmarkStart w:id="682" w:name="_Toc127151554"/>
      <w:bookmarkStart w:id="683" w:name="_Toc353873664"/>
      <w:bookmarkStart w:id="684" w:name="_Toc265228392"/>
      <w:bookmarkStart w:id="685" w:name="_Toc226965827"/>
      <w:bookmarkStart w:id="686" w:name="_Toc353825544"/>
      <w:bookmarkStart w:id="687" w:name="_Toc150774759"/>
      <w:bookmarkStart w:id="688" w:name="_Toc26602"/>
      <w:r>
        <w:rPr>
          <w:rFonts w:hint="eastAsia" w:ascii="宋体" w:hAnsi="宋体" w:cs="宋体"/>
          <w:b/>
          <w:sz w:val="36"/>
          <w:szCs w:val="36"/>
        </w:rPr>
        <w:t xml:space="preserve">第三章   </w:t>
      </w:r>
      <w:bookmarkEnd w:id="675"/>
      <w:bookmarkEnd w:id="676"/>
      <w:bookmarkEnd w:id="677"/>
      <w:bookmarkEnd w:id="678"/>
      <w:bookmarkEnd w:id="679"/>
      <w:bookmarkEnd w:id="680"/>
      <w:bookmarkEnd w:id="681"/>
      <w:bookmarkEnd w:id="682"/>
      <w:bookmarkEnd w:id="683"/>
      <w:bookmarkEnd w:id="684"/>
      <w:bookmarkEnd w:id="685"/>
      <w:bookmarkEnd w:id="686"/>
      <w:bookmarkEnd w:id="687"/>
      <w:r>
        <w:rPr>
          <w:rFonts w:hint="eastAsia" w:ascii="宋体" w:hAnsi="宋体" w:cs="宋体"/>
          <w:b/>
          <w:sz w:val="36"/>
          <w:szCs w:val="36"/>
        </w:rPr>
        <w:t>资格审查</w:t>
      </w:r>
      <w:bookmarkEnd w:id="688"/>
      <w:bookmarkStart w:id="689" w:name="_Toc487900382"/>
    </w:p>
    <w:p>
      <w:pPr>
        <w:tabs>
          <w:tab w:val="left" w:pos="360"/>
          <w:tab w:val="left" w:pos="900"/>
        </w:tabs>
        <w:snapToGrid w:val="0"/>
        <w:spacing w:line="360" w:lineRule="auto"/>
        <w:jc w:val="center"/>
        <w:outlineLvl w:val="1"/>
        <w:rPr>
          <w:rFonts w:hint="eastAsia" w:ascii="宋体" w:hAnsi="宋体" w:cs="宋体"/>
          <w:b/>
          <w:sz w:val="24"/>
        </w:rPr>
      </w:pPr>
      <w:bookmarkStart w:id="690" w:name="_Toc99301422"/>
      <w:r>
        <w:rPr>
          <w:rFonts w:hint="eastAsia" w:ascii="宋体" w:hAnsi="宋体" w:cs="宋体"/>
          <w:b/>
          <w:sz w:val="24"/>
        </w:rPr>
        <w:t>一、资格审查程序</w:t>
      </w:r>
      <w:bookmarkEnd w:id="690"/>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689"/>
    <w:tbl>
      <w:tblPr>
        <w:tblStyle w:val="257"/>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91" w:name="_Hlt487972895"/>
            <w:bookmarkEnd w:id="691"/>
            <w:bookmarkStart w:id="692" w:name="_Toc226965858"/>
            <w:bookmarkStart w:id="693" w:name="_Toc353825550"/>
            <w:bookmarkStart w:id="694" w:name="_Toc127151779"/>
            <w:bookmarkStart w:id="695" w:name="_Toc127161490"/>
            <w:bookmarkStart w:id="696" w:name="_Toc35387394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bookmarkStart w:id="697" w:name="OLE_LINK5"/>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bookmarkEnd w:id="697"/>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bookmarkStart w:id="698" w:name="OLE_LINK11"/>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bookmarkEnd w:id="698"/>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bookmarkStart w:id="699" w:name="OLE_LINK12"/>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bookmarkEnd w:id="699"/>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bookmarkStart w:id="700" w:name="OLE_LINK16"/>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1"/>
                <w:sz w:val="24"/>
                <w:lang w:eastAsia="en-US"/>
              </w:rPr>
              <w:t>明书》。</w:t>
            </w:r>
            <w:bookmarkEnd w:id="700"/>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bookmarkStart w:id="701" w:name="OLE_LINK24"/>
            <w:r>
              <w:rPr>
                <w:rFonts w:hint="eastAsia" w:ascii="宋体" w:hAnsi="宋体" w:eastAsia="宋体" w:cs="宋体"/>
                <w:spacing w:val="2"/>
                <w:sz w:val="24"/>
                <w:szCs w:val="24"/>
                <w:lang w:eastAsia="zh-CN"/>
              </w:rPr>
              <w:t>查询渠道：信用中国网站和中国政府采购网</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bookmarkEnd w:id="701"/>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5" w:type="dxa"/>
            <w:vAlign w:val="center"/>
          </w:tcPr>
          <w:p>
            <w:pPr>
              <w:pStyle w:val="268"/>
              <w:autoSpaceDE w:val="0"/>
              <w:autoSpaceDN w:val="0"/>
              <w:spacing w:before="69" w:line="201" w:lineRule="auto"/>
              <w:ind w:left="363" w:leftChars="0"/>
              <w:jc w:val="both"/>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bookmarkStart w:id="702" w:name="OLE_LINK17"/>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bookmarkEnd w:id="702"/>
          </w:p>
        </w:tc>
        <w:tc>
          <w:tcPr>
            <w:tcW w:w="4819" w:type="dxa"/>
            <w:vAlign w:val="top"/>
          </w:tcPr>
          <w:p>
            <w:pPr>
              <w:pStyle w:val="268"/>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8"/>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725" w:type="dxa"/>
            <w:vAlign w:val="center"/>
          </w:tcPr>
          <w:p>
            <w:pPr>
              <w:pStyle w:val="268"/>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1"/>
                <w:sz w:val="24"/>
                <w:szCs w:val="24"/>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eastAsia="宋体" w:cs="宋体"/>
                <w:spacing w:val="11"/>
                <w:sz w:val="24"/>
                <w:szCs w:val="24"/>
                <w:highlight w:val="none"/>
              </w:rPr>
            </w:pPr>
            <w:bookmarkStart w:id="703" w:name="OLE_LINK19"/>
            <w:r>
              <w:rPr>
                <w:rFonts w:hint="eastAsia" w:ascii="宋体" w:hAnsi="宋体" w:cs="宋体"/>
                <w:color w:val="auto"/>
                <w:spacing w:val="-2"/>
                <w:sz w:val="24"/>
                <w:highlight w:val="none"/>
                <w:lang w:eastAsia="zh-CN"/>
              </w:rPr>
              <w:t>中小企业要求</w:t>
            </w:r>
            <w:bookmarkEnd w:id="703"/>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eastAsia="宋体" w:cs="宋体"/>
                <w:sz w:val="24"/>
                <w:szCs w:val="24"/>
                <w:highlight w:val="none"/>
              </w:rPr>
            </w:pPr>
            <w:r>
              <w:rPr>
                <w:rFonts w:hint="eastAsia" w:ascii="宋体" w:hAnsi="宋体" w:cs="宋体"/>
                <w:color w:val="auto"/>
                <w:spacing w:val="2"/>
                <w:sz w:val="24"/>
                <w:highlight w:val="none"/>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highlight w:val="none"/>
                <w:lang w:eastAsia="en-US"/>
              </w:rPr>
            </w:pPr>
            <w:r>
              <w:rPr>
                <w:rFonts w:hint="eastAsia" w:ascii="宋体" w:hAnsi="宋体" w:cs="宋体"/>
                <w:spacing w:val="-4"/>
                <w:sz w:val="24"/>
                <w:highlight w:val="none"/>
                <w:lang w:eastAsia="en-US"/>
              </w:rPr>
              <w:t>格式见《</w:t>
            </w:r>
            <w:r>
              <w:rPr>
                <w:b w:val="0"/>
                <w:bCs w:val="0"/>
                <w:spacing w:val="24"/>
                <w:sz w:val="24"/>
                <w:szCs w:val="24"/>
                <w:highlight w:val="none"/>
              </w:rPr>
              <w:t>资格证明文件格式</w:t>
            </w:r>
            <w:r>
              <w:rPr>
                <w:rFonts w:hint="eastAsia" w:ascii="宋体" w:hAnsi="宋体" w:cs="宋体"/>
                <w:spacing w:val="1"/>
                <w:sz w:val="24"/>
                <w:highlight w:val="none"/>
                <w:lang w:eastAsia="en-US"/>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highlight w:val="none"/>
                <w:lang w:eastAsia="en-US"/>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1"/>
                <w:sz w:val="24"/>
                <w:szCs w:val="24"/>
                <w:highlight w:val="none"/>
                <w:lang w:val="en-US" w:eastAsia="zh-CN"/>
              </w:rPr>
              <w:t>2-1</w:t>
            </w:r>
            <w:r>
              <w:rPr>
                <w:rFonts w:hint="eastAsia" w:ascii="宋体" w:hAnsi="宋体" w:eastAsia="宋体" w:cs="宋体"/>
                <w:spacing w:val="1"/>
                <w:sz w:val="24"/>
                <w:szCs w:val="24"/>
                <w:highlight w:val="none"/>
                <w:lang w:eastAsia="zh-CN"/>
              </w:rPr>
              <w:t>中小企业声明函”</w:t>
            </w:r>
            <w:r>
              <w:rPr>
                <w:rFonts w:hint="eastAsia" w:ascii="宋体" w:hAnsi="宋体" w:cs="宋体"/>
                <w:spacing w:val="-52"/>
                <w:sz w:val="24"/>
                <w:highlight w:val="none"/>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8"/>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bookmarkStart w:id="704" w:name="OLE_LINK6"/>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bookmarkEnd w:id="704"/>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705" w:name="_Toc5513"/>
      <w:r>
        <w:rPr>
          <w:rFonts w:hint="eastAsia" w:ascii="宋体" w:hAnsi="宋体" w:cs="宋体"/>
          <w:b/>
          <w:sz w:val="36"/>
          <w:szCs w:val="36"/>
        </w:rPr>
        <w:t xml:space="preserve">第四章   </w:t>
      </w:r>
      <w:bookmarkEnd w:id="692"/>
      <w:bookmarkEnd w:id="693"/>
      <w:bookmarkEnd w:id="694"/>
      <w:bookmarkEnd w:id="695"/>
      <w:bookmarkEnd w:id="696"/>
      <w:bookmarkStart w:id="706" w:name="_Hlt164229061"/>
      <w:bookmarkEnd w:id="706"/>
      <w:r>
        <w:rPr>
          <w:rFonts w:hint="eastAsia" w:ascii="宋体" w:hAnsi="宋体" w:cs="宋体"/>
          <w:b/>
          <w:sz w:val="36"/>
          <w:szCs w:val="36"/>
        </w:rPr>
        <w:t>评标程序、评标方法和评标标准</w:t>
      </w:r>
      <w:bookmarkEnd w:id="705"/>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707" w:name="_Toc226309785"/>
      <w:bookmarkStart w:id="708" w:name="_Toc142311043"/>
      <w:bookmarkStart w:id="709" w:name="_Toc151193783"/>
      <w:bookmarkStart w:id="710" w:name="_Toc127151742"/>
      <w:bookmarkStart w:id="711" w:name="_Toc151193855"/>
      <w:bookmarkStart w:id="712" w:name="_Toc164608810"/>
      <w:bookmarkStart w:id="713" w:name="_Toc151193711"/>
      <w:bookmarkStart w:id="714" w:name="_Toc151193929"/>
      <w:bookmarkStart w:id="715" w:name="_Toc149720834"/>
      <w:bookmarkStart w:id="716" w:name="_Toc150509292"/>
      <w:bookmarkStart w:id="717" w:name="_Toc226337237"/>
      <w:bookmarkStart w:id="718" w:name="_Toc164229382"/>
      <w:bookmarkStart w:id="719" w:name="_Toc164229236"/>
      <w:bookmarkStart w:id="720" w:name="_Toc195842906"/>
      <w:bookmarkStart w:id="721" w:name="_Toc150774746"/>
      <w:bookmarkStart w:id="722" w:name="_Toc265228379"/>
      <w:bookmarkStart w:id="723" w:name="_Toc164608655"/>
      <w:bookmarkStart w:id="724" w:name="_Toc151193639"/>
      <w:bookmarkStart w:id="725" w:name="_Toc305158809"/>
      <w:bookmarkStart w:id="726" w:name="_Toc226965814"/>
      <w:bookmarkStart w:id="727" w:name="_Toc150480779"/>
      <w:bookmarkStart w:id="728" w:name="_Toc226965731"/>
      <w:bookmarkStart w:id="729" w:name="_Toc150774641"/>
      <w:bookmarkStart w:id="730" w:name="_Toc164351635"/>
      <w:bookmarkStart w:id="731" w:name="_Toc127161455"/>
      <w:bookmarkStart w:id="732" w:name="_Toc151190168"/>
      <w:bookmarkStart w:id="733" w:name="_Toc127151541"/>
      <w:bookmarkStart w:id="734" w:name="_Toc264969231"/>
      <w:bookmarkStart w:id="735" w:name="_Toc305158883"/>
      <w:bookmarkStart w:id="736" w:name="_Toc353873941"/>
      <w:bookmarkStart w:id="737" w:name="_Toc353825551"/>
      <w:bookmarkStart w:id="738" w:name="_Toc195842920"/>
      <w:bookmarkStart w:id="739" w:name="_Toc353873665"/>
      <w:bookmarkStart w:id="740" w:name="_Toc142311057"/>
      <w:bookmarkStart w:id="741" w:name="_Toc150774760"/>
      <w:bookmarkStart w:id="742" w:name="_Toc226337251"/>
      <w:bookmarkStart w:id="743" w:name="_Toc226965828"/>
      <w:bookmarkStart w:id="744" w:name="_Toc264969245"/>
      <w:bookmarkStart w:id="745" w:name="_Toc150480793"/>
      <w:bookmarkStart w:id="746" w:name="_Toc353825545"/>
      <w:bookmarkStart w:id="747" w:name="_Toc353873935"/>
      <w:bookmarkStart w:id="748" w:name="_Toc127151555"/>
      <w:bookmarkStart w:id="749" w:name="_Toc265228393"/>
      <w:bookmarkStart w:id="750" w:name="_Toc305158897"/>
      <w:bookmarkStart w:id="751" w:name="_Toc305158823"/>
      <w:r>
        <w:rPr>
          <w:rFonts w:hint="eastAsia" w:ascii="宋体" w:hAnsi="宋体" w:cs="宋体"/>
          <w:sz w:val="24"/>
        </w:rPr>
        <w:t>投标文件的符合性审查</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52"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5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bookmarkStart w:id="753" w:name="OLE_LINK20"/>
            <w:r>
              <w:rPr>
                <w:rFonts w:hint="eastAsia" w:ascii="宋体" w:hAnsi="宋体" w:cs="宋体"/>
                <w:color w:val="000000"/>
                <w:kern w:val="0"/>
                <w:sz w:val="24"/>
              </w:rPr>
              <w:t>按招标文件要求提供授权委托书；</w:t>
            </w:r>
            <w:bookmarkEnd w:id="753"/>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bookmarkStart w:id="754" w:name="OLE_LINK7"/>
            <w:r>
              <w:rPr>
                <w:rFonts w:hint="eastAsia" w:ascii="宋体" w:hAnsi="宋体" w:cs="宋体"/>
                <w:color w:val="auto"/>
                <w:kern w:val="0"/>
                <w:sz w:val="24"/>
              </w:rPr>
              <w:t>投标完整性</w:t>
            </w:r>
            <w:bookmarkEnd w:id="754"/>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bookmarkStart w:id="755" w:name="OLE_LINK8"/>
            <w:r>
              <w:rPr>
                <w:rFonts w:hint="eastAsia" w:ascii="宋体" w:hAnsi="宋体" w:cs="宋体"/>
                <w:color w:val="auto"/>
                <w:kern w:val="0"/>
                <w:sz w:val="24"/>
              </w:rPr>
              <w:t>报价唯一性</w:t>
            </w:r>
            <w:bookmarkEnd w:id="755"/>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bookmarkStart w:id="756" w:name="OLE_LINK9"/>
            <w:r>
              <w:rPr>
                <w:rFonts w:hint="eastAsia" w:ascii="宋体" w:hAnsi="宋体" w:cs="宋体"/>
                <w:color w:val="auto"/>
                <w:kern w:val="0"/>
                <w:sz w:val="24"/>
              </w:rPr>
              <w:t>★号条款响应</w:t>
            </w:r>
            <w:bookmarkEnd w:id="756"/>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8"/>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line="360" w:lineRule="auto"/>
              <w:rPr>
                <w:rFonts w:hint="eastAsia" w:ascii="宋体" w:hAnsi="宋体" w:eastAsia="宋体" w:cs="宋体"/>
                <w:sz w:val="24"/>
                <w:szCs w:val="24"/>
              </w:rPr>
            </w:pPr>
          </w:p>
          <w:p>
            <w:pPr>
              <w:pStyle w:val="268"/>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8"/>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bookmarkStart w:id="757" w:name="OLE_LINK27"/>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bookmarkEnd w:id="757"/>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bookmarkStart w:id="758" w:name="OLE_LINK21"/>
            <w:r>
              <w:rPr>
                <w:rFonts w:hint="eastAsia" w:ascii="宋体" w:hAnsi="宋体" w:cs="宋体"/>
                <w:color w:val="000000"/>
                <w:sz w:val="24"/>
              </w:rPr>
              <w:t>投标人、投标文件不存在不符合法律、法规和招标文件规定的其他无效情形。</w:t>
            </w:r>
            <w:bookmarkEnd w:id="758"/>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36"/>
      <w:bookmarkEnd w:id="73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59" w:name="_Toc305158888"/>
      <w:bookmarkStart w:id="760" w:name="_Ref467307010"/>
      <w:bookmarkStart w:id="761" w:name="_Toc150774751"/>
      <w:bookmarkStart w:id="762" w:name="_Toc226337242"/>
      <w:bookmarkStart w:id="763" w:name="_Toc151190173"/>
      <w:bookmarkStart w:id="764" w:name="_Toc149720839"/>
      <w:bookmarkStart w:id="765" w:name="_Toc305158814"/>
      <w:bookmarkStart w:id="766" w:name="_Toc265228384"/>
      <w:bookmarkStart w:id="767" w:name="_Toc127161460"/>
      <w:bookmarkStart w:id="768" w:name="_Toc226309790"/>
      <w:bookmarkStart w:id="769" w:name="_Toc142311048"/>
      <w:bookmarkStart w:id="770" w:name="_Toc226965819"/>
      <w:bookmarkStart w:id="771" w:name="_Toc520356170"/>
      <w:bookmarkStart w:id="772" w:name="_Toc127151546"/>
      <w:bookmarkStart w:id="773" w:name="_Toc164608815"/>
      <w:bookmarkStart w:id="774" w:name="_Toc226965736"/>
      <w:bookmarkStart w:id="775" w:name="_Toc151193716"/>
      <w:bookmarkStart w:id="776" w:name="_Toc264969236"/>
      <w:bookmarkStart w:id="777" w:name="_Toc151193644"/>
      <w:bookmarkStart w:id="778" w:name="_Toc164229241"/>
      <w:bookmarkStart w:id="779" w:name="_Toc151193934"/>
      <w:bookmarkStart w:id="780" w:name="_Toc150774646"/>
      <w:bookmarkStart w:id="781" w:name="_Toc150480784"/>
      <w:bookmarkStart w:id="782" w:name="_Toc151193860"/>
      <w:bookmarkStart w:id="783" w:name="_Toc127151747"/>
      <w:bookmarkStart w:id="784" w:name="_Toc150509297"/>
      <w:bookmarkStart w:id="785" w:name="_Toc151193788"/>
      <w:bookmarkStart w:id="786" w:name="_Toc164229387"/>
      <w:bookmarkStart w:id="787" w:name="_Toc195842911"/>
      <w:bookmarkStart w:id="788" w:name="_Toc164351640"/>
      <w:bookmarkStart w:id="789" w:name="_Toc164608660"/>
      <w:r>
        <w:rPr>
          <w:rFonts w:hint="eastAsia" w:ascii="宋体" w:hAnsi="宋体" w:cs="宋体"/>
          <w:sz w:val="24"/>
        </w:rPr>
        <w:t>中标候选人名单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highlight w:val="none"/>
        </w:rPr>
      </w:pPr>
      <w:r>
        <w:rPr>
          <w:rFonts w:hint="eastAsia" w:ascii="宋体" w:hAnsi="宋体" w:cs="宋体"/>
          <w:b/>
          <w:sz w:val="24"/>
        </w:rPr>
        <w:br w:type="page"/>
      </w:r>
      <w:r>
        <w:rPr>
          <w:rFonts w:hint="eastAsia" w:ascii="宋体" w:hAnsi="宋体" w:cs="宋体"/>
          <w:b/>
          <w:sz w:val="24"/>
          <w:highlight w:val="none"/>
        </w:rPr>
        <w:t>二、评标标准</w:t>
      </w:r>
    </w:p>
    <w:tbl>
      <w:tblPr>
        <w:tblStyle w:val="59"/>
        <w:tblW w:w="9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41"/>
        <w:gridCol w:w="1896"/>
        <w:gridCol w:w="845"/>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3" w:type="dxa"/>
            <w:vAlign w:val="center"/>
          </w:tcPr>
          <w:p>
            <w:pPr>
              <w:widowControl/>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41" w:type="dxa"/>
            <w:vAlign w:val="center"/>
          </w:tcPr>
          <w:p>
            <w:pPr>
              <w:widowControl/>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7592" w:type="dxa"/>
            <w:gridSpan w:val="3"/>
            <w:vAlign w:val="center"/>
          </w:tcPr>
          <w:p>
            <w:pPr>
              <w:widowControl/>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553" w:type="dxa"/>
            <w:vAlign w:val="center"/>
          </w:tcPr>
          <w:p>
            <w:pPr>
              <w:widowControl/>
              <w:spacing w:line="276" w:lineRule="auto"/>
              <w:jc w:val="center"/>
              <w:rPr>
                <w:rFonts w:hint="eastAsia" w:ascii="宋体" w:hAnsi="宋体" w:eastAsia="宋体" w:cs="宋体"/>
                <w:b/>
                <w:bCs/>
                <w:sz w:val="24"/>
                <w:szCs w:val="24"/>
              </w:rPr>
            </w:pPr>
            <w:r>
              <w:rPr>
                <w:rFonts w:hint="eastAsia" w:ascii="宋体" w:hAnsi="宋体" w:eastAsia="宋体" w:cs="宋体"/>
                <w:b w:val="0"/>
                <w:bCs w:val="0"/>
                <w:sz w:val="24"/>
                <w:szCs w:val="24"/>
              </w:rPr>
              <w:t>1</w:t>
            </w:r>
          </w:p>
        </w:tc>
        <w:tc>
          <w:tcPr>
            <w:tcW w:w="1241" w:type="dxa"/>
            <w:vAlign w:val="center"/>
          </w:tcPr>
          <w:p>
            <w:pPr>
              <w:widowControl/>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价格</w:t>
            </w:r>
          </w:p>
          <w:p>
            <w:pPr>
              <w:widowControl/>
              <w:spacing w:line="276" w:lineRule="auto"/>
              <w:jc w:val="center"/>
              <w:rPr>
                <w:rFonts w:hint="eastAsia" w:ascii="宋体" w:hAnsi="宋体" w:eastAsia="宋体" w:cs="宋体"/>
                <w:b/>
                <w:bCs/>
                <w:sz w:val="24"/>
                <w:szCs w:val="24"/>
              </w:rPr>
            </w:pPr>
            <w:r>
              <w:rPr>
                <w:rFonts w:hint="eastAsia" w:ascii="宋体" w:hAnsi="宋体" w:eastAsia="宋体" w:cs="宋体"/>
                <w:sz w:val="24"/>
                <w:szCs w:val="24"/>
              </w:rPr>
              <w:t>（10分）</w:t>
            </w:r>
          </w:p>
        </w:tc>
        <w:tc>
          <w:tcPr>
            <w:tcW w:w="7592" w:type="dxa"/>
            <w:gridSpan w:val="3"/>
            <w:vAlign w:val="center"/>
          </w:tcPr>
          <w:p>
            <w:pPr>
              <w:pStyle w:val="16"/>
              <w:rPr>
                <w:rFonts w:hint="eastAsia" w:ascii="宋体" w:hAnsi="宋体" w:eastAsia="宋体" w:cs="宋体"/>
                <w:sz w:val="24"/>
                <w:szCs w:val="24"/>
              </w:rPr>
            </w:pPr>
            <w:r>
              <w:rPr>
                <w:rFonts w:hint="eastAsia" w:ascii="宋体" w:hAnsi="宋体" w:eastAsia="宋体" w:cs="宋体"/>
                <w:sz w:val="24"/>
                <w:szCs w:val="24"/>
              </w:rPr>
              <w:t>各投标人的价格得分：（评标基准价/评标价）×价格权重（10%）×100</w:t>
            </w:r>
          </w:p>
          <w:p>
            <w:pPr>
              <w:pStyle w:val="16"/>
              <w:rPr>
                <w:rFonts w:hint="eastAsia" w:ascii="宋体" w:hAnsi="宋体" w:eastAsia="宋体" w:cs="宋体"/>
                <w:sz w:val="24"/>
                <w:szCs w:val="24"/>
              </w:rPr>
            </w:pPr>
            <w:r>
              <w:rPr>
                <w:rFonts w:hint="eastAsia" w:ascii="宋体" w:hAnsi="宋体" w:eastAsia="宋体" w:cs="宋体"/>
                <w:sz w:val="24"/>
                <w:szCs w:val="24"/>
              </w:rPr>
              <w:t>（注：1.实质性响应招标文件要求且最低评标价为评标基准价</w:t>
            </w:r>
            <w:r>
              <w:rPr>
                <w:rFonts w:hint="eastAsia" w:ascii="宋体" w:hAnsi="宋体" w:cs="宋体"/>
                <w:sz w:val="24"/>
                <w:szCs w:val="24"/>
                <w:lang w:eastAsia="zh-CN"/>
              </w:rPr>
              <w:t>；</w:t>
            </w:r>
            <w:r>
              <w:rPr>
                <w:rFonts w:hint="eastAsia" w:ascii="宋体" w:hAnsi="宋体" w:eastAsia="宋体" w:cs="宋体"/>
                <w:sz w:val="24"/>
                <w:szCs w:val="24"/>
              </w:rPr>
              <w:t>2.投标人报价低于成本的除外。）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553" w:type="dxa"/>
            <w:vMerge w:val="restart"/>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241" w:type="dxa"/>
            <w:vMerge w:val="restart"/>
            <w:vAlign w:val="center"/>
          </w:tcPr>
          <w:p>
            <w:pPr>
              <w:widowControl/>
              <w:spacing w:line="340" w:lineRule="exact"/>
              <w:jc w:val="center"/>
              <w:rPr>
                <w:rFonts w:hint="eastAsia" w:ascii="宋体" w:hAnsi="宋体" w:eastAsia="宋体" w:cs="宋体"/>
                <w:sz w:val="24"/>
                <w:szCs w:val="24"/>
              </w:rPr>
            </w:pPr>
            <w:bookmarkStart w:id="790" w:name="OLE_LINK2"/>
            <w:r>
              <w:rPr>
                <w:rFonts w:hint="eastAsia" w:ascii="宋体" w:hAnsi="宋体" w:eastAsia="宋体" w:cs="宋体"/>
                <w:sz w:val="24"/>
                <w:szCs w:val="24"/>
                <w:lang w:eastAsia="zh-CN"/>
              </w:rPr>
              <w:t>技术及</w:t>
            </w:r>
            <w:r>
              <w:rPr>
                <w:rFonts w:hint="eastAsia" w:ascii="宋体" w:hAnsi="宋体" w:eastAsia="宋体" w:cs="宋体"/>
                <w:sz w:val="24"/>
                <w:szCs w:val="24"/>
              </w:rPr>
              <w:t>服务方案</w:t>
            </w:r>
            <w:bookmarkEnd w:id="790"/>
            <w:r>
              <w:rPr>
                <w:rFonts w:hint="eastAsia" w:ascii="宋体" w:hAnsi="宋体" w:eastAsia="宋体" w:cs="宋体"/>
                <w:sz w:val="24"/>
                <w:szCs w:val="24"/>
              </w:rPr>
              <w:t>（</w:t>
            </w:r>
            <w:r>
              <w:rPr>
                <w:rFonts w:hint="eastAsia" w:ascii="宋体" w:hAnsi="宋体" w:eastAsia="宋体" w:cs="宋体"/>
                <w:sz w:val="24"/>
                <w:szCs w:val="24"/>
                <w:lang w:val="en-US" w:eastAsia="zh-CN"/>
              </w:rPr>
              <w:t>65</w:t>
            </w:r>
            <w:r>
              <w:rPr>
                <w:rFonts w:hint="eastAsia" w:ascii="宋体" w:hAnsi="宋体" w:eastAsia="宋体" w:cs="宋体"/>
                <w:sz w:val="24"/>
                <w:szCs w:val="24"/>
              </w:rPr>
              <w:t>分）</w:t>
            </w:r>
          </w:p>
        </w:tc>
        <w:tc>
          <w:tcPr>
            <w:tcW w:w="1896" w:type="dxa"/>
            <w:vAlign w:val="center"/>
          </w:tcPr>
          <w:p>
            <w:pPr>
              <w:spacing w:line="340" w:lineRule="exact"/>
              <w:jc w:val="center"/>
              <w:rPr>
                <w:rFonts w:hint="eastAsia" w:ascii="宋体" w:hAnsi="宋体" w:eastAsia="宋体" w:cs="宋体"/>
                <w:sz w:val="24"/>
                <w:szCs w:val="24"/>
              </w:rPr>
            </w:pPr>
            <w:r>
              <w:rPr>
                <w:rFonts w:hint="eastAsia" w:ascii="宋体" w:hAnsi="宋体" w:eastAsia="宋体" w:cs="宋体"/>
                <w:position w:val="-1"/>
                <w:sz w:val="24"/>
                <w:szCs w:val="24"/>
              </w:rPr>
              <w:t>项目服务特点、难点分析及相应措施</w:t>
            </w:r>
          </w:p>
        </w:tc>
        <w:tc>
          <w:tcPr>
            <w:tcW w:w="845" w:type="dxa"/>
            <w:vAlign w:val="center"/>
          </w:tcPr>
          <w:p>
            <w:pPr>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4851" w:type="dxa"/>
            <w:vAlign w:val="center"/>
          </w:tcPr>
          <w:p>
            <w:pPr>
              <w:spacing w:line="340" w:lineRule="exact"/>
              <w:rPr>
                <w:rFonts w:hint="eastAsia" w:ascii="宋体" w:hAnsi="宋体" w:eastAsia="宋体" w:cs="宋体"/>
                <w:sz w:val="24"/>
                <w:szCs w:val="24"/>
              </w:rPr>
            </w:pPr>
            <w:r>
              <w:rPr>
                <w:rFonts w:hint="eastAsia" w:ascii="宋体" w:hAnsi="宋体" w:eastAsia="宋体" w:cs="宋体"/>
                <w:color w:val="000000"/>
                <w:sz w:val="24"/>
                <w:szCs w:val="24"/>
                <w:highlight w:val="none"/>
              </w:rPr>
              <w:t>针对本项目的服务特点、难点</w:t>
            </w:r>
            <w:r>
              <w:rPr>
                <w:rFonts w:hint="eastAsia" w:ascii="宋体" w:hAnsi="宋体" w:eastAsia="宋体" w:cs="宋体"/>
                <w:color w:val="000000"/>
                <w:sz w:val="24"/>
                <w:szCs w:val="24"/>
                <w:highlight w:val="none"/>
                <w:lang w:eastAsia="zh-CN"/>
              </w:rPr>
              <w:t>进行</w:t>
            </w:r>
            <w:r>
              <w:rPr>
                <w:rFonts w:hint="eastAsia" w:ascii="宋体" w:hAnsi="宋体" w:eastAsia="宋体" w:cs="宋体"/>
                <w:color w:val="000000"/>
                <w:sz w:val="24"/>
                <w:szCs w:val="24"/>
                <w:highlight w:val="none"/>
              </w:rPr>
              <w:t>分析</w:t>
            </w:r>
            <w:r>
              <w:rPr>
                <w:rFonts w:hint="eastAsia" w:ascii="宋体" w:hAnsi="宋体" w:eastAsia="宋体" w:cs="宋体"/>
                <w:color w:val="000000"/>
                <w:sz w:val="24"/>
                <w:szCs w:val="24"/>
                <w:highlight w:val="none"/>
                <w:lang w:eastAsia="zh-CN"/>
              </w:rPr>
              <w:t>并提出</w:t>
            </w:r>
            <w:r>
              <w:rPr>
                <w:rFonts w:hint="eastAsia" w:ascii="宋体" w:hAnsi="宋体" w:eastAsia="宋体" w:cs="宋体"/>
                <w:color w:val="000000"/>
                <w:sz w:val="24"/>
                <w:szCs w:val="24"/>
                <w:highlight w:val="none"/>
              </w:rPr>
              <w:t>相应措施。服务特点、难点定位准确、分析合理、全面得</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分，较好</w:t>
            </w:r>
            <w:r>
              <w:rPr>
                <w:rFonts w:hint="eastAsia" w:ascii="宋体" w:hAnsi="宋体" w:eastAsia="宋体" w:cs="宋体"/>
                <w:color w:val="000000"/>
                <w:sz w:val="24"/>
                <w:szCs w:val="24"/>
                <w:highlight w:val="none"/>
                <w:lang w:eastAsia="zh-CN"/>
              </w:rPr>
              <w:t>得</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分，一般</w:t>
            </w:r>
            <w:r>
              <w:rPr>
                <w:rFonts w:hint="eastAsia" w:ascii="宋体" w:hAnsi="宋体" w:eastAsia="宋体" w:cs="宋体"/>
                <w:color w:val="000000"/>
                <w:sz w:val="24"/>
                <w:szCs w:val="24"/>
                <w:highlight w:val="none"/>
                <w:lang w:eastAsia="zh-CN"/>
              </w:rPr>
              <w:t>得</w:t>
            </w:r>
            <w:r>
              <w:rPr>
                <w:rFonts w:hint="eastAsia" w:ascii="宋体" w:hAnsi="宋体" w:eastAsia="宋体" w:cs="宋体"/>
                <w:color w:val="000000"/>
                <w:sz w:val="24"/>
                <w:szCs w:val="24"/>
                <w:highlight w:val="none"/>
              </w:rPr>
              <w:t>4分，较差或无得0分。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0" w:hRule="atLeast"/>
          <w:jc w:val="center"/>
        </w:trPr>
        <w:tc>
          <w:tcPr>
            <w:tcW w:w="553" w:type="dxa"/>
            <w:vMerge w:val="continue"/>
            <w:vAlign w:val="center"/>
          </w:tcPr>
          <w:p>
            <w:pPr>
              <w:widowControl/>
              <w:spacing w:line="340" w:lineRule="exact"/>
              <w:rPr>
                <w:rFonts w:hint="eastAsia" w:ascii="宋体" w:hAnsi="宋体" w:eastAsia="宋体" w:cs="宋体"/>
                <w:sz w:val="24"/>
                <w:szCs w:val="24"/>
              </w:rPr>
            </w:pPr>
          </w:p>
        </w:tc>
        <w:tc>
          <w:tcPr>
            <w:tcW w:w="1241" w:type="dxa"/>
            <w:vMerge w:val="continue"/>
            <w:vAlign w:val="center"/>
          </w:tcPr>
          <w:p>
            <w:pPr>
              <w:spacing w:line="340" w:lineRule="exact"/>
              <w:rPr>
                <w:rFonts w:hint="eastAsia" w:ascii="宋体" w:hAnsi="宋体" w:eastAsia="宋体" w:cs="宋体"/>
                <w:sz w:val="24"/>
                <w:szCs w:val="24"/>
              </w:rPr>
            </w:pPr>
          </w:p>
        </w:tc>
        <w:tc>
          <w:tcPr>
            <w:tcW w:w="1896" w:type="dxa"/>
            <w:vAlign w:val="center"/>
          </w:tcPr>
          <w:p>
            <w:pPr>
              <w:widowControl/>
              <w:spacing w:line="340" w:lineRule="exact"/>
              <w:jc w:val="center"/>
              <w:rPr>
                <w:rFonts w:hint="eastAsia" w:ascii="宋体" w:hAnsi="宋体" w:eastAsia="宋体" w:cs="宋体"/>
                <w:position w:val="-1"/>
                <w:sz w:val="24"/>
                <w:szCs w:val="24"/>
              </w:rPr>
            </w:pPr>
            <w:r>
              <w:rPr>
                <w:rFonts w:hint="eastAsia" w:ascii="宋体" w:hAnsi="宋体" w:eastAsia="宋体" w:cs="宋体"/>
                <w:sz w:val="24"/>
                <w:szCs w:val="24"/>
              </w:rPr>
              <w:t>针对本项目的重点工作方案</w:t>
            </w:r>
          </w:p>
        </w:tc>
        <w:tc>
          <w:tcPr>
            <w:tcW w:w="845" w:type="dxa"/>
            <w:vMerge w:val="restart"/>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分</w:t>
            </w:r>
          </w:p>
        </w:tc>
        <w:tc>
          <w:tcPr>
            <w:tcW w:w="4851" w:type="dxa"/>
            <w:vAlign w:val="top"/>
          </w:tcPr>
          <w:p>
            <w:pPr>
              <w:spacing w:line="340" w:lineRule="exact"/>
              <w:rPr>
                <w:rFonts w:hint="eastAsia" w:ascii="宋体" w:hAnsi="宋体" w:eastAsia="宋体" w:cs="宋体"/>
                <w:color w:val="000000"/>
                <w:sz w:val="24"/>
                <w:szCs w:val="24"/>
                <w:highlight w:val="none"/>
              </w:rPr>
            </w:pPr>
            <w:bookmarkStart w:id="791" w:name="OLE_LINK22"/>
            <w:bookmarkStart w:id="792" w:name="OLE_LINK32"/>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人员招收及稳定性措施：提交人员招收、招聘来源情况及人员稳定性保障措施得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仅</w:t>
            </w:r>
            <w:r>
              <w:rPr>
                <w:rFonts w:hint="eastAsia" w:ascii="宋体" w:hAnsi="宋体" w:eastAsia="宋体" w:cs="宋体"/>
                <w:color w:val="000000"/>
                <w:sz w:val="24"/>
                <w:szCs w:val="24"/>
                <w:highlight w:val="none"/>
              </w:rPr>
              <w:t>提供有关协议或合作证明得1分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不提交不得分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bookmarkEnd w:id="791"/>
          <w:p>
            <w:pPr>
              <w:spacing w:line="340" w:lineRule="exact"/>
              <w:rPr>
                <w:rFonts w:hint="eastAsia" w:ascii="宋体" w:hAnsi="宋体" w:eastAsia="宋体" w:cs="宋体"/>
                <w:color w:val="000000"/>
                <w:sz w:val="24"/>
                <w:szCs w:val="24"/>
                <w:highlight w:val="none"/>
              </w:rPr>
            </w:pPr>
            <w:bookmarkStart w:id="793" w:name="OLE_LINK28"/>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项目整体服务策划：项目的管理模式及运作方法科学、适用得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一般得1分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较差或无得0分。</w:t>
            </w:r>
          </w:p>
          <w:bookmarkEnd w:id="793"/>
          <w:p>
            <w:pPr>
              <w:spacing w:line="340" w:lineRule="exact"/>
              <w:rPr>
                <w:rFonts w:hint="eastAsia" w:ascii="宋体" w:hAnsi="宋体" w:eastAsia="宋体" w:cs="宋体"/>
                <w:color w:val="000000"/>
                <w:sz w:val="24"/>
                <w:szCs w:val="24"/>
                <w:highlight w:val="none"/>
              </w:rPr>
            </w:pPr>
            <w:bookmarkStart w:id="794" w:name="OLE_LINK29"/>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对本项目的接管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进驻</w:t>
            </w:r>
            <w:r>
              <w:rPr>
                <w:rFonts w:hint="eastAsia" w:ascii="宋体" w:hAnsi="宋体" w:eastAsia="宋体" w:cs="宋体"/>
                <w:color w:val="000000"/>
                <w:sz w:val="24"/>
                <w:szCs w:val="24"/>
                <w:highlight w:val="none"/>
              </w:rPr>
              <w:t>方案：针对本项目提出接管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进驻</w:t>
            </w:r>
            <w:r>
              <w:rPr>
                <w:rFonts w:hint="eastAsia" w:ascii="宋体" w:hAnsi="宋体" w:eastAsia="宋体" w:cs="宋体"/>
                <w:color w:val="000000"/>
                <w:sz w:val="24"/>
                <w:szCs w:val="24"/>
                <w:highlight w:val="none"/>
              </w:rPr>
              <w:t>方案，科学、合理得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一般得1分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较差或无得0分。</w:t>
            </w:r>
          </w:p>
          <w:bookmarkEnd w:id="794"/>
          <w:p>
            <w:pPr>
              <w:spacing w:line="340" w:lineRule="exact"/>
              <w:rPr>
                <w:rFonts w:hint="eastAsia" w:ascii="宋体" w:hAnsi="宋体" w:eastAsia="宋体" w:cs="宋体"/>
                <w:sz w:val="24"/>
                <w:szCs w:val="24"/>
              </w:rPr>
            </w:pPr>
            <w:bookmarkStart w:id="795" w:name="OLE_LINK30"/>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投入本项目的物资装备：投入本项目的物资装备科学合理，符合要求得3分；一般得1分；较差或无得0分</w:t>
            </w:r>
            <w:r>
              <w:rPr>
                <w:rFonts w:hint="eastAsia" w:ascii="宋体" w:hAnsi="宋体" w:eastAsia="宋体" w:cs="宋体"/>
                <w:kern w:val="2"/>
                <w:sz w:val="24"/>
                <w:szCs w:val="24"/>
                <w:lang w:val="en-US" w:eastAsia="zh-CN" w:bidi="ar-SA"/>
              </w:rPr>
              <w:t>。</w:t>
            </w:r>
            <w:bookmarkEnd w:id="792"/>
            <w:bookmarkEnd w:id="7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jc w:val="center"/>
        </w:trPr>
        <w:tc>
          <w:tcPr>
            <w:tcW w:w="553" w:type="dxa"/>
            <w:vMerge w:val="continue"/>
            <w:vAlign w:val="center"/>
          </w:tcPr>
          <w:p>
            <w:pPr>
              <w:widowControl/>
              <w:spacing w:line="340" w:lineRule="exact"/>
              <w:rPr>
                <w:rFonts w:hint="eastAsia" w:ascii="宋体" w:hAnsi="宋体" w:eastAsia="宋体" w:cs="宋体"/>
                <w:sz w:val="24"/>
                <w:szCs w:val="24"/>
              </w:rPr>
            </w:pPr>
          </w:p>
        </w:tc>
        <w:tc>
          <w:tcPr>
            <w:tcW w:w="1241" w:type="dxa"/>
            <w:vMerge w:val="continue"/>
            <w:vAlign w:val="center"/>
          </w:tcPr>
          <w:p>
            <w:pPr>
              <w:spacing w:line="340" w:lineRule="exact"/>
              <w:rPr>
                <w:rFonts w:hint="eastAsia" w:ascii="宋体" w:hAnsi="宋体" w:eastAsia="宋体" w:cs="宋体"/>
                <w:sz w:val="24"/>
                <w:szCs w:val="24"/>
              </w:rPr>
            </w:pPr>
          </w:p>
        </w:tc>
        <w:tc>
          <w:tcPr>
            <w:tcW w:w="1896"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position w:val="-1"/>
                <w:sz w:val="24"/>
                <w:szCs w:val="24"/>
              </w:rPr>
              <w:t>日常服务方案</w:t>
            </w:r>
          </w:p>
        </w:tc>
        <w:tc>
          <w:tcPr>
            <w:tcW w:w="845"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4851" w:type="dxa"/>
            <w:vAlign w:val="center"/>
          </w:tcPr>
          <w:p>
            <w:pPr>
              <w:numPr>
                <w:ilvl w:val="0"/>
                <w:numId w:val="0"/>
              </w:numPr>
              <w:jc w:val="left"/>
              <w:rPr>
                <w:rFonts w:hint="eastAsia" w:ascii="宋体" w:hAnsi="宋体" w:eastAsia="宋体" w:cs="宋体"/>
                <w:sz w:val="24"/>
                <w:szCs w:val="24"/>
              </w:rPr>
            </w:pPr>
            <w:bookmarkStart w:id="796" w:name="OLE_LINK33"/>
            <w:r>
              <w:rPr>
                <w:rFonts w:hint="eastAsia" w:ascii="宋体" w:hAnsi="宋体" w:eastAsia="宋体" w:cs="宋体"/>
                <w:sz w:val="24"/>
                <w:szCs w:val="24"/>
                <w:lang w:val="en-US" w:eastAsia="zh-CN"/>
              </w:rPr>
              <w:t>1.针对本项目的工作计划合理、可执行性强</w:t>
            </w:r>
            <w:r>
              <w:rPr>
                <w:rFonts w:hint="eastAsia" w:ascii="宋体" w:hAnsi="宋体" w:eastAsia="宋体" w:cs="宋体"/>
                <w:sz w:val="24"/>
                <w:szCs w:val="24"/>
              </w:rPr>
              <w:t>，完全满足或优于招标方需求得5分，基本满足招标方需求得3分，不满足招标方需求得0分；</w:t>
            </w:r>
          </w:p>
          <w:p>
            <w:pPr>
              <w:pStyle w:val="275"/>
              <w:numPr>
                <w:ilvl w:val="0"/>
                <w:numId w:val="0"/>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2.消防安全管理方案合理，完全满足或优于招标方需求得5分，基本满足招标方需求得3分，不满足招标方需求得0分；</w:t>
            </w:r>
          </w:p>
          <w:p>
            <w:pPr>
              <w:pStyle w:val="275"/>
              <w:numPr>
                <w:ilvl w:val="0"/>
                <w:numId w:val="0"/>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3.设备设施（包括但不限于供电、给排水、暖通等）管理方案合理，完全满足或优于招标方需求得5分，基本满足招标方需求得3分，不满足招标方需求得0分；</w:t>
            </w:r>
          </w:p>
          <w:p>
            <w:pPr>
              <w:pStyle w:val="275"/>
              <w:numPr>
                <w:ilvl w:val="0"/>
                <w:numId w:val="0"/>
              </w:numPr>
              <w:rPr>
                <w:rFonts w:hint="eastAsia" w:ascii="宋体" w:hAnsi="宋体" w:eastAsia="宋体" w:cs="宋体"/>
                <w:b w:val="0"/>
                <w:bCs w:val="0"/>
                <w:kern w:val="2"/>
                <w:sz w:val="24"/>
                <w:szCs w:val="24"/>
                <w:lang w:val="en-US" w:eastAsia="zh-CN" w:bidi="ar-SA"/>
              </w:rPr>
            </w:pPr>
            <w:r>
              <w:rPr>
                <w:rFonts w:hint="eastAsia" w:ascii="宋体" w:hAnsi="宋体" w:eastAsia="宋体" w:cs="宋体"/>
                <w:kern w:val="2"/>
                <w:sz w:val="24"/>
                <w:szCs w:val="24"/>
                <w:lang w:val="en-US" w:eastAsia="zh-CN" w:bidi="ar-SA"/>
              </w:rPr>
              <w:t>4.重点区域</w:t>
            </w:r>
            <w:r>
              <w:rPr>
                <w:rFonts w:hint="eastAsia" w:ascii="宋体" w:hAnsi="宋体" w:cs="宋体"/>
                <w:kern w:val="2"/>
                <w:sz w:val="24"/>
                <w:szCs w:val="24"/>
                <w:lang w:val="en-US" w:eastAsia="zh-CN" w:bidi="ar-SA"/>
              </w:rPr>
              <w:t>秩序维护</w:t>
            </w:r>
            <w:r>
              <w:rPr>
                <w:rFonts w:hint="eastAsia" w:ascii="宋体" w:hAnsi="宋体" w:eastAsia="宋体" w:cs="宋体"/>
                <w:kern w:val="2"/>
                <w:sz w:val="24"/>
                <w:szCs w:val="24"/>
                <w:lang w:val="en-US" w:eastAsia="zh-CN" w:bidi="ar-SA"/>
              </w:rPr>
              <w:t>方案、服务方案科学合理，完全满足或优于招标方需求得5分，基本满足招标方需求得</w:t>
            </w:r>
            <w:r>
              <w:rPr>
                <w:rFonts w:hint="eastAsia" w:ascii="宋体" w:hAnsi="宋体" w:eastAsia="宋体" w:cs="宋体"/>
                <w:b w:val="0"/>
                <w:bCs w:val="0"/>
                <w:kern w:val="2"/>
                <w:sz w:val="24"/>
                <w:szCs w:val="24"/>
                <w:lang w:val="en-US" w:eastAsia="zh-CN" w:bidi="ar-SA"/>
              </w:rPr>
              <w:t>3分，不满足招标方需求得0分；</w:t>
            </w:r>
          </w:p>
          <w:p>
            <w:pPr>
              <w:pStyle w:val="275"/>
              <w:numPr>
                <w:ilvl w:val="0"/>
                <w:numId w:val="0"/>
              </w:num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5.重点岗位人员保障方案科学合理，完全满足或优于招标方需求得5分，基本满足招标方需求得3分，不满足招标方需求得0分；</w:t>
            </w:r>
          </w:p>
          <w:p>
            <w:pPr>
              <w:pStyle w:val="275"/>
              <w:numPr>
                <w:ilvl w:val="0"/>
                <w:numId w:val="0"/>
              </w:numPr>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6.环境卫生服务方案科学合理，完全满足或优于招标方需求得5分，基本满足招标方需求得3分，不满足招标方需求得0分。</w:t>
            </w:r>
            <w:bookmarkEnd w:id="7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5" w:hRule="atLeast"/>
          <w:jc w:val="center"/>
        </w:trPr>
        <w:tc>
          <w:tcPr>
            <w:tcW w:w="553" w:type="dxa"/>
            <w:vMerge w:val="continue"/>
            <w:vAlign w:val="center"/>
          </w:tcPr>
          <w:p>
            <w:pPr>
              <w:widowControl/>
              <w:spacing w:line="340" w:lineRule="exact"/>
              <w:rPr>
                <w:rFonts w:hint="eastAsia" w:ascii="宋体" w:hAnsi="宋体" w:eastAsia="宋体" w:cs="宋体"/>
                <w:sz w:val="24"/>
                <w:szCs w:val="24"/>
              </w:rPr>
            </w:pPr>
          </w:p>
        </w:tc>
        <w:tc>
          <w:tcPr>
            <w:tcW w:w="1241" w:type="dxa"/>
            <w:vMerge w:val="continue"/>
            <w:vAlign w:val="center"/>
          </w:tcPr>
          <w:p>
            <w:pPr>
              <w:spacing w:line="340" w:lineRule="exact"/>
              <w:rPr>
                <w:rFonts w:hint="eastAsia" w:ascii="宋体" w:hAnsi="宋体" w:eastAsia="宋体" w:cs="宋体"/>
                <w:sz w:val="24"/>
                <w:szCs w:val="24"/>
              </w:rPr>
            </w:pPr>
          </w:p>
        </w:tc>
        <w:tc>
          <w:tcPr>
            <w:tcW w:w="1896"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日常管理制度</w:t>
            </w:r>
          </w:p>
        </w:tc>
        <w:tc>
          <w:tcPr>
            <w:tcW w:w="845" w:type="dxa"/>
            <w:vMerge w:val="restart"/>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4851" w:type="dxa"/>
            <w:vAlign w:val="center"/>
          </w:tcPr>
          <w:p>
            <w:pPr>
              <w:widowControl/>
              <w:spacing w:line="340" w:lineRule="exact"/>
              <w:rPr>
                <w:rFonts w:hint="eastAsia" w:ascii="宋体" w:hAnsi="宋体" w:eastAsia="宋体" w:cs="宋体"/>
                <w:b w:val="0"/>
                <w:bCs w:val="0"/>
                <w:kern w:val="2"/>
                <w:sz w:val="24"/>
                <w:szCs w:val="24"/>
                <w:lang w:val="en-US" w:eastAsia="zh-CN" w:bidi="ar-SA"/>
              </w:rPr>
            </w:pPr>
            <w:bookmarkStart w:id="797" w:name="OLE_LINK34"/>
            <w:r>
              <w:rPr>
                <w:rFonts w:hint="eastAsia" w:ascii="宋体" w:hAnsi="宋体" w:eastAsia="宋体" w:cs="宋体"/>
                <w:b w:val="0"/>
                <w:bCs w:val="0"/>
                <w:kern w:val="2"/>
                <w:sz w:val="24"/>
                <w:szCs w:val="24"/>
                <w:lang w:val="en-US" w:eastAsia="zh-CN" w:bidi="ar-SA"/>
              </w:rPr>
              <w:t>1.日常人员考核、培训和管理制度：针对本项目的人员日常考核、培训和管理制度科学合理，完全满足或优于招标方需求得5分，基本满足招标方需求得3分，不满足招标方需求得0分。</w:t>
            </w:r>
          </w:p>
          <w:p>
            <w:pPr>
              <w:widowControl/>
              <w:spacing w:line="340" w:lineRule="exact"/>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2.日常管理和服务保障制度：针对本项目的日常管理制度和服务保障制度科学合理，完全满足或优于招标方需求得5分，基本满足招标方需求得3分，不满足招标方需求得0分。</w:t>
            </w:r>
            <w:bookmarkEnd w:id="7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0" w:hRule="atLeast"/>
          <w:jc w:val="center"/>
        </w:trPr>
        <w:tc>
          <w:tcPr>
            <w:tcW w:w="553" w:type="dxa"/>
            <w:vMerge w:val="continue"/>
            <w:vAlign w:val="center"/>
          </w:tcPr>
          <w:p>
            <w:pPr>
              <w:widowControl/>
              <w:spacing w:line="340" w:lineRule="exact"/>
              <w:rPr>
                <w:rFonts w:hint="eastAsia" w:ascii="宋体" w:hAnsi="宋体" w:eastAsia="宋体" w:cs="宋体"/>
                <w:sz w:val="24"/>
                <w:szCs w:val="24"/>
              </w:rPr>
            </w:pPr>
          </w:p>
        </w:tc>
        <w:tc>
          <w:tcPr>
            <w:tcW w:w="1241" w:type="dxa"/>
            <w:vMerge w:val="continue"/>
            <w:vAlign w:val="center"/>
          </w:tcPr>
          <w:p>
            <w:pPr>
              <w:spacing w:line="340" w:lineRule="exact"/>
              <w:rPr>
                <w:rFonts w:hint="eastAsia" w:ascii="宋体" w:hAnsi="宋体" w:eastAsia="宋体" w:cs="宋体"/>
                <w:sz w:val="24"/>
                <w:szCs w:val="24"/>
              </w:rPr>
            </w:pPr>
          </w:p>
        </w:tc>
        <w:tc>
          <w:tcPr>
            <w:tcW w:w="1896"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应急预案</w:t>
            </w:r>
          </w:p>
        </w:tc>
        <w:tc>
          <w:tcPr>
            <w:tcW w:w="845"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48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left"/>
              <w:textAlignment w:val="baseline"/>
              <w:outlineLvl w:val="9"/>
              <w:rPr>
                <w:sz w:val="24"/>
                <w:szCs w:val="24"/>
              </w:rPr>
            </w:pPr>
            <w:bookmarkStart w:id="798" w:name="OLE_LINK31"/>
            <w:r>
              <w:rPr>
                <w:rFonts w:hint="eastAsia" w:ascii="宋体" w:hAnsi="宋体" w:eastAsia="宋体" w:cs="宋体"/>
                <w:color w:val="000000"/>
                <w:kern w:val="0"/>
                <w:sz w:val="24"/>
                <w:szCs w:val="24"/>
                <w:lang w:val="en-US" w:eastAsia="zh-CN" w:bidi="ar"/>
              </w:rPr>
              <w:t xml:space="preserve">对投标人提供的应急预案进行综合评价。 </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left"/>
              <w:textAlignment w:val="baseline"/>
              <w:outlineLvl w:val="9"/>
              <w:rPr>
                <w:sz w:val="24"/>
                <w:szCs w:val="24"/>
              </w:rPr>
            </w:pPr>
            <w:r>
              <w:rPr>
                <w:rFonts w:hint="eastAsia" w:ascii="宋体" w:hAnsi="宋体" w:eastAsia="宋体" w:cs="宋体"/>
                <w:color w:val="000000"/>
                <w:kern w:val="0"/>
                <w:sz w:val="24"/>
                <w:szCs w:val="24"/>
                <w:lang w:val="en-US" w:eastAsia="zh-CN" w:bidi="ar"/>
              </w:rPr>
              <w:t>应急预案措施科学合理、有针对性和可操作性</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得</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left"/>
              <w:textAlignment w:val="baseline"/>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应急预案措施</w:t>
            </w:r>
            <w:r>
              <w:rPr>
                <w:rFonts w:hint="eastAsia" w:ascii="宋体" w:hAnsi="宋体" w:cs="宋体"/>
                <w:color w:val="000000"/>
                <w:kern w:val="0"/>
                <w:sz w:val="24"/>
                <w:szCs w:val="24"/>
                <w:lang w:val="en-US" w:eastAsia="zh-CN" w:bidi="ar"/>
              </w:rPr>
              <w:t>基本</w:t>
            </w:r>
            <w:r>
              <w:rPr>
                <w:rFonts w:hint="eastAsia" w:ascii="宋体" w:hAnsi="宋体" w:eastAsia="宋体" w:cs="宋体"/>
                <w:color w:val="000000"/>
                <w:kern w:val="0"/>
                <w:sz w:val="24"/>
                <w:szCs w:val="24"/>
                <w:lang w:val="en-US" w:eastAsia="zh-CN" w:bidi="ar"/>
              </w:rPr>
              <w:t>科学合理</w:t>
            </w:r>
            <w:r>
              <w:rPr>
                <w:rFonts w:hint="eastAsia" w:ascii="宋体" w:hAnsi="宋体" w:cs="宋体"/>
                <w:color w:val="000000"/>
                <w:kern w:val="0"/>
                <w:sz w:val="24"/>
                <w:szCs w:val="24"/>
                <w:lang w:val="en-US" w:eastAsia="zh-CN" w:bidi="ar"/>
              </w:rPr>
              <w:t>，有一定</w:t>
            </w:r>
            <w:r>
              <w:rPr>
                <w:rFonts w:hint="eastAsia" w:ascii="宋体" w:hAnsi="宋体" w:eastAsia="宋体" w:cs="宋体"/>
                <w:color w:val="000000"/>
                <w:kern w:val="0"/>
                <w:sz w:val="24"/>
                <w:szCs w:val="24"/>
                <w:lang w:val="en-US" w:eastAsia="zh-CN" w:bidi="ar"/>
              </w:rPr>
              <w:t>针对性和可操作性</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得</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left"/>
              <w:textAlignment w:val="baseline"/>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应急预案措施可操作性</w:t>
            </w:r>
            <w:r>
              <w:rPr>
                <w:rFonts w:hint="eastAsia" w:ascii="宋体" w:hAnsi="宋体" w:cs="宋体"/>
                <w:color w:val="000000"/>
                <w:kern w:val="0"/>
                <w:sz w:val="24"/>
                <w:szCs w:val="24"/>
                <w:lang w:val="en-US" w:eastAsia="zh-CN" w:bidi="ar"/>
              </w:rPr>
              <w:t>较差或无应急预案，</w:t>
            </w:r>
            <w:r>
              <w:rPr>
                <w:rFonts w:hint="eastAsia" w:ascii="宋体" w:hAnsi="宋体" w:eastAsia="宋体" w:cs="宋体"/>
                <w:color w:val="000000"/>
                <w:kern w:val="0"/>
                <w:sz w:val="24"/>
                <w:szCs w:val="24"/>
                <w:lang w:val="en-US" w:eastAsia="zh-CN" w:bidi="ar"/>
              </w:rPr>
              <w:t xml:space="preserve">得0分。 </w:t>
            </w:r>
            <w:bookmarkEnd w:id="7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6" w:hRule="atLeast"/>
          <w:jc w:val="center"/>
        </w:trPr>
        <w:tc>
          <w:tcPr>
            <w:tcW w:w="553" w:type="dxa"/>
            <w:vMerge w:val="restart"/>
            <w:vAlign w:val="center"/>
          </w:tcPr>
          <w:p>
            <w:pPr>
              <w:widowControl/>
              <w:spacing w:line="340" w:lineRule="exact"/>
              <w:rPr>
                <w:rFonts w:hint="eastAsia" w:ascii="宋体" w:hAnsi="宋体" w:eastAsia="宋体" w:cs="宋体"/>
                <w:sz w:val="24"/>
                <w:szCs w:val="24"/>
              </w:rPr>
            </w:pPr>
            <w:r>
              <w:rPr>
                <w:rFonts w:hint="eastAsia" w:ascii="宋体" w:hAnsi="宋体" w:eastAsia="宋体" w:cs="宋体"/>
                <w:sz w:val="24"/>
                <w:szCs w:val="24"/>
              </w:rPr>
              <w:t>3</w:t>
            </w:r>
          </w:p>
        </w:tc>
        <w:tc>
          <w:tcPr>
            <w:tcW w:w="1241" w:type="dxa"/>
            <w:vMerge w:val="restart"/>
            <w:vAlign w:val="center"/>
          </w:tcPr>
          <w:p>
            <w:pPr>
              <w:spacing w:line="340" w:lineRule="exact"/>
              <w:rPr>
                <w:rFonts w:hint="eastAsia" w:ascii="宋体" w:hAnsi="宋体" w:eastAsia="宋体" w:cs="宋体"/>
                <w:sz w:val="24"/>
                <w:szCs w:val="24"/>
              </w:rPr>
            </w:pPr>
            <w:bookmarkStart w:id="799" w:name="OLE_LINK36"/>
            <w:r>
              <w:rPr>
                <w:rFonts w:hint="eastAsia" w:ascii="宋体" w:hAnsi="宋体" w:eastAsia="宋体" w:cs="宋体"/>
                <w:sz w:val="24"/>
                <w:szCs w:val="24"/>
              </w:rPr>
              <w:t>服务团队</w:t>
            </w:r>
            <w:bookmarkEnd w:id="799"/>
          </w:p>
          <w:p>
            <w:pPr>
              <w:spacing w:line="34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1896" w:type="dxa"/>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组织机构及</w:t>
            </w:r>
            <w:r>
              <w:rPr>
                <w:rFonts w:hint="eastAsia" w:ascii="宋体" w:hAnsi="宋体" w:eastAsia="宋体" w:cs="宋体"/>
                <w:color w:val="000000"/>
                <w:sz w:val="24"/>
                <w:szCs w:val="24"/>
                <w:highlight w:val="none"/>
              </w:rPr>
              <w:t>人员配置</w:t>
            </w:r>
          </w:p>
        </w:tc>
        <w:tc>
          <w:tcPr>
            <w:tcW w:w="845"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4851" w:type="dxa"/>
            <w:vAlign w:val="center"/>
          </w:tcPr>
          <w:p>
            <w:pPr>
              <w:numPr>
                <w:ilvl w:val="0"/>
                <w:numId w:val="0"/>
              </w:num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有健全的项目组织机构</w:t>
            </w:r>
            <w:r>
              <w:rPr>
                <w:rFonts w:hint="eastAsia" w:ascii="宋体" w:hAnsi="宋体" w:eastAsia="宋体" w:cs="宋体"/>
                <w:sz w:val="24"/>
                <w:szCs w:val="24"/>
                <w:lang w:eastAsia="zh-CN"/>
              </w:rPr>
              <w:t>：</w:t>
            </w:r>
            <w:r>
              <w:rPr>
                <w:rFonts w:hint="eastAsia" w:ascii="宋体" w:hAnsi="宋体" w:eastAsia="宋体" w:cs="宋体"/>
                <w:sz w:val="24"/>
                <w:szCs w:val="24"/>
              </w:rPr>
              <w:t>人员岗位安排能够完全满足管理服务需求，人员选派标准及管理措施符合需求得</w:t>
            </w:r>
            <w:r>
              <w:rPr>
                <w:rFonts w:hint="eastAsia" w:ascii="宋体" w:hAnsi="宋体" w:eastAsia="宋体" w:cs="宋体"/>
                <w:sz w:val="24"/>
                <w:szCs w:val="24"/>
                <w:lang w:val="en-US" w:eastAsia="zh-CN"/>
              </w:rPr>
              <w:t>3</w:t>
            </w:r>
            <w:r>
              <w:rPr>
                <w:rFonts w:hint="eastAsia" w:ascii="宋体" w:hAnsi="宋体" w:eastAsia="宋体" w:cs="宋体"/>
                <w:sz w:val="24"/>
                <w:szCs w:val="24"/>
              </w:rPr>
              <w:t>分，一般得</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较差得0分</w:t>
            </w:r>
            <w:r>
              <w:rPr>
                <w:rFonts w:hint="eastAsia" w:ascii="宋体" w:hAnsi="宋体" w:eastAsia="宋体" w:cs="宋体"/>
                <w:sz w:val="24"/>
                <w:szCs w:val="24"/>
              </w:rPr>
              <w:t>。</w:t>
            </w:r>
          </w:p>
          <w:p>
            <w:pPr>
              <w:numPr>
                <w:ilvl w:val="0"/>
                <w:numId w:val="0"/>
              </w:numPr>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2.人员配备：人员配备合理、分工明确，得3分，一般得1分，较差得0分。</w:t>
            </w:r>
          </w:p>
          <w:p>
            <w:pPr>
              <w:numPr>
                <w:ilvl w:val="0"/>
                <w:numId w:val="0"/>
              </w:numPr>
              <w:jc w:val="left"/>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3.高、低压电工</w:t>
            </w:r>
            <w:r>
              <w:rPr>
                <w:rFonts w:hint="eastAsia" w:ascii="宋体" w:hAnsi="宋体" w:cs="宋体"/>
                <w:color w:val="000000"/>
                <w:sz w:val="24"/>
                <w:szCs w:val="24"/>
                <w:highlight w:val="none"/>
                <w:lang w:val="en-US" w:eastAsia="zh-CN"/>
              </w:rPr>
              <w:t>各1名</w:t>
            </w:r>
            <w:r>
              <w:rPr>
                <w:rFonts w:hint="eastAsia" w:ascii="宋体" w:hAnsi="宋体" w:eastAsia="宋体" w:cs="宋体"/>
                <w:color w:val="000000"/>
                <w:sz w:val="24"/>
                <w:szCs w:val="24"/>
                <w:highlight w:val="none"/>
                <w:lang w:val="en-US" w:eastAsia="zh-CN"/>
              </w:rPr>
              <w:t>，中控员</w:t>
            </w:r>
            <w:r>
              <w:rPr>
                <w:rFonts w:hint="eastAsia" w:ascii="宋体" w:hAnsi="宋体" w:cs="宋体"/>
                <w:color w:val="000000"/>
                <w:sz w:val="24"/>
                <w:szCs w:val="24"/>
                <w:highlight w:val="none"/>
                <w:lang w:val="en-US" w:eastAsia="zh-CN"/>
              </w:rPr>
              <w:t>6名</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秩序维护人员3名</w:t>
            </w:r>
            <w:r>
              <w:rPr>
                <w:rFonts w:hint="eastAsia" w:ascii="宋体" w:hAnsi="宋体" w:eastAsia="宋体" w:cs="宋体"/>
                <w:color w:val="000000"/>
                <w:sz w:val="24"/>
                <w:szCs w:val="24"/>
                <w:highlight w:val="none"/>
                <w:lang w:val="en-US" w:eastAsia="zh-CN"/>
              </w:rPr>
              <w:t>，需持有经过认可的资格证书，符合得4分，</w:t>
            </w:r>
            <w:r>
              <w:rPr>
                <w:rFonts w:hint="eastAsia" w:ascii="宋体" w:hAnsi="宋体" w:cs="宋体"/>
                <w:color w:val="000000"/>
                <w:sz w:val="24"/>
                <w:szCs w:val="24"/>
                <w:highlight w:val="none"/>
                <w:lang w:val="en-US" w:eastAsia="zh-CN"/>
              </w:rPr>
              <w:t>不符合得0分</w:t>
            </w:r>
            <w:r>
              <w:rPr>
                <w:rFonts w:hint="eastAsia" w:ascii="宋体" w:hAnsi="宋体" w:eastAsia="宋体" w:cs="宋体"/>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8" w:hRule="atLeast"/>
          <w:jc w:val="center"/>
        </w:trPr>
        <w:tc>
          <w:tcPr>
            <w:tcW w:w="553" w:type="dxa"/>
            <w:vMerge w:val="continue"/>
            <w:vAlign w:val="center"/>
          </w:tcPr>
          <w:p>
            <w:pPr>
              <w:widowControl/>
              <w:spacing w:line="340" w:lineRule="exact"/>
              <w:rPr>
                <w:rFonts w:hint="eastAsia" w:ascii="宋体" w:hAnsi="宋体" w:eastAsia="宋体" w:cs="宋体"/>
                <w:sz w:val="24"/>
                <w:szCs w:val="24"/>
              </w:rPr>
            </w:pPr>
          </w:p>
        </w:tc>
        <w:tc>
          <w:tcPr>
            <w:tcW w:w="1241" w:type="dxa"/>
            <w:vMerge w:val="continue"/>
            <w:vAlign w:val="center"/>
          </w:tcPr>
          <w:p>
            <w:pPr>
              <w:spacing w:line="340" w:lineRule="exact"/>
              <w:rPr>
                <w:rFonts w:hint="eastAsia" w:ascii="宋体" w:hAnsi="宋体" w:eastAsia="宋体" w:cs="宋体"/>
                <w:sz w:val="24"/>
                <w:szCs w:val="24"/>
              </w:rPr>
            </w:pPr>
          </w:p>
        </w:tc>
        <w:tc>
          <w:tcPr>
            <w:tcW w:w="1896"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项目经理</w:t>
            </w:r>
          </w:p>
        </w:tc>
        <w:tc>
          <w:tcPr>
            <w:tcW w:w="845"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4851" w:type="dxa"/>
            <w:vAlign w:val="center"/>
          </w:tcPr>
          <w:p>
            <w:pPr>
              <w:widowControl/>
              <w:spacing w:line="340" w:lineRule="exact"/>
              <w:rPr>
                <w:rFonts w:hint="eastAsia" w:ascii="宋体" w:hAnsi="宋体" w:eastAsia="宋体" w:cs="宋体"/>
                <w:sz w:val="24"/>
                <w:szCs w:val="24"/>
              </w:rPr>
            </w:pPr>
            <w:r>
              <w:rPr>
                <w:rFonts w:hint="eastAsia" w:ascii="宋体" w:hAnsi="宋体" w:eastAsia="宋体" w:cs="宋体"/>
                <w:bCs/>
                <w:sz w:val="24"/>
                <w:szCs w:val="24"/>
              </w:rPr>
              <w:t>项目经理</w:t>
            </w:r>
            <w:r>
              <w:rPr>
                <w:rFonts w:hint="eastAsia" w:ascii="宋体" w:hAnsi="宋体" w:eastAsia="宋体" w:cs="宋体"/>
                <w:sz w:val="24"/>
                <w:szCs w:val="24"/>
              </w:rPr>
              <w:t>：</w:t>
            </w:r>
          </w:p>
          <w:p>
            <w:pPr>
              <w:widowControl/>
              <w:spacing w:line="340" w:lineRule="exact"/>
              <w:rPr>
                <w:rFonts w:hint="eastAsia" w:ascii="宋体" w:hAnsi="宋体" w:eastAsia="宋体" w:cs="宋体"/>
                <w:sz w:val="24"/>
                <w:szCs w:val="24"/>
                <w:lang w:val="en-US" w:eastAsia="zh-CN"/>
              </w:rPr>
            </w:pPr>
            <w:r>
              <w:rPr>
                <w:rFonts w:hint="eastAsia" w:ascii="宋体" w:hAnsi="宋体" w:eastAsia="宋体" w:cs="宋体"/>
                <w:sz w:val="24"/>
                <w:szCs w:val="24"/>
              </w:rPr>
              <w:t>具有</w:t>
            </w:r>
            <w:r>
              <w:rPr>
                <w:rFonts w:hint="eastAsia" w:ascii="宋体" w:hAnsi="宋体" w:eastAsia="宋体" w:cs="宋体"/>
                <w:sz w:val="24"/>
                <w:szCs w:val="24"/>
                <w:lang w:val="en-US" w:eastAsia="zh-CN"/>
              </w:rPr>
              <w:t>专</w:t>
            </w:r>
            <w:r>
              <w:rPr>
                <w:rFonts w:hint="eastAsia" w:ascii="宋体" w:hAnsi="宋体" w:eastAsia="宋体" w:cs="宋体"/>
                <w:sz w:val="24"/>
                <w:szCs w:val="24"/>
              </w:rPr>
              <w:t>科（含）以上学历的得2分；</w:t>
            </w:r>
          </w:p>
          <w:p>
            <w:pPr>
              <w:widowControl/>
              <w:spacing w:line="340" w:lineRule="exact"/>
              <w:rPr>
                <w:rFonts w:hint="eastAsia" w:ascii="宋体" w:hAnsi="宋体" w:eastAsia="宋体" w:cs="宋体"/>
                <w:sz w:val="24"/>
                <w:szCs w:val="24"/>
              </w:rPr>
            </w:pPr>
            <w:r>
              <w:rPr>
                <w:rFonts w:hint="eastAsia" w:ascii="宋体" w:hAnsi="宋体" w:eastAsia="宋体" w:cs="宋体"/>
                <w:sz w:val="24"/>
                <w:szCs w:val="24"/>
              </w:rPr>
              <w:t>具有类似项目3年及以上管理经验的得</w:t>
            </w:r>
            <w:r>
              <w:rPr>
                <w:rFonts w:hint="eastAsia" w:ascii="宋体" w:hAnsi="宋体" w:eastAsia="宋体" w:cs="宋体"/>
                <w:sz w:val="24"/>
                <w:szCs w:val="24"/>
                <w:lang w:val="en-US" w:eastAsia="zh-CN"/>
              </w:rPr>
              <w:t>3</w:t>
            </w:r>
            <w:r>
              <w:rPr>
                <w:rFonts w:hint="eastAsia" w:ascii="宋体" w:hAnsi="宋体" w:eastAsia="宋体" w:cs="宋体"/>
                <w:sz w:val="24"/>
                <w:szCs w:val="24"/>
              </w:rPr>
              <w:t>分，3年以</w:t>
            </w:r>
            <w:r>
              <w:rPr>
                <w:rFonts w:hint="eastAsia" w:ascii="宋体" w:hAnsi="宋体" w:eastAsia="宋体" w:cs="宋体"/>
                <w:sz w:val="24"/>
                <w:szCs w:val="24"/>
                <w:lang w:val="en-US" w:eastAsia="zh-CN"/>
              </w:rPr>
              <w:t>下</w:t>
            </w:r>
            <w:r>
              <w:rPr>
                <w:rFonts w:hint="eastAsia" w:ascii="宋体" w:hAnsi="宋体" w:eastAsia="宋体" w:cs="宋体"/>
                <w:sz w:val="24"/>
                <w:szCs w:val="24"/>
              </w:rPr>
              <w:t>管理经验的得1分。</w:t>
            </w:r>
          </w:p>
          <w:p>
            <w:pPr>
              <w:jc w:val="left"/>
              <w:rPr>
                <w:rFonts w:hint="eastAsia" w:ascii="宋体" w:hAnsi="宋体" w:eastAsia="宋体" w:cs="宋体"/>
                <w:sz w:val="24"/>
                <w:szCs w:val="24"/>
              </w:rPr>
            </w:pPr>
            <w:r>
              <w:rPr>
                <w:rFonts w:hint="eastAsia" w:ascii="宋体" w:hAnsi="宋体" w:eastAsia="宋体" w:cs="宋体"/>
                <w:sz w:val="24"/>
                <w:szCs w:val="24"/>
              </w:rPr>
              <w:t>注：需提供</w:t>
            </w:r>
            <w:r>
              <w:rPr>
                <w:rFonts w:hint="eastAsia" w:ascii="宋体" w:hAnsi="宋体" w:cs="宋体"/>
                <w:sz w:val="24"/>
                <w:szCs w:val="24"/>
                <w:lang w:val="en-US" w:eastAsia="zh-CN"/>
              </w:rPr>
              <w:t>学历证书复印件、个人简历，以及</w:t>
            </w:r>
            <w:r>
              <w:rPr>
                <w:rFonts w:hint="eastAsia" w:ascii="宋体" w:hAnsi="宋体" w:eastAsia="宋体" w:cs="宋体"/>
                <w:sz w:val="24"/>
                <w:szCs w:val="24"/>
              </w:rPr>
              <w:t>开标前连续12个月</w:t>
            </w:r>
            <w:r>
              <w:rPr>
                <w:rFonts w:hint="eastAsia" w:ascii="宋体" w:hAnsi="宋体" w:eastAsia="宋体" w:cs="宋体"/>
                <w:sz w:val="24"/>
                <w:szCs w:val="24"/>
                <w:lang w:val="en-US" w:eastAsia="zh-CN"/>
              </w:rPr>
              <w:t>缴纳</w:t>
            </w:r>
            <w:r>
              <w:rPr>
                <w:rFonts w:hint="eastAsia" w:ascii="宋体" w:hAnsi="宋体" w:eastAsia="宋体" w:cs="宋体"/>
                <w:sz w:val="24"/>
                <w:szCs w:val="24"/>
              </w:rPr>
              <w:t>社保的证明材料，</w:t>
            </w:r>
            <w:r>
              <w:rPr>
                <w:rFonts w:hint="eastAsia" w:ascii="宋体" w:hAnsi="宋体" w:cs="宋体"/>
                <w:sz w:val="24"/>
                <w:szCs w:val="24"/>
                <w:lang w:val="en-US" w:eastAsia="zh-CN"/>
              </w:rPr>
              <w:t>均加盖投标人公章，</w:t>
            </w:r>
            <w:r>
              <w:rPr>
                <w:rFonts w:hint="eastAsia" w:ascii="宋体" w:hAnsi="宋体" w:eastAsia="宋体" w:cs="宋体"/>
                <w:sz w:val="24"/>
                <w:szCs w:val="24"/>
              </w:rPr>
              <w:t>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2" w:hRule="atLeast"/>
          <w:jc w:val="center"/>
        </w:trPr>
        <w:tc>
          <w:tcPr>
            <w:tcW w:w="553" w:type="dxa"/>
            <w:vMerge w:val="restart"/>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241" w:type="dxa"/>
            <w:vMerge w:val="restart"/>
            <w:vAlign w:val="center"/>
          </w:tcPr>
          <w:p>
            <w:pPr>
              <w:widowControl/>
              <w:spacing w:line="340" w:lineRule="exact"/>
              <w:jc w:val="center"/>
              <w:rPr>
                <w:rFonts w:hint="eastAsia" w:ascii="宋体" w:hAnsi="宋体" w:eastAsia="宋体" w:cs="宋体"/>
                <w:sz w:val="24"/>
                <w:szCs w:val="24"/>
              </w:rPr>
            </w:pPr>
            <w:bookmarkStart w:id="800" w:name="OLE_LINK37"/>
            <w:r>
              <w:rPr>
                <w:rFonts w:hint="eastAsia" w:ascii="宋体" w:hAnsi="宋体" w:eastAsia="宋体" w:cs="宋体"/>
                <w:sz w:val="24"/>
                <w:szCs w:val="24"/>
              </w:rPr>
              <w:t>投标人</w:t>
            </w:r>
            <w:r>
              <w:rPr>
                <w:rFonts w:hint="eastAsia" w:ascii="宋体" w:hAnsi="宋体" w:eastAsia="宋体" w:cs="宋体"/>
                <w:sz w:val="24"/>
                <w:szCs w:val="24"/>
                <w:lang w:eastAsia="zh-CN"/>
              </w:rPr>
              <w:t>履约能力</w:t>
            </w:r>
            <w:bookmarkEnd w:id="800"/>
          </w:p>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1896" w:type="dxa"/>
            <w:vAlign w:val="center"/>
          </w:tcPr>
          <w:p>
            <w:pPr>
              <w:widowControl/>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企业资质</w:t>
            </w:r>
          </w:p>
        </w:tc>
        <w:tc>
          <w:tcPr>
            <w:tcW w:w="845"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4851" w:type="dxa"/>
            <w:vAlign w:val="center"/>
          </w:tcPr>
          <w:p>
            <w:pPr>
              <w:jc w:val="left"/>
              <w:rPr>
                <w:rFonts w:hint="eastAsia" w:ascii="宋体" w:hAnsi="宋体" w:eastAsia="宋体" w:cs="宋体"/>
                <w:sz w:val="24"/>
                <w:szCs w:val="24"/>
              </w:rPr>
            </w:pPr>
            <w:r>
              <w:rPr>
                <w:rFonts w:hint="eastAsia" w:ascii="宋体" w:hAnsi="宋体" w:cs="宋体"/>
                <w:color w:val="000000"/>
                <w:sz w:val="24"/>
                <w:szCs w:val="24"/>
                <w:highlight w:val="none"/>
                <w:lang w:eastAsia="zh-CN"/>
              </w:rPr>
              <w:t>提供</w:t>
            </w:r>
            <w:r>
              <w:rPr>
                <w:rFonts w:hint="eastAsia" w:ascii="宋体" w:hAnsi="宋体" w:eastAsia="宋体" w:cs="宋体"/>
                <w:color w:val="000000"/>
                <w:sz w:val="24"/>
                <w:szCs w:val="24"/>
                <w:highlight w:val="none"/>
              </w:rPr>
              <w:t>有效</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质量管理体系认证证书、环境管理体系认证证书、职业健康安全管理体系认证证书</w:t>
            </w:r>
            <w:r>
              <w:rPr>
                <w:rFonts w:hint="eastAsia" w:ascii="宋体" w:hAnsi="宋体" w:cs="宋体"/>
                <w:color w:val="000000"/>
                <w:sz w:val="24"/>
                <w:szCs w:val="24"/>
                <w:highlight w:val="none"/>
                <w:lang w:eastAsia="zh-CN"/>
              </w:rPr>
              <w:t>复印件并加盖公章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每有一项得1分，最高得3分。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2" w:hRule="atLeast"/>
          <w:jc w:val="center"/>
        </w:trPr>
        <w:tc>
          <w:tcPr>
            <w:tcW w:w="553" w:type="dxa"/>
            <w:vMerge w:val="continue"/>
            <w:vAlign w:val="center"/>
          </w:tcPr>
          <w:p>
            <w:pPr>
              <w:widowControl/>
              <w:spacing w:line="340" w:lineRule="exact"/>
              <w:jc w:val="center"/>
              <w:rPr>
                <w:rFonts w:hint="eastAsia" w:ascii="宋体" w:hAnsi="宋体" w:eastAsia="宋体" w:cs="宋体"/>
                <w:sz w:val="24"/>
                <w:szCs w:val="24"/>
              </w:rPr>
            </w:pPr>
          </w:p>
        </w:tc>
        <w:tc>
          <w:tcPr>
            <w:tcW w:w="1241" w:type="dxa"/>
            <w:vMerge w:val="continue"/>
            <w:vAlign w:val="center"/>
          </w:tcPr>
          <w:p>
            <w:pPr>
              <w:spacing w:line="340" w:lineRule="exact"/>
              <w:rPr>
                <w:rFonts w:hint="eastAsia" w:ascii="宋体" w:hAnsi="宋体" w:eastAsia="宋体" w:cs="宋体"/>
                <w:sz w:val="24"/>
                <w:szCs w:val="24"/>
              </w:rPr>
            </w:pPr>
          </w:p>
        </w:tc>
        <w:tc>
          <w:tcPr>
            <w:tcW w:w="1896" w:type="dxa"/>
            <w:vAlign w:val="center"/>
          </w:tcPr>
          <w:p>
            <w:pPr>
              <w:widowControl/>
              <w:spacing w:line="340" w:lineRule="exact"/>
              <w:jc w:val="center"/>
              <w:rPr>
                <w:rFonts w:hint="eastAsia" w:ascii="宋体" w:hAnsi="宋体" w:eastAsia="宋体" w:cs="宋体"/>
                <w:sz w:val="24"/>
                <w:szCs w:val="24"/>
              </w:rPr>
            </w:pPr>
            <w:bookmarkStart w:id="801" w:name="OLE_LINK38"/>
            <w:r>
              <w:rPr>
                <w:rFonts w:hint="eastAsia" w:ascii="宋体" w:hAnsi="宋体" w:eastAsia="宋体" w:cs="宋体"/>
                <w:sz w:val="24"/>
                <w:szCs w:val="24"/>
              </w:rPr>
              <w:t>投标人业绩</w:t>
            </w:r>
            <w:bookmarkEnd w:id="801"/>
          </w:p>
        </w:tc>
        <w:tc>
          <w:tcPr>
            <w:tcW w:w="845" w:type="dxa"/>
            <w:vAlign w:val="center"/>
          </w:tcPr>
          <w:p>
            <w:pPr>
              <w:widowControl/>
              <w:spacing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4851" w:type="dxa"/>
            <w:vAlign w:val="center"/>
          </w:tcPr>
          <w:p>
            <w:pPr>
              <w:jc w:val="left"/>
              <w:rPr>
                <w:rFonts w:hint="eastAsia" w:ascii="宋体" w:hAnsi="宋体" w:cs="宋体"/>
                <w:color w:val="000000"/>
                <w:sz w:val="24"/>
                <w:szCs w:val="24"/>
                <w:highlight w:val="none"/>
                <w:lang w:eastAsia="zh-CN"/>
              </w:rPr>
            </w:pPr>
            <w:r>
              <w:rPr>
                <w:rFonts w:hint="eastAsia" w:ascii="宋体" w:hAnsi="宋体" w:eastAsia="宋体" w:cs="宋体"/>
                <w:color w:val="000000"/>
                <w:sz w:val="24"/>
                <w:szCs w:val="24"/>
                <w:highlight w:val="none"/>
              </w:rPr>
              <w:t>投标人</w:t>
            </w:r>
            <w:r>
              <w:rPr>
                <w:rFonts w:hint="eastAsia" w:ascii="宋体" w:hAnsi="宋体" w:eastAsia="宋体" w:cs="宋体"/>
                <w:color w:val="000000"/>
                <w:sz w:val="24"/>
                <w:szCs w:val="24"/>
                <w:highlight w:val="none"/>
                <w:lang w:val="en-US" w:eastAsia="zh-CN"/>
              </w:rPr>
              <w:t>自202</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年1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月</w:t>
            </w:r>
            <w:r>
              <w:rPr>
                <w:rFonts w:hint="eastAsia" w:ascii="宋体" w:hAnsi="宋体" w:eastAsia="宋体" w:cs="宋体"/>
                <w:color w:val="000000"/>
                <w:sz w:val="24"/>
                <w:szCs w:val="24"/>
                <w:highlight w:val="none"/>
              </w:rPr>
              <w:t>以来</w:t>
            </w:r>
            <w:r>
              <w:rPr>
                <w:rFonts w:hint="eastAsia" w:ascii="宋体" w:hAnsi="宋体" w:eastAsia="宋体" w:cs="宋体"/>
                <w:color w:val="000000"/>
                <w:sz w:val="24"/>
                <w:szCs w:val="24"/>
                <w:highlight w:val="none"/>
                <w:lang w:val="en-US" w:eastAsia="zh-CN"/>
              </w:rPr>
              <w:t>类似</w:t>
            </w:r>
            <w:r>
              <w:rPr>
                <w:rFonts w:hint="eastAsia" w:ascii="宋体" w:hAnsi="宋体" w:eastAsia="宋体" w:cs="宋体"/>
                <w:color w:val="000000"/>
                <w:sz w:val="24"/>
                <w:szCs w:val="24"/>
                <w:highlight w:val="none"/>
              </w:rPr>
              <w:t>项目业绩，每提供一个有效业绩得</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分，最多得</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r>
              <w:rPr>
                <w:rFonts w:hint="eastAsia" w:ascii="宋体" w:hAnsi="宋体" w:eastAsia="宋体" w:cs="宋体"/>
                <w:sz w:val="24"/>
                <w:szCs w:val="24"/>
              </w:rPr>
              <w:t>（需</w:t>
            </w:r>
            <w:r>
              <w:rPr>
                <w:rFonts w:hint="eastAsia" w:ascii="宋体" w:hAnsi="宋体" w:eastAsia="宋体" w:cs="宋体"/>
                <w:sz w:val="24"/>
                <w:szCs w:val="24"/>
                <w:lang w:eastAsia="zh-CN"/>
              </w:rPr>
              <w:t>提供</w:t>
            </w:r>
            <w:r>
              <w:rPr>
                <w:rFonts w:hint="eastAsia" w:ascii="宋体" w:hAnsi="宋体" w:eastAsia="宋体" w:cs="宋体"/>
                <w:sz w:val="24"/>
                <w:szCs w:val="24"/>
              </w:rPr>
              <w:t>合同首页、甲方名称、服务内容、服务金额、合同签署页等关键页</w:t>
            </w:r>
            <w:r>
              <w:rPr>
                <w:rFonts w:hint="eastAsia" w:ascii="宋体" w:hAnsi="宋体" w:eastAsia="宋体" w:cs="宋体"/>
                <w:sz w:val="24"/>
                <w:szCs w:val="24"/>
                <w:lang w:eastAsia="zh-CN"/>
              </w:rPr>
              <w:t>复印件</w:t>
            </w:r>
            <w:r>
              <w:rPr>
                <w:rFonts w:hint="eastAsia" w:ascii="宋体" w:hAnsi="宋体" w:cs="宋体"/>
                <w:sz w:val="24"/>
                <w:szCs w:val="24"/>
                <w:lang w:eastAsia="zh-CN"/>
              </w:rPr>
              <w:t>，</w:t>
            </w:r>
            <w:r>
              <w:rPr>
                <w:rFonts w:hint="eastAsia"/>
                <w:sz w:val="24"/>
                <w:szCs w:val="24"/>
                <w:lang w:eastAsia="zh-CN"/>
              </w:rPr>
              <w:t>未提供或提供不符合要求不得分。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9386" w:type="dxa"/>
            <w:gridSpan w:val="5"/>
            <w:vAlign w:val="center"/>
          </w:tcPr>
          <w:p>
            <w:pPr>
              <w:widowControl/>
              <w:spacing w:line="340" w:lineRule="exact"/>
              <w:jc w:val="left"/>
              <w:rPr>
                <w:rFonts w:hint="eastAsia" w:ascii="宋体" w:hAnsi="宋体" w:eastAsia="宋体" w:cs="宋体"/>
                <w:sz w:val="24"/>
                <w:szCs w:val="24"/>
              </w:rPr>
            </w:pPr>
            <w:r>
              <w:rPr>
                <w:rFonts w:hint="eastAsia" w:ascii="宋体" w:hAnsi="宋体" w:eastAsia="宋体" w:cs="宋体"/>
                <w:sz w:val="24"/>
                <w:szCs w:val="24"/>
              </w:rPr>
              <w:t>合计100分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0"/>
        <w:rPr>
          <w:rFonts w:hint="eastAsia" w:ascii="宋体" w:hAnsi="宋体" w:cs="宋体"/>
          <w:b/>
          <w:sz w:val="36"/>
          <w:szCs w:val="36"/>
        </w:rPr>
      </w:pPr>
      <w:bookmarkStart w:id="802" w:name="_Toc2998"/>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宋体" w:hAnsi="宋体" w:cs="宋体"/>
          <w:b/>
          <w:sz w:val="36"/>
          <w:szCs w:val="36"/>
        </w:rPr>
      </w:pPr>
      <w:r>
        <w:rPr>
          <w:rFonts w:hint="eastAsia" w:ascii="宋体" w:hAnsi="宋体" w:cs="宋体"/>
          <w:b/>
          <w:sz w:val="36"/>
          <w:szCs w:val="36"/>
        </w:rPr>
        <w:t xml:space="preserve">  采购需求</w:t>
      </w:r>
      <w:bookmarkEnd w:id="802"/>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right="0" w:rightChars="0"/>
        <w:jc w:val="both"/>
        <w:textAlignment w:val="auto"/>
        <w:outlineLvl w:val="0"/>
        <w:rPr>
          <w:rFonts w:hint="eastAsia" w:ascii="宋体" w:hAnsi="宋体" w:eastAsia="宋体" w:cs="宋体"/>
          <w:b/>
          <w:bCs/>
          <w:color w:val="auto"/>
          <w:sz w:val="24"/>
          <w:szCs w:val="24"/>
        </w:rPr>
      </w:pPr>
      <w:bookmarkStart w:id="803" w:name="_Toc68271519"/>
      <w:r>
        <w:rPr>
          <w:rFonts w:hint="eastAsia" w:ascii="宋体" w:hAnsi="宋体" w:eastAsia="宋体" w:cs="宋体"/>
          <w:b/>
          <w:bCs/>
          <w:color w:val="auto"/>
          <w:sz w:val="24"/>
          <w:szCs w:val="24"/>
        </w:rPr>
        <w:t>采购标的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1776000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服务期限自202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月1日至202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年12月31日。</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156" w:beforeLines="50" w:line="360" w:lineRule="auto"/>
        <w:ind w:left="0" w:leftChars="0" w:right="0" w:rightChars="0"/>
        <w:jc w:val="both"/>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2" w:firstLineChars="200"/>
        <w:jc w:val="both"/>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项目基本情况</w:t>
      </w: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729" w:firstLineChars="304"/>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区位及面积。石景山区</w:t>
      </w:r>
      <w:r>
        <w:rPr>
          <w:rFonts w:hint="eastAsia" w:ascii="宋体" w:hAnsi="宋体" w:eastAsia="宋体" w:cs="宋体"/>
          <w:color w:val="auto"/>
          <w:sz w:val="24"/>
          <w:szCs w:val="24"/>
          <w:lang w:val="en-US" w:eastAsia="zh-CN"/>
        </w:rPr>
        <w:t>图书馆物业管理服务</w:t>
      </w:r>
      <w:r>
        <w:rPr>
          <w:rFonts w:hint="eastAsia" w:ascii="宋体" w:hAnsi="宋体" w:eastAsia="宋体" w:cs="宋体"/>
          <w:color w:val="auto"/>
          <w:sz w:val="24"/>
          <w:szCs w:val="24"/>
        </w:rPr>
        <w:t>项目位于石景山区</w:t>
      </w:r>
      <w:r>
        <w:rPr>
          <w:rFonts w:hint="eastAsia" w:ascii="宋体" w:hAnsi="宋体" w:eastAsia="宋体" w:cs="宋体"/>
          <w:color w:val="auto"/>
          <w:sz w:val="24"/>
          <w:szCs w:val="24"/>
          <w:lang w:val="en-US" w:eastAsia="zh-CN"/>
        </w:rPr>
        <w:t>八角南路2号（图书馆总馆）以及古城南路11号（少儿馆）</w:t>
      </w:r>
      <w:r>
        <w:rPr>
          <w:rFonts w:hint="eastAsia" w:ascii="宋体" w:hAnsi="宋体" w:eastAsia="宋体" w:cs="宋体"/>
          <w:color w:val="auto"/>
          <w:sz w:val="24"/>
          <w:szCs w:val="24"/>
        </w:rPr>
        <w:t>，总建筑面积</w:t>
      </w:r>
      <w:r>
        <w:rPr>
          <w:rFonts w:hint="eastAsia" w:ascii="宋体" w:hAnsi="宋体" w:eastAsia="宋体" w:cs="宋体"/>
          <w:color w:val="auto"/>
          <w:sz w:val="24"/>
          <w:szCs w:val="24"/>
          <w:lang w:val="en-US" w:eastAsia="zh-CN"/>
        </w:rPr>
        <w:t>12278</w:t>
      </w:r>
      <w:r>
        <w:rPr>
          <w:rFonts w:hint="eastAsia" w:ascii="宋体" w:hAnsi="宋体" w:eastAsia="宋体" w:cs="宋体"/>
          <w:color w:val="auto"/>
          <w:sz w:val="24"/>
          <w:szCs w:val="24"/>
        </w:rPr>
        <w:t>平方米，</w:t>
      </w:r>
      <w:r>
        <w:rPr>
          <w:rFonts w:hint="eastAsia" w:ascii="宋体" w:hAnsi="宋体" w:eastAsia="宋体" w:cs="宋体"/>
          <w:color w:val="auto"/>
          <w:sz w:val="24"/>
          <w:szCs w:val="24"/>
          <w:lang w:val="en-US" w:eastAsia="zh-CN"/>
        </w:rPr>
        <w:t>其中总馆</w:t>
      </w:r>
      <w:r>
        <w:rPr>
          <w:rFonts w:hint="eastAsia" w:ascii="宋体" w:hAnsi="宋体" w:eastAsia="宋体" w:cs="宋体"/>
          <w:color w:val="auto"/>
          <w:sz w:val="24"/>
          <w:szCs w:val="24"/>
        </w:rPr>
        <w:t>地上</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层，地下</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层（包括</w:t>
      </w:r>
      <w:r>
        <w:rPr>
          <w:rFonts w:hint="eastAsia" w:ascii="宋体" w:hAnsi="宋体" w:eastAsia="宋体" w:cs="宋体"/>
          <w:color w:val="auto"/>
          <w:sz w:val="24"/>
          <w:szCs w:val="24"/>
          <w:lang w:val="en-US" w:eastAsia="zh-CN"/>
        </w:rPr>
        <w:t>人防工程</w:t>
      </w:r>
      <w:r>
        <w:rPr>
          <w:rFonts w:hint="eastAsia" w:ascii="宋体" w:hAnsi="宋体" w:eastAsia="宋体" w:cs="宋体"/>
          <w:color w:val="auto"/>
          <w:sz w:val="24"/>
          <w:szCs w:val="24"/>
        </w:rPr>
        <w:t xml:space="preserve">及设备用房） </w:t>
      </w:r>
      <w:r>
        <w:rPr>
          <w:rFonts w:hint="eastAsia" w:ascii="宋体" w:hAnsi="宋体" w:eastAsia="宋体" w:cs="宋体"/>
          <w:color w:val="auto"/>
          <w:sz w:val="24"/>
          <w:szCs w:val="24"/>
          <w:lang w:val="en-US" w:eastAsia="zh-CN"/>
        </w:rPr>
        <w:t>共9042</w:t>
      </w:r>
      <w:r>
        <w:rPr>
          <w:rFonts w:hint="eastAsia" w:ascii="宋体" w:hAnsi="宋体" w:eastAsia="宋体" w:cs="宋体"/>
          <w:color w:val="auto"/>
          <w:sz w:val="24"/>
          <w:szCs w:val="24"/>
        </w:rPr>
        <w:t>平方米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少儿馆地上四层，共3236平方米</w:t>
      </w:r>
      <w:r>
        <w:rPr>
          <w:rFonts w:hint="eastAsia" w:ascii="宋体" w:hAnsi="宋体" w:eastAsia="宋体" w:cs="宋体"/>
          <w:color w:val="auto"/>
          <w:sz w:val="24"/>
          <w:szCs w:val="24"/>
        </w:rPr>
        <w:t>。</w:t>
      </w: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729" w:firstLineChars="304"/>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设备设施系统及规划情况。</w:t>
      </w:r>
      <w:r>
        <w:rPr>
          <w:rFonts w:hint="eastAsia" w:ascii="宋体" w:hAnsi="宋体" w:eastAsia="宋体" w:cs="宋体"/>
          <w:color w:val="auto"/>
          <w:sz w:val="24"/>
          <w:szCs w:val="24"/>
          <w:lang w:val="en-US" w:eastAsia="zh-CN"/>
        </w:rPr>
        <w:t>图书馆</w:t>
      </w:r>
      <w:r>
        <w:rPr>
          <w:rFonts w:hint="eastAsia" w:ascii="宋体" w:hAnsi="宋体" w:eastAsia="宋体" w:cs="宋体"/>
          <w:color w:val="auto"/>
          <w:sz w:val="24"/>
          <w:szCs w:val="24"/>
        </w:rPr>
        <w:t>防火等级为</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类</w:t>
      </w:r>
      <w:r>
        <w:rPr>
          <w:rFonts w:hint="eastAsia" w:ascii="宋体" w:hAnsi="宋体" w:eastAsia="宋体" w:cs="宋体"/>
          <w:color w:val="auto"/>
          <w:sz w:val="24"/>
          <w:szCs w:val="24"/>
          <w:lang w:val="en-US" w:eastAsia="zh-CN"/>
        </w:rPr>
        <w:t>多</w:t>
      </w:r>
      <w:r>
        <w:rPr>
          <w:rFonts w:hint="eastAsia" w:ascii="宋体" w:hAnsi="宋体" w:eastAsia="宋体" w:cs="宋体"/>
          <w:color w:val="auto"/>
          <w:sz w:val="24"/>
          <w:szCs w:val="24"/>
        </w:rPr>
        <w:t>层；</w:t>
      </w:r>
      <w:r>
        <w:rPr>
          <w:rFonts w:hint="eastAsia" w:ascii="宋体" w:hAnsi="宋体" w:eastAsia="宋体" w:cs="宋体"/>
          <w:color w:val="auto"/>
          <w:sz w:val="24"/>
          <w:szCs w:val="24"/>
          <w:lang w:val="en-US" w:eastAsia="zh-CN"/>
        </w:rPr>
        <w:t>内部设有变配电室，</w:t>
      </w:r>
      <w:r>
        <w:rPr>
          <w:rFonts w:hint="eastAsia" w:ascii="宋体" w:hAnsi="宋体" w:eastAsia="宋体" w:cs="宋体"/>
          <w:color w:val="auto"/>
          <w:sz w:val="24"/>
          <w:szCs w:val="24"/>
        </w:rPr>
        <w:t>中央空调系统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新风系统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消防监控系统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供暖系统等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总馆</w:t>
      </w:r>
      <w:r>
        <w:rPr>
          <w:rFonts w:hint="eastAsia" w:ascii="宋体" w:hAnsi="宋体" w:eastAsia="宋体" w:cs="宋体"/>
          <w:color w:val="auto"/>
          <w:sz w:val="24"/>
          <w:szCs w:val="24"/>
        </w:rPr>
        <w:t>楼内有电梯</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2" w:firstLineChars="200"/>
        <w:jc w:val="both"/>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采购范围及服务描述</w:t>
      </w:r>
    </w:p>
    <w:tbl>
      <w:tblPr>
        <w:tblStyle w:val="257"/>
        <w:tblW w:w="8291" w:type="dxa"/>
        <w:jc w:val="center"/>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2"/>
        <w:gridCol w:w="62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7" w:hRule="atLeast"/>
          <w:jc w:val="center"/>
        </w:trPr>
        <w:tc>
          <w:tcPr>
            <w:tcW w:w="2082" w:type="dxa"/>
            <w:tcBorders>
              <w:top w:val="single" w:color="000000" w:sz="2" w:space="0"/>
              <w:bottom w:val="single" w:color="000000" w:sz="2" w:space="0"/>
            </w:tcBorders>
            <w:vAlign w:val="center"/>
          </w:tcPr>
          <w:p>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采购范围</w:t>
            </w:r>
          </w:p>
        </w:tc>
        <w:tc>
          <w:tcPr>
            <w:tcW w:w="6209" w:type="dxa"/>
            <w:tcBorders>
              <w:top w:val="single" w:color="000000" w:sz="2" w:space="0"/>
              <w:bottom w:val="single" w:color="000000" w:sz="2" w:space="0"/>
            </w:tcBorders>
            <w:vAlign w:val="center"/>
          </w:tcPr>
          <w:p>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jc w:val="center"/>
        </w:trPr>
        <w:tc>
          <w:tcPr>
            <w:tcW w:w="2082" w:type="dxa"/>
            <w:tcBorders>
              <w:top w:val="single" w:color="000000" w:sz="2" w:space="0"/>
              <w:bottom w:val="single" w:color="000000" w:sz="2" w:space="0"/>
            </w:tcBorders>
            <w:vAlign w:val="center"/>
          </w:tcPr>
          <w:p>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房屋安全管理</w:t>
            </w:r>
          </w:p>
        </w:tc>
        <w:tc>
          <w:tcPr>
            <w:tcW w:w="6209" w:type="dxa"/>
            <w:tcBorders>
              <w:top w:val="single" w:color="000000" w:sz="2" w:space="0"/>
              <w:bottom w:val="single" w:color="000000" w:sz="2" w:space="0"/>
            </w:tcBorders>
            <w:vAlign w:val="top"/>
          </w:tcPr>
          <w:p>
            <w:pPr>
              <w:autoSpaceDE w:val="0"/>
              <w:autoSpaceDN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进行日常房屋完好性的检查及常规维护，使房屋建筑物完好。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jc w:val="center"/>
        </w:trPr>
        <w:tc>
          <w:tcPr>
            <w:tcW w:w="2082" w:type="dxa"/>
            <w:tcBorders>
              <w:top w:val="single" w:color="000000" w:sz="2" w:space="0"/>
              <w:bottom w:val="single" w:color="000000" w:sz="2" w:space="0"/>
            </w:tcBorders>
            <w:vAlign w:val="center"/>
          </w:tcPr>
          <w:p>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设备设施管理</w:t>
            </w:r>
          </w:p>
        </w:tc>
        <w:tc>
          <w:tcPr>
            <w:tcW w:w="6209" w:type="dxa"/>
            <w:tcBorders>
              <w:top w:val="single" w:color="000000" w:sz="2" w:space="0"/>
              <w:bottom w:val="single" w:color="000000" w:sz="2" w:space="0"/>
            </w:tcBorders>
            <w:vAlign w:val="top"/>
          </w:tcPr>
          <w:p>
            <w:pPr>
              <w:autoSpaceDE w:val="0"/>
              <w:autoSpaceDN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对物业设备设施提供专业管理服务，使设备设施正常稳定运行。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jc w:val="center"/>
        </w:trPr>
        <w:tc>
          <w:tcPr>
            <w:tcW w:w="2082" w:type="dxa"/>
            <w:tcBorders>
              <w:top w:val="single" w:color="000000" w:sz="2" w:space="0"/>
              <w:bottom w:val="single" w:color="000000" w:sz="2" w:space="0"/>
            </w:tcBorders>
            <w:vAlign w:val="center"/>
          </w:tcPr>
          <w:p>
            <w:pPr>
              <w:autoSpaceDE w:val="0"/>
              <w:autoSpaceDN w:val="0"/>
              <w:spacing w:line="360" w:lineRule="auto"/>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rPr>
              <w:t>工程管理</w:t>
            </w:r>
          </w:p>
        </w:tc>
        <w:tc>
          <w:tcPr>
            <w:tcW w:w="6209" w:type="dxa"/>
            <w:tcBorders>
              <w:top w:val="single" w:color="000000" w:sz="2" w:space="0"/>
              <w:bottom w:val="single" w:color="000000" w:sz="2" w:space="0"/>
            </w:tcBorders>
            <w:vAlign w:val="top"/>
          </w:tcPr>
          <w:p>
            <w:pPr>
              <w:autoSpaceDE w:val="0"/>
              <w:autoSpaceDN w:val="0"/>
              <w:spacing w:line="360" w:lineRule="auto"/>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rPr>
              <w:t>配电室、空调机房运行值守，</w:t>
            </w:r>
            <w:r>
              <w:rPr>
                <w:rFonts w:hint="eastAsia" w:ascii="宋体" w:hAnsi="宋体" w:eastAsia="宋体" w:cs="宋体"/>
                <w:color w:val="auto"/>
                <w:sz w:val="24"/>
                <w:szCs w:val="24"/>
                <w:lang w:val="en-US" w:eastAsia="zh-CN"/>
              </w:rPr>
              <w:t>电气设备、给排水、供暖等</w:t>
            </w:r>
            <w:r>
              <w:rPr>
                <w:rFonts w:hint="eastAsia" w:ascii="宋体" w:hAnsi="宋体" w:eastAsia="宋体" w:cs="宋体"/>
                <w:color w:val="auto"/>
                <w:sz w:val="24"/>
                <w:szCs w:val="24"/>
              </w:rPr>
              <w:t>日常小修服务</w:t>
            </w:r>
            <w:r>
              <w:rPr>
                <w:rFonts w:hint="eastAsia" w:ascii="宋体" w:hAnsi="宋体" w:eastAsia="宋体" w:cs="宋体"/>
                <w:color w:val="auto"/>
                <w:sz w:val="24"/>
                <w:szCs w:val="24"/>
                <w:lang w:val="en-US" w:eastAsia="zh-CN"/>
              </w:rPr>
              <w:t>等，以及突发故障应急处置</w:t>
            </w:r>
            <w:r>
              <w:rPr>
                <w:rFonts w:hint="eastAsia" w:ascii="宋体" w:hAnsi="宋体" w:eastAsia="宋体" w:cs="宋体"/>
                <w:color w:val="auto"/>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21" w:hRule="atLeast"/>
          <w:jc w:val="center"/>
        </w:trPr>
        <w:tc>
          <w:tcPr>
            <w:tcW w:w="2082" w:type="dxa"/>
            <w:tcBorders>
              <w:top w:val="single" w:color="000000" w:sz="2" w:space="0"/>
              <w:bottom w:val="single" w:color="000000" w:sz="2" w:space="0"/>
            </w:tcBorders>
            <w:vAlign w:val="center"/>
          </w:tcPr>
          <w:p>
            <w:pPr>
              <w:autoSpaceDE w:val="0"/>
              <w:autoSpaceDN w:val="0"/>
              <w:spacing w:line="360" w:lineRule="auto"/>
              <w:jc w:val="center"/>
              <w:rPr>
                <w:rFonts w:hint="eastAsia" w:ascii="宋体" w:hAnsi="宋体" w:eastAsia="宋体" w:cs="宋体"/>
                <w:color w:val="auto"/>
                <w:sz w:val="24"/>
                <w:szCs w:val="24"/>
              </w:rPr>
            </w:pPr>
          </w:p>
          <w:p>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环境卫生管理</w:t>
            </w:r>
          </w:p>
        </w:tc>
        <w:tc>
          <w:tcPr>
            <w:tcW w:w="6209" w:type="dxa"/>
            <w:tcBorders>
              <w:top w:val="single" w:color="000000" w:sz="2" w:space="0"/>
              <w:bottom w:val="single" w:color="000000" w:sz="2" w:space="0"/>
            </w:tcBorders>
            <w:vAlign w:val="top"/>
          </w:tcPr>
          <w:p>
            <w:pPr>
              <w:autoSpaceDE w:val="0"/>
              <w:autoSpaceDN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为楼内所有公共区域（不限于楼梯、大厅、天台、电梯间、卫生间、会议室、多功能厅、报告厅、停车场及门前三包等区域）等提供有效的日常保洁服务</w:t>
            </w:r>
            <w:r>
              <w:rPr>
                <w:rFonts w:hint="eastAsia" w:ascii="宋体" w:hAnsi="宋体" w:eastAsia="宋体" w:cs="宋体"/>
                <w:color w:val="auto"/>
                <w:sz w:val="24"/>
                <w:szCs w:val="24"/>
                <w:lang w:eastAsia="zh-CN"/>
              </w:rPr>
              <w:t>以及</w:t>
            </w:r>
            <w:r>
              <w:rPr>
                <w:rFonts w:hint="eastAsia" w:ascii="宋体" w:hAnsi="宋体" w:eastAsia="宋体" w:cs="宋体"/>
                <w:color w:val="auto"/>
                <w:sz w:val="24"/>
                <w:szCs w:val="24"/>
              </w:rPr>
              <w:t>垃圾等废弃物</w:t>
            </w:r>
            <w:r>
              <w:rPr>
                <w:rFonts w:hint="eastAsia" w:ascii="宋体" w:hAnsi="宋体" w:eastAsia="宋体" w:cs="宋体"/>
                <w:color w:val="auto"/>
                <w:sz w:val="24"/>
                <w:szCs w:val="24"/>
                <w:lang w:val="en-US" w:eastAsia="zh-CN"/>
              </w:rPr>
              <w:t>分类</w:t>
            </w:r>
            <w:r>
              <w:rPr>
                <w:rFonts w:hint="eastAsia" w:ascii="宋体" w:hAnsi="宋体" w:eastAsia="宋体" w:cs="宋体"/>
                <w:color w:val="auto"/>
                <w:sz w:val="24"/>
                <w:szCs w:val="24"/>
              </w:rPr>
              <w:t>清理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消纳</w:t>
            </w:r>
            <w:r>
              <w:rPr>
                <w:rFonts w:hint="eastAsia" w:ascii="宋体" w:hAnsi="宋体" w:eastAsia="宋体" w:cs="宋体"/>
                <w:color w:val="auto"/>
                <w:sz w:val="24"/>
                <w:szCs w:val="24"/>
              </w:rPr>
              <w:t>和化粪池清掏等，保证楼宇办公环境卫生干净整洁；负责楼内绿植的日常养护。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2082" w:type="dxa"/>
            <w:tcBorders>
              <w:top w:val="single" w:color="000000" w:sz="2" w:space="0"/>
              <w:bottom w:val="single" w:color="000000" w:sz="2" w:space="0"/>
            </w:tcBorders>
            <w:vAlign w:val="center"/>
          </w:tcPr>
          <w:p>
            <w:pPr>
              <w:autoSpaceDE w:val="0"/>
              <w:autoSpaceDN w:val="0"/>
              <w:spacing w:line="360" w:lineRule="auto"/>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lang w:val="en-US" w:eastAsia="zh-CN"/>
              </w:rPr>
              <w:t>秩序维护管理</w:t>
            </w:r>
          </w:p>
        </w:tc>
        <w:tc>
          <w:tcPr>
            <w:tcW w:w="6209" w:type="dxa"/>
            <w:tcBorders>
              <w:top w:val="single" w:color="000000" w:sz="2" w:space="0"/>
              <w:bottom w:val="single" w:color="000000" w:sz="2" w:space="0"/>
            </w:tcBorders>
            <w:vAlign w:val="top"/>
          </w:tcPr>
          <w:p>
            <w:pPr>
              <w:autoSpaceDE w:val="0"/>
              <w:autoSpaceDN w:val="0"/>
              <w:rPr>
                <w:rFonts w:hint="eastAsia" w:ascii="宋体" w:hAnsi="宋体" w:eastAsia="宋体" w:cs="宋体"/>
                <w:color w:val="auto"/>
                <w:sz w:val="24"/>
                <w:szCs w:val="24"/>
              </w:rPr>
            </w:pPr>
            <w:r>
              <w:rPr>
                <w:rFonts w:hint="eastAsia" w:ascii="宋体" w:hAnsi="宋体" w:eastAsia="宋体" w:cs="宋体"/>
                <w:color w:val="auto"/>
                <w:sz w:val="24"/>
                <w:szCs w:val="24"/>
              </w:rPr>
              <w:t>负责</w:t>
            </w:r>
            <w:r>
              <w:rPr>
                <w:rFonts w:hint="eastAsia" w:ascii="宋体" w:hAnsi="宋体" w:eastAsia="宋体" w:cs="宋体"/>
                <w:color w:val="auto"/>
                <w:sz w:val="24"/>
                <w:szCs w:val="24"/>
                <w:lang w:val="en-US" w:eastAsia="zh-CN"/>
              </w:rPr>
              <w:t>图书馆总馆和少儿馆秩序维护和文明引导</w:t>
            </w:r>
            <w:r>
              <w:rPr>
                <w:rFonts w:hint="eastAsia" w:ascii="宋体" w:hAnsi="宋体" w:eastAsia="宋体" w:cs="宋体"/>
                <w:color w:val="auto"/>
                <w:sz w:val="24"/>
                <w:szCs w:val="24"/>
              </w:rPr>
              <w:t>服务，</w:t>
            </w:r>
            <w:r>
              <w:rPr>
                <w:rFonts w:hint="eastAsia" w:ascii="宋体" w:hAnsi="宋体" w:eastAsia="宋体" w:cs="宋体"/>
                <w:color w:val="auto"/>
                <w:sz w:val="24"/>
                <w:szCs w:val="24"/>
                <w:lang w:val="en-US" w:eastAsia="zh-CN"/>
              </w:rPr>
              <w:t>负责图书馆安全生产法和安全生产要求，</w:t>
            </w:r>
            <w:r>
              <w:rPr>
                <w:rFonts w:hint="eastAsia" w:ascii="宋体" w:hAnsi="宋体" w:eastAsia="宋体" w:cs="宋体"/>
                <w:color w:val="auto"/>
                <w:sz w:val="24"/>
                <w:szCs w:val="24"/>
              </w:rPr>
              <w:t>具体负责各出入口、微型消防站、公共区域日常安防、站岗巡逻、</w:t>
            </w:r>
            <w:r>
              <w:rPr>
                <w:rFonts w:hint="eastAsia" w:ascii="宋体" w:hAnsi="宋体" w:eastAsia="宋体" w:cs="宋体"/>
                <w:color w:val="auto"/>
                <w:sz w:val="24"/>
                <w:szCs w:val="24"/>
                <w:lang w:val="en-US" w:eastAsia="zh-CN"/>
              </w:rPr>
              <w:t>防火巡查、</w:t>
            </w:r>
            <w:r>
              <w:rPr>
                <w:rFonts w:hint="eastAsia" w:ascii="宋体" w:hAnsi="宋体" w:eastAsia="宋体" w:cs="宋体"/>
                <w:color w:val="auto"/>
                <w:sz w:val="24"/>
                <w:szCs w:val="24"/>
              </w:rPr>
              <w:t>综合服务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车场管理和车辆引导</w:t>
            </w:r>
            <w:r>
              <w:rPr>
                <w:rFonts w:hint="eastAsia" w:ascii="宋体" w:hAnsi="宋体" w:eastAsia="宋体" w:cs="宋体"/>
                <w:color w:val="auto"/>
                <w:sz w:val="24"/>
                <w:szCs w:val="24"/>
              </w:rPr>
              <w:t>等职责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以及突发事件的应急处置</w:t>
            </w:r>
            <w:r>
              <w:rPr>
                <w:rFonts w:hint="eastAsia" w:ascii="宋体" w:hAnsi="宋体" w:eastAsia="宋体" w:cs="宋体"/>
                <w:color w:val="auto"/>
                <w:sz w:val="24"/>
                <w:szCs w:val="24"/>
              </w:rPr>
              <w:t>。</w:t>
            </w:r>
          </w:p>
          <w:p>
            <w:pPr>
              <w:autoSpaceDE w:val="0"/>
              <w:autoSpaceDN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一层消防中控室 、24小时值班，消防设备设施定期巡视检查</w:t>
            </w:r>
            <w:r>
              <w:rPr>
                <w:rFonts w:hint="eastAsia" w:ascii="宋体" w:hAnsi="宋体" w:eastAsia="宋体" w:cs="宋体"/>
                <w:color w:val="auto"/>
                <w:sz w:val="24"/>
                <w:szCs w:val="24"/>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line="360" w:lineRule="auto"/>
        <w:ind w:right="0" w:rightChars="0" w:firstLine="482" w:firstLineChars="200"/>
        <w:jc w:val="both"/>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物业服务标准参照依据</w:t>
      </w:r>
    </w:p>
    <w:p>
      <w:pPr>
        <w:keepNext w:val="0"/>
        <w:keepLines w:val="0"/>
        <w:pageBreakBefore w:val="0"/>
        <w:widowControl w:val="0"/>
        <w:kinsoku/>
        <w:wordWrap/>
        <w:overflowPunct/>
        <w:topLinePunct w:val="0"/>
        <w:autoSpaceDE/>
        <w:autoSpaceDN/>
        <w:bidi w:val="0"/>
        <w:adjustRightInd w:val="0"/>
        <w:snapToGrid w:val="0"/>
        <w:spacing w:line="360" w:lineRule="auto"/>
        <w:ind w:left="17" w:leftChars="8" w:right="0" w:rightChars="0" w:firstLine="708" w:firstLineChars="29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参照京建发〔2010〕507号文件要求的《北京市物业管理示范项目</w:t>
      </w:r>
      <w:r>
        <w:rPr>
          <w:rFonts w:hint="eastAsia" w:ascii="宋体" w:hAnsi="宋体" w:eastAsia="宋体" w:cs="宋体"/>
          <w:color w:val="auto"/>
          <w:sz w:val="24"/>
          <w:szCs w:val="24"/>
          <w:lang w:val="en-US" w:eastAsia="zh-CN"/>
        </w:rPr>
        <w:t>考评管理办法</w:t>
      </w:r>
      <w:r>
        <w:rPr>
          <w:rFonts w:hint="eastAsia" w:ascii="宋体" w:hAnsi="宋体" w:eastAsia="宋体" w:cs="宋体"/>
          <w:color w:val="auto"/>
          <w:sz w:val="24"/>
          <w:szCs w:val="24"/>
        </w:rPr>
        <w:t>》执行；具体服务内容及标准见第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部分《物业管理服务内容及标准》。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2" w:firstLineChars="200"/>
        <w:jc w:val="both"/>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服务提供地点</w:t>
      </w:r>
    </w:p>
    <w:p>
      <w:pPr>
        <w:keepNext w:val="0"/>
        <w:keepLines w:val="0"/>
        <w:pageBreakBefore w:val="0"/>
        <w:widowControl w:val="0"/>
        <w:kinsoku/>
        <w:wordWrap/>
        <w:overflowPunct/>
        <w:topLinePunct w:val="0"/>
        <w:autoSpaceDE/>
        <w:autoSpaceDN/>
        <w:bidi w:val="0"/>
        <w:adjustRightInd w:val="0"/>
        <w:snapToGrid w:val="0"/>
        <w:spacing w:line="360" w:lineRule="auto"/>
        <w:ind w:left="42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石景山区</w:t>
      </w:r>
      <w:r>
        <w:rPr>
          <w:rFonts w:hint="eastAsia" w:ascii="宋体" w:hAnsi="宋体" w:eastAsia="宋体" w:cs="宋体"/>
          <w:color w:val="auto"/>
          <w:sz w:val="24"/>
          <w:szCs w:val="24"/>
          <w:lang w:val="en-US" w:eastAsia="zh-CN"/>
        </w:rPr>
        <w:t>八角南路2号（图书馆总馆）以及古城南路11号（少儿馆）</w:t>
      </w:r>
      <w:r>
        <w:rPr>
          <w:rFonts w:hint="eastAsia" w:ascii="宋体" w:hAnsi="宋体" w:eastAsia="宋体" w:cs="宋体"/>
          <w:color w:val="auto"/>
          <w:sz w:val="24"/>
          <w:szCs w:val="24"/>
        </w:rPr>
        <w:t>。</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156" w:beforeLines="50" w:line="360" w:lineRule="auto"/>
        <w:ind w:right="0" w:rightChars="0"/>
        <w:jc w:val="both"/>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物业管理服务内容及标准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服务区域：负责石景山区图书馆（石景山区八角南路2号）及石景山区图书馆少儿馆（石景山区古城南路11号），合计馆舍面积12</w:t>
      </w:r>
      <w:r>
        <w:rPr>
          <w:rFonts w:hint="eastAsia" w:ascii="宋体" w:hAnsi="宋体" w:eastAsia="宋体" w:cs="宋体"/>
          <w:color w:val="auto"/>
          <w:sz w:val="24"/>
          <w:szCs w:val="24"/>
          <w:lang w:val="en-US" w:eastAsia="zh-CN"/>
        </w:rPr>
        <w:t>278</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服务范围包括：</w:t>
      </w:r>
      <w:r>
        <w:rPr>
          <w:rFonts w:hint="eastAsia" w:ascii="宋体" w:hAnsi="宋体" w:eastAsia="宋体" w:cs="宋体"/>
          <w:color w:val="auto"/>
          <w:sz w:val="24"/>
          <w:szCs w:val="24"/>
          <w:highlight w:val="none"/>
        </w:rPr>
        <w:t>消防</w:t>
      </w:r>
      <w:r>
        <w:rPr>
          <w:rFonts w:hint="eastAsia" w:ascii="宋体" w:hAnsi="宋体" w:eastAsia="宋体" w:cs="宋体"/>
          <w:color w:val="auto"/>
          <w:sz w:val="24"/>
          <w:szCs w:val="24"/>
          <w:highlight w:val="none"/>
          <w:lang w:val="en-US" w:eastAsia="zh-CN"/>
        </w:rPr>
        <w:t>安全管理，供电设备管理，给排水运行管理，</w:t>
      </w:r>
      <w:r>
        <w:rPr>
          <w:rFonts w:hint="eastAsia" w:ascii="宋体" w:hAnsi="宋体" w:eastAsia="宋体" w:cs="宋体"/>
          <w:color w:val="auto"/>
          <w:sz w:val="24"/>
          <w:szCs w:val="24"/>
          <w:highlight w:val="none"/>
        </w:rPr>
        <w:t>综合维修</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环境保洁管理服务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秩序维护和文明引导服务，应急处置管理，以及垃圾清运处理和绿植维护</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420" w:right="0" w:rightChars="0"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物业管理服务人员岗位需求：</w:t>
      </w:r>
    </w:p>
    <w:tbl>
      <w:tblPr>
        <w:tblStyle w:val="59"/>
        <w:tblW w:w="6798" w:type="dxa"/>
        <w:jc w:val="center"/>
        <w:tblInd w:w="862" w:type="dxa"/>
        <w:tblLayout w:type="fixed"/>
        <w:tblCellMar>
          <w:top w:w="0" w:type="dxa"/>
          <w:left w:w="108" w:type="dxa"/>
          <w:bottom w:w="0" w:type="dxa"/>
          <w:right w:w="108" w:type="dxa"/>
        </w:tblCellMar>
      </w:tblPr>
      <w:tblGrid>
        <w:gridCol w:w="1868"/>
        <w:gridCol w:w="3096"/>
        <w:gridCol w:w="1834"/>
      </w:tblGrid>
      <w:tr>
        <w:tblPrEx>
          <w:tblLayout w:type="fixed"/>
          <w:tblCellMar>
            <w:top w:w="0" w:type="dxa"/>
            <w:left w:w="108" w:type="dxa"/>
            <w:bottom w:w="0" w:type="dxa"/>
            <w:right w:w="108" w:type="dxa"/>
          </w:tblCellMar>
        </w:tblPrEx>
        <w:trPr>
          <w:trHeight w:val="226" w:hRule="atLeast"/>
          <w:jc w:val="center"/>
        </w:trPr>
        <w:tc>
          <w:tcPr>
            <w:tcW w:w="18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部门</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岗位</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人数 </w:t>
            </w:r>
          </w:p>
        </w:tc>
      </w:tr>
      <w:tr>
        <w:tblPrEx>
          <w:tblLayout w:type="fixed"/>
          <w:tblCellMar>
            <w:top w:w="0" w:type="dxa"/>
            <w:left w:w="108" w:type="dxa"/>
            <w:bottom w:w="0" w:type="dxa"/>
            <w:right w:w="108" w:type="dxa"/>
          </w:tblCellMar>
        </w:tblPrEx>
        <w:trPr>
          <w:trHeight w:val="226" w:hRule="atLeast"/>
          <w:jc w:val="center"/>
        </w:trPr>
        <w:tc>
          <w:tcPr>
            <w:tcW w:w="18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项目负责人</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项目经理</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r>
      <w:tr>
        <w:tblPrEx>
          <w:tblLayout w:type="fixed"/>
          <w:tblCellMar>
            <w:top w:w="0" w:type="dxa"/>
            <w:left w:w="108" w:type="dxa"/>
            <w:bottom w:w="0" w:type="dxa"/>
            <w:right w:w="108" w:type="dxa"/>
          </w:tblCellMar>
        </w:tblPrEx>
        <w:trPr>
          <w:trHeight w:val="226" w:hRule="atLeast"/>
          <w:jc w:val="center"/>
        </w:trPr>
        <w:tc>
          <w:tcPr>
            <w:tcW w:w="186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工程部</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
              </w:rPr>
              <w:t>综合服务及协调（辅助管理）</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tblPrEx>
          <w:tblLayout w:type="fixed"/>
          <w:tblCellMar>
            <w:top w:w="0" w:type="dxa"/>
            <w:left w:w="108" w:type="dxa"/>
            <w:bottom w:w="0" w:type="dxa"/>
            <w:right w:w="108" w:type="dxa"/>
          </w:tblCellMar>
        </w:tblPrEx>
        <w:trPr>
          <w:trHeight w:val="226" w:hRule="atLeast"/>
          <w:jc w:val="center"/>
        </w:trPr>
        <w:tc>
          <w:tcPr>
            <w:tcW w:w="1868" w:type="dxa"/>
            <w:vMerge w:val="continue"/>
            <w:tcBorders>
              <w:left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lang w:val="en-US" w:eastAsia="zh-CN" w:bidi="ar"/>
              </w:rPr>
              <w:t>高、低压电工（各1人）</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lang w:val="en-US" w:eastAsia="zh-CN" w:bidi="ar"/>
              </w:rPr>
              <w:t>2</w:t>
            </w:r>
          </w:p>
        </w:tc>
      </w:tr>
      <w:tr>
        <w:tblPrEx>
          <w:tblLayout w:type="fixed"/>
          <w:tblCellMar>
            <w:top w:w="0" w:type="dxa"/>
            <w:left w:w="108" w:type="dxa"/>
            <w:bottom w:w="0" w:type="dxa"/>
            <w:right w:w="108" w:type="dxa"/>
          </w:tblCellMar>
        </w:tblPrEx>
        <w:trPr>
          <w:trHeight w:val="226" w:hRule="atLeast"/>
          <w:jc w:val="center"/>
        </w:trPr>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综合维修</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p>
        </w:tc>
      </w:tr>
      <w:tr>
        <w:tblPrEx>
          <w:tblLayout w:type="fixed"/>
        </w:tblPrEx>
        <w:trPr>
          <w:trHeight w:val="226" w:hRule="atLeast"/>
          <w:jc w:val="center"/>
        </w:trPr>
        <w:tc>
          <w:tcPr>
            <w:tcW w:w="186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环境管理部</w:t>
            </w:r>
          </w:p>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保洁</w:t>
            </w:r>
            <w:r>
              <w:rPr>
                <w:rFonts w:hint="eastAsia" w:ascii="宋体" w:hAnsi="宋体" w:eastAsia="宋体" w:cs="宋体"/>
                <w:color w:val="auto"/>
                <w:sz w:val="24"/>
                <w:szCs w:val="24"/>
                <w:lang w:eastAsia="zh-CN" w:bidi="ar"/>
              </w:rPr>
              <w:t>）</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
              </w:rPr>
              <w:t>保洁主管</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r>
      <w:tr>
        <w:tblPrEx>
          <w:tblLayout w:type="fixed"/>
        </w:tblPrEx>
        <w:trPr>
          <w:trHeight w:val="226" w:hRule="atLeast"/>
          <w:jc w:val="center"/>
        </w:trPr>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领班</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p>
        </w:tc>
      </w:tr>
      <w:tr>
        <w:tblPrEx>
          <w:tblLayout w:type="fixed"/>
        </w:tblPrEx>
        <w:trPr>
          <w:trHeight w:val="226" w:hRule="atLeast"/>
          <w:jc w:val="center"/>
        </w:trPr>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
              </w:rPr>
              <w:t>楼层保洁员</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5</w:t>
            </w:r>
          </w:p>
        </w:tc>
      </w:tr>
      <w:tr>
        <w:tblPrEx>
          <w:tblLayout w:type="fixed"/>
        </w:tblPrEx>
        <w:trPr>
          <w:trHeight w:val="386" w:hRule="atLeast"/>
          <w:jc w:val="center"/>
        </w:trPr>
        <w:tc>
          <w:tcPr>
            <w:tcW w:w="1868"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秩序维护</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包括中控员、秩序维护、文明引导等</w:t>
            </w:r>
            <w:r>
              <w:rPr>
                <w:rFonts w:hint="eastAsia" w:ascii="宋体" w:hAnsi="宋体" w:eastAsia="宋体" w:cs="宋体"/>
                <w:color w:val="auto"/>
                <w:sz w:val="24"/>
                <w:szCs w:val="24"/>
                <w:lang w:eastAsia="zh-CN" w:bidi="ar"/>
              </w:rPr>
              <w:t>）</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部门主管</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1</w:t>
            </w:r>
          </w:p>
        </w:tc>
      </w:tr>
      <w:tr>
        <w:tblPrEx>
          <w:tblLayout w:type="fixed"/>
        </w:tblPrEx>
        <w:trPr>
          <w:trHeight w:val="436" w:hRule="atLeast"/>
          <w:jc w:val="center"/>
        </w:trPr>
        <w:tc>
          <w:tcPr>
            <w:tcW w:w="1868" w:type="dxa"/>
            <w:vMerge w:val="continue"/>
            <w:tcBorders>
              <w:left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中控员6名及</w:t>
            </w:r>
            <w:r>
              <w:rPr>
                <w:rFonts w:hint="eastAsia" w:ascii="宋体" w:hAnsi="宋体" w:eastAsia="宋体" w:cs="宋体"/>
                <w:color w:val="auto"/>
                <w:sz w:val="24"/>
                <w:szCs w:val="24"/>
                <w:lang w:val="en-US" w:eastAsia="zh-CN" w:bidi="ar"/>
              </w:rPr>
              <w:t>秩序维护3名</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9</w:t>
            </w:r>
          </w:p>
        </w:tc>
      </w:tr>
      <w:tr>
        <w:tblPrEx>
          <w:tblLayout w:type="fixed"/>
        </w:tblPrEx>
        <w:trPr>
          <w:trHeight w:val="226" w:hRule="atLeast"/>
          <w:jc w:val="center"/>
        </w:trPr>
        <w:tc>
          <w:tcPr>
            <w:tcW w:w="1868" w:type="dxa"/>
            <w:vMerge w:val="continue"/>
            <w:tcBorders>
              <w:left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文明引导员</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4</w:t>
            </w:r>
          </w:p>
        </w:tc>
      </w:tr>
      <w:tr>
        <w:tblPrEx>
          <w:tblLayout w:type="fixed"/>
        </w:tblPrEx>
        <w:trPr>
          <w:trHeight w:val="226" w:hRule="atLeast"/>
          <w:jc w:val="center"/>
        </w:trPr>
        <w:tc>
          <w:tcPr>
            <w:tcW w:w="4964" w:type="dxa"/>
            <w:gridSpan w:val="2"/>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合计</w:t>
            </w:r>
          </w:p>
        </w:tc>
        <w:tc>
          <w:tcPr>
            <w:tcW w:w="1834"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28</w:t>
            </w:r>
          </w:p>
        </w:tc>
      </w:tr>
    </w:tbl>
    <w:p>
      <w:pPr>
        <w:keepNext w:val="0"/>
        <w:keepLines w:val="0"/>
        <w:pageBreakBefore w:val="0"/>
        <w:wordWrap/>
        <w:overflowPunct/>
        <w:topLinePunct w:val="0"/>
        <w:bidi w:val="0"/>
        <w:adjustRightInd w:val="0"/>
        <w:snapToGrid w:val="0"/>
        <w:spacing w:line="360" w:lineRule="auto"/>
        <w:ind w:left="420"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详细情况如下：</w:t>
      </w:r>
    </w:p>
    <w:p>
      <w:pPr>
        <w:keepNext w:val="0"/>
        <w:keepLines w:val="0"/>
        <w:pageBreakBefore w:val="0"/>
        <w:numPr>
          <w:ilvl w:val="0"/>
          <w:numId w:val="0"/>
        </w:numPr>
        <w:wordWrap/>
        <w:overflowPunct/>
        <w:topLinePunct w:val="0"/>
        <w:bidi w:val="0"/>
        <w:adjustRightInd w:val="0"/>
        <w:snapToGrid w:val="0"/>
        <w:spacing w:line="360" w:lineRule="auto"/>
        <w:ind w:right="0" w:rightChars="0"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（一）项目经理</w:t>
      </w:r>
    </w:p>
    <w:p>
      <w:pPr>
        <w:keepNext w:val="0"/>
        <w:keepLines w:val="0"/>
        <w:pageBreakBefore w:val="0"/>
        <w:numPr>
          <w:ilvl w:val="0"/>
          <w:numId w:val="18"/>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面负责图书馆（总馆及少儿馆）范围内的物业服务综合管理，根据图书馆实际工作制定科学合理的物业团队接管和进驻方案，依据图书馆整体工作计划制定物业服务年度、月度工作计划并组织实施，贯彻执行图书馆各类规章制度，定期进行总结并向图书馆汇报。</w:t>
      </w:r>
    </w:p>
    <w:p>
      <w:pPr>
        <w:keepNext w:val="0"/>
        <w:keepLines w:val="0"/>
        <w:pageBreakBefore w:val="0"/>
        <w:numPr>
          <w:ilvl w:val="0"/>
          <w:numId w:val="18"/>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统筹图书馆（总馆及少儿馆）范围内物业团队从业人员管理工作，包括人员调度管理、人员培训，服务项目实施，合理调配人员并定期开展检查和考核。</w:t>
      </w:r>
    </w:p>
    <w:p>
      <w:pPr>
        <w:keepNext w:val="0"/>
        <w:keepLines w:val="0"/>
        <w:pageBreakBefore w:val="0"/>
        <w:numPr>
          <w:ilvl w:val="0"/>
          <w:numId w:val="18"/>
        </w:numPr>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统筹图书馆（总馆及少儿馆）安全生产、消防安全、治安安全、房屋安全等各项安全管理工作具体实施，规范安全管理制度，完善安全管理台账及档案。</w:t>
      </w:r>
    </w:p>
    <w:p>
      <w:pPr>
        <w:keepNext w:val="0"/>
        <w:keepLines w:val="0"/>
        <w:pageBreakBefore w:val="0"/>
        <w:numPr>
          <w:ilvl w:val="0"/>
          <w:numId w:val="18"/>
        </w:numPr>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统筹实施图书馆（总馆及少儿馆）日常开放各项基础设施保障工作，包括设备设施管理、小型维修及修缮项目过程管理，确保图书馆电气设备、消防设备、暖通设备、给排水设备等各项设备设施运转正常。</w:t>
      </w:r>
    </w:p>
    <w:p>
      <w:pPr>
        <w:keepNext w:val="0"/>
        <w:keepLines w:val="0"/>
        <w:pageBreakBefore w:val="0"/>
        <w:numPr>
          <w:ilvl w:val="0"/>
          <w:numId w:val="18"/>
        </w:numPr>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统筹实施图书馆（总馆及少儿馆）对外开放的日常保障工作，包括环境卫生、文明引导、馆内开放区域的秩序维护、停车场秩序维护，前台咨询解答，以及协助图书馆开展各项文化活动、会议会场服务保障工作。</w:t>
      </w:r>
    </w:p>
    <w:p>
      <w:pPr>
        <w:keepNext w:val="0"/>
        <w:keepLines w:val="0"/>
        <w:pageBreakBefore w:val="0"/>
        <w:numPr>
          <w:ilvl w:val="0"/>
          <w:numId w:val="18"/>
        </w:numPr>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负责对接与物业管理服务有关的职能部门协调工作，包括属地街道、消防管理部门、卫生监督部门、城市管理部门、各执法部门，以及供水、供电、供气、供暖等相关单位。</w:t>
      </w:r>
    </w:p>
    <w:p>
      <w:pPr>
        <w:keepNext w:val="0"/>
        <w:keepLines w:val="0"/>
        <w:pageBreakBefore w:val="0"/>
        <w:numPr>
          <w:ilvl w:val="0"/>
          <w:numId w:val="18"/>
        </w:numPr>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协助图书馆处置对外开放过程中发生的消防、治安、交通、工程施工，以及极端天气等各类突发事件应急处置工作。</w:t>
      </w:r>
    </w:p>
    <w:p>
      <w:pPr>
        <w:keepNext w:val="0"/>
        <w:keepLines w:val="0"/>
        <w:pageBreakBefore w:val="0"/>
        <w:numPr>
          <w:ilvl w:val="0"/>
          <w:numId w:val="18"/>
        </w:numPr>
        <w:wordWrap/>
        <w:overflowPunct/>
        <w:topLinePunct w:val="0"/>
        <w:bidi w:val="0"/>
        <w:adjustRightInd w:val="0"/>
        <w:snapToGrid w:val="0"/>
        <w:spacing w:line="360" w:lineRule="auto"/>
        <w:ind w:leftChars="0"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根据图书馆整体工作计划及文化活动开展情况，完成日常各项后勤服务保障工作，并协助完成图书馆及上级主管部门交办的临时性工作。</w:t>
      </w:r>
    </w:p>
    <w:p>
      <w:pPr>
        <w:pStyle w:val="2"/>
        <w:keepNext w:val="0"/>
        <w:keepLines w:val="0"/>
        <w:pageBreakBefore w:val="0"/>
        <w:numPr>
          <w:ilvl w:val="0"/>
          <w:numId w:val="0"/>
        </w:numPr>
        <w:wordWrap/>
        <w:overflowPunct/>
        <w:topLinePunct w:val="0"/>
        <w:bidi w:val="0"/>
        <w:adjustRightInd w:val="0"/>
        <w:snapToGrid w:val="0"/>
        <w:spacing w:before="156" w:beforeLines="50" w:after="156" w:afterLines="50" w:line="360" w:lineRule="auto"/>
        <w:ind w:right="0" w:rightChars="0" w:firstLine="482" w:firstLineChars="200"/>
        <w:jc w:val="both"/>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消防</w:t>
      </w:r>
      <w:r>
        <w:rPr>
          <w:rFonts w:hint="eastAsia" w:ascii="宋体" w:hAnsi="宋体" w:eastAsia="宋体" w:cs="宋体"/>
          <w:b/>
          <w:color w:val="auto"/>
          <w:sz w:val="24"/>
          <w:szCs w:val="24"/>
          <w:lang w:val="en-US" w:eastAsia="zh-CN"/>
        </w:rPr>
        <w:t>安全</w:t>
      </w:r>
      <w:r>
        <w:rPr>
          <w:rFonts w:hint="eastAsia" w:ascii="宋体" w:hAnsi="宋体" w:eastAsia="宋体" w:cs="宋体"/>
          <w:b/>
          <w:color w:val="auto"/>
          <w:sz w:val="24"/>
          <w:szCs w:val="24"/>
        </w:rPr>
        <w:t>管理</w:t>
      </w:r>
    </w:p>
    <w:p>
      <w:pPr>
        <w:pStyle w:val="2"/>
        <w:keepNext w:val="0"/>
        <w:keepLines w:val="0"/>
        <w:pageBreakBefore w:val="0"/>
        <w:numPr>
          <w:ilvl w:val="0"/>
          <w:numId w:val="0"/>
        </w:numPr>
        <w:wordWrap/>
        <w:overflowPunct/>
        <w:topLinePunct w:val="0"/>
        <w:bidi w:val="0"/>
        <w:adjustRightInd w:val="0"/>
        <w:snapToGrid w:val="0"/>
        <w:spacing w:line="360" w:lineRule="auto"/>
        <w:ind w:right="0" w:righ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服务内容</w:t>
      </w:r>
    </w:p>
    <w:p>
      <w:pPr>
        <w:pStyle w:val="2"/>
        <w:keepNext w:val="0"/>
        <w:keepLines w:val="0"/>
        <w:pageBreakBefore w:val="0"/>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负责日常的消防系统值守，负责月度消防设备定期检查并做检查记录，对消防中控室、火灾自动报警系统、自动喷淋系统、室内消火栓、安全疏散、应急系统、防火门系统、二氧化碳等灭火</w:t>
      </w:r>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szCs w:val="24"/>
        </w:rPr>
        <w:t>进行日常管理；监督、配合维保单位进行日常维修养护，发现问题时及时通知维保单位到场维修</w:t>
      </w:r>
      <w:r>
        <w:rPr>
          <w:rFonts w:hint="eastAsia" w:ascii="宋体" w:hAnsi="宋体" w:eastAsia="宋体" w:cs="宋体"/>
          <w:color w:val="auto"/>
          <w:sz w:val="24"/>
          <w:szCs w:val="24"/>
          <w:lang w:eastAsia="zh-CN"/>
        </w:rPr>
        <w:t>以及</w:t>
      </w:r>
      <w:r>
        <w:rPr>
          <w:rFonts w:hint="eastAsia" w:ascii="宋体" w:hAnsi="宋体" w:eastAsia="宋体" w:cs="宋体"/>
          <w:color w:val="auto"/>
          <w:sz w:val="24"/>
          <w:szCs w:val="24"/>
        </w:rPr>
        <w:t>紧急情况下的应急处理。</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2" w:firstLineChars="200"/>
        <w:jc w:val="both"/>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服务标准</w:t>
      </w:r>
    </w:p>
    <w:p>
      <w:pPr>
        <w:pStyle w:val="2"/>
        <w:keepNext w:val="0"/>
        <w:keepLines w:val="0"/>
        <w:pageBreakBefore w:val="0"/>
        <w:widowControl/>
        <w:tabs>
          <w:tab w:val="left" w:pos="630"/>
          <w:tab w:val="clear" w:pos="567"/>
        </w:tabs>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2.1 严格执行消防法规，建立消防安全管理制度，</w:t>
      </w:r>
      <w:r>
        <w:rPr>
          <w:rFonts w:hint="eastAsia" w:ascii="宋体" w:hAnsi="宋体" w:eastAsia="宋体" w:cs="宋体"/>
          <w:color w:val="auto"/>
          <w:sz w:val="24"/>
          <w:szCs w:val="24"/>
          <w:lang w:eastAsia="zh-CN"/>
        </w:rPr>
        <w:t>做好</w:t>
      </w:r>
      <w:r>
        <w:rPr>
          <w:rFonts w:hint="eastAsia" w:ascii="宋体" w:hAnsi="宋体" w:eastAsia="宋体" w:cs="宋体"/>
          <w:color w:val="auto"/>
          <w:sz w:val="24"/>
          <w:szCs w:val="24"/>
        </w:rPr>
        <w:t>消防安全管理工作，确保整个系统处于良好状态。</w:t>
      </w:r>
    </w:p>
    <w:p>
      <w:pPr>
        <w:pStyle w:val="2"/>
        <w:keepNext w:val="0"/>
        <w:keepLines w:val="0"/>
        <w:pageBreakBefore w:val="0"/>
        <w:widowControl/>
        <w:tabs>
          <w:tab w:val="left" w:pos="630"/>
          <w:tab w:val="clear" w:pos="567"/>
        </w:tabs>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 定期巡视检查消防设备，完成率100%。</w:t>
      </w:r>
    </w:p>
    <w:p>
      <w:pPr>
        <w:pStyle w:val="2"/>
        <w:keepNext w:val="0"/>
        <w:keepLines w:val="0"/>
        <w:pageBreakBefore w:val="0"/>
        <w:widowControl/>
        <w:tabs>
          <w:tab w:val="left" w:pos="630"/>
          <w:tab w:val="clear" w:pos="567"/>
        </w:tabs>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2.3 及时发现安全隐患，及时报告、处理，完成率100%。发现问题及时通知维保单位，保质保量达到消防要求，保证系统正常运行。</w:t>
      </w:r>
    </w:p>
    <w:p>
      <w:pPr>
        <w:pStyle w:val="2"/>
        <w:keepNext w:val="0"/>
        <w:keepLines w:val="0"/>
        <w:pageBreakBefore w:val="0"/>
        <w:widowControl/>
        <w:tabs>
          <w:tab w:val="left" w:pos="630"/>
          <w:tab w:val="clear" w:pos="567"/>
        </w:tabs>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2.4 每月对消防设备定期检查一次，重大节日增加检查次数，有故障时，通知维保单位维修人员及时维修。</w:t>
      </w:r>
    </w:p>
    <w:p>
      <w:pPr>
        <w:pStyle w:val="2"/>
        <w:keepNext w:val="0"/>
        <w:keepLines w:val="0"/>
        <w:pageBreakBefore w:val="0"/>
        <w:widowControl/>
        <w:tabs>
          <w:tab w:val="left" w:pos="630"/>
          <w:tab w:val="clear" w:pos="567"/>
        </w:tabs>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2.5 定期组织义务消防员的培训和演习。</w:t>
      </w:r>
    </w:p>
    <w:p>
      <w:pPr>
        <w:pStyle w:val="2"/>
        <w:keepNext w:val="0"/>
        <w:keepLines w:val="0"/>
        <w:pageBreakBefore w:val="0"/>
        <w:widowControl/>
        <w:tabs>
          <w:tab w:val="left" w:pos="630"/>
          <w:tab w:val="clear" w:pos="567"/>
        </w:tabs>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2.6 配合</w:t>
      </w:r>
      <w:r>
        <w:rPr>
          <w:rFonts w:hint="eastAsia" w:ascii="宋体" w:hAnsi="宋体" w:eastAsia="宋体" w:cs="宋体"/>
          <w:color w:val="auto"/>
          <w:sz w:val="24"/>
          <w:szCs w:val="24"/>
          <w:lang w:val="en-US" w:eastAsia="zh-CN"/>
        </w:rPr>
        <w:t>图书馆</w:t>
      </w:r>
      <w:r>
        <w:rPr>
          <w:rFonts w:hint="eastAsia" w:ascii="宋体" w:hAnsi="宋体" w:eastAsia="宋体" w:cs="宋体"/>
          <w:color w:val="auto"/>
          <w:sz w:val="24"/>
          <w:szCs w:val="24"/>
        </w:rPr>
        <w:t>完成消防、电气检测工作，取得消防电气检测报告。</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200" w:right="0" w:rightChars="0"/>
        <w:jc w:val="both"/>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运行管理要求</w:t>
      </w:r>
    </w:p>
    <w:p>
      <w:pPr>
        <w:pStyle w:val="2"/>
        <w:keepNext w:val="0"/>
        <w:keepLines w:val="0"/>
        <w:pageBreakBefore w:val="0"/>
        <w:tabs>
          <w:tab w:val="left" w:pos="630"/>
          <w:tab w:val="clear" w:pos="567"/>
        </w:tabs>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3.1 管理制度。依据消防泵房的功能及特点，建立相应的运行管理制度，并在机房显著位置张贴。设备运行管理制度的制定应以保障消防设备机房的安全、正常运行为标准，内容应包括操作规程、设备出现故障时的处理方法、值班人员的岗位责任、外来人员进入设备所在机房的授权、出入登记、设备所在机房内的物品存放以及消防安全的有关规定等事项</w:t>
      </w:r>
      <w:r>
        <w:rPr>
          <w:rFonts w:hint="eastAsia" w:ascii="宋体" w:hAnsi="宋体" w:eastAsia="宋体" w:cs="宋体"/>
          <w:color w:val="auto"/>
          <w:sz w:val="24"/>
          <w:szCs w:val="24"/>
          <w:lang w:eastAsia="zh-CN"/>
        </w:rPr>
        <w:t>。</w:t>
      </w:r>
    </w:p>
    <w:p>
      <w:pPr>
        <w:pStyle w:val="2"/>
        <w:keepNext w:val="0"/>
        <w:keepLines w:val="0"/>
        <w:pageBreakBefore w:val="0"/>
        <w:tabs>
          <w:tab w:val="left" w:pos="630"/>
          <w:tab w:val="clear" w:pos="567"/>
        </w:tabs>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3.2 消防值班。值班应进行记录，记录内容包括本班工作内容及完成情况，设备的当前状态 （运行、停止、待修等）及设备调整情况说明；交班接班人上岗时间、下岗时间。主管应每日检查值班工作记录并确认签字</w:t>
      </w:r>
      <w:r>
        <w:rPr>
          <w:rFonts w:hint="eastAsia" w:ascii="宋体" w:hAnsi="宋体" w:eastAsia="宋体" w:cs="宋体"/>
          <w:color w:val="auto"/>
          <w:sz w:val="24"/>
          <w:szCs w:val="24"/>
          <w:lang w:eastAsia="zh-CN"/>
        </w:rPr>
        <w:t>。</w:t>
      </w:r>
    </w:p>
    <w:p>
      <w:pPr>
        <w:pStyle w:val="2"/>
        <w:keepNext w:val="0"/>
        <w:keepLines w:val="0"/>
        <w:pageBreakBefore w:val="0"/>
        <w:tabs>
          <w:tab w:val="left" w:pos="630"/>
          <w:tab w:val="clear" w:pos="567"/>
        </w:tabs>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3.3 设备运行。系统设备运行正常，每天进行一次各类信息检查，并做好记录，设备设施符合《安全技术防范管理规定》的相关规定，各种主要控制设备正常运行、开关灵活，各系统联动正常。</w:t>
      </w:r>
    </w:p>
    <w:p>
      <w:pPr>
        <w:pStyle w:val="2"/>
        <w:keepNext w:val="0"/>
        <w:keepLines w:val="0"/>
        <w:pageBreakBefore w:val="0"/>
        <w:tabs>
          <w:tab w:val="left" w:pos="630"/>
          <w:tab w:val="clear" w:pos="567"/>
        </w:tabs>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3.4 现场管理。标识清晰、干净整洁、无尘土、 无杂物堆放，通风、照明、门窗、锁等设施良好；各种阀门开关灵活、性能可靠，主要阀门标识清晰、无锈蚀、无跑冒滴漏现象；压力表、温度表显示正常；电梯轿厢、井道、机房环境整洁、卫生良好；设备运行平稳、无异常声响；保存所有相应的巡检报告。</w:t>
      </w:r>
    </w:p>
    <w:p>
      <w:pPr>
        <w:pStyle w:val="2"/>
        <w:keepNext w:val="0"/>
        <w:keepLines w:val="0"/>
        <w:pageBreakBefore w:val="0"/>
        <w:tabs>
          <w:tab w:val="left" w:pos="630"/>
          <w:tab w:val="clear" w:pos="567"/>
        </w:tabs>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3.5 日常安全管理。依据国家及行业的有关规定，建立涉及系统操作及维护的《安全操作规程》；配合</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约请国家指定的专业机构对楼宇进行必要的消检、电检，保存好所有的相关检查、检测报告以及各项整改记录等文件以备查；定期对所有服务人员进行安全意识、安全知识方面的培训，并留有相应的培训记录。</w:t>
      </w:r>
    </w:p>
    <w:p>
      <w:pPr>
        <w:pStyle w:val="2"/>
        <w:keepNext w:val="0"/>
        <w:keepLines w:val="0"/>
        <w:pageBreakBefore w:val="0"/>
        <w:tabs>
          <w:tab w:val="left" w:pos="630"/>
          <w:tab w:val="clear" w:pos="567"/>
        </w:tabs>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3.6 档案管理。按国家规定建立和管理消防档案，消防档案完整、准确，并妥善保存以备查询。</w:t>
      </w:r>
    </w:p>
    <w:p>
      <w:pPr>
        <w:pStyle w:val="2"/>
        <w:keepNext w:val="0"/>
        <w:keepLines w:val="0"/>
        <w:pageBreakBefore w:val="0"/>
        <w:numPr>
          <w:ilvl w:val="0"/>
          <w:numId w:val="0"/>
        </w:numPr>
        <w:wordWrap/>
        <w:overflowPunct/>
        <w:topLinePunct w:val="0"/>
        <w:bidi w:val="0"/>
        <w:adjustRightInd w:val="0"/>
        <w:snapToGrid w:val="0"/>
        <w:spacing w:line="360" w:lineRule="auto"/>
        <w:ind w:right="0" w:righ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维护维修要求</w:t>
      </w:r>
    </w:p>
    <w:p>
      <w:pPr>
        <w:pStyle w:val="2"/>
        <w:keepNext w:val="0"/>
        <w:keepLines w:val="0"/>
        <w:pageBreakBefore w:val="0"/>
        <w:tabs>
          <w:tab w:val="left" w:pos="630"/>
          <w:tab w:val="clear" w:pos="567"/>
        </w:tabs>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4.1 监督、配合</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委托的专业单位的保养实施工作。对于专业单位保养计划的实施以及维修服务工作进行检查、记录，记录应包括维护（维修、急修）时间、工作内容、完成情况等以备查；在意外故障出现时，专业单位维修人员能够按照规定时间到达现场，制定应急故障处理措施并严格执行；应建立上述设备运行情况的自查制度及检修制度，并做好相应的工作记录，以保证对委托服务的有效监管。</w:t>
      </w:r>
    </w:p>
    <w:p>
      <w:pPr>
        <w:pStyle w:val="2"/>
        <w:keepNext w:val="0"/>
        <w:keepLines w:val="0"/>
        <w:pageBreakBefore w:val="0"/>
        <w:tabs>
          <w:tab w:val="left" w:pos="630"/>
          <w:tab w:val="clear" w:pos="567"/>
        </w:tabs>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4.2 在意外故障出现时，维修人员能够按照规定时间到达现场，制定应急故障处理措施并严格执行；应建立上述设备运行情况的自查制度及检修制度，并做好相应的工作记录，以保证对委托服务的有效监管。</w:t>
      </w:r>
    </w:p>
    <w:p>
      <w:pPr>
        <w:pStyle w:val="2"/>
        <w:keepNext w:val="0"/>
        <w:keepLines w:val="0"/>
        <w:pageBreakBefore w:val="0"/>
        <w:numPr>
          <w:ilvl w:val="0"/>
          <w:numId w:val="0"/>
        </w:numPr>
        <w:wordWrap/>
        <w:overflowPunct/>
        <w:topLinePunct w:val="0"/>
        <w:bidi w:val="0"/>
        <w:adjustRightInd w:val="0"/>
        <w:snapToGrid w:val="0"/>
        <w:spacing w:line="360" w:lineRule="auto"/>
        <w:ind w:right="0" w:righ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应急维修</w:t>
      </w:r>
    </w:p>
    <w:p>
      <w:pPr>
        <w:pStyle w:val="2"/>
        <w:keepNext w:val="0"/>
        <w:keepLines w:val="0"/>
        <w:pageBreakBefore w:val="0"/>
        <w:tabs>
          <w:tab w:val="left" w:pos="630"/>
          <w:tab w:val="clear" w:pos="567"/>
        </w:tabs>
        <w:wordWrap/>
        <w:overflowPunct/>
        <w:topLinePunct w:val="0"/>
        <w:bidi w:val="0"/>
        <w:adjustRightInd w:val="0"/>
        <w:snapToGrid w:val="0"/>
        <w:spacing w:line="360" w:lineRule="auto"/>
        <w:ind w:left="0" w:leftChars="0"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 当接到报修信息后，维修人员应在15分钟内到达现场，维修工作随即展开，一般故障的修复不应超过24小时；</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 当故障在规定时间内确实无法修复时，应及时通知维保单位人员并采取相应的跟进措施。</w:t>
      </w:r>
    </w:p>
    <w:p>
      <w:pPr>
        <w:pStyle w:val="2"/>
        <w:keepNext w:val="0"/>
        <w:keepLines w:val="0"/>
        <w:pageBreakBefore w:val="0"/>
        <w:numPr>
          <w:ilvl w:val="0"/>
          <w:numId w:val="0"/>
        </w:numPr>
        <w:wordWrap/>
        <w:overflowPunct/>
        <w:topLinePunct w:val="0"/>
        <w:bidi w:val="0"/>
        <w:adjustRightInd w:val="0"/>
        <w:snapToGrid w:val="0"/>
        <w:spacing w:before="156" w:beforeLines="50" w:after="156" w:afterLines="50" w:line="360" w:lineRule="auto"/>
        <w:ind w:right="0" w:rightChars="0" w:firstLine="482" w:firstLineChars="200"/>
        <w:jc w:val="both"/>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供电设备管理</w:t>
      </w:r>
    </w:p>
    <w:p>
      <w:pPr>
        <w:pStyle w:val="2"/>
        <w:keepNext w:val="0"/>
        <w:keepLines w:val="0"/>
        <w:pageBreakBefore w:val="0"/>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负责配电室的日常值守，监督、配合维护单位进行</w:t>
      </w:r>
      <w:r>
        <w:rPr>
          <w:rFonts w:hint="eastAsia" w:ascii="宋体" w:hAnsi="宋体" w:eastAsia="宋体" w:cs="宋体"/>
          <w:color w:val="auto"/>
          <w:sz w:val="24"/>
          <w:szCs w:val="24"/>
          <w:lang w:val="en-US" w:eastAsia="zh-CN"/>
        </w:rPr>
        <w:t>图书馆（总馆及少儿馆）</w:t>
      </w:r>
      <w:r>
        <w:rPr>
          <w:rFonts w:hint="eastAsia" w:ascii="宋体" w:hAnsi="宋体" w:eastAsia="宋体" w:cs="宋体"/>
          <w:color w:val="auto"/>
          <w:sz w:val="24"/>
          <w:szCs w:val="24"/>
        </w:rPr>
        <w:t>供电系统正常运行对供电设备的日常管理和养护维修。</w:t>
      </w:r>
    </w:p>
    <w:p>
      <w:pPr>
        <w:pStyle w:val="2"/>
        <w:keepNext w:val="0"/>
        <w:keepLines w:val="0"/>
        <w:pageBreakBefore w:val="0"/>
        <w:numPr>
          <w:ilvl w:val="0"/>
          <w:numId w:val="0"/>
        </w:numPr>
        <w:wordWrap/>
        <w:overflowPunct/>
        <w:topLinePunct w:val="0"/>
        <w:bidi w:val="0"/>
        <w:adjustRightInd w:val="0"/>
        <w:snapToGrid w:val="0"/>
        <w:spacing w:line="360" w:lineRule="auto"/>
        <w:ind w:leftChars="200" w:right="0" w:right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服务内容</w:t>
      </w:r>
    </w:p>
    <w:p>
      <w:pPr>
        <w:pStyle w:val="2"/>
        <w:keepNext w:val="0"/>
        <w:keepLines w:val="0"/>
        <w:pageBreakBefore w:val="0"/>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保障</w:t>
      </w:r>
      <w:r>
        <w:rPr>
          <w:rFonts w:hint="eastAsia" w:ascii="宋体" w:hAnsi="宋体" w:eastAsia="宋体" w:cs="宋体"/>
          <w:color w:val="auto"/>
          <w:sz w:val="24"/>
          <w:szCs w:val="24"/>
          <w:lang w:val="en-US" w:eastAsia="zh-CN"/>
        </w:rPr>
        <w:t>图书馆</w:t>
      </w:r>
      <w:r>
        <w:rPr>
          <w:rFonts w:hint="eastAsia" w:ascii="宋体" w:hAnsi="宋体" w:eastAsia="宋体" w:cs="宋体"/>
          <w:color w:val="auto"/>
          <w:sz w:val="24"/>
          <w:szCs w:val="24"/>
        </w:rPr>
        <w:t>供电系统高、低压电器设备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电线电缆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电气照明装置等设备正常运行使用，并进行日常巡视管理。</w:t>
      </w:r>
    </w:p>
    <w:p>
      <w:pPr>
        <w:pStyle w:val="2"/>
        <w:keepNext w:val="0"/>
        <w:keepLines w:val="0"/>
        <w:pageBreakBefore w:val="0"/>
        <w:numPr>
          <w:ilvl w:val="0"/>
          <w:numId w:val="0"/>
        </w:numPr>
        <w:wordWrap/>
        <w:overflowPunct/>
        <w:topLinePunct w:val="0"/>
        <w:bidi w:val="0"/>
        <w:adjustRightInd w:val="0"/>
        <w:snapToGrid w:val="0"/>
        <w:spacing w:line="360" w:lineRule="auto"/>
        <w:ind w:leftChars="200" w:right="0" w:right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服务标准</w:t>
      </w:r>
    </w:p>
    <w:p>
      <w:pPr>
        <w:pStyle w:val="2"/>
        <w:keepNext w:val="0"/>
        <w:keepLines w:val="0"/>
        <w:pageBreakBefore w:val="0"/>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对供电范围内的电气设备定期巡视维护和重点检测，建立各项设备档案，做到安全、合理、节约用电；建立严格的配送电运行制度、电气维修制度和配电房管理制度，供电运行和维修人员必须持证上岗；加强日常维护检修，公共使用的照明、指示灯具线路</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开关要保证完好，确保用电完全；管理和维护好避雷设施。发现问题时及时通知维保单位人员到场及时排除故障</w:t>
      </w:r>
      <w:r>
        <w:rPr>
          <w:rFonts w:hint="eastAsia" w:ascii="宋体" w:hAnsi="宋体" w:eastAsia="宋体" w:cs="宋体"/>
          <w:color w:val="auto"/>
          <w:sz w:val="24"/>
          <w:szCs w:val="24"/>
          <w:lang w:eastAsia="zh-CN"/>
        </w:rPr>
        <w:t>以及</w:t>
      </w:r>
      <w:r>
        <w:rPr>
          <w:rFonts w:hint="eastAsia" w:ascii="宋体" w:hAnsi="宋体" w:eastAsia="宋体" w:cs="宋体"/>
          <w:color w:val="auto"/>
          <w:sz w:val="24"/>
          <w:szCs w:val="24"/>
        </w:rPr>
        <w:t>紧急情况下的应急处理。</w:t>
      </w:r>
    </w:p>
    <w:p>
      <w:pPr>
        <w:pStyle w:val="2"/>
        <w:keepNext w:val="0"/>
        <w:keepLines w:val="0"/>
        <w:pageBreakBefore w:val="0"/>
        <w:numPr>
          <w:ilvl w:val="0"/>
          <w:numId w:val="0"/>
        </w:numPr>
        <w:wordWrap/>
        <w:overflowPunct/>
        <w:topLinePunct w:val="0"/>
        <w:bidi w:val="0"/>
        <w:adjustRightInd w:val="0"/>
        <w:snapToGrid w:val="0"/>
        <w:spacing w:line="360" w:lineRule="auto"/>
        <w:ind w:leftChars="200" w:right="0" w:right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运行管理要求</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3.1 管理制度。依据各设备及设备所在机房的功能及特点，建立相应的运行管理制度，并在设备所在机房显著位置张贴。设备运行管理制度的制定应以保障设备及设备所在机房的安全、正常运行为标准，内容应包括各专业设备的操作规程、设备出现故障时的处理方法、值班人员的岗位责任、外来人员进入设备所在机房的授权、出入登记、设备所在机房内的物品存放以及消防安全的有关规定等事项</w:t>
      </w:r>
      <w:r>
        <w:rPr>
          <w:rFonts w:hint="eastAsia" w:ascii="宋体" w:hAnsi="宋体" w:eastAsia="宋体" w:cs="宋体"/>
          <w:color w:val="auto"/>
          <w:sz w:val="24"/>
          <w:szCs w:val="24"/>
          <w:lang w:eastAsia="zh-CN"/>
        </w:rPr>
        <w:t>。</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3.2 工程值班。值班应进行记录，记录内容包括本班工作内容及完成情况，设备的当前状态 （运行、停止、待修等）及设备调整情况说明；交班接班人上岗时间、下岗时间，工程主管人员每日检查值班工作记录的确认签字等；所有无人值守的机房，都应当建立定时巡视制度，并有相应的《巡视签到表》。</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3.3 设备运行。重要设备及主要附属设备应建立相应的设备运行记录；重要设备及辅助设备的运行记录中，应记载设备的起、停时间，运行参数，设备运行状况、发生故障的时间及处理经过、运行记录表的抄表频次；重要设备的运行参数根据设备的具体情况确定抄表间隔，各种主要控制设备正常运行、开关灵活，各系统联动正常。</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3.4 现场管理。设备及所在机房、管道井内标识清晰、干净整洁、无尘土、无杂物堆放，通风、照明、门窗、锁等设施良好；各种阀门开关灵活、性能可靠，主要阀门标识清晰、无锈蚀、无跑冒滴漏现象；压力表、温度表显示正常；电梯轿厢、井道、机房环境整洁、卫生良好；电梯专用工具悬挂或码放整齐有序、标识清晰；机电设备运行平稳、无异常声响；设备运行与维护工作人员对公共照明、空调系统、给排水系统、建筑装修设备设施进行日常巡视检查，并保存所有相应的巡检报告。</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3.5 日常安全管理。依据国家及行业有关规定，建立涉及系统操作及维护的《安全操作规程》；配合</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时约请国家指定的专业机构对楼宇进行必要的消检、电检，保存好所有的相关检查、检测报告以及各项整改记录等文件以备查；定期对所有服务人员进行安全意识、安全知识方面的培训，并留有相应的培训记录。</w:t>
      </w:r>
    </w:p>
    <w:p>
      <w:pPr>
        <w:pStyle w:val="2"/>
        <w:keepNext w:val="0"/>
        <w:keepLines w:val="0"/>
        <w:pageBreakBefore w:val="0"/>
        <w:numPr>
          <w:ilvl w:val="0"/>
          <w:numId w:val="0"/>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b/>
          <w:color w:val="auto"/>
          <w:sz w:val="24"/>
          <w:szCs w:val="24"/>
          <w:lang w:eastAsia="zh-CN"/>
        </w:rPr>
      </w:pPr>
      <w:r>
        <w:rPr>
          <w:rFonts w:hint="eastAsia" w:ascii="宋体" w:hAnsi="宋体" w:eastAsia="宋体" w:cs="宋体"/>
          <w:color w:val="auto"/>
          <w:sz w:val="24"/>
          <w:szCs w:val="24"/>
        </w:rPr>
        <w:t>3.6 档案管理。按国家规定建立和管理工程档案，档案完整、准确，并妥善保存以备查询。</w:t>
      </w:r>
    </w:p>
    <w:p>
      <w:pPr>
        <w:pStyle w:val="2"/>
        <w:keepNext w:val="0"/>
        <w:keepLines w:val="0"/>
        <w:pageBreakBefore w:val="0"/>
        <w:numPr>
          <w:ilvl w:val="0"/>
          <w:numId w:val="0"/>
        </w:numPr>
        <w:wordWrap/>
        <w:overflowPunct/>
        <w:topLinePunct w:val="0"/>
        <w:bidi w:val="0"/>
        <w:adjustRightInd w:val="0"/>
        <w:snapToGrid w:val="0"/>
        <w:spacing w:before="156" w:beforeLines="50" w:after="156" w:afterLines="50" w:line="360" w:lineRule="auto"/>
        <w:ind w:left="420" w:leftChars="0" w:right="0" w:rightChars="0"/>
        <w:jc w:val="both"/>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排水设备运行管理</w:t>
      </w:r>
    </w:p>
    <w:p>
      <w:pPr>
        <w:pStyle w:val="2"/>
        <w:keepNext w:val="0"/>
        <w:keepLines w:val="0"/>
        <w:pageBreakBefore w:val="0"/>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监督、配合维保单位进行给排水设备运行维护，保证</w:t>
      </w:r>
      <w:r>
        <w:rPr>
          <w:rFonts w:hint="eastAsia" w:ascii="宋体" w:hAnsi="宋体" w:eastAsia="宋体" w:cs="宋体"/>
          <w:color w:val="auto"/>
          <w:sz w:val="24"/>
          <w:szCs w:val="24"/>
          <w:lang w:val="en-US" w:eastAsia="zh-CN"/>
        </w:rPr>
        <w:t>图书馆</w:t>
      </w:r>
      <w:r>
        <w:rPr>
          <w:rFonts w:hint="eastAsia" w:ascii="宋体" w:hAnsi="宋体" w:eastAsia="宋体" w:cs="宋体"/>
          <w:color w:val="auto"/>
          <w:sz w:val="24"/>
          <w:szCs w:val="24"/>
        </w:rPr>
        <w:t>给排水设备、设施的正常运行使用</w:t>
      </w:r>
      <w:r>
        <w:rPr>
          <w:rFonts w:hint="eastAsia" w:ascii="宋体" w:hAnsi="宋体" w:eastAsia="宋体" w:cs="宋体"/>
          <w:color w:val="auto"/>
          <w:sz w:val="24"/>
          <w:szCs w:val="24"/>
          <w:lang w:eastAsia="zh-CN"/>
        </w:rPr>
        <w:t>以及</w:t>
      </w:r>
      <w:r>
        <w:rPr>
          <w:rFonts w:hint="eastAsia" w:ascii="宋体" w:hAnsi="宋体" w:eastAsia="宋体" w:cs="宋体"/>
          <w:color w:val="auto"/>
          <w:sz w:val="24"/>
          <w:szCs w:val="24"/>
        </w:rPr>
        <w:t>日常养护维修。</w:t>
      </w:r>
    </w:p>
    <w:p>
      <w:pPr>
        <w:pStyle w:val="2"/>
        <w:keepNext w:val="0"/>
        <w:keepLines w:val="0"/>
        <w:pageBreakBefore w:val="0"/>
        <w:numPr>
          <w:ilvl w:val="0"/>
          <w:numId w:val="0"/>
        </w:numPr>
        <w:wordWrap/>
        <w:overflowPunct/>
        <w:topLinePunct w:val="0"/>
        <w:bidi w:val="0"/>
        <w:adjustRightInd w:val="0"/>
        <w:snapToGrid w:val="0"/>
        <w:spacing w:line="360" w:lineRule="auto"/>
        <w:ind w:right="0" w:righ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服务内容</w:t>
      </w:r>
    </w:p>
    <w:p>
      <w:pPr>
        <w:pStyle w:val="2"/>
        <w:keepNext w:val="0"/>
        <w:keepLines w:val="0"/>
        <w:pageBreakBefore w:val="0"/>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对</w:t>
      </w:r>
      <w:r>
        <w:rPr>
          <w:rFonts w:hint="eastAsia" w:ascii="宋体" w:hAnsi="宋体" w:eastAsia="宋体" w:cs="宋体"/>
          <w:color w:val="auto"/>
          <w:sz w:val="24"/>
          <w:szCs w:val="24"/>
          <w:lang w:val="en-US" w:eastAsia="zh-CN"/>
        </w:rPr>
        <w:t>图书馆</w:t>
      </w:r>
      <w:r>
        <w:rPr>
          <w:rFonts w:hint="eastAsia" w:ascii="宋体" w:hAnsi="宋体" w:eastAsia="宋体" w:cs="宋体"/>
          <w:color w:val="auto"/>
          <w:sz w:val="24"/>
          <w:szCs w:val="24"/>
        </w:rPr>
        <w:t>室内外给排水系统的设备、设施，如水泵、水箱、气压给水装置、水处理设备、消火栓、管道、管件、阀门、水嘴、洁具、排水管、透气管及疏通、水封设备、室外排水管及其附属构筑物等正常运行使用进行日常巡查，发现问题及时通知维保单位进行维修养护。</w:t>
      </w:r>
    </w:p>
    <w:p>
      <w:pPr>
        <w:pStyle w:val="2"/>
        <w:keepNext w:val="0"/>
        <w:keepLines w:val="0"/>
        <w:pageBreakBefore w:val="0"/>
        <w:numPr>
          <w:ilvl w:val="0"/>
          <w:numId w:val="0"/>
        </w:numPr>
        <w:wordWrap/>
        <w:overflowPunct/>
        <w:topLinePunct w:val="0"/>
        <w:bidi w:val="0"/>
        <w:adjustRightInd w:val="0"/>
        <w:snapToGrid w:val="0"/>
        <w:spacing w:line="360" w:lineRule="auto"/>
        <w:ind w:right="0" w:rightChars="0" w:firstLine="482" w:firstLineChars="200"/>
        <w:jc w:val="both"/>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服务标准</w:t>
      </w:r>
    </w:p>
    <w:p>
      <w:pPr>
        <w:pStyle w:val="2"/>
        <w:keepNext w:val="0"/>
        <w:keepLines w:val="0"/>
        <w:pageBreakBefore w:val="0"/>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加强日常检查巡视，保证给排水系统正常运行使用。建立正常供水管理制度，保证水质符合国家标准，防止跑、冒、滴、漏，对供水系统管路、水泵、水箱、阀门等进行日常维护和定期检修，水箱保持清洁卫生并定期消毒，定期对水泵房及机电设备进行检查、保养、维修、清洁；定期对排水管进行清通、养护及清除污垢，保证室内外排水系统畅通；发现问题及时通知维保单位维修人员解决故障，零</w:t>
      </w:r>
      <w:r>
        <w:rPr>
          <w:rFonts w:hint="eastAsia" w:ascii="宋体" w:hAnsi="宋体" w:eastAsia="宋体" w:cs="宋体"/>
          <w:color w:val="auto"/>
          <w:sz w:val="24"/>
          <w:szCs w:val="24"/>
          <w:lang w:val="en-US" w:eastAsia="zh-CN"/>
        </w:rPr>
        <w:t>星</w:t>
      </w:r>
      <w:r>
        <w:rPr>
          <w:rFonts w:hint="eastAsia" w:ascii="宋体" w:hAnsi="宋体" w:eastAsia="宋体" w:cs="宋体"/>
          <w:color w:val="auto"/>
          <w:sz w:val="24"/>
          <w:szCs w:val="24"/>
        </w:rPr>
        <w:t>维修合格率100%，故障排除不过夜，做好节约用水工作。</w:t>
      </w:r>
    </w:p>
    <w:p>
      <w:pPr>
        <w:pStyle w:val="2"/>
        <w:keepNext w:val="0"/>
        <w:keepLines w:val="0"/>
        <w:pageBreakBefore w:val="0"/>
        <w:numPr>
          <w:ilvl w:val="0"/>
          <w:numId w:val="0"/>
        </w:numPr>
        <w:wordWrap/>
        <w:overflowPunct/>
        <w:topLinePunct w:val="0"/>
        <w:bidi w:val="0"/>
        <w:adjustRightInd w:val="0"/>
        <w:snapToGrid w:val="0"/>
        <w:spacing w:line="360" w:lineRule="auto"/>
        <w:ind w:right="0" w:righ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运行管理要求</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3.1 管理制度。运行管理制度的制定应以保障设备及设备所在机房的安全、正常运行为标准，内容应包括操作规程、设备出现故障时的处理方法、值班人员的岗位责任、外来人员进入设备所在机房的授权、出入登记、机房内的物品存放以及消防安全的有关规定等事项</w:t>
      </w:r>
      <w:r>
        <w:rPr>
          <w:rFonts w:hint="eastAsia" w:ascii="宋体" w:hAnsi="宋体" w:eastAsia="宋体" w:cs="宋体"/>
          <w:color w:val="auto"/>
          <w:sz w:val="24"/>
          <w:szCs w:val="24"/>
          <w:lang w:eastAsia="zh-CN"/>
        </w:rPr>
        <w:t>。</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3.2 工程值班。值班应进行记录，记录内容包括本班工作内容及完成情况，设备的当前状态（运行、停止、待修等）及设备调整情况说明；交班接班人上岗时间、下岗时间，工程主管人员每日检查值班工作记录的确认签字等；所有无人值守的机房，都应当建立定时巡视制度，并有相应的《巡视签到表》。</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3.3 设备运行。重要设备及主要附属设备应建立相应的设备运行记录；重要设备及辅助设备的运行记录中应记载设备的起、停时间，运行参数，设备运行状况、发生故障的时间及处理经过、运行记录表的抄表频次；重要设备的运行参数根据设备的具体情况确定抄表间隔，各种主要控制设备正常运行、开关灵活，各系统联动正常。</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3.4 现场管理。设备及所在机房标识清晰、干净整洁、无尘土、无杂物堆放，通风、照明、门窗、锁等设施良好；各种阀门开关灵活、性能可靠，主要阀门标识清晰、无锈蚀、 无跑冒滴漏现象；压力表、温度表显示正常；空调系统检修设备设施进行日常巡视检查，并保存所有相应的巡检报告。</w:t>
      </w:r>
    </w:p>
    <w:p>
      <w:pPr>
        <w:pStyle w:val="2"/>
        <w:keepNext w:val="0"/>
        <w:keepLines w:val="0"/>
        <w:pageBreakBefore w:val="0"/>
        <w:tabs>
          <w:tab w:val="left" w:pos="630"/>
          <w:tab w:val="clear" w:pos="567"/>
        </w:tabs>
        <w:wordWrap/>
        <w:overflowPunct/>
        <w:topLinePunct w:val="0"/>
        <w:bidi w:val="0"/>
        <w:adjustRightInd w:val="0"/>
        <w:snapToGrid w:val="0"/>
        <w:spacing w:line="360" w:lineRule="auto"/>
        <w:ind w:right="0" w:rightChars="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3.5 日常安全管理。依据国家及行业的有关规定，建立涉及系统操作及维护的《安全操作规程》；保存好所有的相关检查、检测报告以及各项整改记录等文件以备查；定期对所有服务人员进行安全意识、安全知识方面的培训，并留有相应的培训记录。</w:t>
      </w:r>
    </w:p>
    <w:p>
      <w:pPr>
        <w:keepNext w:val="0"/>
        <w:keepLines w:val="0"/>
        <w:pageBreakBefore w:val="0"/>
        <w:wordWrap/>
        <w:overflowPunct/>
        <w:topLinePunct w:val="0"/>
        <w:bidi w:val="0"/>
        <w:adjustRightInd w:val="0"/>
        <w:snapToGrid w:val="0"/>
        <w:spacing w:line="360" w:lineRule="auto"/>
        <w:ind w:left="420" w:right="0" w:right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）综合维修管理</w:t>
      </w:r>
      <w:r>
        <w:rPr>
          <w:rFonts w:hint="eastAsia" w:ascii="宋体" w:hAnsi="宋体" w:eastAsia="宋体" w:cs="宋体"/>
          <w:b/>
          <w:bCs/>
          <w:color w:val="auto"/>
          <w:sz w:val="24"/>
          <w:szCs w:val="24"/>
          <w:lang w:val="en-US" w:eastAsia="zh-CN"/>
        </w:rPr>
        <w:t>服务</w:t>
      </w:r>
    </w:p>
    <w:p>
      <w:pPr>
        <w:keepNext w:val="0"/>
        <w:keepLines w:val="0"/>
        <w:pageBreakBefore w:val="0"/>
        <w:wordWrap/>
        <w:overflowPunct/>
        <w:topLinePunct w:val="0"/>
        <w:bidi w:val="0"/>
        <w:adjustRightInd w:val="0"/>
        <w:snapToGrid w:val="0"/>
        <w:spacing w:line="360" w:lineRule="auto"/>
        <w:ind w:right="0" w:rightChars="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负责馆内</w:t>
      </w:r>
      <w:r>
        <w:rPr>
          <w:rFonts w:hint="eastAsia" w:ascii="宋体" w:hAnsi="宋体" w:eastAsia="宋体" w:cs="宋体"/>
          <w:color w:val="auto"/>
          <w:sz w:val="24"/>
          <w:szCs w:val="24"/>
          <w:lang w:val="en-US" w:eastAsia="zh-CN"/>
        </w:rPr>
        <w:t>房间及</w:t>
      </w:r>
      <w:r>
        <w:rPr>
          <w:rFonts w:hint="eastAsia" w:ascii="宋体" w:hAnsi="宋体" w:eastAsia="宋体" w:cs="宋体"/>
          <w:color w:val="auto"/>
          <w:sz w:val="24"/>
          <w:szCs w:val="24"/>
        </w:rPr>
        <w:t>设备、设施的</w:t>
      </w:r>
      <w:r>
        <w:rPr>
          <w:rFonts w:hint="eastAsia" w:ascii="宋体" w:hAnsi="宋体" w:eastAsia="宋体" w:cs="宋体"/>
          <w:color w:val="auto"/>
          <w:sz w:val="24"/>
          <w:szCs w:val="24"/>
          <w:lang w:val="en-US" w:eastAsia="zh-CN"/>
        </w:rPr>
        <w:t>安全检查，确保基础设施</w:t>
      </w:r>
      <w:r>
        <w:rPr>
          <w:rFonts w:hint="eastAsia" w:ascii="宋体" w:hAnsi="宋体" w:eastAsia="宋体" w:cs="宋体"/>
          <w:color w:val="auto"/>
          <w:sz w:val="24"/>
          <w:szCs w:val="24"/>
        </w:rPr>
        <w:t>正常运行，每天不定时巡视，及时发现安全隐患及损坏设备；第一时间上报图书馆相关领导，</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及时处理解决问题。</w:t>
      </w:r>
    </w:p>
    <w:p>
      <w:pPr>
        <w:keepNext w:val="0"/>
        <w:keepLines w:val="0"/>
        <w:pageBreakBefore w:val="0"/>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物业小修具体包括：</w:t>
      </w:r>
    </w:p>
    <w:p>
      <w:pPr>
        <w:keepNext w:val="0"/>
        <w:keepLines w:val="0"/>
        <w:pageBreakBefore w:val="0"/>
        <w:numPr>
          <w:ilvl w:val="0"/>
          <w:numId w:val="19"/>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卫生设备及配件；将残缺的配齐、有破损的及时维修。质量标准达到修缮后给排水畅通，各部位零件齐全、灵活有效、无跑、冒、漏、滴现象，确保正常使用。</w:t>
      </w:r>
    </w:p>
    <w:p>
      <w:pPr>
        <w:keepNext w:val="0"/>
        <w:keepLines w:val="0"/>
        <w:pageBreakBefore w:val="0"/>
        <w:numPr>
          <w:ilvl w:val="0"/>
          <w:numId w:val="19"/>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配电设施包括：配电柜、配电箱、配电盘；质量标准达到元器件齐全，显示正常动作可靠，接地良好。</w:t>
      </w:r>
    </w:p>
    <w:p>
      <w:pPr>
        <w:keepNext w:val="0"/>
        <w:keepLines w:val="0"/>
        <w:pageBreakBefore w:val="0"/>
        <w:numPr>
          <w:ilvl w:val="0"/>
          <w:numId w:val="19"/>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室内设备包括闸具、电源插座、开关、灯头；质量标准达到正常使用。</w:t>
      </w:r>
    </w:p>
    <w:p>
      <w:pPr>
        <w:keepNext w:val="0"/>
        <w:keepLines w:val="0"/>
        <w:pageBreakBefore w:val="0"/>
        <w:numPr>
          <w:ilvl w:val="0"/>
          <w:numId w:val="19"/>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配电线路包括导线、支持物；质量标准达到良好完整可靠。</w:t>
      </w:r>
    </w:p>
    <w:p>
      <w:pPr>
        <w:keepNext w:val="0"/>
        <w:keepLines w:val="0"/>
        <w:pageBreakBefore w:val="0"/>
        <w:numPr>
          <w:ilvl w:val="0"/>
          <w:numId w:val="19"/>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排水管道、检查井等包括楼房排污管道堵塞、排污不畅通；质量标准达到楼房排污管道经疏通后管道畅通、不滴水；井体、池体、井圈、井盖、池盖完好。</w:t>
      </w:r>
    </w:p>
    <w:p>
      <w:pPr>
        <w:keepNext w:val="0"/>
        <w:keepLines w:val="0"/>
        <w:pageBreakBefore w:val="0"/>
        <w:numPr>
          <w:ilvl w:val="0"/>
          <w:numId w:val="19"/>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snapToGrid w:val="0"/>
          <w:color w:val="auto"/>
          <w:sz w:val="24"/>
          <w:szCs w:val="24"/>
          <w:lang w:val="en-US" w:eastAsia="zh-CN" w:bidi="ar-SA"/>
        </w:rPr>
        <w:t>检修门窗；钢木门窗松动、门窗扇开关不灵活、脱榫、槽朽、开焊、小五金缺损的及时修补；质量标准达到修缮后的钢木门窗开关灵活不松动，框与墙体结合牢固，五金齐全；玻璃装钉牢固，嵌缝腻子填充饱满、顺平，窗纱安装平整，无纱头、毛刺外露。</w:t>
      </w:r>
    </w:p>
    <w:p>
      <w:pPr>
        <w:keepNext w:val="0"/>
        <w:keepLines w:val="0"/>
        <w:pageBreakBefore w:val="0"/>
        <w:numPr>
          <w:ilvl w:val="0"/>
          <w:numId w:val="19"/>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空调设备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进行日常检查巡视，保证空调设备、设施处于良好状态，发现问题及时通知维保单位进行维修养护。</w:t>
      </w:r>
    </w:p>
    <w:p>
      <w:pPr>
        <w:keepNext w:val="0"/>
        <w:keepLines w:val="0"/>
        <w:pageBreakBefore w:val="0"/>
        <w:numPr>
          <w:ilvl w:val="0"/>
          <w:numId w:val="19"/>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snapToGrid w:val="0"/>
          <w:color w:val="auto"/>
          <w:sz w:val="24"/>
          <w:szCs w:val="24"/>
          <w:lang w:val="en-US" w:eastAsia="zh-CN" w:bidi="ar-SA"/>
        </w:rPr>
        <w:t>供暖设备：供暖周期进度日常检查巡视，保证供暖设备处于良好状态，冒滴漏等情况简易应急处理。</w:t>
      </w:r>
    </w:p>
    <w:p>
      <w:pPr>
        <w:keepNext w:val="0"/>
        <w:keepLines w:val="0"/>
        <w:pageBreakBefore w:val="0"/>
        <w:wordWrap/>
        <w:overflowPunct/>
        <w:topLinePunct w:val="0"/>
        <w:bidi w:val="0"/>
        <w:adjustRightInd w:val="0"/>
        <w:snapToGrid w:val="0"/>
        <w:spacing w:line="360" w:lineRule="auto"/>
        <w:ind w:right="0" w:righ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）环境保洁服务</w:t>
      </w:r>
    </w:p>
    <w:p>
      <w:pPr>
        <w:keepNext w:val="0"/>
        <w:keepLines w:val="0"/>
        <w:pageBreakBefore w:val="0"/>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负责</w:t>
      </w:r>
      <w:r>
        <w:rPr>
          <w:rFonts w:hint="eastAsia" w:ascii="宋体" w:hAnsi="宋体" w:eastAsia="宋体" w:cs="宋体"/>
          <w:color w:val="auto"/>
          <w:sz w:val="24"/>
          <w:szCs w:val="24"/>
        </w:rPr>
        <w:t>图书馆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总馆及少儿馆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楼内的楼道、走廊、卫生间、会议室、多功能厅、外围（地）面、明沟、门、窗、灯具等设施和器皿，所有公共部位设施，红线规划内的道路等所有公共场地及设施和门前三包区域的日常保洁保养等红线规划范围内的所有环境卫生保洁。</w:t>
      </w:r>
    </w:p>
    <w:p>
      <w:pPr>
        <w:keepNext w:val="0"/>
        <w:keepLines w:val="0"/>
        <w:pageBreakBefore w:val="0"/>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清洁服务时间：早上：7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11:30,13:30</w:t>
      </w:r>
      <w:r>
        <w:rPr>
          <w:rFonts w:hint="eastAsia" w:ascii="宋体" w:hAnsi="宋体" w:eastAsia="宋体" w:cs="宋体"/>
          <w:color w:val="auto"/>
          <w:sz w:val="24"/>
          <w:szCs w:val="24"/>
        </w:rPr>
        <w:t>--16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30</w:t>
      </w:r>
    </w:p>
    <w:p>
      <w:pPr>
        <w:keepNext w:val="0"/>
        <w:keepLines w:val="0"/>
        <w:pageBreakBefore w:val="0"/>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p>
      <w:pPr>
        <w:keepNext w:val="0"/>
        <w:keepLines w:val="0"/>
        <w:pageBreakBefore w:val="0"/>
        <w:numPr>
          <w:ilvl w:val="0"/>
          <w:numId w:val="20"/>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日常服务内容及标准达到地面、扶手、门窗玻璃、门及门窗框，会议室座椅、各类宣传牌、橱窗及有关附体，消防楼梯区域等及时清除各种垃圾等杂物，无积灰、印迹、污渍，雨天做好防滑工作和各种提示语。</w:t>
      </w:r>
    </w:p>
    <w:p>
      <w:pPr>
        <w:keepNext w:val="0"/>
        <w:keepLines w:val="0"/>
        <w:pageBreakBefore w:val="0"/>
        <w:numPr>
          <w:ilvl w:val="0"/>
          <w:numId w:val="20"/>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各楼层等特定区域保洁服务内容及标准达到：地面、墙面、门窗玻璃、门及门窗框、墙壁附体，公用设施表面及卫生间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楼道地面严格按要求</w:t>
      </w:r>
      <w:r>
        <w:rPr>
          <w:rFonts w:hint="eastAsia" w:ascii="宋体" w:hAnsi="宋体" w:eastAsia="宋体" w:cs="宋体"/>
          <w:color w:val="auto"/>
          <w:sz w:val="24"/>
          <w:szCs w:val="24"/>
          <w:lang w:val="en-US" w:eastAsia="zh-CN"/>
        </w:rPr>
        <w:t>开展</w:t>
      </w:r>
      <w:r>
        <w:rPr>
          <w:rFonts w:hint="eastAsia" w:ascii="宋体" w:hAnsi="宋体" w:eastAsia="宋体" w:cs="宋体"/>
          <w:color w:val="auto"/>
          <w:sz w:val="24"/>
          <w:szCs w:val="24"/>
        </w:rPr>
        <w:t>清洁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及时开展</w:t>
      </w:r>
      <w:r>
        <w:rPr>
          <w:rFonts w:hint="eastAsia" w:ascii="宋体" w:hAnsi="宋体" w:eastAsia="宋体" w:cs="宋体"/>
          <w:color w:val="auto"/>
          <w:sz w:val="24"/>
          <w:szCs w:val="24"/>
        </w:rPr>
        <w:t>垃圾的收集及</w:t>
      </w:r>
      <w:r>
        <w:rPr>
          <w:rFonts w:hint="eastAsia" w:ascii="宋体" w:hAnsi="宋体" w:eastAsia="宋体" w:cs="宋体"/>
          <w:color w:val="auto"/>
          <w:sz w:val="24"/>
          <w:szCs w:val="24"/>
          <w:lang w:val="en-US" w:eastAsia="zh-CN"/>
        </w:rPr>
        <w:t>分类清理</w:t>
      </w:r>
      <w:r>
        <w:rPr>
          <w:rFonts w:hint="eastAsia" w:ascii="宋体" w:hAnsi="宋体" w:eastAsia="宋体" w:cs="宋体"/>
          <w:color w:val="auto"/>
          <w:sz w:val="24"/>
          <w:szCs w:val="24"/>
        </w:rPr>
        <w:t>，定点巡视，并随时保持清洁。</w:t>
      </w:r>
    </w:p>
    <w:p>
      <w:pPr>
        <w:keepNext w:val="0"/>
        <w:keepLines w:val="0"/>
        <w:pageBreakBefore w:val="0"/>
        <w:numPr>
          <w:ilvl w:val="0"/>
          <w:numId w:val="20"/>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不锈钢保洁达到标准：包括所有不锈钢制品、设施、设备，除有明确规定的保洁要求外，至少每二个月用不锈钢油保养一次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不锈钢表面无污渍、无灰尘。</w:t>
      </w:r>
    </w:p>
    <w:p>
      <w:pPr>
        <w:keepNext w:val="0"/>
        <w:keepLines w:val="0"/>
        <w:pageBreakBefore w:val="0"/>
        <w:numPr>
          <w:ilvl w:val="0"/>
          <w:numId w:val="20"/>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垃圾</w:t>
      </w:r>
      <w:r>
        <w:rPr>
          <w:rFonts w:hint="eastAsia" w:ascii="宋体" w:hAnsi="宋体" w:eastAsia="宋体" w:cs="宋体"/>
          <w:color w:val="auto"/>
          <w:sz w:val="24"/>
          <w:szCs w:val="24"/>
          <w:lang w:val="en-US" w:eastAsia="zh-CN"/>
        </w:rPr>
        <w:t>分类及清运</w:t>
      </w:r>
      <w:r>
        <w:rPr>
          <w:rFonts w:hint="eastAsia" w:ascii="宋体" w:hAnsi="宋体" w:eastAsia="宋体" w:cs="宋体"/>
          <w:color w:val="auto"/>
          <w:sz w:val="24"/>
          <w:szCs w:val="24"/>
        </w:rPr>
        <w:t>：垃圾箱、筒的垃圾存量不超过上缘，每日清理二次，垃圾不在筒箱内过夜。垃圾中转站工具摆放整齐，垃圾存量不超过三分之二且做到日产日清，定期清洗，每周消毒一次，无明显积水，无蚊蝇飞舞。垃圾清运工具应保持清洁无破损，清运过程中不得产生二次污染。各类垃圾运到规定的地方</w:t>
      </w:r>
      <w:r>
        <w:rPr>
          <w:rFonts w:hint="eastAsia" w:ascii="宋体" w:hAnsi="宋体" w:eastAsia="宋体" w:cs="宋体"/>
          <w:color w:val="auto"/>
          <w:sz w:val="24"/>
          <w:szCs w:val="24"/>
          <w:lang w:val="en-US" w:eastAsia="zh-CN"/>
        </w:rPr>
        <w:t>待清运单位集中处置</w:t>
      </w:r>
      <w:r>
        <w:rPr>
          <w:rFonts w:hint="eastAsia" w:ascii="宋体" w:hAnsi="宋体" w:eastAsia="宋体" w:cs="宋体"/>
          <w:color w:val="auto"/>
          <w:sz w:val="24"/>
          <w:szCs w:val="24"/>
        </w:rPr>
        <w:t>，其中公共区域、卫生间无堆积垃圾。</w:t>
      </w:r>
    </w:p>
    <w:p>
      <w:pPr>
        <w:keepNext w:val="0"/>
        <w:keepLines w:val="0"/>
        <w:pageBreakBefore w:val="0"/>
        <w:numPr>
          <w:ilvl w:val="0"/>
          <w:numId w:val="20"/>
        </w:numPr>
        <w:wordWrap/>
        <w:overflowPunct/>
        <w:topLinePunct w:val="0"/>
        <w:bidi w:val="0"/>
        <w:adjustRightInd w:val="0"/>
        <w:snapToGrid w:val="0"/>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图书馆玻璃墙内侧每年2次清洁，无灰尘、表面无污渍、保持明亮。</w:t>
      </w:r>
    </w:p>
    <w:p>
      <w:pPr>
        <w:keepNext w:val="0"/>
        <w:keepLines w:val="0"/>
        <w:pageBreakBefore w:val="0"/>
        <w:wordWrap/>
        <w:overflowPunct/>
        <w:topLinePunct w:val="0"/>
        <w:bidi w:val="0"/>
        <w:adjustRightInd w:val="0"/>
        <w:snapToGrid w:val="0"/>
        <w:spacing w:line="360" w:lineRule="auto"/>
        <w:ind w:left="420" w:right="0" w:righ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具体标准如下：</w:t>
      </w:r>
    </w:p>
    <w:tbl>
      <w:tblPr>
        <w:tblStyle w:val="5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460"/>
        <w:gridCol w:w="1825"/>
        <w:gridCol w:w="1825"/>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区域</w:t>
            </w: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工作内容</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保洁频率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楼层</w:t>
            </w: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楼梯及护栏</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除尘、清洁</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清洁无灰尘，不锈钢护栏光亮</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每日循环保洁、检查，发现污渍及时处理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标识牌（各类）</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无积灰</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每日清抹一次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消防栓</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无灰尘</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每周清抹一次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风口</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无积灰</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每季度冲洗一次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垃圾箱</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清除垃圾、外表抹净</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无垃圾满溢，无拖挂</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每日及时清洗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门框</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无灰尘、无手印、明亮</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循环保洁，每星期保洁一次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tabs>
                <w:tab w:val="left" w:pos="306"/>
              </w:tabs>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玻璃</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清洗</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无积灰、无划痕，明亮</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循环保洁，每年保洁两次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楼道装饰物</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无灰尘</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每日清抹一次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楼层地面</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除尘、清洁</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地面光洁、无污渍</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随时打扫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楼层墙面、墙裙</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清洗、除尘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无蜘蛛网、无悬挂、无积灰</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每月清洗一次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天花板、灯具</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清洗、除尘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无蜘蛛网、无悬挂、无积灰</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jc w:val="center"/>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楼内绿植</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擦抹</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常规管理</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定期浇水、无积尘，每周一次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洗手间</w:t>
            </w: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尿斗、坐厕、面盆</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除污垢（用中性药剂）除锈斑、消毒</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无污垢、无积垢、清洁</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随时保持畅通，无漏水，无污垢，垃圾袋定时更换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水龙头</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抹净</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无水锈、无污渍</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循环保洁，每天清洁一次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镜面</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抹净</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无水迹、无污渍、明亮</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循环保洁，每天清洁二次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清洗、消毒</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无垃圾、无水迹、无污渍</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循环保洁，每天清洁一次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墙面</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无灰尘、无污渍</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循环保洁，每月整体清洁一次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门和门框</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无灰尘、无污渍</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循环保洁，每天清洁一次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台面</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抹净</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无水迹、无污渍</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循环保洁，每日清洗一次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废物箱</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清除垃圾、外表清洁</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无垃圾满溢、无污渍</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每日及时清洗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扶手、栏杆</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除尘、抹净</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无灰尘</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循环保洁，随时清抹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楼梯</w:t>
            </w: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外露管道</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无灰尘</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每星期清洁一次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地面</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清扫</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无垃圾、无杂物</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循环保洁，每天清洁一次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6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外围</w:t>
            </w: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院内</w:t>
            </w:r>
            <w:r>
              <w:rPr>
                <w:rFonts w:hint="eastAsia" w:ascii="宋体" w:hAnsi="宋体" w:eastAsia="宋体" w:cs="宋体"/>
                <w:color w:val="auto"/>
                <w:sz w:val="24"/>
                <w:szCs w:val="24"/>
              </w:rPr>
              <w:t>地面</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清扫</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整洁干净、无白色垃圾</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循环保洁，每天清洁2次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铺装路面</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清扫</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整洁干净、无白色垃圾</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p>
        </w:tc>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车棚栏杆</w:t>
            </w:r>
            <w:r>
              <w:rPr>
                <w:rFonts w:hint="eastAsia" w:ascii="宋体" w:hAnsi="宋体" w:eastAsia="宋体" w:cs="宋体"/>
                <w:color w:val="auto"/>
                <w:sz w:val="24"/>
                <w:szCs w:val="24"/>
              </w:rPr>
              <w:t>、旗杆、灯杆</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除尘、抹净</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无灰尘、无污渍</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循环保洁，每天一次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28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图书馆领导交办的临时性任务</w:t>
            </w:r>
          </w:p>
        </w:tc>
        <w:tc>
          <w:tcPr>
            <w:tcW w:w="1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随时</w:t>
            </w:r>
          </w:p>
        </w:tc>
        <w:tc>
          <w:tcPr>
            <w:tcW w:w="19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按要求完成任务</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line="360" w:lineRule="auto"/>
        <w:ind w:right="0" w:rightChars="0" w:firstLine="482" w:firstLineChars="200"/>
        <w:jc w:val="both"/>
        <w:textAlignment w:val="auto"/>
        <w:outlineLvl w:val="1"/>
        <w:rPr>
          <w:rFonts w:hint="eastAsia" w:ascii="宋体" w:hAnsi="宋体" w:eastAsia="宋体" w:cs="宋体"/>
          <w:b/>
          <w:color w:val="auto"/>
          <w:sz w:val="24"/>
          <w:szCs w:val="24"/>
          <w:highlight w:val="yellow"/>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highlight w:val="none"/>
          <w:lang w:val="en-US" w:eastAsia="zh-CN"/>
        </w:rPr>
        <w:t>秩序维护及文明引导</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投标人负责图书馆（总馆及少儿馆）秩序维护服务及文明秩序引导，具体负责各出入口、微型消防站、公共区域日常安防、站岗巡逻、综合服务等职责。</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1.秩序维护人员</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（1）工作职责：负责具体安排及全面督导日常安全、综合服务工作，巡检现场秩序维护服务情况，做好防电、防火、防盗、防破坏工作，防范和制止损害</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安全的行为和事件发生，维护</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的安全和秩序；及时处理</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服务方（客户）投诉、负责图书馆的入馆流程；违禁检查；查验预约信息；政府各单位来访、各类检查的初步接待、大门内外的安全保障；突发应急事件的处置；门口安全检查；微型消防站；公共区域秩序维护；及时处理突发事件；极端天气应急处置、停车场出入管理、停车场秩序维护、停车场应急事件处置、及时处理车库车辆刮蹭事故等。</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（2）服务标准： 派驻秩序维护人员需为经过公安机关认可的经统一培训、持有《保安人员资格证》的人员，秩序维护人员进场第一时间建立档案并提交《保安人员资格证》；秩序维护人员应礼貌服务，落实防火、防盗、防爆炸、防破坏等治安防范措施，发现执勤区域内的治安隐患，立即报告</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单位和公安机关等主管部门，并协助予以处置；按规定时间进行上岗及换岗，进行相关工作记录。</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2.文明引导人员</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（1）工作职责：图书馆（总馆及少儿馆）开放期间的文明秩序引导，制止读者在公共场所打闹、喧哗、饮食、吸烟、插队等不文明行为，以及非开放期间（夜间）安全巡查和值守。</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（2）服务标准：具备较高的职业道德和职业素养，对不文明行为要有较高的敏感性和较好的策略性，服务热情主动、礼貌待人，文明执勤。</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（八）应急处置工作</w:t>
      </w:r>
    </w:p>
    <w:p>
      <w:pPr>
        <w:pStyle w:val="2"/>
        <w:keepNext w:val="0"/>
        <w:keepLines w:val="0"/>
        <w:pageBreakBefore w:val="0"/>
        <w:widowControl w:val="0"/>
        <w:tabs>
          <w:tab w:val="left" w:pos="630"/>
          <w:tab w:val="clear" w:pos="567"/>
        </w:tabs>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面对</w:t>
      </w:r>
      <w:r>
        <w:rPr>
          <w:rFonts w:hint="eastAsia" w:ascii="宋体" w:hAnsi="宋体" w:eastAsia="宋体" w:cs="宋体"/>
          <w:color w:val="auto"/>
          <w:sz w:val="24"/>
          <w:szCs w:val="24"/>
          <w:lang w:val="en-US" w:eastAsia="zh-CN"/>
        </w:rPr>
        <w:t>图书馆开放过程中及设备设施运行中</w:t>
      </w:r>
      <w:r>
        <w:rPr>
          <w:rFonts w:hint="eastAsia" w:ascii="宋体" w:hAnsi="宋体" w:eastAsia="宋体" w:cs="宋体"/>
          <w:color w:val="auto"/>
          <w:sz w:val="24"/>
          <w:szCs w:val="24"/>
        </w:rPr>
        <w:t>可能发生的各类</w:t>
      </w:r>
      <w:r>
        <w:rPr>
          <w:rFonts w:hint="eastAsia" w:ascii="宋体" w:hAnsi="宋体" w:eastAsia="宋体" w:cs="宋体"/>
          <w:color w:val="auto"/>
          <w:sz w:val="24"/>
          <w:szCs w:val="24"/>
          <w:lang w:val="en-US" w:eastAsia="zh-CN"/>
        </w:rPr>
        <w:t>突发紧急事件，</w:t>
      </w:r>
      <w:r>
        <w:rPr>
          <w:rFonts w:hint="eastAsia" w:ascii="宋体" w:hAnsi="宋体" w:eastAsia="宋体" w:cs="宋体"/>
          <w:color w:val="auto"/>
          <w:sz w:val="24"/>
          <w:szCs w:val="24"/>
        </w:rPr>
        <w:t>建立科学、完善、可行的《突发</w:t>
      </w:r>
      <w:r>
        <w:rPr>
          <w:rFonts w:hint="eastAsia" w:ascii="宋体" w:hAnsi="宋体" w:eastAsia="宋体" w:cs="宋体"/>
          <w:color w:val="auto"/>
          <w:sz w:val="24"/>
          <w:szCs w:val="24"/>
          <w:lang w:val="en-US" w:eastAsia="zh-CN"/>
        </w:rPr>
        <w:t>事件</w:t>
      </w:r>
      <w:r>
        <w:rPr>
          <w:rFonts w:hint="eastAsia" w:ascii="宋体" w:hAnsi="宋体" w:eastAsia="宋体" w:cs="宋体"/>
          <w:color w:val="auto"/>
          <w:sz w:val="24"/>
          <w:szCs w:val="24"/>
        </w:rPr>
        <w:t>应急处理预案》</w:t>
      </w:r>
      <w:r>
        <w:rPr>
          <w:rFonts w:hint="eastAsia" w:ascii="宋体" w:hAnsi="宋体" w:eastAsia="宋体" w:cs="宋体"/>
          <w:color w:val="auto"/>
          <w:sz w:val="24"/>
          <w:szCs w:val="24"/>
          <w:lang w:val="en-US" w:eastAsia="zh-CN"/>
        </w:rPr>
        <w:t>和应急处置流程图，关键环节责任到人</w:t>
      </w:r>
      <w:r>
        <w:rPr>
          <w:rFonts w:hint="eastAsia" w:ascii="宋体" w:hAnsi="宋体" w:eastAsia="宋体" w:cs="宋体"/>
          <w:color w:val="auto"/>
          <w:sz w:val="24"/>
          <w:szCs w:val="24"/>
          <w:lang w:eastAsia="zh-CN"/>
        </w:rPr>
        <w:t>。</w:t>
      </w:r>
    </w:p>
    <w:p>
      <w:pPr>
        <w:pStyle w:val="2"/>
        <w:keepNext w:val="0"/>
        <w:keepLines w:val="0"/>
        <w:pageBreakBefore w:val="0"/>
        <w:widowControl w:val="0"/>
        <w:tabs>
          <w:tab w:val="left" w:pos="630"/>
          <w:tab w:val="clear" w:pos="567"/>
        </w:tabs>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针对《突发</w:t>
      </w:r>
      <w:r>
        <w:rPr>
          <w:rFonts w:hint="eastAsia" w:ascii="宋体" w:hAnsi="宋体" w:eastAsia="宋体" w:cs="宋体"/>
          <w:color w:val="auto"/>
          <w:sz w:val="24"/>
          <w:szCs w:val="24"/>
          <w:lang w:val="en-US" w:eastAsia="zh-CN"/>
        </w:rPr>
        <w:t>事件</w:t>
      </w:r>
      <w:r>
        <w:rPr>
          <w:rFonts w:hint="eastAsia" w:ascii="宋体" w:hAnsi="宋体" w:eastAsia="宋体" w:cs="宋体"/>
          <w:color w:val="auto"/>
          <w:sz w:val="24"/>
          <w:szCs w:val="24"/>
        </w:rPr>
        <w:t>应急处理预案》制定相应的培训、演练计划，使所有的在岗员工都能够熟悉预案内容，培训后应留有相应的培训记录；</w:t>
      </w:r>
    </w:p>
    <w:p>
      <w:pPr>
        <w:pStyle w:val="2"/>
        <w:keepNext w:val="0"/>
        <w:keepLines w:val="0"/>
        <w:pageBreakBefore w:val="0"/>
        <w:widowControl w:val="0"/>
        <w:tabs>
          <w:tab w:val="left" w:pos="630"/>
          <w:tab w:val="clear" w:pos="567"/>
        </w:tabs>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建立事故报告制度，对于已发生的事故应在24小时内提供书面的《事故报告》，报告内容应包括：</w:t>
      </w:r>
      <w:r>
        <w:rPr>
          <w:rFonts w:hint="eastAsia" w:ascii="宋体" w:hAnsi="宋体" w:eastAsia="宋体" w:cs="宋体"/>
          <w:color w:val="auto"/>
          <w:sz w:val="24"/>
          <w:szCs w:val="24"/>
          <w:lang w:val="en-US" w:eastAsia="zh-CN"/>
        </w:rPr>
        <w:t>事件</w:t>
      </w:r>
      <w:r>
        <w:rPr>
          <w:rFonts w:hint="eastAsia" w:ascii="宋体" w:hAnsi="宋体" w:eastAsia="宋体" w:cs="宋体"/>
          <w:color w:val="auto"/>
          <w:sz w:val="24"/>
          <w:szCs w:val="24"/>
        </w:rPr>
        <w:t>经过、采取措施、原因分析、整改措施、整改完成日期等。</w:t>
      </w:r>
    </w:p>
    <w:p>
      <w:pPr>
        <w:pageBreakBefore w:val="0"/>
        <w:widowControl w:val="0"/>
        <w:kinsoku/>
        <w:wordWrap/>
        <w:overflowPunct/>
        <w:topLinePunct w:val="0"/>
        <w:bidi w:val="0"/>
        <w:adjustRightInd w:val="0"/>
        <w:snapToGrid w:val="0"/>
        <w:spacing w:line="360" w:lineRule="auto"/>
        <w:ind w:firstLine="482" w:firstLineChars="200"/>
        <w:jc w:val="left"/>
        <w:rPr>
          <w:rFonts w:hint="eastAsia" w:ascii="宋体" w:hAnsi="宋体" w:eastAsia="宋体" w:cs="宋体"/>
          <w:b/>
          <w:bCs/>
          <w:kern w:val="44"/>
          <w:sz w:val="24"/>
          <w:szCs w:val="24"/>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bookmarkEnd w:id="803"/>
    <w:p>
      <w:pPr>
        <w:pStyle w:val="27"/>
        <w:ind w:left="0" w:leftChars="0" w:firstLine="0" w:firstLineChars="0"/>
        <w:rPr>
          <w:rFonts w:hint="eastAsia"/>
        </w:rPr>
      </w:pPr>
    </w:p>
    <w:p>
      <w:pPr>
        <w:rPr>
          <w:rFonts w:hint="eastAsia"/>
        </w:rPr>
      </w:pPr>
    </w:p>
    <w:p>
      <w:pPr>
        <w:pStyle w:val="34"/>
        <w:rPr>
          <w:rFonts w:hint="eastAsia"/>
        </w:rPr>
      </w:pPr>
    </w:p>
    <w:p>
      <w:pPr>
        <w:numPr>
          <w:ilvl w:val="0"/>
          <w:numId w:val="0"/>
        </w:numPr>
        <w:spacing w:line="360" w:lineRule="auto"/>
        <w:jc w:val="center"/>
        <w:rPr>
          <w:rFonts w:hint="eastAsia" w:ascii="宋体" w:hAnsi="宋体" w:cs="宋体"/>
          <w:b/>
          <w:sz w:val="36"/>
          <w:szCs w:val="36"/>
          <w:highlight w:val="none"/>
        </w:rPr>
      </w:pPr>
      <w:bookmarkStart w:id="804" w:name="_Toc26892"/>
      <w:r>
        <w:rPr>
          <w:rFonts w:hint="eastAsia" w:ascii="宋体" w:hAnsi="宋体" w:cs="宋体"/>
          <w:b/>
          <w:sz w:val="36"/>
          <w:szCs w:val="36"/>
          <w:highlight w:val="none"/>
        </w:rPr>
        <w:t>第六章   拟签订的合同文本</w:t>
      </w:r>
      <w:bookmarkEnd w:id="804"/>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sz w:val="34"/>
          <w:szCs w:val="34"/>
        </w:rPr>
      </w:pPr>
      <w:bookmarkStart w:id="805" w:name="_Toc27509"/>
      <w:r>
        <w:rPr>
          <w:rFonts w:hint="eastAsia" w:ascii="宋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b/>
          <w:bCs/>
          <w:sz w:val="44"/>
          <w:highlight w:val="none"/>
        </w:rPr>
      </w:pPr>
      <w:r>
        <w:rPr>
          <w:rFonts w:hint="eastAsia" w:ascii="宋体" w:hAnsi="宋体"/>
          <w:b/>
          <w:bCs/>
          <w:sz w:val="44"/>
          <w:highlight w:val="none"/>
        </w:rPr>
        <w:t>政府采购合同（服务类）</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r>
        <w:rPr>
          <w:rFonts w:hint="eastAsia" w:ascii="宋体" w:hAnsi="宋体"/>
        </w:rPr>
        <w:t xml:space="preserve">                                             </w:t>
      </w:r>
    </w:p>
    <w:p>
      <w:pPr>
        <w:keepNext w:val="0"/>
        <w:keepLines w:val="0"/>
        <w:pageBreakBefore w:val="0"/>
        <w:widowControl w:val="0"/>
        <w:kinsoku/>
        <w:wordWrap/>
        <w:overflowPunct/>
        <w:topLinePunct w:val="0"/>
        <w:bidi w:val="0"/>
        <w:adjustRightInd w:val="0"/>
        <w:snapToGrid w:val="0"/>
        <w:spacing w:line="360" w:lineRule="auto"/>
        <w:ind w:left="5938" w:leftChars="-200" w:hanging="6358" w:hangingChars="3028"/>
        <w:jc w:val="right"/>
        <w:textAlignment w:val="auto"/>
        <w:outlineLvl w:val="9"/>
        <w:rPr>
          <w:rFonts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hanging="1500" w:hangingChars="500"/>
        <w:textAlignment w:val="auto"/>
        <w:outlineLvl w:val="9"/>
        <w:rPr>
          <w:rFonts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right="-334" w:rightChars="-159" w:hanging="1500" w:hangingChars="500"/>
        <w:textAlignment w:val="auto"/>
        <w:outlineLvl w:val="9"/>
        <w:rPr>
          <w:rFonts w:ascii="宋体" w:hAnsi="宋体"/>
          <w:sz w:val="30"/>
          <w:szCs w:val="30"/>
        </w:rPr>
      </w:pPr>
      <w:r>
        <w:rPr>
          <w:rFonts w:hint="eastAsia" w:ascii="宋体" w:hAnsi="宋体"/>
          <w:sz w:val="30"/>
        </w:rPr>
        <w:t>服务名称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u w:val="single"/>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cs="宋体"/>
          <w:b/>
          <w:sz w:val="36"/>
          <w:szCs w:val="36"/>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sz w:val="36"/>
          <w:szCs w:val="36"/>
        </w:rPr>
      </w:pPr>
      <w:r>
        <w:rPr>
          <w:rFonts w:hint="eastAsia" w:ascii="宋体" w:hAnsi="宋体" w:eastAsia="宋体" w:cs="宋体"/>
          <w:b/>
          <w:sz w:val="36"/>
          <w:szCs w:val="36"/>
        </w:rPr>
        <w:t>石景山区</w:t>
      </w:r>
      <w:r>
        <w:rPr>
          <w:rFonts w:hint="eastAsia" w:ascii="宋体" w:hAnsi="宋体" w:eastAsia="宋体" w:cs="宋体"/>
          <w:b/>
          <w:sz w:val="36"/>
          <w:szCs w:val="36"/>
          <w:lang w:val="en-US" w:eastAsia="zh-CN"/>
        </w:rPr>
        <w:t>图书馆</w:t>
      </w:r>
      <w:r>
        <w:rPr>
          <w:rFonts w:hint="eastAsia" w:ascii="宋体" w:hAnsi="宋体" w:eastAsia="宋体" w:cs="宋体"/>
          <w:b/>
          <w:sz w:val="36"/>
          <w:szCs w:val="36"/>
        </w:rPr>
        <w:t>物业管理服务委托合同</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总  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b/>
          <w:sz w:val="24"/>
          <w:szCs w:val="24"/>
        </w:rPr>
      </w:pP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right="0" w:rightChars="0" w:hanging="660"/>
        <w:textAlignment w:val="auto"/>
        <w:outlineLvl w:val="9"/>
        <w:rPr>
          <w:rFonts w:hint="eastAsia" w:ascii="宋体" w:hAnsi="宋体" w:eastAsia="宋体" w:cs="宋体"/>
          <w:sz w:val="24"/>
          <w:szCs w:val="24"/>
        </w:rPr>
      </w:pPr>
      <w:r>
        <w:rPr>
          <w:rFonts w:hint="eastAsia" w:ascii="宋体" w:hAnsi="宋体" w:eastAsia="宋体" w:cs="宋体"/>
          <w:sz w:val="24"/>
          <w:szCs w:val="24"/>
        </w:rPr>
        <w:t>本合同当事人</w:t>
      </w:r>
    </w:p>
    <w:p>
      <w:pPr>
        <w:keepNext w:val="0"/>
        <w:keepLines w:val="0"/>
        <w:pageBreakBefore w:val="0"/>
        <w:widowControl w:val="0"/>
        <w:kinsoku/>
        <w:wordWrap/>
        <w:overflowPunct/>
        <w:topLinePunct w:val="0"/>
        <w:autoSpaceDE/>
        <w:autoSpaceDN/>
        <w:bidi w:val="0"/>
        <w:adjustRightInd w:val="0"/>
        <w:snapToGrid w:val="0"/>
        <w:spacing w:line="360" w:lineRule="auto"/>
        <w:ind w:left="540" w:leftChars="257"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委托方（以下简称甲方）</w:t>
      </w:r>
    </w:p>
    <w:p>
      <w:pPr>
        <w:keepNext w:val="0"/>
        <w:keepLines w:val="0"/>
        <w:pageBreakBefore w:val="0"/>
        <w:widowControl w:val="0"/>
        <w:kinsoku/>
        <w:wordWrap/>
        <w:overflowPunct/>
        <w:topLinePunct w:val="0"/>
        <w:autoSpaceDE/>
        <w:autoSpaceDN/>
        <w:bidi w:val="0"/>
        <w:adjustRightInd w:val="0"/>
        <w:snapToGrid w:val="0"/>
        <w:spacing w:line="360" w:lineRule="auto"/>
        <w:ind w:left="540" w:leftChars="257"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名称：北京市石景山区图书馆</w:t>
      </w:r>
    </w:p>
    <w:p>
      <w:pPr>
        <w:keepNext w:val="0"/>
        <w:keepLines w:val="0"/>
        <w:pageBreakBefore w:val="0"/>
        <w:widowControl w:val="0"/>
        <w:kinsoku/>
        <w:wordWrap/>
        <w:overflowPunct/>
        <w:topLinePunct w:val="0"/>
        <w:autoSpaceDE/>
        <w:autoSpaceDN/>
        <w:bidi w:val="0"/>
        <w:adjustRightInd w:val="0"/>
        <w:snapToGrid w:val="0"/>
        <w:spacing w:line="360" w:lineRule="auto"/>
        <w:ind w:left="540" w:leftChars="257"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地址：石景山区八角南路2号</w:t>
      </w:r>
    </w:p>
    <w:p>
      <w:pPr>
        <w:keepNext w:val="0"/>
        <w:keepLines w:val="0"/>
        <w:pageBreakBefore w:val="0"/>
        <w:widowControl w:val="0"/>
        <w:kinsoku/>
        <w:wordWrap/>
        <w:overflowPunct/>
        <w:topLinePunct w:val="0"/>
        <w:autoSpaceDE/>
        <w:autoSpaceDN/>
        <w:bidi w:val="0"/>
        <w:adjustRightInd w:val="0"/>
        <w:snapToGrid w:val="0"/>
        <w:spacing w:line="360" w:lineRule="auto"/>
        <w:ind w:left="540" w:leftChars="257"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负责人：</w:t>
      </w:r>
    </w:p>
    <w:p>
      <w:pPr>
        <w:keepNext w:val="0"/>
        <w:keepLines w:val="0"/>
        <w:pageBreakBefore w:val="0"/>
        <w:widowControl w:val="0"/>
        <w:kinsoku/>
        <w:wordWrap/>
        <w:overflowPunct/>
        <w:topLinePunct w:val="0"/>
        <w:autoSpaceDE/>
        <w:autoSpaceDN/>
        <w:bidi w:val="0"/>
        <w:adjustRightInd w:val="0"/>
        <w:snapToGrid w:val="0"/>
        <w:spacing w:line="360" w:lineRule="auto"/>
        <w:ind w:left="3298" w:leftChars="256" w:right="0" w:rightChars="0" w:hanging="2760" w:hangingChars="1150"/>
        <w:textAlignment w:val="auto"/>
        <w:outlineLvl w:val="9"/>
        <w:rPr>
          <w:rFonts w:hint="eastAsia" w:ascii="宋体" w:hAnsi="宋体" w:eastAsia="宋体" w:cs="宋体"/>
          <w:sz w:val="24"/>
          <w:szCs w:val="24"/>
        </w:rPr>
      </w:pPr>
      <w:r>
        <w:rPr>
          <w:rFonts w:hint="eastAsia" w:ascii="宋体" w:hAnsi="宋体" w:eastAsia="宋体" w:cs="宋体"/>
          <w:sz w:val="24"/>
          <w:szCs w:val="24"/>
        </w:rPr>
        <w:t>受托方（以下简称乙方）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left="3298" w:leftChars="256" w:right="0" w:rightChars="0" w:hanging="2760" w:hangingChars="1150"/>
        <w:textAlignment w:val="auto"/>
        <w:outlineLvl w:val="9"/>
        <w:rPr>
          <w:rFonts w:hint="eastAsia" w:ascii="宋体" w:hAnsi="宋体" w:eastAsia="宋体" w:cs="宋体"/>
          <w:sz w:val="24"/>
          <w:szCs w:val="24"/>
        </w:rPr>
      </w:pPr>
      <w:r>
        <w:rPr>
          <w:rFonts w:hint="eastAsia" w:ascii="宋体" w:hAnsi="宋体" w:eastAsia="宋体" w:cs="宋体"/>
          <w:sz w:val="24"/>
          <w:szCs w:val="24"/>
        </w:rPr>
        <w:t>名称：</w:t>
      </w:r>
    </w:p>
    <w:p>
      <w:pPr>
        <w:keepNext w:val="0"/>
        <w:keepLines w:val="0"/>
        <w:pageBreakBefore w:val="0"/>
        <w:widowControl w:val="0"/>
        <w:kinsoku/>
        <w:wordWrap/>
        <w:overflowPunct/>
        <w:topLinePunct w:val="0"/>
        <w:autoSpaceDE/>
        <w:autoSpaceDN/>
        <w:bidi w:val="0"/>
        <w:adjustRightInd w:val="0"/>
        <w:snapToGrid w:val="0"/>
        <w:spacing w:line="360" w:lineRule="auto"/>
        <w:ind w:left="3298" w:leftChars="256" w:right="0" w:rightChars="0" w:hanging="2760" w:hangingChars="1150"/>
        <w:textAlignment w:val="auto"/>
        <w:outlineLvl w:val="9"/>
        <w:rPr>
          <w:rFonts w:hint="eastAsia" w:ascii="宋体" w:hAnsi="宋体" w:eastAsia="宋体" w:cs="宋体"/>
          <w:sz w:val="24"/>
          <w:szCs w:val="24"/>
        </w:rPr>
      </w:pPr>
      <w:r>
        <w:rPr>
          <w:rFonts w:hint="eastAsia" w:ascii="宋体" w:hAnsi="宋体" w:eastAsia="宋体" w:cs="宋体"/>
          <w:sz w:val="24"/>
          <w:szCs w:val="24"/>
        </w:rPr>
        <w:t>地址：</w:t>
      </w:r>
    </w:p>
    <w:p>
      <w:pPr>
        <w:keepNext w:val="0"/>
        <w:keepLines w:val="0"/>
        <w:pageBreakBefore w:val="0"/>
        <w:widowControl w:val="0"/>
        <w:kinsoku/>
        <w:wordWrap/>
        <w:overflowPunct/>
        <w:topLinePunct w:val="0"/>
        <w:autoSpaceDE/>
        <w:autoSpaceDN/>
        <w:bidi w:val="0"/>
        <w:adjustRightInd w:val="0"/>
        <w:snapToGrid w:val="0"/>
        <w:spacing w:line="360" w:lineRule="auto"/>
        <w:ind w:left="3298" w:leftChars="256" w:right="0" w:rightChars="0" w:hanging="2760" w:hangingChars="1150"/>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w:t>
      </w:r>
    </w:p>
    <w:p>
      <w:pPr>
        <w:keepNext w:val="0"/>
        <w:keepLines w:val="0"/>
        <w:pageBreakBefore w:val="0"/>
        <w:widowControl w:val="0"/>
        <w:kinsoku/>
        <w:wordWrap/>
        <w:overflowPunct/>
        <w:topLinePunct w:val="0"/>
        <w:autoSpaceDE/>
        <w:autoSpaceDN/>
        <w:bidi w:val="0"/>
        <w:adjustRightInd w:val="0"/>
        <w:snapToGrid w:val="0"/>
        <w:spacing w:line="360" w:lineRule="auto"/>
        <w:ind w:left="3298" w:leftChars="256" w:right="0" w:rightChars="0" w:hanging="2760" w:hangingChars="115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481" w:leftChars="229"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物业管理资质等级证书编号：</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rPr>
        <w:t>根据有关法律、法规，甲、乙双方在自愿、平等、协商一致的基础上，就甲方委托乙方为其提供物业管理服务事宜，订立本合同。</w:t>
      </w: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right="0" w:rightChars="0" w:hanging="660"/>
        <w:textAlignment w:val="auto"/>
        <w:outlineLvl w:val="9"/>
        <w:rPr>
          <w:rFonts w:hint="eastAsia" w:ascii="宋体" w:hAnsi="宋体" w:eastAsia="宋体" w:cs="宋体"/>
          <w:sz w:val="24"/>
          <w:szCs w:val="24"/>
        </w:rPr>
      </w:pPr>
      <w:r>
        <w:rPr>
          <w:rFonts w:hint="eastAsia" w:ascii="宋体" w:hAnsi="宋体" w:eastAsia="宋体" w:cs="宋体"/>
          <w:sz w:val="24"/>
          <w:szCs w:val="24"/>
        </w:rPr>
        <w:t>物业管理区域基本情况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rPr>
        <w:t>物业基本类型：公用建筑及相关设施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rPr>
        <w:t>服务区域：石景山区图书馆（地址为石景山区八角南路2号）及石景山区图书馆少儿馆（石景山区古城南路11号），合计馆舍面积12</w:t>
      </w:r>
      <w:r>
        <w:rPr>
          <w:rFonts w:hint="eastAsia" w:ascii="宋体" w:hAnsi="宋体" w:eastAsia="宋体" w:cs="宋体"/>
          <w:sz w:val="24"/>
          <w:szCs w:val="24"/>
          <w:lang w:val="en-US" w:eastAsia="zh-CN"/>
        </w:rPr>
        <w:t>278</w:t>
      </w:r>
      <w:r>
        <w:rPr>
          <w:rFonts w:hint="eastAsia" w:ascii="宋体" w:hAnsi="宋体" w:eastAsia="宋体" w:cs="宋体"/>
          <w:sz w:val="24"/>
          <w:szCs w:val="24"/>
        </w:rPr>
        <w:t>㎡。</w:t>
      </w: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乙方物业管理服务内容和要求</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乙方向甲方派遣物业管理人员共2</w:t>
      </w:r>
      <w:r>
        <w:rPr>
          <w:rFonts w:hint="eastAsia" w:ascii="宋体" w:hAnsi="宋体" w:eastAsia="宋体" w:cs="宋体"/>
          <w:sz w:val="24"/>
          <w:szCs w:val="24"/>
          <w:lang w:val="en-US" w:eastAsia="zh-CN"/>
        </w:rPr>
        <w:t>8</w:t>
      </w:r>
      <w:r>
        <w:rPr>
          <w:rFonts w:hint="eastAsia" w:ascii="宋体" w:hAnsi="宋体" w:eastAsia="宋体" w:cs="宋体"/>
          <w:sz w:val="24"/>
          <w:szCs w:val="24"/>
        </w:rPr>
        <w:t>人组成项目团队，包括下列人员：项目经理1人；工程部</w:t>
      </w:r>
      <w:r>
        <w:rPr>
          <w:rFonts w:hint="eastAsia" w:ascii="宋体" w:hAnsi="宋体" w:eastAsia="宋体" w:cs="宋体"/>
          <w:sz w:val="24"/>
          <w:szCs w:val="24"/>
          <w:lang w:val="en-US" w:eastAsia="zh-CN"/>
        </w:rPr>
        <w:t>5</w:t>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其中具有高、低压本特种作业操作证的电工2人，综修工2人</w:t>
      </w:r>
      <w:r>
        <w:rPr>
          <w:rFonts w:hint="eastAsia" w:ascii="宋体" w:hAnsi="宋体" w:eastAsia="宋体" w:cs="宋体"/>
          <w:sz w:val="24"/>
          <w:szCs w:val="24"/>
          <w:lang w:eastAsia="zh-CN"/>
        </w:rPr>
        <w:t>）</w:t>
      </w:r>
      <w:r>
        <w:rPr>
          <w:rFonts w:hint="eastAsia" w:ascii="宋体" w:hAnsi="宋体" w:eastAsia="宋体" w:cs="宋体"/>
          <w:sz w:val="24"/>
          <w:szCs w:val="24"/>
        </w:rPr>
        <w:t>；保洁部8人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，秩序维护14</w:t>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其中中控员及秩序维护员需具备专业资格证</w:t>
      </w:r>
      <w:r>
        <w:rPr>
          <w:rFonts w:hint="eastAsia" w:ascii="宋体" w:hAnsi="宋体" w:eastAsia="宋体" w:cs="宋体"/>
          <w:sz w:val="24"/>
          <w:szCs w:val="24"/>
          <w:lang w:eastAsia="zh-CN"/>
        </w:rPr>
        <w:t>）</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482" w:firstLineChars="200"/>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具体岗位情况如下：</w:t>
      </w:r>
    </w:p>
    <w:tbl>
      <w:tblPr>
        <w:tblStyle w:val="59"/>
        <w:tblW w:w="6798" w:type="dxa"/>
        <w:jc w:val="center"/>
        <w:tblInd w:w="862" w:type="dxa"/>
        <w:tblLayout w:type="fixed"/>
        <w:tblCellMar>
          <w:top w:w="0" w:type="dxa"/>
          <w:left w:w="108" w:type="dxa"/>
          <w:bottom w:w="0" w:type="dxa"/>
          <w:right w:w="108" w:type="dxa"/>
        </w:tblCellMar>
      </w:tblPr>
      <w:tblGrid>
        <w:gridCol w:w="1868"/>
        <w:gridCol w:w="3096"/>
        <w:gridCol w:w="1834"/>
      </w:tblGrid>
      <w:tr>
        <w:tblPrEx>
          <w:tblLayout w:type="fixed"/>
        </w:tblPrEx>
        <w:trPr>
          <w:trHeight w:val="226" w:hRule="atLeast"/>
          <w:jc w:val="center"/>
        </w:trPr>
        <w:tc>
          <w:tcPr>
            <w:tcW w:w="18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部门</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岗位</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人数 </w:t>
            </w:r>
          </w:p>
        </w:tc>
      </w:tr>
      <w:tr>
        <w:tblPrEx>
          <w:tblLayout w:type="fixed"/>
          <w:tblCellMar>
            <w:top w:w="0" w:type="dxa"/>
            <w:left w:w="108" w:type="dxa"/>
            <w:bottom w:w="0" w:type="dxa"/>
            <w:right w:w="108" w:type="dxa"/>
          </w:tblCellMar>
        </w:tblPrEx>
        <w:trPr>
          <w:trHeight w:val="226" w:hRule="atLeast"/>
          <w:jc w:val="center"/>
        </w:trPr>
        <w:tc>
          <w:tcPr>
            <w:tcW w:w="18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项目负责人</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项目经理</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r>
      <w:tr>
        <w:tblPrEx>
          <w:tblLayout w:type="fixed"/>
          <w:tblCellMar>
            <w:top w:w="0" w:type="dxa"/>
            <w:left w:w="108" w:type="dxa"/>
            <w:bottom w:w="0" w:type="dxa"/>
            <w:right w:w="108" w:type="dxa"/>
          </w:tblCellMar>
        </w:tblPrEx>
        <w:trPr>
          <w:trHeight w:val="226" w:hRule="atLeast"/>
          <w:jc w:val="center"/>
        </w:trPr>
        <w:tc>
          <w:tcPr>
            <w:tcW w:w="186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工程部</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
              </w:rPr>
              <w:t>综合服务及协调（辅助管理）</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tblPrEx>
          <w:tblLayout w:type="fixed"/>
          <w:tblCellMar>
            <w:top w:w="0" w:type="dxa"/>
            <w:left w:w="108" w:type="dxa"/>
            <w:bottom w:w="0" w:type="dxa"/>
            <w:right w:w="108" w:type="dxa"/>
          </w:tblCellMar>
        </w:tblPrEx>
        <w:trPr>
          <w:trHeight w:val="226" w:hRule="atLeast"/>
          <w:jc w:val="center"/>
        </w:trPr>
        <w:tc>
          <w:tcPr>
            <w:tcW w:w="1868" w:type="dxa"/>
            <w:vMerge w:val="continue"/>
            <w:tcBorders>
              <w:left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lang w:val="en-US" w:eastAsia="zh-CN" w:bidi="ar"/>
              </w:rPr>
              <w:t>高、低压电工（各1人）</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lang w:val="en-US" w:eastAsia="zh-CN" w:bidi="ar"/>
              </w:rPr>
              <w:t>2</w:t>
            </w:r>
          </w:p>
        </w:tc>
      </w:tr>
      <w:tr>
        <w:tblPrEx>
          <w:tblLayout w:type="fixed"/>
          <w:tblCellMar>
            <w:top w:w="0" w:type="dxa"/>
            <w:left w:w="108" w:type="dxa"/>
            <w:bottom w:w="0" w:type="dxa"/>
            <w:right w:w="108" w:type="dxa"/>
          </w:tblCellMar>
        </w:tblPrEx>
        <w:trPr>
          <w:trHeight w:val="226" w:hRule="atLeast"/>
          <w:jc w:val="center"/>
        </w:trPr>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综合维修</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p>
        </w:tc>
      </w:tr>
      <w:tr>
        <w:tblPrEx>
          <w:tblLayout w:type="fixed"/>
          <w:tblCellMar>
            <w:top w:w="0" w:type="dxa"/>
            <w:left w:w="108" w:type="dxa"/>
            <w:bottom w:w="0" w:type="dxa"/>
            <w:right w:w="108" w:type="dxa"/>
          </w:tblCellMar>
        </w:tblPrEx>
        <w:trPr>
          <w:trHeight w:val="226" w:hRule="atLeast"/>
          <w:jc w:val="center"/>
        </w:trPr>
        <w:tc>
          <w:tcPr>
            <w:tcW w:w="186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环境管理部</w:t>
            </w:r>
          </w:p>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保洁</w:t>
            </w:r>
            <w:r>
              <w:rPr>
                <w:rFonts w:hint="eastAsia" w:ascii="宋体" w:hAnsi="宋体" w:eastAsia="宋体" w:cs="宋体"/>
                <w:color w:val="auto"/>
                <w:sz w:val="24"/>
                <w:szCs w:val="24"/>
                <w:lang w:eastAsia="zh-CN" w:bidi="ar"/>
              </w:rPr>
              <w:t>）</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
              </w:rPr>
              <w:t>保洁主管</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r>
      <w:tr>
        <w:tblPrEx>
          <w:tblLayout w:type="fixed"/>
          <w:tblCellMar>
            <w:top w:w="0" w:type="dxa"/>
            <w:left w:w="108" w:type="dxa"/>
            <w:bottom w:w="0" w:type="dxa"/>
            <w:right w:w="108" w:type="dxa"/>
          </w:tblCellMar>
        </w:tblPrEx>
        <w:trPr>
          <w:trHeight w:val="226" w:hRule="atLeast"/>
          <w:jc w:val="center"/>
        </w:trPr>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领班</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p>
        </w:tc>
      </w:tr>
      <w:tr>
        <w:tblPrEx>
          <w:tblLayout w:type="fixed"/>
          <w:tblCellMar>
            <w:top w:w="0" w:type="dxa"/>
            <w:left w:w="108" w:type="dxa"/>
            <w:bottom w:w="0" w:type="dxa"/>
            <w:right w:w="108" w:type="dxa"/>
          </w:tblCellMar>
        </w:tblPrEx>
        <w:trPr>
          <w:trHeight w:val="226" w:hRule="atLeast"/>
          <w:jc w:val="center"/>
        </w:trPr>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
              </w:rPr>
              <w:t>楼层保洁员</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5</w:t>
            </w:r>
          </w:p>
        </w:tc>
      </w:tr>
      <w:tr>
        <w:tblPrEx>
          <w:tblLayout w:type="fixed"/>
          <w:tblCellMar>
            <w:top w:w="0" w:type="dxa"/>
            <w:left w:w="108" w:type="dxa"/>
            <w:bottom w:w="0" w:type="dxa"/>
            <w:right w:w="108" w:type="dxa"/>
          </w:tblCellMar>
        </w:tblPrEx>
        <w:trPr>
          <w:trHeight w:val="386" w:hRule="atLeast"/>
          <w:jc w:val="center"/>
        </w:trPr>
        <w:tc>
          <w:tcPr>
            <w:tcW w:w="1868"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秩序维护</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包括中控员、秩序维护、文明引导等</w:t>
            </w:r>
            <w:r>
              <w:rPr>
                <w:rFonts w:hint="eastAsia" w:ascii="宋体" w:hAnsi="宋体" w:eastAsia="宋体" w:cs="宋体"/>
                <w:color w:val="auto"/>
                <w:sz w:val="24"/>
                <w:szCs w:val="24"/>
                <w:lang w:eastAsia="zh-CN" w:bidi="ar"/>
              </w:rPr>
              <w:t>）</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部门主管</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1</w:t>
            </w:r>
          </w:p>
        </w:tc>
      </w:tr>
      <w:tr>
        <w:tblPrEx>
          <w:tblLayout w:type="fixed"/>
          <w:tblCellMar>
            <w:top w:w="0" w:type="dxa"/>
            <w:left w:w="108" w:type="dxa"/>
            <w:bottom w:w="0" w:type="dxa"/>
            <w:right w:w="108" w:type="dxa"/>
          </w:tblCellMar>
        </w:tblPrEx>
        <w:trPr>
          <w:trHeight w:val="436" w:hRule="atLeast"/>
          <w:jc w:val="center"/>
        </w:trPr>
        <w:tc>
          <w:tcPr>
            <w:tcW w:w="1868" w:type="dxa"/>
            <w:vMerge w:val="continue"/>
            <w:tcBorders>
              <w:left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中控员6名及</w:t>
            </w:r>
            <w:r>
              <w:rPr>
                <w:rFonts w:hint="eastAsia" w:ascii="宋体" w:hAnsi="宋体" w:eastAsia="宋体" w:cs="宋体"/>
                <w:color w:val="auto"/>
                <w:sz w:val="24"/>
                <w:szCs w:val="24"/>
                <w:lang w:val="en-US" w:eastAsia="zh-CN" w:bidi="ar"/>
              </w:rPr>
              <w:t>秩序维护3名</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9</w:t>
            </w:r>
          </w:p>
        </w:tc>
      </w:tr>
      <w:tr>
        <w:tblPrEx>
          <w:tblLayout w:type="fixed"/>
          <w:tblCellMar>
            <w:top w:w="0" w:type="dxa"/>
            <w:left w:w="108" w:type="dxa"/>
            <w:bottom w:w="0" w:type="dxa"/>
            <w:right w:w="108" w:type="dxa"/>
          </w:tblCellMar>
        </w:tblPrEx>
        <w:trPr>
          <w:trHeight w:val="226" w:hRule="atLeast"/>
          <w:jc w:val="center"/>
        </w:trPr>
        <w:tc>
          <w:tcPr>
            <w:tcW w:w="1868" w:type="dxa"/>
            <w:vMerge w:val="continue"/>
            <w:tcBorders>
              <w:left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文明引导员</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4</w:t>
            </w:r>
          </w:p>
        </w:tc>
      </w:tr>
      <w:tr>
        <w:tblPrEx>
          <w:tblLayout w:type="fixed"/>
          <w:tblCellMar>
            <w:top w:w="0" w:type="dxa"/>
            <w:left w:w="108" w:type="dxa"/>
            <w:bottom w:w="0" w:type="dxa"/>
            <w:right w:w="108" w:type="dxa"/>
          </w:tblCellMar>
        </w:tblPrEx>
        <w:trPr>
          <w:trHeight w:val="226" w:hRule="atLeast"/>
          <w:jc w:val="center"/>
        </w:trPr>
        <w:tc>
          <w:tcPr>
            <w:tcW w:w="4964" w:type="dxa"/>
            <w:gridSpan w:val="2"/>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合计</w:t>
            </w:r>
          </w:p>
        </w:tc>
        <w:tc>
          <w:tcPr>
            <w:tcW w:w="1834"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28</w:t>
            </w:r>
          </w:p>
        </w:tc>
      </w:tr>
    </w:tbl>
    <w:p>
      <w:pPr>
        <w:tabs>
          <w:tab w:val="left" w:pos="0"/>
        </w:tabs>
        <w:ind w:firstLine="480" w:firstLineChars="200"/>
        <w:rPr>
          <w:rFonts w:hint="eastAsia" w:ascii="宋体" w:hAnsi="宋体" w:eastAsia="宋体" w:cs="宋体"/>
          <w:sz w:val="24"/>
          <w:szCs w:val="24"/>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人员配备合理，管理总负责人：具有物业管理经理资格证书，从事物业管理五年以上、曾担任物业管理负责人二年以上、担任类似项目负责人二年以上，具备丰富的物业管理经验。乙方应确保其派遣的物业管理人员身体健康</w:t>
      </w:r>
      <w:r>
        <w:rPr>
          <w:rFonts w:hint="eastAsia" w:ascii="宋体" w:hAnsi="宋体" w:eastAsia="宋体" w:cs="宋体"/>
          <w:sz w:val="24"/>
          <w:szCs w:val="24"/>
          <w:lang w:eastAsia="zh-CN"/>
        </w:rPr>
        <w:t>（</w:t>
      </w:r>
      <w:r>
        <w:rPr>
          <w:rFonts w:hint="eastAsia" w:ascii="宋体" w:hAnsi="宋体" w:eastAsia="宋体" w:cs="宋体"/>
          <w:sz w:val="24"/>
          <w:szCs w:val="24"/>
        </w:rPr>
        <w:t>提供相关健康证明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且符合项目所要求的专业资质和履职能力</w:t>
      </w:r>
      <w:r>
        <w:rPr>
          <w:rFonts w:hint="eastAsia" w:ascii="宋体" w:hAnsi="宋体" w:eastAsia="宋体" w:cs="宋体"/>
          <w:sz w:val="24"/>
          <w:szCs w:val="24"/>
        </w:rPr>
        <w:t>。</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列入本次物业管理的范围为：甲方所有的设备设施的管理及维护，内容包括：环境卫生管理；传达、秩序管理和消防、监控设施日常管理维护；给排水设备日常运行维护；变电配电设备日常管理维护；照明系统日常运行维护；弱电系统日常维护；空调系统日常运行维护；特种设备日常管理；会议服务；家具日常清洁及养护维修；综合维修及巡查和甲方交办的其他工作（如会议、活动服务等等）。  </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rPr>
        <w:t xml:space="preserve">    其他设备设施部分构成明细见附件一。</w:t>
      </w: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right="0" w:rightChars="0" w:firstLine="504"/>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根据图书馆物业的特点提出合理的物业管理服务理念，充分考虑用户的日常用途和需求，对本次物管服务的各项内容有较深入的理解和渗透。制定物业管理服务工作计划、物业管理规章制度、设备操作规程并组织实施，具体要求如下：</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 提出服务定位、目标，物业的管理模式能够切合实际，且安全可行；</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2.有比较完善的组织架构，清晰简练地列出主要管理流程，包括运作流程图、激励机制、监督机制、自我约束机制、信息反馈渠道及处理机制，管理指标承诺达到物业管理标准；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70"/>
        <w:textAlignment w:val="auto"/>
        <w:outlineLvl w:val="9"/>
        <w:rPr>
          <w:rFonts w:hint="eastAsia" w:ascii="宋体" w:hAnsi="宋体" w:eastAsia="宋体" w:cs="宋体"/>
          <w:sz w:val="24"/>
          <w:szCs w:val="24"/>
        </w:rPr>
      </w:pPr>
      <w:r>
        <w:rPr>
          <w:rFonts w:hint="eastAsia" w:ascii="宋体" w:hAnsi="宋体" w:eastAsia="宋体" w:cs="宋体"/>
          <w:sz w:val="24"/>
          <w:szCs w:val="24"/>
        </w:rPr>
        <w:t>3.完善的物业管理制度、作业流程、物业管理工作计划及实施时间、地点，做好台账。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4.管理合同</w:t>
      </w:r>
      <w:r>
        <w:rPr>
          <w:rFonts w:hint="eastAsia" w:ascii="宋体" w:hAnsi="宋体" w:eastAsia="宋体" w:cs="宋体"/>
          <w:sz w:val="24"/>
          <w:szCs w:val="24"/>
          <w:lang w:val="en-US" w:eastAsia="zh-CN"/>
        </w:rPr>
        <w:t>期限</w:t>
      </w:r>
      <w:r>
        <w:rPr>
          <w:rFonts w:hint="eastAsia" w:ascii="宋体" w:hAnsi="宋体" w:eastAsia="宋体" w:cs="宋体"/>
          <w:sz w:val="24"/>
          <w:szCs w:val="24"/>
        </w:rPr>
        <w:t>内物业相关工作台账和保管设备运行记录，做好工作台账。</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环境卫生管理。包括大楼内的楼梯、大厅、走廊、屋顶天台、吊顶、平台、雨棚、电梯间、卫生间、茶水间、花盆、会议室、接待室、办公区域、公共活动场所的台（地）面、明沟、阅览桌椅、墙面、门、窗、灯具、果壳箱等设施和器皿，楼宇外墙等所有公共部位设施，红线规划内的道路、园林、停车场(库)、垃圾房等所有公共场地及设施和门前三包区域的日常保洁保养以及垃圾、废弃物清理和灭“四害”等图书馆红线规划范围内的所有环境卫生保洁</w:t>
      </w:r>
      <w:r>
        <w:rPr>
          <w:rFonts w:hint="eastAsia" w:ascii="宋体" w:hAnsi="宋体" w:eastAsia="宋体" w:cs="宋体"/>
          <w:sz w:val="24"/>
          <w:szCs w:val="24"/>
          <w:lang w:val="en-US" w:eastAsia="zh-CN"/>
        </w:rPr>
        <w:t>以及垃圾清运和消纳（由物业管理服务承接单位负责消纳费用，图书馆不再单独支付）</w:t>
      </w:r>
      <w:r>
        <w:rPr>
          <w:rFonts w:hint="eastAsia" w:ascii="宋体" w:hAnsi="宋体" w:eastAsia="宋体" w:cs="宋体"/>
          <w:sz w:val="24"/>
          <w:szCs w:val="24"/>
          <w:lang w:eastAsia="zh-CN"/>
        </w:rPr>
        <w:t>。</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传达、</w:t>
      </w:r>
      <w:r>
        <w:rPr>
          <w:rFonts w:hint="eastAsia" w:ascii="宋体" w:hAnsi="宋体" w:eastAsia="宋体" w:cs="宋体"/>
          <w:sz w:val="24"/>
          <w:szCs w:val="24"/>
          <w:lang w:eastAsia="zh-CN"/>
        </w:rPr>
        <w:t>安保</w:t>
      </w:r>
      <w:r>
        <w:rPr>
          <w:rFonts w:hint="eastAsia" w:ascii="宋体" w:hAnsi="宋体" w:eastAsia="宋体" w:cs="宋体"/>
          <w:sz w:val="24"/>
          <w:szCs w:val="24"/>
        </w:rPr>
        <w:t>、秩序管理和消防、监控管理。包括能熟悉周边的环境，能处理和应对公共秩序维护工作，能正确使用各类消防、物防、技防器械和设备，能够熟悉、掌握各类刑事、治安案件和各类灾害事故的应急预案；来人来访的通报、证件检验、登记、报刊信件收发等;门卫、守护和巡逻，维护公共秩序;处理治安及其他突发事件;负责道路交通管理、机动车和非机动车停放管理;负责防盗、防火报警监控设备运行管理。积极主动的配合、服从对口管理部门的临时应急调度</w:t>
      </w:r>
      <w:r>
        <w:rPr>
          <w:rFonts w:hint="eastAsia" w:ascii="宋体" w:hAnsi="宋体" w:eastAsia="宋体" w:cs="宋体"/>
          <w:sz w:val="24"/>
          <w:szCs w:val="24"/>
          <w:lang w:eastAsia="zh-CN"/>
        </w:rPr>
        <w:t>。</w:t>
      </w:r>
      <w:r>
        <w:rPr>
          <w:rFonts w:hint="eastAsia" w:ascii="宋体" w:hAnsi="宋体" w:eastAsia="宋体" w:cs="宋体"/>
          <w:sz w:val="24"/>
          <w:szCs w:val="24"/>
        </w:rPr>
        <w:t>按照图书馆消防制度建立完善图书馆责任区内的消防工作计划，物管人员应定期接受消防培训并掌握现有消防设施设备的使用方法，并能及时处理各种火灾事故。明确防火责任人，保证消防疏散示意图</w:t>
      </w:r>
      <w:r>
        <w:rPr>
          <w:rFonts w:hint="eastAsia" w:ascii="宋体" w:hAnsi="宋体" w:eastAsia="宋体" w:cs="宋体"/>
          <w:sz w:val="24"/>
          <w:szCs w:val="24"/>
          <w:lang w:eastAsia="zh-CN"/>
        </w:rPr>
        <w:t>、</w:t>
      </w:r>
      <w:r>
        <w:rPr>
          <w:rFonts w:hint="eastAsia" w:ascii="宋体" w:hAnsi="宋体" w:eastAsia="宋体" w:cs="宋体"/>
          <w:sz w:val="24"/>
          <w:szCs w:val="24"/>
        </w:rPr>
        <w:t>照明设施及引路标志完好，紧急疏散通道畅通。对</w:t>
      </w:r>
      <w:r>
        <w:rPr>
          <w:rFonts w:hint="eastAsia" w:ascii="宋体" w:hAnsi="宋体" w:eastAsia="宋体" w:cs="宋体"/>
          <w:sz w:val="24"/>
          <w:szCs w:val="24"/>
          <w:lang w:val="en-US" w:eastAsia="zh-CN"/>
        </w:rPr>
        <w:t>图书</w:t>
      </w:r>
      <w:r>
        <w:rPr>
          <w:rFonts w:hint="eastAsia" w:ascii="宋体" w:hAnsi="宋体" w:eastAsia="宋体" w:cs="宋体"/>
          <w:sz w:val="24"/>
          <w:szCs w:val="24"/>
        </w:rPr>
        <w:t>馆区域内的消防火灾报警系统、喷淋灭火系统、电器火灾报警系统、空气采样报警系统、防火卷帘、消防排烟机组等消防设备按本合同约定进行监管和操作使用</w:t>
      </w:r>
      <w:r>
        <w:rPr>
          <w:rFonts w:hint="eastAsia" w:ascii="宋体" w:hAnsi="宋体" w:eastAsia="宋体" w:cs="宋体"/>
          <w:sz w:val="24"/>
          <w:szCs w:val="24"/>
          <w:lang w:eastAsia="zh-CN"/>
        </w:rPr>
        <w:t>。</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物业管理区域内绿化</w:t>
      </w:r>
      <w:r>
        <w:rPr>
          <w:rFonts w:hint="eastAsia" w:ascii="宋体" w:hAnsi="宋体" w:eastAsia="宋体" w:cs="宋体"/>
          <w:sz w:val="24"/>
          <w:szCs w:val="24"/>
          <w:lang w:val="en-US" w:eastAsia="zh-CN"/>
        </w:rPr>
        <w:t>和楼内绿植的</w:t>
      </w:r>
      <w:r>
        <w:rPr>
          <w:rFonts w:hint="eastAsia" w:ascii="宋体" w:hAnsi="宋体" w:eastAsia="宋体" w:cs="宋体"/>
          <w:sz w:val="24"/>
          <w:szCs w:val="24"/>
        </w:rPr>
        <w:t>日常管理，图书馆内绿地、草坪的巡视检查、养护和日常清理。</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给排水设备运行维护管理。包括对图书馆内外给排水系统的设备、设施，如水泵、水箱、气压给水装置、水处理设备、消火栓、管道、管件、阀门、水嘴、卫生洁具、排水管、透气管、室外排水管及附属构筑物等进行日常养护维修，保持正常运行。</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电设备管理维护。保证变(配)电柜、低压配电柜全年24小时运行正常，设备完好率99%以上，满足现场工作要求，各类表计显示正常；负责各类照明系统、供用电设备设施（包括配电箱柜、桥架、井道、分电箱、开关、插座等）的日常管理和维护修理并作好相应的维修记录工作，亮灯率和插座完好率达到99.9%，保证每天不少于二次对楼层配电室进行巡视检查并要有相应的巡查记录表，保证整个大楼的供电安全。</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空调系统运行管理维护：包括中央空调系统、普通空调的运行管理和维护。具体内容有空调机组、送排风机组、新风机组、管道系统、各种阀类、采气装置、各类风口内外置滤网、自动控制系统等设备的日常养护、维修和清洁卫生。定期对空调系统主机、水泵、电机、管道检查保养,每月定期做好各空调机房和空调机组的清洁工作。</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家具及设施日常清洁及维修；包括办公楼(区)房屋地面、墙、台面及吊顶、门窗、楼梯、通风道等的日常巡查和养护维修；外墙及玻璃幕墙的养护。</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特种设备管理（电梯、升降机）。保证管辖区域内所有特种设备在办公时段有效运行，电梯按时开启和关闭。轿厢内、外按钮及灯具等配件保持完好，维持轿厢整洁。保证停车设备安全稳定运行，设备整洁干净并做好每天的巡查及保养记录工作。</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综合会议、活动管理：根据需要提供重大会议、庆典、节日、学术活动、布展等活动的服务，包括布置会场、绿化（盆景）摆设和保养、宣传标语悬挂、搬运器材、桌椅、空调、会后清场等工作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制定完备的会务服务工作流程、细则及服务工作计划</w:t>
      </w:r>
      <w:r>
        <w:rPr>
          <w:rFonts w:hint="eastAsia" w:ascii="宋体" w:hAnsi="宋体" w:eastAsia="宋体" w:cs="宋体"/>
          <w:sz w:val="24"/>
          <w:szCs w:val="24"/>
        </w:rPr>
        <w:t>并严格执行，保证各项会议的正常进行。</w:t>
      </w:r>
    </w:p>
    <w:p>
      <w:pPr>
        <w:keepNext w:val="0"/>
        <w:keepLines w:val="0"/>
        <w:pageBreakBefore w:val="0"/>
        <w:widowControl w:val="0"/>
        <w:numPr>
          <w:ilvl w:val="0"/>
          <w:numId w:val="22"/>
        </w:numPr>
        <w:tabs>
          <w:tab w:val="left" w:pos="0"/>
          <w:tab w:val="clear" w:pos="1200"/>
        </w:tabs>
        <w:kinsoku/>
        <w:wordWrap/>
        <w:overflowPunct/>
        <w:topLinePunct w:val="0"/>
        <w:autoSpaceDE/>
        <w:autoSpaceDN/>
        <w:bidi w:val="0"/>
        <w:adjustRightInd w:val="0"/>
        <w:snapToGrid w:val="0"/>
        <w:spacing w:line="360" w:lineRule="auto"/>
        <w:ind w:left="0"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zh-CN"/>
        </w:rPr>
        <w:t>综合维修及巡查</w:t>
      </w:r>
      <w:r>
        <w:rPr>
          <w:rFonts w:hint="eastAsia" w:ascii="宋体" w:hAnsi="宋体" w:eastAsia="宋体" w:cs="宋体"/>
          <w:sz w:val="24"/>
          <w:szCs w:val="24"/>
        </w:rPr>
        <w:t>：</w:t>
      </w:r>
      <w:r>
        <w:rPr>
          <w:rFonts w:hint="eastAsia" w:ascii="宋体" w:hAnsi="宋体" w:eastAsia="宋体" w:cs="宋体"/>
          <w:sz w:val="24"/>
          <w:szCs w:val="24"/>
          <w:lang w:val="zh-CN"/>
        </w:rPr>
        <w:t>工程综合维修人员日常工作除特定工作外，实行定期巡查维修制，包括配电设施、照明及供用电设施、空调设施、通风设施、给排水设施、房屋及装修设施、其他公用设施等，以及每天对所有区域和房间巡查到一次，并随时记录和处理等</w:t>
      </w:r>
      <w:r>
        <w:rPr>
          <w:rFonts w:hint="eastAsia" w:ascii="宋体" w:hAnsi="宋体" w:eastAsia="宋体" w:cs="宋体"/>
          <w:sz w:val="24"/>
          <w:szCs w:val="24"/>
        </w:rPr>
        <w:t>。</w:t>
      </w:r>
    </w:p>
    <w:p>
      <w:pPr>
        <w:keepNext w:val="0"/>
        <w:keepLines w:val="0"/>
        <w:pageBreakBefore w:val="0"/>
        <w:widowControl w:val="0"/>
        <w:numPr>
          <w:ilvl w:val="0"/>
          <w:numId w:val="22"/>
        </w:numPr>
        <w:tabs>
          <w:tab w:val="clear" w:pos="1200"/>
        </w:tabs>
        <w:kinsoku/>
        <w:wordWrap/>
        <w:overflowPunct/>
        <w:topLinePunct w:val="0"/>
        <w:autoSpaceDE/>
        <w:autoSpaceDN/>
        <w:bidi w:val="0"/>
        <w:adjustRightInd w:val="0"/>
        <w:snapToGrid w:val="0"/>
        <w:spacing w:line="360" w:lineRule="auto"/>
        <w:ind w:left="0" w:right="0" w:rightChars="0" w:firstLine="54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协助配合甲方的建设项目和技术改造项目。</w:t>
      </w:r>
    </w:p>
    <w:p>
      <w:pPr>
        <w:keepNext w:val="0"/>
        <w:keepLines w:val="0"/>
        <w:pageBreakBefore w:val="0"/>
        <w:widowControl w:val="0"/>
        <w:kinsoku/>
        <w:wordWrap/>
        <w:overflowPunct/>
        <w:topLinePunct w:val="0"/>
        <w:autoSpaceDE/>
        <w:autoSpaceDN/>
        <w:bidi w:val="0"/>
        <w:adjustRightInd w:val="0"/>
        <w:snapToGrid w:val="0"/>
        <w:spacing w:line="360" w:lineRule="auto"/>
        <w:ind w:left="540" w:right="0" w:rightChars="0"/>
        <w:textAlignment w:val="auto"/>
        <w:outlineLvl w:val="9"/>
        <w:rPr>
          <w:rFonts w:hint="eastAsia" w:ascii="宋体" w:hAnsi="宋体" w:eastAsia="宋体" w:cs="宋体"/>
          <w:sz w:val="24"/>
          <w:szCs w:val="24"/>
        </w:rPr>
      </w:pP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委托管理期限</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第十七条  委托管理期限为自</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 起</w:t>
      </w:r>
      <w:r>
        <w:rPr>
          <w:rFonts w:hint="eastAsia" w:ascii="宋体" w:hAnsi="宋体" w:eastAsia="宋体" w:cs="宋体"/>
          <w:sz w:val="24"/>
          <w:szCs w:val="24"/>
          <w:lang w:val="en-US" w:eastAsia="zh-CN"/>
        </w:rPr>
        <w:t>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val="0"/>
        <w:snapToGrid w:val="0"/>
        <w:spacing w:line="360" w:lineRule="auto"/>
        <w:ind w:left="1" w:right="0" w:rightChars="0" w:hanging="1"/>
        <w:textAlignment w:val="auto"/>
        <w:outlineLvl w:val="9"/>
        <w:rPr>
          <w:rFonts w:hint="eastAsia" w:ascii="宋体" w:hAnsi="宋体" w:eastAsia="宋体" w:cs="宋体"/>
          <w:sz w:val="24"/>
          <w:szCs w:val="24"/>
        </w:rPr>
      </w:pP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双方权利义务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32" w:firstLineChars="180"/>
        <w:textAlignment w:val="auto"/>
        <w:outlineLvl w:val="9"/>
        <w:rPr>
          <w:rFonts w:hint="eastAsia" w:ascii="宋体" w:hAnsi="宋体" w:eastAsia="宋体" w:cs="宋体"/>
          <w:sz w:val="24"/>
          <w:szCs w:val="24"/>
        </w:rPr>
      </w:pPr>
      <w:r>
        <w:rPr>
          <w:rFonts w:hint="eastAsia" w:ascii="宋体" w:hAnsi="宋体" w:eastAsia="宋体" w:cs="宋体"/>
          <w:sz w:val="24"/>
          <w:szCs w:val="24"/>
        </w:rPr>
        <w:t>第十八条  甲方权利义务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49" w:leftChars="71" w:right="0" w:rightChars="0" w:firstLine="307" w:firstLineChars="128"/>
        <w:textAlignment w:val="auto"/>
        <w:outlineLvl w:val="9"/>
        <w:rPr>
          <w:rFonts w:hint="eastAsia" w:ascii="宋体" w:hAnsi="宋体" w:eastAsia="宋体" w:cs="宋体"/>
          <w:sz w:val="24"/>
          <w:szCs w:val="24"/>
        </w:rPr>
      </w:pPr>
      <w:r>
        <w:rPr>
          <w:rFonts w:hint="eastAsia" w:ascii="宋体" w:hAnsi="宋体" w:eastAsia="宋体" w:cs="宋体"/>
          <w:sz w:val="24"/>
          <w:szCs w:val="24"/>
        </w:rPr>
        <w:t>1、审定乙方拟订的各项物业管理制度、工作计划、实施细则、设备检修计划和材料申购计划。</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2、管理、监督检查乙方管理工作的实施及制度、计划的执行情况、工作进度和工作质量。有权要求乙方更换不能胜任本协议项下工作的物业服务人员，乙方应当在收到更换通知后5天之内更换完毕。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3、在合同生效之日起为乙方无偿提供管理用房和维修操作用房及内部工作电话、办公桌椅及档案管理用品。</w:t>
      </w:r>
    </w:p>
    <w:p>
      <w:pPr>
        <w:keepNext w:val="0"/>
        <w:keepLines w:val="0"/>
        <w:pageBreakBefore w:val="0"/>
        <w:widowControl w:val="0"/>
        <w:kinsoku/>
        <w:wordWrap/>
        <w:overflowPunct/>
        <w:topLinePunct w:val="0"/>
        <w:autoSpaceDE/>
        <w:autoSpaceDN/>
        <w:bidi w:val="0"/>
        <w:adjustRightInd w:val="0"/>
        <w:snapToGrid w:val="0"/>
        <w:spacing w:line="360" w:lineRule="auto"/>
        <w:ind w:left="630" w:leftChars="30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4、负责向乙方提供物业管理所需图纸、档案、资料。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5、负责提供物业管理和设备运行、维修、养护必备的专用设备和工具。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6、负责乙方提出的并经甲方审定的设备维修养护计划中零配件、备件和材料等的采购和保管。</w:t>
      </w:r>
    </w:p>
    <w:p>
      <w:pPr>
        <w:keepNext w:val="0"/>
        <w:keepLines w:val="0"/>
        <w:pageBreakBefore w:val="0"/>
        <w:widowControl w:val="0"/>
        <w:kinsoku/>
        <w:wordWrap/>
        <w:overflowPunct/>
        <w:topLinePunct w:val="0"/>
        <w:autoSpaceDE/>
        <w:autoSpaceDN/>
        <w:bidi w:val="0"/>
        <w:adjustRightInd w:val="0"/>
        <w:snapToGrid w:val="0"/>
        <w:spacing w:line="360" w:lineRule="auto"/>
        <w:ind w:left="630" w:leftChars="30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7、协调内部关系，协助乙方做好物业管理工作。</w:t>
      </w:r>
    </w:p>
    <w:p>
      <w:pPr>
        <w:keepNext w:val="0"/>
        <w:keepLines w:val="0"/>
        <w:pageBreakBefore w:val="0"/>
        <w:widowControl w:val="0"/>
        <w:kinsoku/>
        <w:wordWrap/>
        <w:overflowPunct/>
        <w:topLinePunct w:val="0"/>
        <w:autoSpaceDE/>
        <w:autoSpaceDN/>
        <w:bidi w:val="0"/>
        <w:adjustRightInd w:val="0"/>
        <w:snapToGrid w:val="0"/>
        <w:spacing w:line="360" w:lineRule="auto"/>
        <w:ind w:left="630" w:leftChars="30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8、负责向乙方传达上级安全会议精神并组织落实。</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第十九条 乙方的权利义务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1、根据有关法律法规，乙方应具备国家承认的物业管理资质，并按国家规定及本协议约定为甲方配备数量充足、技术合格和经过有关部门岗位资格认定的物业管理及安保人员。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2、根据有关法律法规及本合同的约定，制订物业管理制度，包括：设备操作规程、岗位责任制和上岗人员执业资格证明，报甲方备案。</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3、服从甲方管理，接受甲方监督、检查，遵守甲方有关制度以及疫情防控的相关规定，乙方或乙方物业管理人员违反上述规定的，应自行承担相应责任，且不得因此降低物业管理标准，乙方应及时更换违反上述规定的物业管理人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4、对甲方人员违反政策法规、物业管理制度及甲方的有关制度的行为有权提请甲方有关部门处理。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5、负责编制设备年度维修养护计划和大中修方案，费用由甲方承担，经双方议定后由乙方组织实施。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6、负责编制物业管理年度管理、设备维保、大中修预算计划。</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 负责准确记录、妥善保管设备运行、维修、养护档案资料，建立设备台帐。</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8、负责本物业范围内公用设施、设备（主设备及附属设备）的维护和保养。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9、负责设备完好率的统计，每月向甲方提交物业管理工作计划，每年提交年度总结。</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10、负责对房屋、附属建筑物、构筑物、设施、设备等的设计缺陷、安全隐患提出改进方案，经双方议定后由乙方组织或监督实施。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11、 配合甲方对通讯系统、卫星电视系统、舞台音响系统进行维护和管理。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12、本物业的设备设施不得擅自改动，如需在本物业内改、扩建或完善配套项目，须与甲方协商后经甲方批准方可实施。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13、对突发性事故、灾害和其它公共事件，有义务在甲方的统一领导下，组织抢险、救灾和突击抢修工作。</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14、本合同终止时，乙方必须向甲方移交全部档案资料、原始记录和图纸。</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color w:val="FF0000"/>
          <w:sz w:val="24"/>
          <w:szCs w:val="24"/>
        </w:rPr>
      </w:pPr>
      <w:r>
        <w:rPr>
          <w:rFonts w:hint="eastAsia" w:ascii="宋体" w:hAnsi="宋体" w:eastAsia="宋体" w:cs="宋体"/>
          <w:sz w:val="24"/>
          <w:szCs w:val="24"/>
        </w:rPr>
        <w:t xml:space="preserve">    15、乙方对所管辖甲方的设备、财产的安全负责。因乙方人员无章操作、违章操作或误操作、巡查不认真或不到位、给甲方设备、财产或者第三方的财产造成损失，由乙方承担由此产生的直接损失</w:t>
      </w:r>
      <w:r>
        <w:rPr>
          <w:rFonts w:hint="eastAsia" w:ascii="宋体" w:hAnsi="宋体" w:eastAsia="宋体" w:cs="宋体"/>
          <w:color w:val="000000"/>
          <w:sz w:val="24"/>
          <w:szCs w:val="24"/>
        </w:rPr>
        <w:t>。</w:t>
      </w:r>
      <w:r>
        <w:rPr>
          <w:rFonts w:hint="eastAsia" w:ascii="宋体" w:hAnsi="宋体" w:eastAsia="宋体" w:cs="宋体"/>
          <w:sz w:val="24"/>
          <w:szCs w:val="24"/>
        </w:rPr>
        <w:t>因乙方人员工作失职、失误，未按规程操作</w:t>
      </w:r>
      <w:r>
        <w:rPr>
          <w:rFonts w:hint="eastAsia" w:ascii="宋体" w:hAnsi="宋体" w:eastAsia="宋体" w:cs="宋体"/>
          <w:sz w:val="24"/>
          <w:szCs w:val="24"/>
          <w:lang w:val="en-US" w:eastAsia="zh-CN"/>
        </w:rPr>
        <w:t>等原因</w:t>
      </w:r>
      <w:r>
        <w:rPr>
          <w:rFonts w:hint="eastAsia" w:ascii="宋体" w:hAnsi="宋体" w:eastAsia="宋体" w:cs="宋体"/>
          <w:sz w:val="24"/>
          <w:szCs w:val="24"/>
        </w:rPr>
        <w:t>，发生事故、导致</w:t>
      </w:r>
      <w:r>
        <w:rPr>
          <w:rFonts w:hint="eastAsia" w:ascii="宋体" w:hAnsi="宋体" w:eastAsia="宋体" w:cs="宋体"/>
          <w:sz w:val="24"/>
          <w:szCs w:val="24"/>
          <w:lang w:val="en-US" w:eastAsia="zh-CN"/>
        </w:rPr>
        <w:t>人员</w:t>
      </w:r>
      <w:r>
        <w:rPr>
          <w:rFonts w:hint="eastAsia" w:ascii="宋体" w:hAnsi="宋体" w:eastAsia="宋体" w:cs="宋体"/>
          <w:sz w:val="24"/>
          <w:szCs w:val="24"/>
        </w:rPr>
        <w:t>伤亡，由乙方承担全部责任并赔偿甲方的全部经济损失。</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16、因乙方原因未达到约定的物业管理质量标准，影响了甲方正常工作的开展（如各种设备突然处于停滞状态、发生断电、气体泄露、漏水等情况）造成的损失将从所支付的管理费中扣除。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17、在乙方责任范围内，因工作不到位导致卫生不合格、人员安排不到位、空岗等情况，甲方发现后，第一次发《物业服务监督意见书》（见附件八）限期整改，不予纠正的可开具《物业服务过失告知单》（见附件九）交乙方负责人，并依据物业考核制度，视情况从所支付的物业管理费中扣除相应费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18、在乙方责任范围内，因</w:t>
      </w:r>
      <w:r>
        <w:rPr>
          <w:rFonts w:hint="eastAsia" w:ascii="宋体" w:hAnsi="宋体" w:eastAsia="宋体" w:cs="宋体"/>
          <w:sz w:val="24"/>
          <w:szCs w:val="24"/>
          <w:lang w:eastAsia="zh-CN"/>
        </w:rPr>
        <w:t>安保</w:t>
      </w:r>
      <w:r>
        <w:rPr>
          <w:rFonts w:hint="eastAsia" w:ascii="宋体" w:hAnsi="宋体" w:eastAsia="宋体" w:cs="宋体"/>
          <w:sz w:val="24"/>
          <w:szCs w:val="24"/>
        </w:rPr>
        <w:t>值勤期间工作不负责、服务不到位、空岗等情况，甲方发现后，第一次发《物业服务监督意见书》（见附件八）限期整改，不予纠正的可开具《物业服务过失告知单》（见附件九）交乙方负责人，并依据物业考核制度，视情况从所支付的物业管理费中扣除相应费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19、 在乙方责任范围内，因工作不到位导致甲方受到政府相关部门的处罚，由乙方承担全部处罚责任及赔偿经济损失。</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20、负责乙方人员和财物的安全管理并承担乙方人员伤亡和财物损失的全部责任。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21、乙方人员的工资、福利、劳保、保险、医疗等及其它相关费用全部由乙方自行负责。甲方与乙方人员不因本协议的签订及履行而成立任何劳动或者劳务关系，若因此发生任何纠纷的，一切责任由乙方自行承担。</w:t>
      </w:r>
    </w:p>
    <w:p>
      <w:pPr>
        <w:keepNext w:val="0"/>
        <w:keepLines w:val="0"/>
        <w:pageBreakBefore w:val="0"/>
        <w:widowControl w:val="0"/>
        <w:kinsoku/>
        <w:wordWrap/>
        <w:overflowPunct/>
        <w:topLinePunct w:val="0"/>
        <w:autoSpaceDE/>
        <w:autoSpaceDN/>
        <w:bidi w:val="0"/>
        <w:adjustRightInd w:val="0"/>
        <w:snapToGrid w:val="0"/>
        <w:spacing w:line="360" w:lineRule="auto"/>
        <w:ind w:left="-2" w:leftChars="-1" w:right="0" w:rightChars="0" w:firstLine="307" w:firstLineChars="128"/>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22、乙方的企业资质每年在政府审批部门年检结论下达后，要及时将年检情况书面报予甲方。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07" w:firstLineChars="128"/>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23、乙方物业管理人员上班期间不得做与工作无关的事情，甲方发现后，第一次发《物业服务监督意见书》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见附件八</w:t>
      </w:r>
      <w:r>
        <w:rPr>
          <w:rFonts w:hint="eastAsia" w:ascii="宋体" w:hAnsi="宋体" w:eastAsia="宋体" w:cs="宋体"/>
          <w:sz w:val="24"/>
          <w:szCs w:val="24"/>
          <w:lang w:eastAsia="zh-CN"/>
        </w:rPr>
        <w:t>）</w:t>
      </w:r>
      <w:r>
        <w:rPr>
          <w:rFonts w:hint="eastAsia" w:ascii="宋体" w:hAnsi="宋体" w:eastAsia="宋体" w:cs="宋体"/>
          <w:sz w:val="24"/>
          <w:szCs w:val="24"/>
        </w:rPr>
        <w:t>限期整改，不予纠正的可开具《物业服务过失告知单》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见附件九</w:t>
      </w:r>
      <w:r>
        <w:rPr>
          <w:rFonts w:hint="eastAsia" w:ascii="宋体" w:hAnsi="宋体" w:eastAsia="宋体" w:cs="宋体"/>
          <w:sz w:val="24"/>
          <w:szCs w:val="24"/>
          <w:lang w:eastAsia="zh-CN"/>
        </w:rPr>
        <w:t>）</w:t>
      </w:r>
      <w:r>
        <w:rPr>
          <w:rFonts w:hint="eastAsia" w:ascii="宋体" w:hAnsi="宋体" w:eastAsia="宋体" w:cs="宋体"/>
          <w:sz w:val="24"/>
          <w:szCs w:val="24"/>
        </w:rPr>
        <w:t>交乙方负责人，并依据物业考核制度，视情况从所支付的物业管理费中扣除相应费用。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24、物业员工不得与读者及其他第三方发生冲突，在处理问题时，不得损害甲方的利益和名声，如果有读者或第三方因与物业工作人员发生冲突而投诉甲方，依据物业考核制度，视情况从所支付的物业管理费中扣除相应费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25、乙方应当加强对其员工的业务技能培训，并完成每年定期组织全馆职工、物业人员进行</w:t>
      </w:r>
      <w:r>
        <w:rPr>
          <w:rFonts w:hint="eastAsia" w:ascii="宋体" w:hAnsi="宋体" w:eastAsia="宋体" w:cs="宋体"/>
          <w:sz w:val="24"/>
          <w:szCs w:val="24"/>
          <w:lang w:val="en-US" w:eastAsia="zh-CN"/>
        </w:rPr>
        <w:t>的</w:t>
      </w:r>
      <w:r>
        <w:rPr>
          <w:rFonts w:hint="eastAsia" w:ascii="宋体" w:hAnsi="宋体" w:eastAsia="宋体" w:cs="宋体"/>
          <w:sz w:val="24"/>
          <w:szCs w:val="24"/>
        </w:rPr>
        <w:t>安全培训及演练活动。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color w:val="FF00FF"/>
          <w:sz w:val="24"/>
          <w:szCs w:val="24"/>
        </w:rPr>
      </w:pPr>
      <w:r>
        <w:rPr>
          <w:rFonts w:hint="eastAsia" w:ascii="宋体" w:hAnsi="宋体" w:eastAsia="宋体" w:cs="宋体"/>
          <w:sz w:val="24"/>
          <w:szCs w:val="24"/>
        </w:rPr>
        <w:t xml:space="preserve"> </w:t>
      </w:r>
      <w:r>
        <w:rPr>
          <w:rFonts w:hint="eastAsia" w:ascii="宋体" w:hAnsi="宋体" w:eastAsia="宋体" w:cs="宋体"/>
          <w:color w:val="FF00FF"/>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420" w:right="0" w:right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第五章 物业管理服务费用及支付方式</w:t>
      </w:r>
    </w:p>
    <w:p>
      <w:pPr>
        <w:keepNext w:val="0"/>
        <w:keepLines w:val="0"/>
        <w:pageBreakBefore w:val="0"/>
        <w:widowControl w:val="0"/>
        <w:kinsoku/>
        <w:wordWrap/>
        <w:overflowPunct/>
        <w:topLinePunct w:val="0"/>
        <w:autoSpaceDE/>
        <w:autoSpaceDN/>
        <w:bidi w:val="0"/>
        <w:adjustRightInd w:val="0"/>
        <w:snapToGrid w:val="0"/>
        <w:spacing w:line="360" w:lineRule="auto"/>
        <w:ind w:left="420" w:right="0" w:rightChars="0"/>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76" w:firstLineChars="240"/>
        <w:textAlignment w:val="auto"/>
        <w:outlineLvl w:val="9"/>
        <w:rPr>
          <w:rFonts w:hint="eastAsia" w:ascii="宋体" w:hAnsi="宋体" w:eastAsia="宋体" w:cs="宋体"/>
          <w:sz w:val="24"/>
          <w:szCs w:val="24"/>
        </w:rPr>
      </w:pPr>
      <w:r>
        <w:rPr>
          <w:rFonts w:hint="eastAsia" w:ascii="宋体" w:hAnsi="宋体" w:eastAsia="宋体" w:cs="宋体"/>
          <w:sz w:val="24"/>
          <w:szCs w:val="24"/>
        </w:rPr>
        <w:t>第二十条  本协议项下委托物业管理服务费</w:t>
      </w:r>
      <w:r>
        <w:rPr>
          <w:rFonts w:hint="eastAsia" w:ascii="宋体" w:hAnsi="宋体" w:eastAsia="宋体" w:cs="宋体"/>
          <w:sz w:val="24"/>
          <w:szCs w:val="24"/>
          <w:lang w:val="en-US" w:eastAsia="zh-CN"/>
        </w:rPr>
        <w:t>为每月     元</w:t>
      </w:r>
      <w:r>
        <w:rPr>
          <w:rFonts w:hint="eastAsia" w:ascii="宋体" w:hAnsi="宋体" w:eastAsia="宋体" w:cs="宋体"/>
          <w:sz w:val="24"/>
          <w:szCs w:val="24"/>
        </w:rPr>
        <w:t>（大写：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述费用包括物业管理所需人员（含工资、社会保险或商业保险、福利等）、物品、设备设施、管理费、税费、利润等全部费用在内，除本协议有特别约定外，乙方无权要求甲方再支付任何费用或者提供其他条件。</w:t>
      </w:r>
    </w:p>
    <w:p>
      <w:pPr>
        <w:keepNext w:val="0"/>
        <w:keepLines w:val="0"/>
        <w:pageBreakBefore w:val="0"/>
        <w:widowControl w:val="0"/>
        <w:kinsoku/>
        <w:wordWrap/>
        <w:overflowPunct/>
        <w:topLinePunct w:val="0"/>
        <w:autoSpaceDE/>
        <w:autoSpaceDN/>
        <w:bidi w:val="0"/>
        <w:adjustRightInd w:val="0"/>
        <w:snapToGrid w:val="0"/>
        <w:spacing w:line="360" w:lineRule="auto"/>
        <w:ind w:left="54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第二十一条  物业管理服务费的支付方式</w:t>
      </w: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甲乙双方约定合同签订后</w:t>
      </w:r>
      <w:r>
        <w:rPr>
          <w:rFonts w:hint="eastAsia" w:ascii="宋体" w:hAnsi="宋体" w:eastAsia="宋体" w:cs="宋体"/>
          <w:sz w:val="24"/>
          <w:szCs w:val="24"/>
          <w:lang w:val="en-US" w:eastAsia="zh-CN"/>
        </w:rPr>
        <w:t>七个工作日内</w:t>
      </w:r>
      <w:r>
        <w:rPr>
          <w:rFonts w:hint="eastAsia" w:ascii="宋体" w:hAnsi="宋体" w:eastAsia="宋体" w:cs="宋体"/>
          <w:sz w:val="24"/>
          <w:szCs w:val="24"/>
        </w:rPr>
        <w:t>，</w:t>
      </w:r>
      <w:r>
        <w:rPr>
          <w:rFonts w:hint="eastAsia" w:ascii="宋体" w:hAnsi="宋体" w:eastAsia="宋体" w:cs="宋体"/>
          <w:sz w:val="24"/>
          <w:szCs w:val="24"/>
          <w:lang w:val="en-US" w:eastAsia="zh-CN"/>
        </w:rPr>
        <w:t>甲方支付首笔物业管理服务费（约占合同总额60%），2026年7月1日前，乙方支付约定费用总额的5%作为履约保证金，甲方支付乙方第二笔物业服务费（约占合同总额40%），待服务期满后，乙方服务符合本项目约定及甲方要求的，甲方于2027年1月15日前无息返还履约保证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2、物业管理过程中发生的能源费用，维修、改造、养护的材料费用，备件、配件、设备委托检测维保费用均由甲方承担；乙方负责支付工程部工具及维修小件耗材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甲方不需另外支付此项费用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在甲方支付相关费用之前，乙方应当向甲方开具同等金额的发票，否则甲方有权拒绝支付相应款项，并不承担任何违约责任；但乙方不得以此为由拒绝履行相关合同义务。若本协议项下物业管理服务费用涉及审批且甲方因此未按约定时间付款的，则付款时间相应顺延，甲方无需因此承担任何法律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双方在此确认，甲方可能因情势变更或不可抗力（包括自然灾害、疫情、政府管制或行政命令等）而部分或全部中止物业管理区域对外开放，因部分或全部中止物业管理区域对外开放而造成本协议无法履行、无需履行或履行已无实际意义的，不视为甲方违约，甲方将根据乙方已实际提供物业管理服务情况与乙方结算物业管理服务费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合同解除和终止的约定</w:t>
      </w:r>
    </w:p>
    <w:p>
      <w:pPr>
        <w:keepNext w:val="0"/>
        <w:keepLines w:val="0"/>
        <w:pageBreakBefore w:val="0"/>
        <w:widowControl w:val="0"/>
        <w:kinsoku/>
        <w:wordWrap/>
        <w:overflowPunct/>
        <w:topLinePunct w:val="0"/>
        <w:autoSpaceDE/>
        <w:autoSpaceDN/>
        <w:bidi w:val="0"/>
        <w:adjustRightInd w:val="0"/>
        <w:snapToGrid w:val="0"/>
        <w:spacing w:line="360" w:lineRule="auto"/>
        <w:ind w:left="420" w:right="0" w:rightChars="0"/>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76" w:firstLineChars="24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第二十二条  本合同期满，甲方可根据乙方服务质量以及相关部门发布的政府采购、招标投标等相关规定确定是否与乙方续约。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第二十三条  双方履约期间，如遇北京市及石景山区政府采购相关政策变化调整或政府采购定点名录更新等，导致双方不能继续履行协议的，以市、区政府采购相关政策规定及甲方上级主管部门批复意见为约束，未尽事宜双方协商处理，据实结算，不视为</w:t>
      </w:r>
      <w:r>
        <w:rPr>
          <w:rFonts w:hint="eastAsia" w:ascii="宋体" w:hAnsi="宋体" w:eastAsia="宋体" w:cs="宋体"/>
          <w:sz w:val="24"/>
          <w:szCs w:val="24"/>
          <w:lang w:val="en-US" w:eastAsia="zh-CN"/>
        </w:rPr>
        <w:t>甲方</w:t>
      </w:r>
      <w:r>
        <w:rPr>
          <w:rFonts w:hint="eastAsia" w:ascii="宋体" w:hAnsi="宋体" w:eastAsia="宋体" w:cs="宋体"/>
          <w:sz w:val="24"/>
          <w:szCs w:val="24"/>
        </w:rPr>
        <w:t>违约。　　</w:t>
      </w:r>
    </w:p>
    <w:p>
      <w:pPr>
        <w:keepNext w:val="0"/>
        <w:keepLines w:val="0"/>
        <w:pageBreakBefore w:val="0"/>
        <w:widowControl w:val="0"/>
        <w:kinsoku/>
        <w:wordWrap/>
        <w:overflowPunct/>
        <w:topLinePunct w:val="0"/>
        <w:autoSpaceDE/>
        <w:autoSpaceDN/>
        <w:bidi w:val="0"/>
        <w:adjustRightInd w:val="0"/>
        <w:snapToGrid w:val="0"/>
        <w:spacing w:line="360" w:lineRule="auto"/>
        <w:ind w:left="2" w:right="0" w:rightChars="0" w:firstLine="573" w:firstLineChars="239"/>
        <w:textAlignment w:val="auto"/>
        <w:outlineLvl w:val="9"/>
        <w:rPr>
          <w:rFonts w:hint="eastAsia" w:ascii="宋体" w:hAnsi="宋体" w:eastAsia="宋体" w:cs="宋体"/>
          <w:sz w:val="24"/>
          <w:szCs w:val="24"/>
        </w:rPr>
      </w:pPr>
      <w:r>
        <w:rPr>
          <w:rFonts w:hint="eastAsia" w:ascii="宋体" w:hAnsi="宋体" w:eastAsia="宋体" w:cs="宋体"/>
          <w:sz w:val="24"/>
          <w:szCs w:val="24"/>
        </w:rPr>
        <w:t>第二十四条  本合同终止前，甲方应组织协调新老物业的交接。如有必要，甲乙双方协商可适当延长交接期限，但甲方需支付乙方相关费用。</w:t>
      </w:r>
    </w:p>
    <w:p>
      <w:pPr>
        <w:keepNext w:val="0"/>
        <w:keepLines w:val="0"/>
        <w:pageBreakBefore w:val="0"/>
        <w:widowControl w:val="0"/>
        <w:kinsoku/>
        <w:wordWrap/>
        <w:overflowPunct/>
        <w:topLinePunct w:val="0"/>
        <w:autoSpaceDE/>
        <w:autoSpaceDN/>
        <w:bidi w:val="0"/>
        <w:adjustRightInd w:val="0"/>
        <w:snapToGrid w:val="0"/>
        <w:spacing w:line="360" w:lineRule="auto"/>
        <w:ind w:left="2" w:right="0" w:rightChars="0" w:firstLine="573" w:firstLineChars="239"/>
        <w:textAlignment w:val="auto"/>
        <w:outlineLvl w:val="9"/>
        <w:rPr>
          <w:rFonts w:hint="eastAsia" w:ascii="宋体" w:hAnsi="宋体" w:eastAsia="宋体" w:cs="宋体"/>
          <w:sz w:val="24"/>
          <w:szCs w:val="24"/>
        </w:rPr>
      </w:pPr>
    </w:p>
    <w:p>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违约责任</w:t>
      </w:r>
    </w:p>
    <w:p>
      <w:pPr>
        <w:keepNext w:val="0"/>
        <w:keepLines w:val="0"/>
        <w:pageBreakBefore w:val="0"/>
        <w:widowControl w:val="0"/>
        <w:kinsoku/>
        <w:wordWrap/>
        <w:overflowPunct/>
        <w:topLinePunct w:val="0"/>
        <w:autoSpaceDE/>
        <w:autoSpaceDN/>
        <w:bidi w:val="0"/>
        <w:adjustRightInd w:val="0"/>
        <w:snapToGrid w:val="0"/>
        <w:spacing w:line="360" w:lineRule="auto"/>
        <w:ind w:left="420" w:right="0" w:rightChars="0"/>
        <w:jc w:val="center"/>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2" w:right="0" w:rightChars="0"/>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第二十五条  甲方违反本合同第四章第十八</w:t>
      </w:r>
      <w:r>
        <w:rPr>
          <w:rFonts w:hint="eastAsia" w:ascii="宋体" w:hAnsi="宋体" w:eastAsia="宋体" w:cs="宋体"/>
          <w:sz w:val="24"/>
          <w:szCs w:val="24"/>
          <w:lang w:val="en-US" w:eastAsia="zh-CN"/>
        </w:rPr>
        <w:t>条</w:t>
      </w:r>
      <w:r>
        <w:rPr>
          <w:rFonts w:hint="eastAsia" w:ascii="宋体" w:hAnsi="宋体" w:eastAsia="宋体" w:cs="宋体"/>
          <w:sz w:val="24"/>
          <w:szCs w:val="24"/>
        </w:rPr>
        <w:t>的约定，使乙方未完成规定管理目标，乙方有权要求甲方在一定期限内解决，甲方仍未能解决的，乙方不承担因此导致的相关责任。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76" w:firstLineChars="240"/>
        <w:textAlignment w:val="auto"/>
        <w:outlineLvl w:val="9"/>
        <w:rPr>
          <w:rFonts w:hint="eastAsia" w:ascii="宋体" w:hAnsi="宋体" w:eastAsia="宋体" w:cs="宋体"/>
          <w:sz w:val="24"/>
          <w:szCs w:val="24"/>
        </w:rPr>
      </w:pPr>
      <w:r>
        <w:rPr>
          <w:rFonts w:hint="eastAsia" w:ascii="宋体" w:hAnsi="宋体" w:eastAsia="宋体" w:cs="宋体"/>
          <w:sz w:val="24"/>
          <w:szCs w:val="24"/>
        </w:rPr>
        <w:t>第二十六条  乙方有下列情形之一的，</w:t>
      </w:r>
      <w:r>
        <w:rPr>
          <w:rFonts w:hint="eastAsia" w:ascii="宋体" w:hAnsi="宋体" w:eastAsia="宋体" w:cs="宋体"/>
          <w:sz w:val="24"/>
          <w:szCs w:val="24"/>
          <w:lang w:val="en-US" w:eastAsia="zh-CN"/>
        </w:rPr>
        <w:t>需承担违约责任</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72"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1、乙方未能达到约定的管理目标、要求且在甲方提出整改要求3日后仍未能达到整改效果的；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72"/>
        <w:textAlignment w:val="auto"/>
        <w:outlineLvl w:val="9"/>
        <w:rPr>
          <w:rFonts w:hint="eastAsia" w:ascii="宋体" w:hAnsi="宋体" w:eastAsia="宋体" w:cs="宋体"/>
          <w:sz w:val="24"/>
          <w:szCs w:val="24"/>
        </w:rPr>
      </w:pPr>
      <w:r>
        <w:rPr>
          <w:rFonts w:hint="eastAsia" w:ascii="宋体" w:hAnsi="宋体" w:eastAsia="宋体" w:cs="宋体"/>
          <w:sz w:val="24"/>
          <w:szCs w:val="24"/>
        </w:rPr>
        <w:t>2、因乙方原因造成任何人身、财产损失或其他安全事故（包括但不限于停电、停水、漏水、漏气等）的；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72"/>
        <w:textAlignment w:val="auto"/>
        <w:outlineLvl w:val="9"/>
        <w:rPr>
          <w:rFonts w:hint="eastAsia" w:ascii="宋体" w:hAnsi="宋体" w:eastAsia="宋体" w:cs="宋体"/>
          <w:sz w:val="24"/>
          <w:szCs w:val="24"/>
        </w:rPr>
      </w:pPr>
      <w:r>
        <w:rPr>
          <w:rFonts w:hint="eastAsia" w:ascii="宋体" w:hAnsi="宋体" w:eastAsia="宋体" w:cs="宋体"/>
          <w:sz w:val="24"/>
          <w:szCs w:val="24"/>
        </w:rPr>
        <w:t>3、乙方或乙方物业管理人员违反甲方或相关方管理制度或因乙方原因与第三方产生任何争议、纠纷的；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72"/>
        <w:textAlignment w:val="auto"/>
        <w:outlineLvl w:val="9"/>
        <w:rPr>
          <w:rFonts w:hint="eastAsia" w:ascii="宋体" w:hAnsi="宋体" w:eastAsia="宋体" w:cs="宋体"/>
          <w:sz w:val="24"/>
          <w:szCs w:val="24"/>
        </w:rPr>
      </w:pPr>
      <w:r>
        <w:rPr>
          <w:rFonts w:hint="eastAsia" w:ascii="宋体" w:hAnsi="宋体" w:eastAsia="宋体" w:cs="宋体"/>
          <w:sz w:val="24"/>
          <w:szCs w:val="24"/>
        </w:rPr>
        <w:t>4、乙方瞒报、谎报、缓报物业管理人员身体健康状况或行动轨迹、来源地区等基本情况的；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72"/>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、乙方有其他违反法律法规或本协议约定的情形的。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72"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乙方有上述情形之一的，甲方有权解除本协议，无需支付未经甲方确认以及尚未履行部分物业管理服务费用，如相关费用已支付的，乙方应予以退还，除此之外，乙方还应向甲方支付相当于一个月物业管理服务费用总额的违约金，该违约金不视为甲方全部实际损失，甲方仍保留追究乙方法律责任的权利。</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76" w:firstLineChars="24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第二十七条  因</w:t>
      </w:r>
      <w:r>
        <w:rPr>
          <w:rFonts w:hint="eastAsia" w:ascii="宋体" w:hAnsi="宋体" w:eastAsia="宋体" w:cs="宋体"/>
          <w:sz w:val="24"/>
          <w:szCs w:val="24"/>
          <w:lang w:val="en-US" w:eastAsia="zh-CN"/>
        </w:rPr>
        <w:t>本协议第</w:t>
      </w:r>
      <w:r>
        <w:rPr>
          <w:rFonts w:hint="eastAsia" w:ascii="宋体" w:hAnsi="宋体" w:eastAsia="宋体" w:cs="宋体"/>
          <w:sz w:val="24"/>
          <w:szCs w:val="24"/>
        </w:rPr>
        <w:t>四章十八条和十九条规定的原因导致守约方不得不提前终止合同的，或者任何一方无法律及合同上的依据单方面提前终止合同的，违约方应赔偿对方</w:t>
      </w:r>
      <w:r>
        <w:rPr>
          <w:rFonts w:hint="eastAsia" w:ascii="宋体" w:hAnsi="宋体" w:eastAsia="宋体" w:cs="宋体"/>
          <w:sz w:val="24"/>
          <w:szCs w:val="24"/>
          <w:lang w:val="en-US" w:eastAsia="zh-CN"/>
        </w:rPr>
        <w:t>三</w:t>
      </w:r>
      <w:r>
        <w:rPr>
          <w:rFonts w:hint="eastAsia" w:ascii="宋体" w:hAnsi="宋体" w:eastAsia="宋体" w:cs="宋体"/>
          <w:sz w:val="24"/>
          <w:szCs w:val="24"/>
        </w:rPr>
        <w:t>万元人民币的违约金，违约金不足以弥补对方损失的，还应赔偿该等损失；任何一方违反合同的其他规定造成对方经济损失的，应给予经济赔偿。</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第八章 附  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第二十八条  甲乙双方可对本合同条款进行补充，以书面形式签订补充协议，补充协议与本合同具有同等效力。</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76" w:firstLineChars="24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第二十九条  本合同之附件均为合同有效组成部分，具有同等效力。本合同及其附件中未规定的事宜，均遵照国家有关法律、法规和政策执行。</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第三十条  本合同执行期间，如遇不可抗力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包括自然灾害、政府管制或禁令等</w:t>
      </w:r>
      <w:r>
        <w:rPr>
          <w:rFonts w:hint="eastAsia" w:ascii="宋体" w:hAnsi="宋体" w:eastAsia="宋体" w:cs="宋体"/>
          <w:sz w:val="24"/>
          <w:szCs w:val="24"/>
          <w:lang w:eastAsia="zh-CN"/>
        </w:rPr>
        <w:t>）</w:t>
      </w:r>
      <w:r>
        <w:rPr>
          <w:rFonts w:hint="eastAsia" w:ascii="宋体" w:hAnsi="宋体" w:eastAsia="宋体" w:cs="宋体"/>
          <w:sz w:val="24"/>
          <w:szCs w:val="24"/>
        </w:rPr>
        <w:t>致使合同无法履行时，甲方有权终止合同。如遇上级部门、政策要求停止履行合同时，甲方有权终止合同，无需承担违约责任。如有争议，双方应按有关法律规定协商处理。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第三十一条 乙方应当对其因本合同的签订及履行而获知的甲方相关信息进行保密，且未经甲方书面同意，不得超出本合同目的范围使用；若乙方违反上述义务给甲方造成损失的，应当承担赔偿责任。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乙方应当保证其员工承担相同程度的保密义务，并为其员工违反义务的行为向甲方承担责任。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本条约定的保密责任不因本合同的终止而终止履行。</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第三十二条 本合同在履行或终止时如发生争议，双方应协商解决，协商不成的，任何一方可以向甲方所在地北京市石景山区有管辖权的法院提起诉讼。</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第三十三条 本合同正本共</w:t>
      </w:r>
      <w:r>
        <w:rPr>
          <w:rFonts w:hint="eastAsia" w:ascii="宋体" w:hAnsi="宋体" w:eastAsia="宋体" w:cs="宋体"/>
          <w:sz w:val="24"/>
          <w:szCs w:val="24"/>
          <w:u w:val="single"/>
        </w:rPr>
        <w:t xml:space="preserve">  </w:t>
      </w:r>
      <w:r>
        <w:rPr>
          <w:rFonts w:hint="eastAsia" w:ascii="宋体" w:hAnsi="宋体" w:eastAsia="宋体" w:cs="宋体"/>
          <w:sz w:val="24"/>
          <w:szCs w:val="24"/>
        </w:rPr>
        <w:t>页，一式四份，</w:t>
      </w:r>
      <w:r>
        <w:rPr>
          <w:rFonts w:hint="eastAsia" w:ascii="宋体" w:hAnsi="宋体" w:eastAsia="宋体" w:cs="宋体"/>
          <w:color w:val="000000"/>
          <w:sz w:val="24"/>
          <w:szCs w:val="24"/>
        </w:rPr>
        <w:t>甲乙双方</w:t>
      </w:r>
      <w:r>
        <w:rPr>
          <w:rFonts w:hint="eastAsia" w:ascii="宋体" w:hAnsi="宋体" w:eastAsia="宋体" w:cs="宋体"/>
          <w:sz w:val="24"/>
          <w:szCs w:val="24"/>
        </w:rPr>
        <w:t>各执两份，具有同等的法律效力。</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第三十四条  本合同自双方签字盖章之日起生效。</w:t>
      </w:r>
    </w:p>
    <w:p>
      <w:pPr>
        <w:keepNext w:val="0"/>
        <w:keepLines w:val="0"/>
        <w:pageBreakBefore w:val="0"/>
        <w:widowControl w:val="0"/>
        <w:kinsoku/>
        <w:wordWrap/>
        <w:overflowPunct/>
        <w:topLinePunct w:val="0"/>
        <w:autoSpaceDE/>
        <w:autoSpaceDN/>
        <w:bidi w:val="0"/>
        <w:adjustRightInd w:val="0"/>
        <w:snapToGrid w:val="0"/>
        <w:spacing w:line="360" w:lineRule="auto"/>
        <w:ind w:left="420" w:right="0" w:rightChars="0"/>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42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甲方签章                          乙方签章</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代表人：                          代表人：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3"/>
        <w:rPr>
          <w:rFonts w:hint="eastAsia" w:ascii="宋体" w:hAnsi="宋体" w:cs="宋体"/>
          <w:b/>
          <w:sz w:val="36"/>
          <w:szCs w:val="36"/>
        </w:rPr>
      </w:pPr>
    </w:p>
    <w:p>
      <w:pPr>
        <w:pStyle w:val="4"/>
        <w:rPr>
          <w:rFonts w:hint="eastAsia" w:ascii="宋体" w:hAnsi="宋体" w:cs="宋体"/>
          <w:b/>
          <w:sz w:val="36"/>
          <w:szCs w:val="36"/>
        </w:rPr>
      </w:pPr>
    </w:p>
    <w:p>
      <w:pPr>
        <w:rPr>
          <w:rFonts w:hint="eastAsia" w:ascii="宋体" w:hAnsi="宋体" w:cs="宋体"/>
          <w:b/>
          <w:sz w:val="36"/>
          <w:szCs w:val="36"/>
        </w:rPr>
      </w:pPr>
    </w:p>
    <w:p>
      <w:pPr>
        <w:pStyle w:val="2"/>
        <w:rPr>
          <w:rFonts w:hint="eastAsia"/>
        </w:rPr>
      </w:pPr>
    </w:p>
    <w:p>
      <w:pPr>
        <w:pStyle w:val="2"/>
        <w:rPr>
          <w:rFonts w:hint="eastAsia" w:ascii="宋体" w:hAnsi="宋体" w:cs="宋体"/>
          <w:b/>
          <w:sz w:val="36"/>
          <w:szCs w:val="36"/>
        </w:rPr>
      </w:pPr>
    </w:p>
    <w:p>
      <w:pPr>
        <w:pStyle w:val="3"/>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805"/>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pStyle w:val="3"/>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3"/>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806" w:name="OLE_LINK1"/>
      <w:r>
        <w:rPr>
          <w:rFonts w:hint="eastAsia"/>
          <w:b/>
          <w:bCs/>
          <w:spacing w:val="-6"/>
        </w:rPr>
        <w:t>（</w:t>
      </w:r>
      <w:bookmarkStart w:id="807" w:name="OLE_LINK13"/>
      <w:r>
        <w:rPr>
          <w:rFonts w:hint="eastAsia"/>
          <w:b/>
          <w:bCs/>
          <w:spacing w:val="-6"/>
        </w:rPr>
        <w:t>资格证明文件</w:t>
      </w:r>
      <w:bookmarkEnd w:id="807"/>
      <w:r>
        <w:rPr>
          <w:rFonts w:hint="eastAsia"/>
          <w:b/>
          <w:bCs/>
          <w:spacing w:val="-6"/>
        </w:rPr>
        <w:t>）</w:t>
      </w:r>
      <w:bookmarkEnd w:id="806"/>
      <w:r>
        <w:rPr>
          <w:b/>
          <w:bCs/>
          <w:spacing w:val="-6"/>
        </w:rPr>
        <w:t>封面（非实质性格式）</w:t>
      </w:r>
    </w:p>
    <w:p>
      <w:pPr>
        <w:pStyle w:val="3"/>
        <w:spacing w:before="352" w:line="196" w:lineRule="auto"/>
        <w:ind w:left="1819"/>
        <w:rPr>
          <w:rFonts w:hint="eastAsia"/>
          <w:b/>
          <w:bCs/>
          <w:spacing w:val="-8"/>
          <w:sz w:val="83"/>
          <w:szCs w:val="83"/>
        </w:rPr>
      </w:pPr>
    </w:p>
    <w:p>
      <w:pPr>
        <w:pStyle w:val="3"/>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3"/>
        <w:spacing w:before="134" w:line="205" w:lineRule="auto"/>
        <w:ind w:left="546"/>
        <w:rPr>
          <w:rFonts w:hint="eastAsia"/>
          <w:b/>
          <w:bCs/>
          <w:spacing w:val="-11"/>
        </w:rPr>
      </w:pPr>
    </w:p>
    <w:p>
      <w:pPr>
        <w:pStyle w:val="3"/>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3"/>
        <w:spacing w:before="134" w:line="205" w:lineRule="auto"/>
        <w:ind w:left="546"/>
        <w:rPr>
          <w:rFonts w:hint="eastAsia"/>
          <w:b/>
          <w:bCs/>
          <w:spacing w:val="-11"/>
        </w:rPr>
      </w:pPr>
    </w:p>
    <w:p>
      <w:pPr>
        <w:pStyle w:val="3"/>
        <w:spacing w:before="134" w:line="205" w:lineRule="auto"/>
        <w:ind w:left="546"/>
        <w:rPr>
          <w:rFonts w:hint="eastAsia"/>
          <w:b/>
          <w:bCs/>
          <w:spacing w:val="-11"/>
        </w:rPr>
      </w:pPr>
    </w:p>
    <w:p>
      <w:pPr>
        <w:pStyle w:val="3"/>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3"/>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3"/>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3"/>
        <w:spacing w:before="134" w:line="205" w:lineRule="auto"/>
        <w:ind w:left="1447"/>
        <w:rPr>
          <w:b/>
          <w:bCs/>
          <w:spacing w:val="34"/>
        </w:rPr>
      </w:pPr>
      <w:r>
        <w:rPr>
          <w:rFonts w:hint="eastAsia"/>
          <w:b/>
          <w:bCs/>
          <w:spacing w:val="34"/>
        </w:rPr>
        <w:t>通讯地址：</w:t>
      </w:r>
    </w:p>
    <w:p>
      <w:pPr>
        <w:pStyle w:val="3"/>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w:t>
      </w:r>
      <w:bookmarkStart w:id="808" w:name="OLE_LINK25"/>
      <w:r>
        <w:rPr>
          <w:b/>
          <w:bCs/>
          <w:color w:val="000000"/>
          <w:sz w:val="24"/>
          <w:szCs w:val="20"/>
        </w:rPr>
        <w:t>营业执照等证明文件</w:t>
      </w:r>
      <w:r>
        <w:rPr>
          <w:rFonts w:hint="eastAsia"/>
          <w:b/>
          <w:bCs/>
          <w:color w:val="000000"/>
          <w:sz w:val="24"/>
          <w:szCs w:val="20"/>
        </w:rPr>
        <w:t>（加盖公章）</w:t>
      </w:r>
      <w:bookmarkEnd w:id="808"/>
    </w:p>
    <w:p>
      <w:pPr>
        <w:pStyle w:val="8"/>
        <w:rPr>
          <w:rFonts w:ascii="Times New Roman"/>
          <w:b/>
          <w:bCs/>
          <w:color w:val="000000"/>
          <w:u w:val="none"/>
        </w:rPr>
      </w:pPr>
      <w:r>
        <w:rPr>
          <w:rFonts w:ascii="Times New Roman"/>
          <w:b/>
          <w:bCs/>
          <w:color w:val="000000"/>
          <w:u w:val="none"/>
        </w:rPr>
        <w:t xml:space="preserve">1-2 </w:t>
      </w:r>
      <w:bookmarkStart w:id="809" w:name="OLE_LINK14"/>
      <w:r>
        <w:rPr>
          <w:rFonts w:ascii="Times New Roman"/>
          <w:b/>
          <w:bCs/>
          <w:color w:val="000000"/>
          <w:u w:val="none"/>
        </w:rPr>
        <w:t>投标人资格声明书（实质性格式）</w:t>
      </w:r>
      <w:bookmarkEnd w:id="809"/>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5"/>
        </w:numPr>
        <w:spacing w:line="360" w:lineRule="auto"/>
        <w:ind w:left="1134"/>
        <w:rPr>
          <w:sz w:val="24"/>
          <w:szCs w:val="22"/>
        </w:rPr>
      </w:pPr>
      <w:r>
        <w:rPr>
          <w:sz w:val="24"/>
          <w:szCs w:val="22"/>
        </w:rPr>
        <w:t>具有良好的商业信誉和健全的财务会计制度；</w:t>
      </w:r>
    </w:p>
    <w:p>
      <w:pPr>
        <w:numPr>
          <w:ilvl w:val="0"/>
          <w:numId w:val="25"/>
        </w:numPr>
        <w:spacing w:line="360" w:lineRule="auto"/>
        <w:ind w:left="1134"/>
        <w:rPr>
          <w:sz w:val="24"/>
          <w:szCs w:val="22"/>
        </w:rPr>
      </w:pPr>
      <w:r>
        <w:rPr>
          <w:sz w:val="24"/>
          <w:szCs w:val="22"/>
        </w:rPr>
        <w:t>具有履行合同所必需的设备和专业技术能力；</w:t>
      </w:r>
    </w:p>
    <w:p>
      <w:pPr>
        <w:numPr>
          <w:ilvl w:val="0"/>
          <w:numId w:val="25"/>
        </w:numPr>
        <w:spacing w:line="360" w:lineRule="auto"/>
        <w:ind w:left="1134"/>
        <w:rPr>
          <w:sz w:val="24"/>
          <w:szCs w:val="22"/>
        </w:rPr>
      </w:pPr>
      <w:r>
        <w:rPr>
          <w:sz w:val="24"/>
          <w:szCs w:val="22"/>
        </w:rPr>
        <w:t>有依法缴纳税收和社会保障资金的良好记录；</w:t>
      </w:r>
    </w:p>
    <w:p>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3"/>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bookmarkStart w:id="810" w:name="OLE_LINK26"/>
      <w:r>
        <w:rPr>
          <w:b/>
          <w:bCs/>
          <w:color w:val="000000"/>
          <w:sz w:val="24"/>
          <w:szCs w:val="20"/>
        </w:rPr>
        <w:t>中小企业声明函</w:t>
      </w:r>
      <w:bookmarkEnd w:id="810"/>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3"/>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3"/>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3"/>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3"/>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3"/>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3"/>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3"/>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3"/>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3"/>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line="360" w:lineRule="auto"/>
        <w:rPr>
          <w:rFonts w:hint="eastAsia" w:ascii="宋体" w:hAnsi="宋体" w:cs="宋体"/>
          <w:sz w:val="24"/>
        </w:rPr>
        <w:sectPr>
          <w:footerReference r:id="rId14" w:type="default"/>
          <w:pgSz w:w="11907" w:h="16840"/>
          <w:pgMar w:top="1149" w:right="1060" w:bottom="1060" w:left="1593" w:header="875" w:footer="886" w:gutter="0"/>
          <w:pgNumType w:fmt="decimal"/>
          <w:cols w:space="720" w:num="1"/>
        </w:sectPr>
      </w:pP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3"/>
        <w:spacing w:before="308" w:line="201" w:lineRule="auto"/>
        <w:ind w:left="6"/>
        <w:outlineLvl w:val="1"/>
        <w:rPr>
          <w:rFonts w:hint="eastAsia" w:ascii="宋体" w:hAnsi="宋体" w:eastAsia="宋体" w:cs="宋体"/>
          <w:b/>
          <w:bCs/>
          <w:spacing w:val="24"/>
          <w:sz w:val="24"/>
          <w:szCs w:val="24"/>
        </w:rPr>
      </w:pPr>
      <w:bookmarkStart w:id="811" w:name="_Hlt520274121"/>
      <w:bookmarkEnd w:id="811"/>
      <w:bookmarkStart w:id="812" w:name="_Hlt520274407"/>
      <w:bookmarkEnd w:id="812"/>
      <w:bookmarkStart w:id="813" w:name="_Hlt520273711"/>
      <w:bookmarkEnd w:id="813"/>
      <w:bookmarkStart w:id="814" w:name="_Hlt520355504"/>
      <w:bookmarkEnd w:id="814"/>
      <w:bookmarkStart w:id="815" w:name="_Hlt520343392"/>
      <w:bookmarkEnd w:id="815"/>
      <w:bookmarkStart w:id="816" w:name="_Hlt520350918"/>
      <w:bookmarkEnd w:id="816"/>
      <w:bookmarkStart w:id="817" w:name="_Hlt520274393"/>
      <w:bookmarkEnd w:id="817"/>
      <w:bookmarkStart w:id="818" w:name="_Hlt520271212"/>
      <w:bookmarkEnd w:id="818"/>
      <w:bookmarkStart w:id="819" w:name="_Hlt520274065"/>
      <w:bookmarkEnd w:id="819"/>
      <w:bookmarkStart w:id="820" w:name="_Hlt520343000"/>
      <w:bookmarkEnd w:id="820"/>
      <w:bookmarkStart w:id="821" w:name="_Toc480942349"/>
      <w:bookmarkStart w:id="822" w:name="_Ref467988698"/>
      <w:bookmarkStart w:id="823" w:name="_Toc226337252"/>
      <w:bookmarkStart w:id="824" w:name="_Toc226965746"/>
      <w:bookmarkStart w:id="825" w:name="_Toc127151556"/>
      <w:bookmarkStart w:id="826" w:name="_Toc226309800"/>
      <w:bookmarkStart w:id="827" w:name="_Toc142311058"/>
      <w:bookmarkStart w:id="828" w:name="_Toc150480794"/>
      <w:bookmarkStart w:id="829" w:name="_Toc195842921"/>
      <w:bookmarkStart w:id="830" w:name="_Toc520356217"/>
      <w:bookmarkStart w:id="831" w:name="_Toc226965829"/>
      <w:bookmarkStart w:id="832" w:name="_Toc150774761"/>
    </w:p>
    <w:p>
      <w:pPr>
        <w:pStyle w:val="3"/>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3"/>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w:t>
      </w:r>
      <w:bookmarkStart w:id="833" w:name="OLE_LINK15"/>
      <w:r>
        <w:rPr>
          <w:rFonts w:hint="eastAsia" w:ascii="宋体" w:hAnsi="宋体" w:eastAsia="宋体" w:cs="宋体"/>
          <w:b/>
          <w:bCs/>
          <w:spacing w:val="-5"/>
          <w:sz w:val="24"/>
          <w:szCs w:val="24"/>
        </w:rPr>
        <w:t>封面</w:t>
      </w:r>
      <w:bookmarkEnd w:id="833"/>
      <w:r>
        <w:rPr>
          <w:rFonts w:hint="eastAsia" w:ascii="宋体" w:hAnsi="宋体" w:eastAsia="宋体" w:cs="宋体"/>
          <w:b/>
          <w:bCs/>
          <w:spacing w:val="-5"/>
          <w:sz w:val="24"/>
          <w:szCs w:val="24"/>
        </w:rPr>
        <w:t>（非实质性格式）</w:t>
      </w:r>
    </w:p>
    <w:p>
      <w:pPr>
        <w:pStyle w:val="3"/>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3"/>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3"/>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3"/>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3"/>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3"/>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5" w:type="default"/>
          <w:pgSz w:w="11907" w:h="16840"/>
          <w:pgMar w:top="1149" w:right="1133" w:bottom="1060" w:left="1701" w:header="875" w:footer="886" w:gutter="0"/>
          <w:pgNumType w:fmt="decimal" w:start="6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bookmarkStart w:id="834" w:name="OLE_LINK35"/>
      <w:r>
        <w:rPr>
          <w:b/>
          <w:bCs/>
          <w:color w:val="000000"/>
          <w:sz w:val="24"/>
        </w:rPr>
        <w:t>投标</w:t>
      </w:r>
      <w:bookmarkEnd w:id="821"/>
      <w:bookmarkEnd w:id="822"/>
      <w:r>
        <w:rPr>
          <w:b/>
          <w:bCs/>
          <w:color w:val="000000"/>
          <w:sz w:val="24"/>
        </w:rPr>
        <w:t>书</w:t>
      </w:r>
      <w:bookmarkEnd w:id="823"/>
      <w:bookmarkEnd w:id="824"/>
      <w:bookmarkEnd w:id="825"/>
      <w:bookmarkEnd w:id="826"/>
      <w:bookmarkEnd w:id="827"/>
      <w:bookmarkEnd w:id="828"/>
      <w:bookmarkEnd w:id="829"/>
      <w:bookmarkEnd w:id="830"/>
      <w:bookmarkEnd w:id="831"/>
      <w:bookmarkEnd w:id="832"/>
      <w:r>
        <w:rPr>
          <w:b/>
          <w:bCs/>
          <w:color w:val="000000"/>
          <w:sz w:val="24"/>
        </w:rPr>
        <w:t>（实质性格式）</w:t>
      </w:r>
      <w:bookmarkEnd w:id="834"/>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35" w:name="_Hlt520355938"/>
      <w:bookmarkEnd w:id="835"/>
      <w:bookmarkStart w:id="836" w:name="_Hlt520356243"/>
      <w:bookmarkEnd w:id="836"/>
      <w:bookmarkStart w:id="837" w:name="_Toc226337253"/>
      <w:bookmarkStart w:id="838" w:name="_Toc264969247"/>
      <w:bookmarkStart w:id="839" w:name="_Toc150480795"/>
      <w:bookmarkStart w:id="840" w:name="_Toc226309801"/>
      <w:bookmarkStart w:id="841" w:name="_Toc480942350"/>
      <w:bookmarkStart w:id="842" w:name="_Ref467988705"/>
      <w:bookmarkStart w:id="843" w:name="_Toc226965830"/>
      <w:bookmarkStart w:id="844" w:name="_Toc265228395"/>
      <w:bookmarkStart w:id="845" w:name="_Toc226965747"/>
      <w:bookmarkStart w:id="846" w:name="_Toc142311059"/>
      <w:bookmarkStart w:id="847" w:name="_Toc127151557"/>
      <w:bookmarkStart w:id="848" w:name="_Toc520356218"/>
      <w:bookmarkStart w:id="849" w:name="_Toc305158825"/>
      <w:bookmarkStart w:id="850" w:name="_Toc195842922"/>
      <w:bookmarkStart w:id="851" w:name="_Toc150774762"/>
      <w:bookmarkStart w:id="852" w:name="_Toc305158899"/>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3"/>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3"/>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3"/>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3"/>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3"/>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3"/>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3"/>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3"/>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3"/>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3"/>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3"/>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3"/>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3"/>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3"/>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3"/>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3"/>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3"/>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3"/>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3"/>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3"/>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3"/>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3"/>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3"/>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3"/>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3"/>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6"/>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3"/>
        <w:spacing w:before="307" w:line="196" w:lineRule="auto"/>
        <w:ind w:left="50"/>
        <w:outlineLvl w:val="1"/>
        <w:rPr>
          <w:rFonts w:hint="eastAsia" w:ascii="宋体" w:hAnsi="宋体" w:eastAsia="宋体" w:cs="宋体"/>
          <w:sz w:val="24"/>
          <w:szCs w:val="24"/>
        </w:rPr>
      </w:pPr>
    </w:p>
    <w:p>
      <w:pPr>
        <w:pStyle w:val="3"/>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3"/>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3"/>
        <w:spacing w:before="339" w:line="190" w:lineRule="auto"/>
        <w:rPr>
          <w:rFonts w:hint="eastAsia" w:ascii="宋体" w:hAnsi="宋体" w:eastAsia="宋体" w:cs="宋体"/>
          <w:sz w:val="25"/>
          <w:szCs w:val="25"/>
        </w:rPr>
      </w:pPr>
    </w:p>
    <w:p>
      <w:pPr>
        <w:pStyle w:val="3"/>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3"/>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7"/>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8"/>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8"/>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8"/>
              <w:autoSpaceDE w:val="0"/>
              <w:autoSpaceDN w:val="0"/>
              <w:rPr>
                <w:rFonts w:hint="eastAsia" w:ascii="宋体" w:hAnsi="宋体" w:eastAsia="宋体" w:cs="宋体"/>
              </w:rPr>
            </w:pPr>
          </w:p>
        </w:tc>
        <w:tc>
          <w:tcPr>
            <w:tcW w:w="3707" w:type="dxa"/>
            <w:vMerge w:val="continue"/>
            <w:tcBorders>
              <w:top w:val="nil"/>
            </w:tcBorders>
            <w:vAlign w:val="top"/>
          </w:tcPr>
          <w:p>
            <w:pPr>
              <w:pStyle w:val="268"/>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8"/>
              <w:autoSpaceDE w:val="0"/>
              <w:autoSpaceDN w:val="0"/>
              <w:rPr>
                <w:rFonts w:hint="eastAsia" w:ascii="宋体" w:hAnsi="宋体" w:eastAsia="宋体" w:cs="宋体"/>
              </w:rPr>
            </w:pPr>
          </w:p>
        </w:tc>
        <w:tc>
          <w:tcPr>
            <w:tcW w:w="3707" w:type="dxa"/>
            <w:vAlign w:val="top"/>
          </w:tcPr>
          <w:p>
            <w:pPr>
              <w:pStyle w:val="268"/>
              <w:autoSpaceDE w:val="0"/>
              <w:autoSpaceDN w:val="0"/>
              <w:rPr>
                <w:rFonts w:hint="eastAsia" w:ascii="宋体" w:hAnsi="宋体" w:eastAsia="宋体" w:cs="宋体"/>
              </w:rPr>
            </w:pPr>
          </w:p>
        </w:tc>
        <w:tc>
          <w:tcPr>
            <w:tcW w:w="1988" w:type="dxa"/>
            <w:vAlign w:val="top"/>
          </w:tcPr>
          <w:p>
            <w:pPr>
              <w:pStyle w:val="268"/>
              <w:autoSpaceDE w:val="0"/>
              <w:autoSpaceDN w:val="0"/>
              <w:rPr>
                <w:rFonts w:hint="eastAsia" w:ascii="宋体" w:hAnsi="宋体" w:eastAsia="宋体" w:cs="宋体"/>
              </w:rPr>
            </w:pPr>
          </w:p>
        </w:tc>
        <w:tc>
          <w:tcPr>
            <w:tcW w:w="1987" w:type="dxa"/>
            <w:vAlign w:val="top"/>
          </w:tcPr>
          <w:p>
            <w:pPr>
              <w:pStyle w:val="268"/>
              <w:autoSpaceDE w:val="0"/>
              <w:autoSpaceDN w:val="0"/>
              <w:rPr>
                <w:rFonts w:hint="eastAsia" w:ascii="宋体" w:hAnsi="宋体" w:eastAsia="宋体" w:cs="宋体"/>
              </w:rPr>
            </w:pPr>
          </w:p>
        </w:tc>
      </w:tr>
    </w:tbl>
    <w:p>
      <w:pPr>
        <w:pStyle w:val="3"/>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3"/>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3"/>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3"/>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Pr>
        <w:pStyle w:val="3"/>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3"/>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3"/>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3"/>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3"/>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7"/>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8"/>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8"/>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8"/>
              <w:autoSpaceDE w:val="0"/>
              <w:autoSpaceDN w:val="0"/>
              <w:rPr>
                <w:rFonts w:hint="eastAsia" w:ascii="宋体" w:hAnsi="宋体" w:eastAsia="宋体" w:cs="宋体"/>
              </w:rPr>
            </w:pP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8"/>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8"/>
              <w:autoSpaceDE w:val="0"/>
              <w:autoSpaceDN w:val="0"/>
              <w:rPr>
                <w:rFonts w:hint="eastAsia" w:ascii="宋体" w:hAnsi="宋体" w:eastAsia="宋体" w:cs="宋体"/>
              </w:rPr>
            </w:pP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8"/>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8"/>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3"/>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3"/>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3"/>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3"/>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3"/>
        <w:spacing w:before="307" w:line="196" w:lineRule="auto"/>
        <w:ind w:left="131"/>
        <w:rPr>
          <w:rFonts w:hint="eastAsia" w:ascii="宋体" w:hAnsi="宋体" w:eastAsia="宋体" w:cs="宋体"/>
          <w:sz w:val="24"/>
          <w:szCs w:val="24"/>
        </w:rPr>
      </w:pPr>
      <w:r>
        <w:rPr>
          <w:b/>
          <w:i/>
          <w:color w:val="FF0000"/>
          <w:sz w:val="24"/>
        </w:rPr>
        <w:br w:type="page"/>
      </w:r>
      <w:bookmarkStart w:id="853" w:name="_Toc226965752"/>
      <w:bookmarkStart w:id="854" w:name="_Toc127151562"/>
      <w:bookmarkStart w:id="855" w:name="_Toc226309806"/>
      <w:bookmarkStart w:id="856" w:name="_Toc226965835"/>
      <w:bookmarkStart w:id="857" w:name="_Toc142311062"/>
      <w:bookmarkStart w:id="858" w:name="_Toc305158904"/>
      <w:bookmarkStart w:id="859" w:name="_Toc305158830"/>
      <w:bookmarkStart w:id="860" w:name="_Toc265228400"/>
      <w:bookmarkStart w:id="861" w:name="_Toc226337258"/>
      <w:bookmarkStart w:id="862" w:name="_Toc195842927"/>
      <w:bookmarkStart w:id="863" w:name="_Toc150774765"/>
      <w:bookmarkStart w:id="864" w:name="_Toc264969252"/>
      <w:bookmarkStart w:id="865" w:name="_Toc150480798"/>
      <w:bookmarkStart w:id="866" w:name="_Toc142311061"/>
      <w:bookmarkStart w:id="867" w:name="_Toc195842926"/>
      <w:bookmarkStart w:id="868" w:name="_Toc226965751"/>
      <w:bookmarkStart w:id="869" w:name="_Toc127151561"/>
      <w:bookmarkStart w:id="870" w:name="_Toc305158903"/>
      <w:bookmarkStart w:id="871" w:name="_Toc265228399"/>
      <w:bookmarkStart w:id="872" w:name="_Toc226309805"/>
      <w:bookmarkStart w:id="873" w:name="_Toc305158829"/>
      <w:bookmarkStart w:id="874" w:name="_Toc150774764"/>
      <w:bookmarkStart w:id="875" w:name="_Toc264969251"/>
      <w:bookmarkStart w:id="876" w:name="_Toc226965834"/>
      <w:bookmarkStart w:id="877" w:name="_Toc226337257"/>
      <w:bookmarkStart w:id="878" w:name="_Toc150480797"/>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53"/>
      <w:bookmarkEnd w:id="854"/>
      <w:bookmarkEnd w:id="855"/>
      <w:bookmarkEnd w:id="856"/>
      <w:bookmarkEnd w:id="857"/>
      <w:bookmarkEnd w:id="858"/>
      <w:bookmarkEnd w:id="859"/>
      <w:bookmarkEnd w:id="860"/>
      <w:bookmarkEnd w:id="861"/>
      <w:bookmarkEnd w:id="862"/>
      <w:bookmarkEnd w:id="863"/>
      <w:bookmarkEnd w:id="864"/>
      <w:bookmarkEnd w:id="865"/>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3"/>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3"/>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8"/>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8"/>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bl>
    <w:p>
      <w:pPr>
        <w:pStyle w:val="3"/>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3"/>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8" w:type="default"/>
          <w:footerReference r:id="rId19" w:type="default"/>
          <w:pgSz w:w="11907" w:h="16840"/>
          <w:pgMar w:top="1149" w:right="1021" w:bottom="1060" w:left="1588" w:header="875" w:footer="886" w:gutter="0"/>
          <w:pgNumType w:fmt="decimal"/>
        </w:sectPr>
      </w:pPr>
    </w:p>
    <w:p>
      <w:pPr>
        <w:pStyle w:val="3"/>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66"/>
      <w:bookmarkEnd w:id="867"/>
      <w:bookmarkEnd w:id="868"/>
      <w:bookmarkEnd w:id="869"/>
      <w:bookmarkEnd w:id="870"/>
      <w:bookmarkEnd w:id="871"/>
      <w:bookmarkEnd w:id="872"/>
      <w:bookmarkEnd w:id="873"/>
      <w:bookmarkEnd w:id="874"/>
      <w:bookmarkEnd w:id="875"/>
      <w:bookmarkEnd w:id="876"/>
      <w:bookmarkEnd w:id="877"/>
      <w:bookmarkEnd w:id="878"/>
      <w:r>
        <w:rPr>
          <w:rFonts w:hint="eastAsia" w:ascii="宋体" w:hAnsi="宋体" w:eastAsia="宋体" w:cs="宋体"/>
          <w:b/>
          <w:bCs/>
          <w:sz w:val="24"/>
          <w:szCs w:val="24"/>
        </w:rPr>
        <w:t>采购需求偏离表（实质性格式）</w:t>
      </w:r>
    </w:p>
    <w:p>
      <w:pPr>
        <w:pStyle w:val="3"/>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3"/>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8"/>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3"/>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3"/>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3"/>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3"/>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3"/>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3"/>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bl>
    <w:p>
      <w:pPr>
        <w:pStyle w:val="3"/>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3"/>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3"/>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3"/>
        <w:spacing w:before="4" w:line="360" w:lineRule="auto"/>
        <w:rPr>
          <w:rFonts w:hint="eastAsia" w:cs="宋体"/>
          <w:spacing w:val="3"/>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 xml:space="preserve">2-8 </w:t>
      </w:r>
      <w:bookmarkStart w:id="879" w:name="OLE_LINK39"/>
      <w:r>
        <w:rPr>
          <w:rFonts w:hint="eastAsia" w:ascii="宋体" w:hAnsi="宋体" w:cs="宋体"/>
          <w:b/>
          <w:bCs/>
          <w:color w:val="auto"/>
          <w:sz w:val="24"/>
          <w:lang w:val="en-US" w:eastAsia="zh-CN"/>
        </w:rPr>
        <w:t>项目服务特点、难点分析及相应措施</w:t>
      </w:r>
      <w:bookmarkEnd w:id="879"/>
      <w:r>
        <w:rPr>
          <w:rFonts w:hint="eastAsia" w:ascii="宋体" w:hAnsi="宋体" w:cs="宋体"/>
          <w:b/>
          <w:bCs/>
          <w:color w:val="auto"/>
          <w:sz w:val="24"/>
          <w:lang w:val="en-US" w:eastAsia="zh-CN"/>
        </w:rPr>
        <w:t>（应答本招标文件第五章“采购需求”中的具体要求，参照评标标准，格式自拟）</w:t>
      </w:r>
    </w:p>
    <w:p>
      <w:pPr>
        <w:pStyle w:val="27"/>
        <w:rPr>
          <w:rFonts w:hint="eastAsia"/>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u w:val="single"/>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 针对本项目的重点工作方案（应答本招标文件第五章“采购需求”中的具体要求，参照评标标准，格式自拟）</w:t>
      </w:r>
    </w:p>
    <w:p>
      <w:pPr>
        <w:pStyle w:val="27"/>
        <w:rPr>
          <w:rFonts w:hint="eastAsia"/>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日常服务方案（应答本招标文件第五章“采购需求”中的具体要求，参照评标标准，格式自拟）</w:t>
      </w:r>
    </w:p>
    <w:p>
      <w:pPr>
        <w:pStyle w:val="27"/>
        <w:rPr>
          <w:rFonts w:hint="eastAsia"/>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 日常管理制度（应答本招标文件第五章“采购需求”中的具体要求，参照评标标准，格式自拟）</w:t>
      </w:r>
    </w:p>
    <w:p>
      <w:pPr>
        <w:pStyle w:val="27"/>
        <w:rPr>
          <w:rFonts w:hint="eastAsia"/>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应急预案（应答本招标文件第五章“采购需求”中的具体要求，参照评标标准，格式自拟）</w:t>
      </w:r>
    </w:p>
    <w:p>
      <w:pPr>
        <w:pStyle w:val="27"/>
        <w:rPr>
          <w:rFonts w:hint="eastAsia"/>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组织机构及人员配置（应答本招标文件第五章“采购需求”中的具体要求，参照评标标准，格式自拟）</w:t>
      </w:r>
    </w:p>
    <w:p>
      <w:pPr>
        <w:pStyle w:val="27"/>
        <w:rPr>
          <w:rFonts w:hint="eastAsia"/>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6"/>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项目经理（应答本招标文件第五章“采购需求”中的具体要求，参照评标标准，格式自拟）</w:t>
      </w:r>
    </w:p>
    <w:p>
      <w:pPr>
        <w:spacing w:line="360" w:lineRule="auto"/>
        <w:outlineLvl w:val="2"/>
        <w:rPr>
          <w:rFonts w:hint="eastAsia" w:ascii="宋体" w:hAnsi="宋体" w:cs="宋体"/>
          <w:b/>
          <w:bCs/>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 企业资质（应答本招标文件第五章“采购需求”中的具体要求，参照评标标准，格式自拟）</w:t>
      </w:r>
    </w:p>
    <w:p>
      <w:pPr>
        <w:pStyle w:val="27"/>
        <w:ind w:firstLine="1352" w:firstLineChars="0"/>
        <w:rPr>
          <w:rFonts w:hint="eastAsia"/>
          <w:color w:val="auto"/>
          <w:lang w:val="en-US" w:eastAsia="zh-CN"/>
        </w:rPr>
      </w:pPr>
    </w:p>
    <w:p>
      <w:pPr>
        <w:pStyle w:val="34"/>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2-16投标人业绩（证明材料需提供合同首页、甲方名称、服务内容、服务金额、合同签署页等关键页复印件，并加盖投标人公章）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3"/>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80" w:name="OLE_LINK18"/>
      <w:r>
        <w:rPr>
          <w:rFonts w:hint="eastAsia" w:ascii="宋体" w:hAnsi="宋体"/>
          <w:b/>
          <w:bCs/>
          <w:sz w:val="24"/>
          <w:szCs w:val="24"/>
          <w:lang w:val="en-US" w:eastAsia="zh-CN"/>
        </w:rPr>
        <w:t>17</w:t>
      </w:r>
      <w:bookmarkStart w:id="881" w:name="_GoBack"/>
      <w:r>
        <w:rPr>
          <w:rFonts w:hint="eastAsia" w:ascii="宋体" w:hAnsi="宋体"/>
          <w:b/>
          <w:bCs/>
          <w:sz w:val="24"/>
          <w:szCs w:val="24"/>
        </w:rPr>
        <w:t>投标人认为有必要提供的其他文件</w:t>
      </w:r>
      <w:bookmarkEnd w:id="881"/>
      <w:bookmarkEnd w:id="880"/>
    </w:p>
    <w:p>
      <w:pPr>
        <w:pStyle w:val="6"/>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6"/>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华文宋体">
    <w:altName w:val="宋体"/>
    <w:panose1 w:val="02010600040101010101"/>
    <w:charset w:val="00"/>
    <w:family w:val="auto"/>
    <w:pitch w:val="default"/>
    <w:sig w:usb0="00000000" w:usb1="00000000" w:usb2="00000010" w:usb3="00000000" w:csb0="0004009F" w:csb1="00000000"/>
  </w:font>
  <w:font w:name="Vrinda">
    <w:panose1 w:val="020B0502040204020203"/>
    <w:charset w:val="00"/>
    <w:family w:val="auto"/>
    <w:pitch w:val="default"/>
    <w:sig w:usb0="00010003" w:usb1="00000000" w:usb2="00000000" w:usb3="00000000" w:csb0="00000001" w:csb1="00000000"/>
  </w:font>
  <w:font w:name="方正剪纸简体">
    <w:altName w:val="宋体"/>
    <w:panose1 w:val="03000509000000000000"/>
    <w:charset w:val="86"/>
    <w:family w:val="auto"/>
    <w:pitch w:val="default"/>
    <w:sig w:usb0="00000000" w:usb1="00000000" w:usb2="00000000" w:usb3="00000000" w:csb0="00040000" w:csb1="00000000"/>
  </w:font>
  <w:font w:name="文鼎齿轮体">
    <w:altName w:val="宋体"/>
    <w:panose1 w:val="020B060201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font-weight : 700">
    <w:altName w:val="Segoe Print"/>
    <w:panose1 w:val="00000000000000000000"/>
    <w:charset w:val="00"/>
    <w:family w:val="auto"/>
    <w:pitch w:val="default"/>
    <w:sig w:usb0="00000000" w:usb1="00000000" w:usb2="00000000" w:usb3="00000000" w:csb0="00000000" w:csb1="00000000"/>
  </w:font>
  <w:font w:name="Heiti SC Light">
    <w:altName w:val="Calibri"/>
    <w:panose1 w:val="00000000000000000000"/>
    <w:charset w:val="50"/>
    <w:family w:val="auto"/>
    <w:pitch w:val="default"/>
    <w:sig w:usb0="00000000" w:usb1="00000000" w:usb2="00000010" w:usb3="00000000" w:csb0="003E0000" w:csb1="00000000"/>
  </w:font>
  <w:font w:name="Plotter">
    <w:altName w:val="Arial"/>
    <w:panose1 w:val="00000000000000000000"/>
    <w:charset w:val="00"/>
    <w:family w:val="roman"/>
    <w:pitch w:val="default"/>
    <w:sig w:usb0="00000000" w:usb1="00000000" w:usb2="BFF713E2" w:usb3="0000017F" w:csb0="BFE819E3" w:csb1="C29BE140"/>
  </w:font>
  <w:font w:name="Calibri">
    <w:panose1 w:val="020F0502020204030204"/>
    <w:charset w:val="50"/>
    <w:family w:val="auto"/>
    <w:pitch w:val="default"/>
    <w:sig w:usb0="E00002FF" w:usb1="4000ACFF" w:usb2="00000001" w:usb3="00000000" w:csb0="2000019F" w:csb1="00000000"/>
  </w:font>
  <w:font w:name="永中黑体">
    <w:altName w:val="黑体"/>
    <w:panose1 w:val="02010600030101010101"/>
    <w:charset w:val="86"/>
    <w:family w:val="auto"/>
    <w:pitch w:val="default"/>
    <w:sig w:usb0="00000000" w:usb1="00000000" w:usb2="00000010" w:usb3="00000000" w:csb0="00040000" w:csb1="00000000"/>
  </w:font>
  <w:font w:name="ËÎÌå">
    <w:altName w:val="Times New Roman"/>
    <w:panose1 w:val="00000000000000000000"/>
    <w:charset w:val="00"/>
    <w:family w:val="swiss"/>
    <w:pitch w:val="default"/>
    <w:sig w:usb0="00000000" w:usb1="00000000" w:usb2="00000000" w:usb3="00000000" w:csb0="00000001" w:csb1="00000000"/>
  </w:font>
  <w:font w:name="MS Sans Serif">
    <w:altName w:val="Arial"/>
    <w:panose1 w:val="00000000000000000000"/>
    <w:charset w:val="00"/>
    <w:family w:val="swiss"/>
    <w:pitch w:val="default"/>
    <w:sig w:usb0="00000000" w:usb1="00000000" w:usb2="00000000" w:usb3="00000000" w:csb0="00000001" w:csb1="00000000"/>
  </w:font>
  <w:font w:name="MS PMincho">
    <w:panose1 w:val="02020600040205080304"/>
    <w:charset w:val="80"/>
    <w:family w:val="auto"/>
    <w:pitch w:val="default"/>
    <w:sig w:usb0="E00002FF" w:usb1="6AC7FDFB" w:usb2="00000012" w:usb3="00000000" w:csb0="4002009F" w:csb1="DFD70000"/>
  </w:font>
  <w:font w:name="AMGDT">
    <w:altName w:val="HP Simplified Light"/>
    <w:panose1 w:val="02000400000000000000"/>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Aharoni">
    <w:panose1 w:val="02010803020104030203"/>
    <w:charset w:val="00"/>
    <w:family w:val="auto"/>
    <w:pitch w:val="default"/>
    <w:sig w:usb0="00000801" w:usb1="00000000" w:usb2="00000000" w:usb3="00000000" w:csb0="00000020" w:csb1="00200000"/>
  </w:font>
  <w:font w:name="Agency FB">
    <w:altName w:val="NumberOnly"/>
    <w:panose1 w:val="020B0503020202020204"/>
    <w:charset w:val="00"/>
    <w:family w:val="auto"/>
    <w:pitch w:val="default"/>
    <w:sig w:usb0="00000000" w:usb1="00000000" w:usb2="00000000" w:usb3="00000000" w:csb0="20000001" w:csb1="00000000"/>
  </w:font>
  <w:font w:name="Bernard MT Condensed">
    <w:altName w:val="Segoe Print"/>
    <w:panose1 w:val="02050806060905020404"/>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okman Old Style">
    <w:altName w:val="Segoe Print"/>
    <w:panose1 w:val="02050604050505020204"/>
    <w:charset w:val="00"/>
    <w:family w:val="auto"/>
    <w:pitch w:val="default"/>
    <w:sig w:usb0="00000000"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adley Hand ITC">
    <w:altName w:val="Mongolian Baiti"/>
    <w:panose1 w:val="03070402050302030203"/>
    <w:charset w:val="00"/>
    <w:family w:val="auto"/>
    <w:pitch w:val="default"/>
    <w:sig w:usb0="00000000" w:usb1="00000000" w:usb2="00000000" w:usb3="00000000" w:csb0="20000001" w:csb1="00000000"/>
  </w:font>
  <w:font w:name="Britannic Bold">
    <w:altName w:val="Segoe Print"/>
    <w:panose1 w:val="020B0903060703020204"/>
    <w:charset w:val="00"/>
    <w:family w:val="auto"/>
    <w:pitch w:val="default"/>
    <w:sig w:usb0="00000000"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Copperplate Gothic Light">
    <w:altName w:val="Segoe Print"/>
    <w:panose1 w:val="020E0507020206020404"/>
    <w:charset w:val="00"/>
    <w:family w:val="auto"/>
    <w:pitch w:val="default"/>
    <w:sig w:usb0="00000000" w:usb1="00000000" w:usb2="00000000" w:usb3="00000000" w:csb0="20000001" w:csb1="00000000"/>
  </w:font>
  <w:font w:name="Cordia New">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Baskerville Old Face">
    <w:altName w:val="Segoe Print"/>
    <w:panose1 w:val="02020602080505020303"/>
    <w:charset w:val="00"/>
    <w:family w:val="auto"/>
    <w:pitch w:val="default"/>
    <w:sig w:usb0="00000000"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dwardian Script ITC">
    <w:altName w:val="Mongolian Baiti"/>
    <w:panose1 w:val="030303020407070D0804"/>
    <w:charset w:val="00"/>
    <w:family w:val="auto"/>
    <w:pitch w:val="default"/>
    <w:sig w:usb0="00000000" w:usb1="00000000" w:usb2="00000000" w:usb3="00000000" w:csb0="20000001" w:csb1="00000000"/>
  </w:font>
  <w:font w:name="Eras Demi ITC">
    <w:altName w:val="Segoe Print"/>
    <w:panose1 w:val="020B0805030504020804"/>
    <w:charset w:val="00"/>
    <w:family w:val="auto"/>
    <w:pitch w:val="default"/>
    <w:sig w:usb0="00000000" w:usb1="00000000" w:usb2="00000000" w:usb3="00000000" w:csb0="20000001" w:csb1="00000000"/>
  </w:font>
  <w:font w:name="Eras Light ITC">
    <w:altName w:val="NumberOnly"/>
    <w:panose1 w:val="020B0402030504020804"/>
    <w:charset w:val="00"/>
    <w:family w:val="auto"/>
    <w:pitch w:val="default"/>
    <w:sig w:usb0="00000000" w:usb1="00000000" w:usb2="00000000" w:usb3="00000000" w:csb0="20000001" w:csb1="00000000"/>
  </w:font>
  <w:font w:name="Eras Medium ITC">
    <w:altName w:val="Segoe Print"/>
    <w:panose1 w:val="020B0602030504020804"/>
    <w:charset w:val="00"/>
    <w:family w:val="auto"/>
    <w:pitch w:val="default"/>
    <w:sig w:usb0="00000000"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elix Titling">
    <w:altName w:val="Gabriola"/>
    <w:panose1 w:val="04060505060202020A04"/>
    <w:charset w:val="00"/>
    <w:family w:val="auto"/>
    <w:pitch w:val="default"/>
    <w:sig w:usb0="00000000" w:usb1="00000000" w:usb2="00000000" w:usb3="00000000" w:csb0="20000001" w:csb1="00000000"/>
  </w:font>
  <w:font w:name="Forte">
    <w:altName w:val="Mongolian Baiti"/>
    <w:panose1 w:val="03060902040502070203"/>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Freestyle Script">
    <w:altName w:val="Mongolian Baiti"/>
    <w:panose1 w:val="030804020302050B04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oudy Stout">
    <w:altName w:val="Segoe Print"/>
    <w:panose1 w:val="0202090407030B020401"/>
    <w:charset w:val="00"/>
    <w:family w:val="auto"/>
    <w:pitch w:val="default"/>
    <w:sig w:usb0="00000000" w:usb1="00000000" w:usb2="00000000" w:usb3="00000000" w:csb0="20000001" w:csb1="00000000"/>
  </w:font>
  <w:font w:name="icomoon">
    <w:altName w:val="Segoe Print"/>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MoolBoran">
    <w:panose1 w:val="020B0100010101010101"/>
    <w:charset w:val="00"/>
    <w:family w:val="auto"/>
    <w:pitch w:val="default"/>
    <w:sig w:usb0="8000000F" w:usb1="0000204A" w:usb2="00010000" w:usb3="00000000" w:csb0="0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Papyrus">
    <w:altName w:val="Mongolian Baiti"/>
    <w:panose1 w:val="03070502060502030205"/>
    <w:charset w:val="00"/>
    <w:family w:val="auto"/>
    <w:pitch w:val="default"/>
    <w:sig w:usb0="00000000" w:usb1="00000000" w:usb2="00000000" w:usb3="00000000" w:csb0="20000001" w:csb1="00000000"/>
  </w:font>
  <w:font w:name="Utsaah">
    <w:panose1 w:val="020B0604020202020204"/>
    <w:charset w:val="00"/>
    <w:family w:val="auto"/>
    <w:pitch w:val="default"/>
    <w:sig w:usb0="00008003" w:usb1="00000000" w:usb2="00000000" w:usb3="00000000" w:csb0="00000001" w:csb1="00000000"/>
  </w:font>
  <w:font w:name="MS Reference Sans Serif">
    <w:altName w:val="Verdana"/>
    <w:panose1 w:val="020B0604030504040204"/>
    <w:charset w:val="00"/>
    <w:family w:val="auto"/>
    <w:pitch w:val="default"/>
    <w:sig w:usb0="00000000"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Malgun Gothic Semilight">
    <w:altName w:val="宋体"/>
    <w:panose1 w:val="020B0502040204020203"/>
    <w:charset w:val="86"/>
    <w:family w:val="auto"/>
    <w:pitch w:val="default"/>
    <w:sig w:usb0="00000000" w:usb1="00000000" w:usb2="00000012" w:usb3="00000000" w:csb0="203E01BD" w:csb1="D7FF0000"/>
  </w:font>
  <w:font w:name="WenQuanYi Micro Hei">
    <w:altName w:val="宋体"/>
    <w:panose1 w:val="020B0606030804020204"/>
    <w:charset w:val="86"/>
    <w:family w:val="auto"/>
    <w:pitch w:val="default"/>
    <w:sig w:usb0="00000000" w:usb1="00000000" w:usb2="00800036" w:usb3="00000000" w:csb0="603E019F" w:csb1="DFD70000"/>
  </w:font>
  <w:font w:name="CESI黑体-GB13000">
    <w:altName w:val="黑体"/>
    <w:panose1 w:val="02000500000000000000"/>
    <w:charset w:val="86"/>
    <w:family w:val="auto"/>
    <w:pitch w:val="default"/>
    <w:sig w:usb0="00000000" w:usb1="00000000" w:usb2="00000016" w:usb3="00000000" w:csb0="0004000F" w:csb1="00000000"/>
  </w:font>
  <w:font w:name="汉仪仿宋简">
    <w:altName w:val="仿宋"/>
    <w:panose1 w:val="02010600000101010101"/>
    <w:charset w:val="86"/>
    <w:family w:val="auto"/>
    <w:pitch w:val="default"/>
    <w:sig w:usb0="00000000" w:usb1="00000000" w:usb2="00000002" w:usb3="00000000" w:csb0="00040000" w:csb1="00000000"/>
  </w:font>
  <w:font w:name="汉仪中黑 197">
    <w:altName w:val="黑体"/>
    <w:panose1 w:val="00020600040101010101"/>
    <w:charset w:val="86"/>
    <w:family w:val="auto"/>
    <w:pitch w:val="default"/>
    <w:sig w:usb0="00000000" w:usb1="00000000" w:usb2="00000016" w:usb3="00000000" w:csb0="0004009F" w:csb1="00000000"/>
  </w:font>
  <w:font w:name="方正小标宋_GBK">
    <w:altName w:val="微软雅黑"/>
    <w:panose1 w:val="00000000000000000000"/>
    <w:charset w:val="00"/>
    <w:family w:val="auto"/>
    <w:pitch w:val="default"/>
    <w:sig w:usb0="00000000" w:usb1="00000000" w:usb2="00000000" w:usb3="00000000" w:csb0="00000000" w:csb1="00000000"/>
  </w:font>
  <w:font w:name="Juice ITC">
    <w:altName w:val="Gabriola"/>
    <w:panose1 w:val="04040403040A02020202"/>
    <w:charset w:val="00"/>
    <w:family w:val="auto"/>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Arial Black">
    <w:panose1 w:val="020B0A04020102020204"/>
    <w:charset w:val="00"/>
    <w:family w:val="auto"/>
    <w:pitch w:val="default"/>
    <w:sig w:usb0="00000287" w:usb1="00000000" w:usb2="00000000" w:usb3="00000000" w:csb0="2000009F" w:csb1="DFD70000"/>
  </w:font>
  <w:font w:name="Segoe UI Semibold">
    <w:panose1 w:val="020B0702040204020203"/>
    <w:charset w:val="00"/>
    <w:family w:val="auto"/>
    <w:pitch w:val="default"/>
    <w:sig w:usb0="E00002FF" w:usb1="4000A47B" w:usb2="00000001" w:usb3="00000000" w:csb0="2000019F" w:csb1="00000000"/>
  </w:font>
  <w:font w:name="HP Simplified Light">
    <w:panose1 w:val="020B0406020204020204"/>
    <w:charset w:val="00"/>
    <w:family w:val="auto"/>
    <w:pitch w:val="default"/>
    <w:sig w:usb0="A00000AF" w:usb1="5000205B"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cs="宋体"/>
        <w:bCs/>
      </w:rPr>
      <w:t>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6AA278"/>
    <w:multiLevelType w:val="singleLevel"/>
    <w:tmpl w:val="AC6AA278"/>
    <w:lvl w:ilvl="0" w:tentative="0">
      <w:start w:val="1"/>
      <w:numFmt w:val="decimal"/>
      <w:suff w:val="nothing"/>
      <w:lvlText w:val="%1．"/>
      <w:lvlJc w:val="left"/>
      <w:pPr>
        <w:ind w:left="0" w:firstLine="400"/>
      </w:pPr>
      <w:rPr>
        <w:rFonts w:hint="default"/>
      </w:rPr>
    </w:lvl>
  </w:abstractNum>
  <w:abstractNum w:abstractNumId="1">
    <w:nsid w:val="E3FE5EF5"/>
    <w:multiLevelType w:val="singleLevel"/>
    <w:tmpl w:val="E3FE5EF5"/>
    <w:lvl w:ilvl="0" w:tentative="0">
      <w:start w:val="1"/>
      <w:numFmt w:val="chineseCounting"/>
      <w:suff w:val="nothing"/>
      <w:lvlText w:val="%1、"/>
      <w:lvlJc w:val="left"/>
      <w:pPr>
        <w:ind w:left="0" w:firstLine="420"/>
      </w:pPr>
      <w:rPr>
        <w:rFonts w:hint="eastAsia"/>
      </w:rPr>
    </w:lvl>
  </w:abstractNum>
  <w:abstractNum w:abstractNumId="2">
    <w:nsid w:val="E6B49599"/>
    <w:multiLevelType w:val="singleLevel"/>
    <w:tmpl w:val="E6B49599"/>
    <w:lvl w:ilvl="0" w:tentative="0">
      <w:start w:val="1"/>
      <w:numFmt w:val="decimal"/>
      <w:lvlText w:val="%1."/>
      <w:lvlJc w:val="left"/>
      <w:pPr>
        <w:tabs>
          <w:tab w:val="left" w:pos="312"/>
        </w:tabs>
      </w:pPr>
    </w:lvl>
  </w:abstractNum>
  <w:abstractNum w:abstractNumId="3">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3"/>
    <w:multiLevelType w:val="multilevel"/>
    <w:tmpl w:val="00000003"/>
    <w:lvl w:ilvl="0" w:tentative="0">
      <w:start w:val="1"/>
      <w:numFmt w:val="decimal"/>
      <w:pStyle w:val="16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4"/>
    <w:multiLevelType w:val="multilevel"/>
    <w:tmpl w:val="00000004"/>
    <w:lvl w:ilvl="0" w:tentative="0">
      <w:start w:val="1"/>
      <w:numFmt w:val="lowerLetter"/>
      <w:pStyle w:val="23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05"/>
    <w:multiLevelType w:val="singleLevel"/>
    <w:tmpl w:val="00000005"/>
    <w:lvl w:ilvl="0" w:tentative="0">
      <w:start w:val="1"/>
      <w:numFmt w:val="decimal"/>
      <w:pStyle w:val="212"/>
      <w:lvlText w:val="%1."/>
      <w:lvlJc w:val="left"/>
      <w:pPr>
        <w:tabs>
          <w:tab w:val="left" w:pos="360"/>
        </w:tabs>
        <w:ind w:left="360" w:hanging="360"/>
      </w:pPr>
      <w:rPr>
        <w:rFonts w:hint="default"/>
      </w:rPr>
    </w:lvl>
  </w:abstractNum>
  <w:abstractNum w:abstractNumId="8">
    <w:nsid w:val="00000006"/>
    <w:multiLevelType w:val="multilevel"/>
    <w:tmpl w:val="00000006"/>
    <w:lvl w:ilvl="0" w:tentative="0">
      <w:start w:val="1"/>
      <w:numFmt w:val="decimal"/>
      <w:pStyle w:val="14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9">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9"/>
    <w:multiLevelType w:val="multilevel"/>
    <w:tmpl w:val="00000009"/>
    <w:lvl w:ilvl="0" w:tentative="0">
      <w:start w:val="1"/>
      <w:numFmt w:val="decimal"/>
      <w:pStyle w:val="2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B"/>
    <w:multiLevelType w:val="multilevel"/>
    <w:tmpl w:val="0000000B"/>
    <w:lvl w:ilvl="0" w:tentative="0">
      <w:start w:val="1"/>
      <w:numFmt w:val="decimal"/>
      <w:pStyle w:val="247"/>
      <w:lvlText w:val="%1"/>
      <w:lvlJc w:val="left"/>
      <w:pPr>
        <w:ind w:left="680" w:hanging="680"/>
      </w:pPr>
      <w:rPr>
        <w:rFonts w:hint="eastAsia" w:ascii="宋体" w:hAnsi="宋体" w:eastAsia="宋体"/>
      </w:rPr>
    </w:lvl>
    <w:lvl w:ilvl="1" w:tentative="0">
      <w:start w:val="1"/>
      <w:numFmt w:val="decimal"/>
      <w:pStyle w:val="203"/>
      <w:lvlText w:val="%1.%2"/>
      <w:lvlJc w:val="left"/>
      <w:pPr>
        <w:ind w:left="851" w:hanging="851"/>
      </w:pPr>
      <w:rPr>
        <w:rFonts w:hint="eastAsia" w:ascii="宋体" w:hAnsi="宋体" w:eastAsia="宋体"/>
        <w:color w:val="auto"/>
      </w:rPr>
    </w:lvl>
    <w:lvl w:ilvl="2" w:tentative="0">
      <w:start w:val="1"/>
      <w:numFmt w:val="decimal"/>
      <w:pStyle w:val="19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F2298E0"/>
    <w:multiLevelType w:val="singleLevel"/>
    <w:tmpl w:val="0F2298E0"/>
    <w:lvl w:ilvl="0" w:tentative="0">
      <w:start w:val="1"/>
      <w:numFmt w:val="decimal"/>
      <w:lvlText w:val="%1."/>
      <w:lvlJc w:val="left"/>
      <w:pPr>
        <w:tabs>
          <w:tab w:val="left" w:pos="312"/>
        </w:tabs>
      </w:pPr>
    </w:lvl>
  </w:abstractNum>
  <w:abstractNum w:abstractNumId="17">
    <w:nsid w:val="1A555FB1"/>
    <w:multiLevelType w:val="multilevel"/>
    <w:tmpl w:val="1A555FB1"/>
    <w:lvl w:ilvl="0" w:tentative="0">
      <w:start w:val="6"/>
      <w:numFmt w:val="japaneseCounting"/>
      <w:lvlText w:val="第%1章"/>
      <w:lvlJc w:val="left"/>
      <w:pPr>
        <w:tabs>
          <w:tab w:val="left" w:pos="1620"/>
        </w:tabs>
        <w:ind w:left="1620" w:hanging="120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20E23ABF"/>
    <w:multiLevelType w:val="multilevel"/>
    <w:tmpl w:val="20E23ABF"/>
    <w:lvl w:ilvl="0" w:tentative="0">
      <w:start w:val="1"/>
      <w:numFmt w:val="japaneseCounting"/>
      <w:lvlText w:val="第%1章"/>
      <w:lvlJc w:val="left"/>
      <w:pPr>
        <w:tabs>
          <w:tab w:val="left" w:pos="1200"/>
        </w:tabs>
        <w:ind w:left="1200" w:hanging="1200"/>
      </w:pPr>
      <w:rPr>
        <w:rFonts w:hint="default"/>
      </w:rPr>
    </w:lvl>
    <w:lvl w:ilvl="1" w:tentative="0">
      <w:start w:val="1"/>
      <w:numFmt w:val="decimal"/>
      <w:lvlText w:val="%2、"/>
      <w:lvlJc w:val="left"/>
      <w:pPr>
        <w:tabs>
          <w:tab w:val="left" w:pos="1140"/>
        </w:tabs>
        <w:ind w:left="1140" w:hanging="720"/>
      </w:pPr>
      <w:rPr>
        <w:rFonts w:hint="default"/>
      </w:rPr>
    </w:lvl>
    <w:lvl w:ilvl="2" w:tentative="0">
      <w:start w:val="8"/>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11B3BDC"/>
    <w:multiLevelType w:val="multilevel"/>
    <w:tmpl w:val="211B3BDC"/>
    <w:lvl w:ilvl="0" w:tentative="0">
      <w:start w:val="1"/>
      <w:numFmt w:val="japaneseCounting"/>
      <w:lvlText w:val="第%1条"/>
      <w:lvlJc w:val="left"/>
      <w:pPr>
        <w:tabs>
          <w:tab w:val="left" w:pos="1200"/>
        </w:tabs>
        <w:ind w:left="1200" w:hanging="120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18FE282"/>
    <w:multiLevelType w:val="singleLevel"/>
    <w:tmpl w:val="218FE282"/>
    <w:lvl w:ilvl="0" w:tentative="0">
      <w:start w:val="1"/>
      <w:numFmt w:val="decimal"/>
      <w:suff w:val="nothing"/>
      <w:lvlText w:val="%1、"/>
      <w:lvlJc w:val="left"/>
    </w:lvl>
  </w:abstractNum>
  <w:abstractNum w:abstractNumId="2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4A1189D9"/>
    <w:multiLevelType w:val="singleLevel"/>
    <w:tmpl w:val="4A1189D9"/>
    <w:lvl w:ilvl="0" w:tentative="0">
      <w:start w:val="1"/>
      <w:numFmt w:val="decimal"/>
      <w:lvlText w:val="%1."/>
      <w:lvlJc w:val="left"/>
      <w:pPr>
        <w:tabs>
          <w:tab w:val="left" w:pos="312"/>
        </w:tabs>
      </w:pPr>
    </w:lvl>
  </w:abstractNum>
  <w:abstractNum w:abstractNumId="23">
    <w:nsid w:val="51A1ADD9"/>
    <w:multiLevelType w:val="singleLevel"/>
    <w:tmpl w:val="51A1ADD9"/>
    <w:lvl w:ilvl="0" w:tentative="0">
      <w:start w:val="2"/>
      <w:numFmt w:val="decimal"/>
      <w:lvlText w:val="%1."/>
      <w:lvlJc w:val="left"/>
      <w:pPr>
        <w:tabs>
          <w:tab w:val="left" w:pos="312"/>
        </w:tabs>
      </w:pPr>
    </w:lvl>
  </w:abstractNum>
  <w:abstractNum w:abstractNumId="24">
    <w:nsid w:val="67A9C9FC"/>
    <w:multiLevelType w:val="singleLevel"/>
    <w:tmpl w:val="67A9C9FC"/>
    <w:lvl w:ilvl="0" w:tentative="0">
      <w:start w:val="5"/>
      <w:numFmt w:val="chineseCounting"/>
      <w:suff w:val="space"/>
      <w:lvlText w:val="第%1章"/>
      <w:lvlJc w:val="left"/>
    </w:lvl>
  </w:abstractNum>
  <w:num w:numId="1">
    <w:abstractNumId w:val="3"/>
  </w:num>
  <w:num w:numId="2">
    <w:abstractNumId w:val="8"/>
  </w:num>
  <w:num w:numId="3">
    <w:abstractNumId w:val="5"/>
  </w:num>
  <w:num w:numId="4">
    <w:abstractNumId w:val="9"/>
  </w:num>
  <w:num w:numId="5">
    <w:abstractNumId w:val="12"/>
  </w:num>
  <w:num w:numId="6">
    <w:abstractNumId w:val="11"/>
  </w:num>
  <w:num w:numId="7">
    <w:abstractNumId w:val="7"/>
  </w:num>
  <w:num w:numId="8">
    <w:abstractNumId w:val="6"/>
  </w:num>
  <w:num w:numId="9">
    <w:abstractNumId w:val="23"/>
  </w:num>
  <w:num w:numId="10">
    <w:abstractNumId w:val="10"/>
  </w:num>
  <w:num w:numId="11">
    <w:abstractNumId w:val="14"/>
  </w:num>
  <w:num w:numId="12">
    <w:abstractNumId w:val="4"/>
  </w:num>
  <w:num w:numId="13">
    <w:abstractNumId w:val="15"/>
  </w:num>
  <w:num w:numId="14">
    <w:abstractNumId w:val="13"/>
  </w:num>
  <w:num w:numId="15">
    <w:abstractNumId w:val="24"/>
  </w:num>
  <w:num w:numId="16">
    <w:abstractNumId w:val="1"/>
  </w:num>
  <w:num w:numId="17">
    <w:abstractNumId w:val="0"/>
  </w:num>
  <w:num w:numId="18">
    <w:abstractNumId w:val="16"/>
  </w:num>
  <w:num w:numId="19">
    <w:abstractNumId w:val="2"/>
  </w:num>
  <w:num w:numId="20">
    <w:abstractNumId w:val="22"/>
  </w:num>
  <w:num w:numId="21">
    <w:abstractNumId w:val="18"/>
  </w:num>
  <w:num w:numId="22">
    <w:abstractNumId w:val="19"/>
  </w:num>
  <w:num w:numId="23">
    <w:abstractNumId w:val="20"/>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93B28"/>
    <w:rsid w:val="01BA1597"/>
    <w:rsid w:val="01EC6D2C"/>
    <w:rsid w:val="02075AE8"/>
    <w:rsid w:val="0213766F"/>
    <w:rsid w:val="0219617A"/>
    <w:rsid w:val="02247C34"/>
    <w:rsid w:val="023C73FA"/>
    <w:rsid w:val="02407C3D"/>
    <w:rsid w:val="02784A54"/>
    <w:rsid w:val="027E331A"/>
    <w:rsid w:val="028B7BC0"/>
    <w:rsid w:val="02955F3C"/>
    <w:rsid w:val="02A05858"/>
    <w:rsid w:val="02B86CF0"/>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487961"/>
    <w:rsid w:val="074B14BF"/>
    <w:rsid w:val="074D537D"/>
    <w:rsid w:val="075F66B9"/>
    <w:rsid w:val="07640A8B"/>
    <w:rsid w:val="076D5A73"/>
    <w:rsid w:val="07773EA3"/>
    <w:rsid w:val="0791008B"/>
    <w:rsid w:val="07A75A3B"/>
    <w:rsid w:val="07AF3E24"/>
    <w:rsid w:val="07C561AF"/>
    <w:rsid w:val="080D0C27"/>
    <w:rsid w:val="088B467B"/>
    <w:rsid w:val="088D740E"/>
    <w:rsid w:val="088F2A71"/>
    <w:rsid w:val="089A5072"/>
    <w:rsid w:val="08A318F8"/>
    <w:rsid w:val="08BB742D"/>
    <w:rsid w:val="08BD61CC"/>
    <w:rsid w:val="09063EB5"/>
    <w:rsid w:val="090C75D1"/>
    <w:rsid w:val="092C1559"/>
    <w:rsid w:val="09334456"/>
    <w:rsid w:val="09403DEB"/>
    <w:rsid w:val="095262B0"/>
    <w:rsid w:val="09560B4F"/>
    <w:rsid w:val="09624E40"/>
    <w:rsid w:val="09865CBD"/>
    <w:rsid w:val="098705F9"/>
    <w:rsid w:val="09977FC2"/>
    <w:rsid w:val="099A6337"/>
    <w:rsid w:val="099E5AD3"/>
    <w:rsid w:val="09A83CDB"/>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F87DC5"/>
    <w:rsid w:val="0B23362B"/>
    <w:rsid w:val="0B33553F"/>
    <w:rsid w:val="0B4A6A27"/>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A45344"/>
    <w:rsid w:val="0DA94DDF"/>
    <w:rsid w:val="0DDD5ACC"/>
    <w:rsid w:val="0DEA00F9"/>
    <w:rsid w:val="0DEA4AFF"/>
    <w:rsid w:val="0E126B43"/>
    <w:rsid w:val="0E1B3B90"/>
    <w:rsid w:val="0E1D3535"/>
    <w:rsid w:val="0E3C14EB"/>
    <w:rsid w:val="0E694544"/>
    <w:rsid w:val="0E8A1321"/>
    <w:rsid w:val="0E8B4D12"/>
    <w:rsid w:val="0EC07B9C"/>
    <w:rsid w:val="0EC468EB"/>
    <w:rsid w:val="0F175A60"/>
    <w:rsid w:val="0F3C4F73"/>
    <w:rsid w:val="0F466078"/>
    <w:rsid w:val="0F69322C"/>
    <w:rsid w:val="0F757484"/>
    <w:rsid w:val="0F883043"/>
    <w:rsid w:val="0F9532BB"/>
    <w:rsid w:val="0FD74732"/>
    <w:rsid w:val="101000E7"/>
    <w:rsid w:val="101776F5"/>
    <w:rsid w:val="101E79CF"/>
    <w:rsid w:val="102C2ED2"/>
    <w:rsid w:val="103C24E8"/>
    <w:rsid w:val="104D5524"/>
    <w:rsid w:val="10671B95"/>
    <w:rsid w:val="106D206A"/>
    <w:rsid w:val="10A80300"/>
    <w:rsid w:val="10BB16B2"/>
    <w:rsid w:val="10C22A64"/>
    <w:rsid w:val="10DD43F1"/>
    <w:rsid w:val="10FE5A6B"/>
    <w:rsid w:val="1111262D"/>
    <w:rsid w:val="11121593"/>
    <w:rsid w:val="11151B4C"/>
    <w:rsid w:val="11391213"/>
    <w:rsid w:val="113D7DAC"/>
    <w:rsid w:val="11695CA6"/>
    <w:rsid w:val="116C22F2"/>
    <w:rsid w:val="11785937"/>
    <w:rsid w:val="11882ABC"/>
    <w:rsid w:val="11910661"/>
    <w:rsid w:val="119D7370"/>
    <w:rsid w:val="11A258DB"/>
    <w:rsid w:val="11AC41F9"/>
    <w:rsid w:val="120C1974"/>
    <w:rsid w:val="127D1437"/>
    <w:rsid w:val="127D7F3F"/>
    <w:rsid w:val="12935237"/>
    <w:rsid w:val="12B075EA"/>
    <w:rsid w:val="12B82A9A"/>
    <w:rsid w:val="12C50F63"/>
    <w:rsid w:val="12CC5537"/>
    <w:rsid w:val="12D15108"/>
    <w:rsid w:val="12D57A4B"/>
    <w:rsid w:val="12DB732A"/>
    <w:rsid w:val="12E6615B"/>
    <w:rsid w:val="12F1518C"/>
    <w:rsid w:val="1303182D"/>
    <w:rsid w:val="13437A0A"/>
    <w:rsid w:val="135E65D1"/>
    <w:rsid w:val="139E022A"/>
    <w:rsid w:val="13C823A6"/>
    <w:rsid w:val="13F61D29"/>
    <w:rsid w:val="13F87C86"/>
    <w:rsid w:val="14252271"/>
    <w:rsid w:val="14292642"/>
    <w:rsid w:val="14452377"/>
    <w:rsid w:val="144F5EDF"/>
    <w:rsid w:val="14583435"/>
    <w:rsid w:val="146E67DD"/>
    <w:rsid w:val="146F01F8"/>
    <w:rsid w:val="147F6568"/>
    <w:rsid w:val="148236C8"/>
    <w:rsid w:val="14994B06"/>
    <w:rsid w:val="14AD36C2"/>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1D2AE4"/>
    <w:rsid w:val="171E56A5"/>
    <w:rsid w:val="174159DC"/>
    <w:rsid w:val="174F63E6"/>
    <w:rsid w:val="17532BDD"/>
    <w:rsid w:val="177D3AC3"/>
    <w:rsid w:val="179C1733"/>
    <w:rsid w:val="17A05589"/>
    <w:rsid w:val="17CE4C98"/>
    <w:rsid w:val="17DB3A3E"/>
    <w:rsid w:val="17F93E0B"/>
    <w:rsid w:val="180F6647"/>
    <w:rsid w:val="181F080C"/>
    <w:rsid w:val="18296814"/>
    <w:rsid w:val="18316649"/>
    <w:rsid w:val="1836445A"/>
    <w:rsid w:val="18440A34"/>
    <w:rsid w:val="186F2CFF"/>
    <w:rsid w:val="187E06AC"/>
    <w:rsid w:val="188D49AD"/>
    <w:rsid w:val="188F5180"/>
    <w:rsid w:val="18950F62"/>
    <w:rsid w:val="18A1133F"/>
    <w:rsid w:val="18A81871"/>
    <w:rsid w:val="18C9511C"/>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64DD2"/>
    <w:rsid w:val="19E55A33"/>
    <w:rsid w:val="19E621A6"/>
    <w:rsid w:val="19E8295D"/>
    <w:rsid w:val="19F01C44"/>
    <w:rsid w:val="19F410AE"/>
    <w:rsid w:val="19F5491F"/>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315FFC"/>
    <w:rsid w:val="1B45409F"/>
    <w:rsid w:val="1B47366A"/>
    <w:rsid w:val="1B56247E"/>
    <w:rsid w:val="1B88172B"/>
    <w:rsid w:val="1B942642"/>
    <w:rsid w:val="1BB73841"/>
    <w:rsid w:val="1BC12AB7"/>
    <w:rsid w:val="1BDA29E3"/>
    <w:rsid w:val="1BE93E20"/>
    <w:rsid w:val="1BF24C8C"/>
    <w:rsid w:val="1BFC0E50"/>
    <w:rsid w:val="1C2D08BF"/>
    <w:rsid w:val="1C455CA5"/>
    <w:rsid w:val="1C5B51C0"/>
    <w:rsid w:val="1C5C0FA0"/>
    <w:rsid w:val="1C636073"/>
    <w:rsid w:val="1C7A4325"/>
    <w:rsid w:val="1C7E5485"/>
    <w:rsid w:val="1C801889"/>
    <w:rsid w:val="1C824727"/>
    <w:rsid w:val="1C9578B7"/>
    <w:rsid w:val="1CA142E5"/>
    <w:rsid w:val="1CA65601"/>
    <w:rsid w:val="1CA665FA"/>
    <w:rsid w:val="1CCC4623"/>
    <w:rsid w:val="1CEB1AD9"/>
    <w:rsid w:val="1CF1781E"/>
    <w:rsid w:val="1CFD30A0"/>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A4D1D"/>
    <w:rsid w:val="1E85097E"/>
    <w:rsid w:val="1EA25253"/>
    <w:rsid w:val="1EAF2087"/>
    <w:rsid w:val="1EDD1986"/>
    <w:rsid w:val="1EDE28A5"/>
    <w:rsid w:val="1EFA2F0E"/>
    <w:rsid w:val="1EFD6054"/>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451AB9"/>
    <w:rsid w:val="225873EA"/>
    <w:rsid w:val="22623DD5"/>
    <w:rsid w:val="226866BE"/>
    <w:rsid w:val="22A95ADE"/>
    <w:rsid w:val="22B17F9D"/>
    <w:rsid w:val="22BD5004"/>
    <w:rsid w:val="22BD7A0A"/>
    <w:rsid w:val="22D34058"/>
    <w:rsid w:val="22DA0C37"/>
    <w:rsid w:val="22E73498"/>
    <w:rsid w:val="231B032A"/>
    <w:rsid w:val="23320144"/>
    <w:rsid w:val="234A0787"/>
    <w:rsid w:val="23672B14"/>
    <w:rsid w:val="23937EB9"/>
    <w:rsid w:val="239B1CFD"/>
    <w:rsid w:val="239E00B4"/>
    <w:rsid w:val="23A128D5"/>
    <w:rsid w:val="23BD1996"/>
    <w:rsid w:val="23C76860"/>
    <w:rsid w:val="2409467A"/>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354088"/>
    <w:rsid w:val="26531EBA"/>
    <w:rsid w:val="267470F2"/>
    <w:rsid w:val="269445AB"/>
    <w:rsid w:val="26946331"/>
    <w:rsid w:val="26C6494B"/>
    <w:rsid w:val="26CD477E"/>
    <w:rsid w:val="26E637B8"/>
    <w:rsid w:val="26E92BCE"/>
    <w:rsid w:val="26F926C6"/>
    <w:rsid w:val="2702252D"/>
    <w:rsid w:val="272754B0"/>
    <w:rsid w:val="273E38C0"/>
    <w:rsid w:val="274D7FB9"/>
    <w:rsid w:val="275D3E2C"/>
    <w:rsid w:val="27843CE5"/>
    <w:rsid w:val="278D4CCB"/>
    <w:rsid w:val="27A23263"/>
    <w:rsid w:val="27A524F7"/>
    <w:rsid w:val="27CD1960"/>
    <w:rsid w:val="27DD47D4"/>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E1F01"/>
    <w:rsid w:val="28914BF0"/>
    <w:rsid w:val="28A658A4"/>
    <w:rsid w:val="28CC2370"/>
    <w:rsid w:val="291D6FB1"/>
    <w:rsid w:val="29244292"/>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843E9F"/>
    <w:rsid w:val="2AA607D0"/>
    <w:rsid w:val="2AB313EC"/>
    <w:rsid w:val="2ABE0260"/>
    <w:rsid w:val="2B0A6D2B"/>
    <w:rsid w:val="2B2E289C"/>
    <w:rsid w:val="2B3128A3"/>
    <w:rsid w:val="2B4324C3"/>
    <w:rsid w:val="2B4350B7"/>
    <w:rsid w:val="2B447DC8"/>
    <w:rsid w:val="2B6B0C83"/>
    <w:rsid w:val="2B794137"/>
    <w:rsid w:val="2B936AAC"/>
    <w:rsid w:val="2BAF5BD7"/>
    <w:rsid w:val="2BB87ACF"/>
    <w:rsid w:val="2BBA3899"/>
    <w:rsid w:val="2BCF4D78"/>
    <w:rsid w:val="2BD1105A"/>
    <w:rsid w:val="2BD64278"/>
    <w:rsid w:val="2BDF404C"/>
    <w:rsid w:val="2BE007A3"/>
    <w:rsid w:val="2C0A3257"/>
    <w:rsid w:val="2C0B7D36"/>
    <w:rsid w:val="2C0F3E54"/>
    <w:rsid w:val="2C144C72"/>
    <w:rsid w:val="2C6F45F1"/>
    <w:rsid w:val="2C771684"/>
    <w:rsid w:val="2C8033A6"/>
    <w:rsid w:val="2C843718"/>
    <w:rsid w:val="2C946733"/>
    <w:rsid w:val="2C9C223C"/>
    <w:rsid w:val="2CA7295B"/>
    <w:rsid w:val="2CAB7B7C"/>
    <w:rsid w:val="2D0A107E"/>
    <w:rsid w:val="2D26209C"/>
    <w:rsid w:val="2D3427F7"/>
    <w:rsid w:val="2D3F0882"/>
    <w:rsid w:val="2D477A33"/>
    <w:rsid w:val="2D615918"/>
    <w:rsid w:val="2D676EAB"/>
    <w:rsid w:val="2D701F55"/>
    <w:rsid w:val="2D755A31"/>
    <w:rsid w:val="2D965126"/>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F35FAE"/>
    <w:rsid w:val="2EFC0155"/>
    <w:rsid w:val="2EFD4C3D"/>
    <w:rsid w:val="2F151AED"/>
    <w:rsid w:val="2F1A23D7"/>
    <w:rsid w:val="2F347AF2"/>
    <w:rsid w:val="2F4252D7"/>
    <w:rsid w:val="2F6B6A2C"/>
    <w:rsid w:val="2FA5438A"/>
    <w:rsid w:val="2FCB4DE2"/>
    <w:rsid w:val="2FE26E16"/>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532902"/>
    <w:rsid w:val="315A1912"/>
    <w:rsid w:val="315B4E7D"/>
    <w:rsid w:val="31AF493B"/>
    <w:rsid w:val="31C76822"/>
    <w:rsid w:val="31C879FA"/>
    <w:rsid w:val="31D25CF7"/>
    <w:rsid w:val="323E7FB7"/>
    <w:rsid w:val="324A747F"/>
    <w:rsid w:val="326230C3"/>
    <w:rsid w:val="32755432"/>
    <w:rsid w:val="328732E2"/>
    <w:rsid w:val="32A82A82"/>
    <w:rsid w:val="32BA7A4E"/>
    <w:rsid w:val="32D06C7A"/>
    <w:rsid w:val="32EB653A"/>
    <w:rsid w:val="32FE1168"/>
    <w:rsid w:val="33137B52"/>
    <w:rsid w:val="331F336B"/>
    <w:rsid w:val="33206D52"/>
    <w:rsid w:val="33230A25"/>
    <w:rsid w:val="332A5582"/>
    <w:rsid w:val="332B7A03"/>
    <w:rsid w:val="332F7F90"/>
    <w:rsid w:val="33363A11"/>
    <w:rsid w:val="33431321"/>
    <w:rsid w:val="3358075B"/>
    <w:rsid w:val="337E53BD"/>
    <w:rsid w:val="3380771E"/>
    <w:rsid w:val="33CA4591"/>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17DD1"/>
    <w:rsid w:val="3502205A"/>
    <w:rsid w:val="35116EC1"/>
    <w:rsid w:val="35152803"/>
    <w:rsid w:val="35230DBE"/>
    <w:rsid w:val="353020EE"/>
    <w:rsid w:val="35344A5B"/>
    <w:rsid w:val="35583716"/>
    <w:rsid w:val="355E296A"/>
    <w:rsid w:val="357062FC"/>
    <w:rsid w:val="359623AB"/>
    <w:rsid w:val="35EA3D03"/>
    <w:rsid w:val="35FA0912"/>
    <w:rsid w:val="360C0924"/>
    <w:rsid w:val="36184DAF"/>
    <w:rsid w:val="364A0032"/>
    <w:rsid w:val="36565878"/>
    <w:rsid w:val="366660D2"/>
    <w:rsid w:val="36914AEF"/>
    <w:rsid w:val="369A7B88"/>
    <w:rsid w:val="36D111BC"/>
    <w:rsid w:val="36FA4495"/>
    <w:rsid w:val="37085C50"/>
    <w:rsid w:val="372B1537"/>
    <w:rsid w:val="373332CF"/>
    <w:rsid w:val="37575B1A"/>
    <w:rsid w:val="378400EB"/>
    <w:rsid w:val="378D3288"/>
    <w:rsid w:val="37B409D1"/>
    <w:rsid w:val="37B8105E"/>
    <w:rsid w:val="37CE1367"/>
    <w:rsid w:val="37D40D65"/>
    <w:rsid w:val="38024DBB"/>
    <w:rsid w:val="381468B7"/>
    <w:rsid w:val="383F3B2A"/>
    <w:rsid w:val="38447DD5"/>
    <w:rsid w:val="384509E7"/>
    <w:rsid w:val="384714AF"/>
    <w:rsid w:val="387E6487"/>
    <w:rsid w:val="38963B12"/>
    <w:rsid w:val="38A2244C"/>
    <w:rsid w:val="38AE142B"/>
    <w:rsid w:val="38AF2206"/>
    <w:rsid w:val="38BA547F"/>
    <w:rsid w:val="38F32A6B"/>
    <w:rsid w:val="390A23F6"/>
    <w:rsid w:val="390B1A3E"/>
    <w:rsid w:val="390F4D06"/>
    <w:rsid w:val="39287E14"/>
    <w:rsid w:val="39300B64"/>
    <w:rsid w:val="39506C85"/>
    <w:rsid w:val="39522CEE"/>
    <w:rsid w:val="39736CE6"/>
    <w:rsid w:val="39891433"/>
    <w:rsid w:val="398C14A2"/>
    <w:rsid w:val="398C1D20"/>
    <w:rsid w:val="39915CE9"/>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D468A"/>
    <w:rsid w:val="3CBA00A9"/>
    <w:rsid w:val="3CC45A9B"/>
    <w:rsid w:val="3CC64E47"/>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B12CF"/>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483EC4"/>
    <w:rsid w:val="405B4F03"/>
    <w:rsid w:val="406E36E7"/>
    <w:rsid w:val="40756541"/>
    <w:rsid w:val="40790E7C"/>
    <w:rsid w:val="408C6ACE"/>
    <w:rsid w:val="40905D53"/>
    <w:rsid w:val="40A74041"/>
    <w:rsid w:val="40B95A74"/>
    <w:rsid w:val="40C241E9"/>
    <w:rsid w:val="40C54216"/>
    <w:rsid w:val="40D32206"/>
    <w:rsid w:val="40D666ED"/>
    <w:rsid w:val="40E469C3"/>
    <w:rsid w:val="40F40F92"/>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B6323"/>
    <w:rsid w:val="424F28C9"/>
    <w:rsid w:val="4257123B"/>
    <w:rsid w:val="42792925"/>
    <w:rsid w:val="428E71B1"/>
    <w:rsid w:val="429D71A7"/>
    <w:rsid w:val="42AC4F07"/>
    <w:rsid w:val="42CD0A98"/>
    <w:rsid w:val="42D11C4A"/>
    <w:rsid w:val="42DB5F18"/>
    <w:rsid w:val="42E3773A"/>
    <w:rsid w:val="42EE2E8B"/>
    <w:rsid w:val="42EF6C5C"/>
    <w:rsid w:val="42F04E77"/>
    <w:rsid w:val="42F32C46"/>
    <w:rsid w:val="42F4617B"/>
    <w:rsid w:val="43041B85"/>
    <w:rsid w:val="43046F88"/>
    <w:rsid w:val="430A5A6F"/>
    <w:rsid w:val="431A0C09"/>
    <w:rsid w:val="432C3CF8"/>
    <w:rsid w:val="432D538E"/>
    <w:rsid w:val="433A79E6"/>
    <w:rsid w:val="43651C6B"/>
    <w:rsid w:val="43785872"/>
    <w:rsid w:val="437A0555"/>
    <w:rsid w:val="4386655F"/>
    <w:rsid w:val="439D51D3"/>
    <w:rsid w:val="439E64EE"/>
    <w:rsid w:val="43E00E8D"/>
    <w:rsid w:val="43FC44AD"/>
    <w:rsid w:val="440F7E52"/>
    <w:rsid w:val="4419312C"/>
    <w:rsid w:val="444563C3"/>
    <w:rsid w:val="44466D5C"/>
    <w:rsid w:val="444F47F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C9503B"/>
    <w:rsid w:val="45CE1555"/>
    <w:rsid w:val="45D14B1E"/>
    <w:rsid w:val="45D67652"/>
    <w:rsid w:val="45DE3938"/>
    <w:rsid w:val="45EA2E9B"/>
    <w:rsid w:val="45FB03C2"/>
    <w:rsid w:val="46024764"/>
    <w:rsid w:val="460C076A"/>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374A0"/>
    <w:rsid w:val="47F4371C"/>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C879AA"/>
    <w:rsid w:val="48D429F0"/>
    <w:rsid w:val="48D7126F"/>
    <w:rsid w:val="49056E3F"/>
    <w:rsid w:val="49186758"/>
    <w:rsid w:val="491968BB"/>
    <w:rsid w:val="49261829"/>
    <w:rsid w:val="493F7CE8"/>
    <w:rsid w:val="494746D7"/>
    <w:rsid w:val="499D7D74"/>
    <w:rsid w:val="49B12C22"/>
    <w:rsid w:val="49BC54BC"/>
    <w:rsid w:val="49BD5047"/>
    <w:rsid w:val="49E67CA4"/>
    <w:rsid w:val="4A023596"/>
    <w:rsid w:val="4A095A88"/>
    <w:rsid w:val="4A1A0E96"/>
    <w:rsid w:val="4A1A7836"/>
    <w:rsid w:val="4A286FFC"/>
    <w:rsid w:val="4A2A0775"/>
    <w:rsid w:val="4A365B51"/>
    <w:rsid w:val="4A441EE2"/>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65373A"/>
    <w:rsid w:val="4B692B44"/>
    <w:rsid w:val="4B961729"/>
    <w:rsid w:val="4BA245B2"/>
    <w:rsid w:val="4BBB5236"/>
    <w:rsid w:val="4BD90282"/>
    <w:rsid w:val="4BD92635"/>
    <w:rsid w:val="4BF959DF"/>
    <w:rsid w:val="4C3007E2"/>
    <w:rsid w:val="4C3F6C40"/>
    <w:rsid w:val="4C4115B7"/>
    <w:rsid w:val="4C47478B"/>
    <w:rsid w:val="4C5C5DF1"/>
    <w:rsid w:val="4C6E2D5E"/>
    <w:rsid w:val="4C6E3469"/>
    <w:rsid w:val="4C88300B"/>
    <w:rsid w:val="4C99554F"/>
    <w:rsid w:val="4CA94C8A"/>
    <w:rsid w:val="4CCD36B0"/>
    <w:rsid w:val="4CE81486"/>
    <w:rsid w:val="4CF800DB"/>
    <w:rsid w:val="4D00163A"/>
    <w:rsid w:val="4D014B5F"/>
    <w:rsid w:val="4D161D2F"/>
    <w:rsid w:val="4D201F5F"/>
    <w:rsid w:val="4D2836FD"/>
    <w:rsid w:val="4D316394"/>
    <w:rsid w:val="4D3F5DCB"/>
    <w:rsid w:val="4D4E5923"/>
    <w:rsid w:val="4D5231AE"/>
    <w:rsid w:val="4D574533"/>
    <w:rsid w:val="4D7A3746"/>
    <w:rsid w:val="4D7A386C"/>
    <w:rsid w:val="4DA06861"/>
    <w:rsid w:val="4DA31B3A"/>
    <w:rsid w:val="4DA81DB8"/>
    <w:rsid w:val="4DAC147B"/>
    <w:rsid w:val="4DAC4C20"/>
    <w:rsid w:val="4DAC7B44"/>
    <w:rsid w:val="4DCA162F"/>
    <w:rsid w:val="4DD761DF"/>
    <w:rsid w:val="4DE73505"/>
    <w:rsid w:val="4E0D56A6"/>
    <w:rsid w:val="4E1A2026"/>
    <w:rsid w:val="4E271B4B"/>
    <w:rsid w:val="4E2E65A0"/>
    <w:rsid w:val="4E585F4F"/>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657D3E"/>
    <w:rsid w:val="4FB2321B"/>
    <w:rsid w:val="4FBD294E"/>
    <w:rsid w:val="4FCE1F0F"/>
    <w:rsid w:val="4FD50C13"/>
    <w:rsid w:val="4FFD05E3"/>
    <w:rsid w:val="50002EC0"/>
    <w:rsid w:val="5006747C"/>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51692"/>
    <w:rsid w:val="512C6417"/>
    <w:rsid w:val="512D0896"/>
    <w:rsid w:val="513B4CCB"/>
    <w:rsid w:val="514A5BAA"/>
    <w:rsid w:val="514F2419"/>
    <w:rsid w:val="51534B57"/>
    <w:rsid w:val="518343A4"/>
    <w:rsid w:val="51A22799"/>
    <w:rsid w:val="51D558E3"/>
    <w:rsid w:val="51F507C7"/>
    <w:rsid w:val="520D1825"/>
    <w:rsid w:val="520D28CB"/>
    <w:rsid w:val="52387556"/>
    <w:rsid w:val="52422029"/>
    <w:rsid w:val="52692B44"/>
    <w:rsid w:val="52850E89"/>
    <w:rsid w:val="5287674D"/>
    <w:rsid w:val="528D5A59"/>
    <w:rsid w:val="528F0448"/>
    <w:rsid w:val="52A90ABB"/>
    <w:rsid w:val="52BF2F06"/>
    <w:rsid w:val="52EF06B7"/>
    <w:rsid w:val="53050700"/>
    <w:rsid w:val="53072EFC"/>
    <w:rsid w:val="53085DA3"/>
    <w:rsid w:val="530946C2"/>
    <w:rsid w:val="533019A3"/>
    <w:rsid w:val="53427DC1"/>
    <w:rsid w:val="53514712"/>
    <w:rsid w:val="535A1C7D"/>
    <w:rsid w:val="5362345D"/>
    <w:rsid w:val="539523B5"/>
    <w:rsid w:val="53AA5983"/>
    <w:rsid w:val="53B6216A"/>
    <w:rsid w:val="53BA15EE"/>
    <w:rsid w:val="53BA51A3"/>
    <w:rsid w:val="53D67491"/>
    <w:rsid w:val="54176117"/>
    <w:rsid w:val="54295B11"/>
    <w:rsid w:val="54342B03"/>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F052AE"/>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5858"/>
    <w:rsid w:val="58D43D55"/>
    <w:rsid w:val="591A07BD"/>
    <w:rsid w:val="591C4EF0"/>
    <w:rsid w:val="59270642"/>
    <w:rsid w:val="593A2EFB"/>
    <w:rsid w:val="593E2DE6"/>
    <w:rsid w:val="5947024E"/>
    <w:rsid w:val="594838CC"/>
    <w:rsid w:val="595256A3"/>
    <w:rsid w:val="59747B68"/>
    <w:rsid w:val="597A27BB"/>
    <w:rsid w:val="59B41138"/>
    <w:rsid w:val="59B817D3"/>
    <w:rsid w:val="59B917BB"/>
    <w:rsid w:val="59C80BA8"/>
    <w:rsid w:val="59CA253F"/>
    <w:rsid w:val="59D854EE"/>
    <w:rsid w:val="59E7575E"/>
    <w:rsid w:val="5A054892"/>
    <w:rsid w:val="5A40221B"/>
    <w:rsid w:val="5A575237"/>
    <w:rsid w:val="5A67615D"/>
    <w:rsid w:val="5A6C7DD0"/>
    <w:rsid w:val="5A937EE7"/>
    <w:rsid w:val="5AAD5478"/>
    <w:rsid w:val="5ADA7E9F"/>
    <w:rsid w:val="5AF02317"/>
    <w:rsid w:val="5AF404D0"/>
    <w:rsid w:val="5AFC295E"/>
    <w:rsid w:val="5B072087"/>
    <w:rsid w:val="5B0C3FED"/>
    <w:rsid w:val="5B207134"/>
    <w:rsid w:val="5B2C3564"/>
    <w:rsid w:val="5B33741B"/>
    <w:rsid w:val="5B5342E0"/>
    <w:rsid w:val="5B753B3D"/>
    <w:rsid w:val="5B7E437C"/>
    <w:rsid w:val="5B8A38F0"/>
    <w:rsid w:val="5B9E58D0"/>
    <w:rsid w:val="5BBD0E56"/>
    <w:rsid w:val="5BC85095"/>
    <w:rsid w:val="5BCF565C"/>
    <w:rsid w:val="5BD91F23"/>
    <w:rsid w:val="5BEA7E60"/>
    <w:rsid w:val="5BEC391E"/>
    <w:rsid w:val="5C26791E"/>
    <w:rsid w:val="5C3666D1"/>
    <w:rsid w:val="5C3A6E47"/>
    <w:rsid w:val="5C3D14CB"/>
    <w:rsid w:val="5C6744AE"/>
    <w:rsid w:val="5C8C1913"/>
    <w:rsid w:val="5CA53EA1"/>
    <w:rsid w:val="5CA84412"/>
    <w:rsid w:val="5CDC0A4A"/>
    <w:rsid w:val="5CDC24FB"/>
    <w:rsid w:val="5CDC2748"/>
    <w:rsid w:val="5CFB76F7"/>
    <w:rsid w:val="5D002A38"/>
    <w:rsid w:val="5D132224"/>
    <w:rsid w:val="5D197578"/>
    <w:rsid w:val="5D203439"/>
    <w:rsid w:val="5D533CCC"/>
    <w:rsid w:val="5D5B0C65"/>
    <w:rsid w:val="5D817D06"/>
    <w:rsid w:val="5D8B36D2"/>
    <w:rsid w:val="5DAC5D12"/>
    <w:rsid w:val="5DCC43DE"/>
    <w:rsid w:val="5E01126B"/>
    <w:rsid w:val="5E054297"/>
    <w:rsid w:val="5E094843"/>
    <w:rsid w:val="5E221FDB"/>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C655D5"/>
    <w:rsid w:val="5FE3429E"/>
    <w:rsid w:val="5FE6560C"/>
    <w:rsid w:val="5FEB07FE"/>
    <w:rsid w:val="5FF11F12"/>
    <w:rsid w:val="5FF34394"/>
    <w:rsid w:val="5FFD6CAD"/>
    <w:rsid w:val="60030D2D"/>
    <w:rsid w:val="600E600A"/>
    <w:rsid w:val="60165FE3"/>
    <w:rsid w:val="60234994"/>
    <w:rsid w:val="602C22E8"/>
    <w:rsid w:val="603A0438"/>
    <w:rsid w:val="603B0E5B"/>
    <w:rsid w:val="605134A3"/>
    <w:rsid w:val="606555E2"/>
    <w:rsid w:val="607B17DC"/>
    <w:rsid w:val="60951BFA"/>
    <w:rsid w:val="60AA1E64"/>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C420AA"/>
    <w:rsid w:val="63DC07E4"/>
    <w:rsid w:val="63DE721A"/>
    <w:rsid w:val="63FC0E86"/>
    <w:rsid w:val="6408617E"/>
    <w:rsid w:val="640D4C31"/>
    <w:rsid w:val="642E6305"/>
    <w:rsid w:val="645D57FE"/>
    <w:rsid w:val="647678DE"/>
    <w:rsid w:val="648641E4"/>
    <w:rsid w:val="648C03B9"/>
    <w:rsid w:val="649809F0"/>
    <w:rsid w:val="64B91C81"/>
    <w:rsid w:val="64EF37CB"/>
    <w:rsid w:val="64FB1EE5"/>
    <w:rsid w:val="64FC4534"/>
    <w:rsid w:val="65015CA4"/>
    <w:rsid w:val="65151085"/>
    <w:rsid w:val="653A5B3C"/>
    <w:rsid w:val="653D24B9"/>
    <w:rsid w:val="65501753"/>
    <w:rsid w:val="65792973"/>
    <w:rsid w:val="658B5F43"/>
    <w:rsid w:val="658E4649"/>
    <w:rsid w:val="65B3280B"/>
    <w:rsid w:val="65C12491"/>
    <w:rsid w:val="65DB692F"/>
    <w:rsid w:val="65F56774"/>
    <w:rsid w:val="66097669"/>
    <w:rsid w:val="660A0CF4"/>
    <w:rsid w:val="66114F6E"/>
    <w:rsid w:val="66343610"/>
    <w:rsid w:val="663E316D"/>
    <w:rsid w:val="66571090"/>
    <w:rsid w:val="666B488B"/>
    <w:rsid w:val="66722285"/>
    <w:rsid w:val="66807D1C"/>
    <w:rsid w:val="66A03A53"/>
    <w:rsid w:val="66C003C6"/>
    <w:rsid w:val="66E556EB"/>
    <w:rsid w:val="66E709DC"/>
    <w:rsid w:val="66FC2F4B"/>
    <w:rsid w:val="671169F6"/>
    <w:rsid w:val="673444EB"/>
    <w:rsid w:val="6760718F"/>
    <w:rsid w:val="67642DE5"/>
    <w:rsid w:val="67765D17"/>
    <w:rsid w:val="678F707E"/>
    <w:rsid w:val="67931AC7"/>
    <w:rsid w:val="679D655A"/>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F4C3D"/>
    <w:rsid w:val="68C03437"/>
    <w:rsid w:val="68D6247F"/>
    <w:rsid w:val="68EF0FB9"/>
    <w:rsid w:val="68EF7C43"/>
    <w:rsid w:val="68F34009"/>
    <w:rsid w:val="693055B6"/>
    <w:rsid w:val="69401190"/>
    <w:rsid w:val="694B2B30"/>
    <w:rsid w:val="69593D68"/>
    <w:rsid w:val="69601EB7"/>
    <w:rsid w:val="69616963"/>
    <w:rsid w:val="697F0AB7"/>
    <w:rsid w:val="69A212B1"/>
    <w:rsid w:val="69B049B6"/>
    <w:rsid w:val="69B61135"/>
    <w:rsid w:val="69E6482F"/>
    <w:rsid w:val="69EF4305"/>
    <w:rsid w:val="69F119F2"/>
    <w:rsid w:val="69F65AC8"/>
    <w:rsid w:val="6A0C030B"/>
    <w:rsid w:val="6A333D63"/>
    <w:rsid w:val="6A34275D"/>
    <w:rsid w:val="6A3C10D0"/>
    <w:rsid w:val="6A572F81"/>
    <w:rsid w:val="6A5E5B4C"/>
    <w:rsid w:val="6AA043E7"/>
    <w:rsid w:val="6ABE71D5"/>
    <w:rsid w:val="6ACF4D1C"/>
    <w:rsid w:val="6AFE7CEF"/>
    <w:rsid w:val="6B091296"/>
    <w:rsid w:val="6B0A032C"/>
    <w:rsid w:val="6B23014B"/>
    <w:rsid w:val="6B380680"/>
    <w:rsid w:val="6B7F0B25"/>
    <w:rsid w:val="6B9229B8"/>
    <w:rsid w:val="6B9B52DF"/>
    <w:rsid w:val="6BA514FF"/>
    <w:rsid w:val="6BA72CED"/>
    <w:rsid w:val="6BAB49D8"/>
    <w:rsid w:val="6BB55126"/>
    <w:rsid w:val="6BBA457F"/>
    <w:rsid w:val="6BFE5589"/>
    <w:rsid w:val="6C2639F4"/>
    <w:rsid w:val="6C475A1B"/>
    <w:rsid w:val="6C663101"/>
    <w:rsid w:val="6C7F3E43"/>
    <w:rsid w:val="6C886386"/>
    <w:rsid w:val="6CAA28BE"/>
    <w:rsid w:val="6CB71844"/>
    <w:rsid w:val="6CD24C88"/>
    <w:rsid w:val="6CD2794A"/>
    <w:rsid w:val="6CE434D3"/>
    <w:rsid w:val="6CE50DBE"/>
    <w:rsid w:val="6D201E5D"/>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8C05B8"/>
    <w:rsid w:val="70967BD2"/>
    <w:rsid w:val="70B202EE"/>
    <w:rsid w:val="70BD1796"/>
    <w:rsid w:val="70D62168"/>
    <w:rsid w:val="710A4D98"/>
    <w:rsid w:val="71520126"/>
    <w:rsid w:val="7155300E"/>
    <w:rsid w:val="71690349"/>
    <w:rsid w:val="71771DFB"/>
    <w:rsid w:val="718103D6"/>
    <w:rsid w:val="718363A9"/>
    <w:rsid w:val="71B03756"/>
    <w:rsid w:val="71CE695E"/>
    <w:rsid w:val="71D5478A"/>
    <w:rsid w:val="71E909FE"/>
    <w:rsid w:val="71EC1449"/>
    <w:rsid w:val="726B073D"/>
    <w:rsid w:val="7275311D"/>
    <w:rsid w:val="7290712F"/>
    <w:rsid w:val="72A2709C"/>
    <w:rsid w:val="72B703A7"/>
    <w:rsid w:val="72BB0BC2"/>
    <w:rsid w:val="72D07493"/>
    <w:rsid w:val="72DB77B8"/>
    <w:rsid w:val="72F02BB8"/>
    <w:rsid w:val="72F02FC4"/>
    <w:rsid w:val="72FA65EF"/>
    <w:rsid w:val="730D6E68"/>
    <w:rsid w:val="731B20C5"/>
    <w:rsid w:val="73217D81"/>
    <w:rsid w:val="73264530"/>
    <w:rsid w:val="73303B48"/>
    <w:rsid w:val="73385BDA"/>
    <w:rsid w:val="7339031E"/>
    <w:rsid w:val="734C3E90"/>
    <w:rsid w:val="735F56A3"/>
    <w:rsid w:val="736C295D"/>
    <w:rsid w:val="7372255D"/>
    <w:rsid w:val="73726AB9"/>
    <w:rsid w:val="739758A3"/>
    <w:rsid w:val="73981ECA"/>
    <w:rsid w:val="73A65D38"/>
    <w:rsid w:val="73B226AF"/>
    <w:rsid w:val="73B825D0"/>
    <w:rsid w:val="73D14512"/>
    <w:rsid w:val="73DA1969"/>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B23BC"/>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B40D16"/>
    <w:rsid w:val="76B840C8"/>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063418"/>
    <w:rsid w:val="78132C2A"/>
    <w:rsid w:val="781F71B9"/>
    <w:rsid w:val="78236589"/>
    <w:rsid w:val="784D1507"/>
    <w:rsid w:val="785452FC"/>
    <w:rsid w:val="78546305"/>
    <w:rsid w:val="785765ED"/>
    <w:rsid w:val="78730A90"/>
    <w:rsid w:val="78736288"/>
    <w:rsid w:val="78A07840"/>
    <w:rsid w:val="78B94D42"/>
    <w:rsid w:val="78C92406"/>
    <w:rsid w:val="78D13157"/>
    <w:rsid w:val="78E31D68"/>
    <w:rsid w:val="78E63E40"/>
    <w:rsid w:val="791F0C80"/>
    <w:rsid w:val="795F0AB5"/>
    <w:rsid w:val="7963225D"/>
    <w:rsid w:val="79661644"/>
    <w:rsid w:val="79717315"/>
    <w:rsid w:val="799D21E7"/>
    <w:rsid w:val="79AF4B70"/>
    <w:rsid w:val="79BC5BA5"/>
    <w:rsid w:val="7A0A362B"/>
    <w:rsid w:val="7A234864"/>
    <w:rsid w:val="7A355232"/>
    <w:rsid w:val="7A364AC1"/>
    <w:rsid w:val="7A412543"/>
    <w:rsid w:val="7A5306B9"/>
    <w:rsid w:val="7A575EE5"/>
    <w:rsid w:val="7A6561A4"/>
    <w:rsid w:val="7A6A0C2D"/>
    <w:rsid w:val="7A6A4576"/>
    <w:rsid w:val="7A7722CB"/>
    <w:rsid w:val="7A852C00"/>
    <w:rsid w:val="7A984DC3"/>
    <w:rsid w:val="7ABA18A5"/>
    <w:rsid w:val="7AC22D80"/>
    <w:rsid w:val="7AC8491B"/>
    <w:rsid w:val="7AEB7C21"/>
    <w:rsid w:val="7AF44D2F"/>
    <w:rsid w:val="7AF63015"/>
    <w:rsid w:val="7B3829B9"/>
    <w:rsid w:val="7B39698D"/>
    <w:rsid w:val="7B3B2804"/>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D285E5F"/>
    <w:rsid w:val="7D351857"/>
    <w:rsid w:val="7D524212"/>
    <w:rsid w:val="7D631D4C"/>
    <w:rsid w:val="7D6922A8"/>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D00C0B"/>
    <w:rsid w:val="7EDF0AD8"/>
    <w:rsid w:val="7F1E1221"/>
    <w:rsid w:val="7F483017"/>
    <w:rsid w:val="7F516C12"/>
    <w:rsid w:val="7F9108AC"/>
    <w:rsid w:val="7F97D7F2"/>
    <w:rsid w:val="7F997D4D"/>
    <w:rsid w:val="7FAE52D2"/>
    <w:rsid w:val="7FB7586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7"/>
    <w:link w:val="6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7"/>
    <w:link w:val="6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6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68"/>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6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70"/>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7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7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3"/>
    <w:qFormat/>
    <w:uiPriority w:val="0"/>
    <w:pPr>
      <w:tabs>
        <w:tab w:val="left" w:pos="567"/>
      </w:tabs>
      <w:spacing w:line="360" w:lineRule="auto"/>
      <w:ind w:firstLine="420" w:firstLineChars="100"/>
    </w:pPr>
    <w:rPr>
      <w:rFonts w:ascii="微软雅黑" w:hAnsi="微软雅黑" w:eastAsia="微软雅黑" w:cs="微软雅黑"/>
    </w:rPr>
  </w:style>
  <w:style w:type="paragraph" w:styleId="3">
    <w:name w:val="Body Text"/>
    <w:basedOn w:val="1"/>
    <w:next w:val="4"/>
    <w:link w:val="76"/>
    <w:qFormat/>
    <w:uiPriority w:val="0"/>
    <w:pPr>
      <w:tabs>
        <w:tab w:val="left" w:pos="567"/>
      </w:tabs>
      <w:spacing w:before="120" w:line="22" w:lineRule="atLeast"/>
    </w:pPr>
    <w:rPr>
      <w:rFonts w:ascii="宋体" w:hAnsi="宋体"/>
      <w:sz w:val="24"/>
    </w:rPr>
  </w:style>
  <w:style w:type="paragraph" w:customStyle="1" w:styleId="4">
    <w:name w:val="toc 11"/>
    <w:next w:val="1"/>
    <w:qFormat/>
    <w:uiPriority w:val="0"/>
    <w:pPr>
      <w:wordWrap w:val="0"/>
      <w:jc w:val="both"/>
    </w:pPr>
    <w:rPr>
      <w:rFonts w:ascii="Calibri" w:hAnsi="Calibri" w:eastAsia="宋体" w:cs="Times New Roman"/>
      <w:sz w:val="21"/>
      <w:szCs w:val="22"/>
      <w:lang w:val="en-US" w:eastAsia="zh-CN" w:bidi="ar-SA"/>
    </w:rPr>
  </w:style>
  <w:style w:type="paragraph" w:styleId="7">
    <w:name w:val="Normal Indent"/>
    <w:basedOn w:val="1"/>
    <w:next w:val="1"/>
    <w:link w:val="63"/>
    <w:qFormat/>
    <w:uiPriority w:val="0"/>
    <w:pPr>
      <w:autoSpaceDE w:val="0"/>
      <w:autoSpaceDN w:val="0"/>
      <w:adjustRightInd w:val="0"/>
      <w:ind w:firstLine="420"/>
      <w:jc w:val="left"/>
    </w:pPr>
    <w:rPr>
      <w:rFonts w:ascii="宋体"/>
      <w:sz w:val="24"/>
    </w:rPr>
  </w:style>
  <w:style w:type="paragraph" w:styleId="15">
    <w:name w:val="annotation subject"/>
    <w:basedOn w:val="16"/>
    <w:next w:val="16"/>
    <w:link w:val="87"/>
    <w:qFormat/>
    <w:uiPriority w:val="0"/>
    <w:rPr>
      <w:b/>
      <w:bCs/>
    </w:rPr>
  </w:style>
  <w:style w:type="paragraph" w:styleId="16">
    <w:name w:val="annotation text"/>
    <w:basedOn w:val="1"/>
    <w:link w:val="74"/>
    <w:qFormat/>
    <w:uiPriority w:val="0"/>
    <w:pPr>
      <w:jc w:val="left"/>
    </w:pPr>
  </w:style>
  <w:style w:type="paragraph" w:styleId="17">
    <w:name w:val="toc 7"/>
    <w:basedOn w:val="1"/>
    <w:next w:val="1"/>
    <w:qFormat/>
    <w:uiPriority w:val="0"/>
    <w:pPr>
      <w:ind w:left="2520" w:leftChars="1200"/>
    </w:p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3"/>
    <w:qFormat/>
    <w:uiPriority w:val="0"/>
    <w:pPr>
      <w:shd w:val="clear" w:color="auto" w:fill="000080"/>
    </w:pPr>
  </w:style>
  <w:style w:type="paragraph" w:styleId="20">
    <w:name w:val="Body Text 3"/>
    <w:basedOn w:val="1"/>
    <w:link w:val="75"/>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7"/>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8"/>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9"/>
    <w:qFormat/>
    <w:uiPriority w:val="0"/>
    <w:pPr>
      <w:ind w:left="100" w:leftChars="2500"/>
    </w:pPr>
    <w:rPr>
      <w:rFonts w:ascii="仿宋_GB2312" w:hAnsi="宋体" w:eastAsia="仿宋_GB2312"/>
      <w:color w:val="000000"/>
      <w:sz w:val="24"/>
    </w:rPr>
  </w:style>
  <w:style w:type="paragraph" w:styleId="31">
    <w:name w:val="Body Text Indent 2"/>
    <w:basedOn w:val="1"/>
    <w:link w:val="80"/>
    <w:qFormat/>
    <w:uiPriority w:val="0"/>
    <w:pPr>
      <w:ind w:firstLine="480" w:firstLineChars="200"/>
    </w:pPr>
    <w:rPr>
      <w:rFonts w:ascii="仿宋_GB2312" w:eastAsia="仿宋_GB2312"/>
      <w:sz w:val="24"/>
    </w:rPr>
  </w:style>
  <w:style w:type="paragraph" w:styleId="32">
    <w:name w:val="Balloon Text"/>
    <w:basedOn w:val="1"/>
    <w:link w:val="81"/>
    <w:qFormat/>
    <w:uiPriority w:val="0"/>
    <w:rPr>
      <w:sz w:val="18"/>
      <w:szCs w:val="18"/>
    </w:rPr>
  </w:style>
  <w:style w:type="paragraph" w:styleId="33">
    <w:name w:val="footer"/>
    <w:basedOn w:val="1"/>
    <w:link w:val="82"/>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2"/>
    <w:link w:val="88"/>
    <w:qFormat/>
    <w:uiPriority w:val="0"/>
    <w:pPr>
      <w:spacing w:after="120" w:line="480" w:lineRule="exact"/>
      <w:ind w:left="420" w:leftChars="200" w:firstLine="420" w:firstLineChars="200"/>
    </w:pPr>
  </w:style>
  <w:style w:type="paragraph" w:styleId="35">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6"/>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62">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63">
    <w:name w:val="正文缩进 字符"/>
    <w:link w:val="7"/>
    <w:qFormat/>
    <w:uiPriority w:val="0"/>
    <w:rPr>
      <w:rFonts w:ascii="宋体" w:hAnsi="Times New Roman" w:eastAsia="宋体" w:cs="Times New Roman"/>
      <w:kern w:val="2"/>
      <w:sz w:val="24"/>
      <w:szCs w:val="24"/>
      <w:lang w:val="en-US" w:eastAsia="zh-CN" w:bidi="ar-SA"/>
    </w:rPr>
  </w:style>
  <w:style w:type="character" w:customStyle="1" w:styleId="64">
    <w:name w:val="标题 1 字符"/>
    <w:link w:val="5"/>
    <w:qFormat/>
    <w:uiPriority w:val="0"/>
    <w:rPr>
      <w:rFonts w:ascii="宋体" w:hAnsi="Times New Roman" w:eastAsia="宋体" w:cs="Times New Roman"/>
      <w:b/>
      <w:kern w:val="44"/>
      <w:sz w:val="32"/>
    </w:rPr>
  </w:style>
  <w:style w:type="character" w:customStyle="1" w:styleId="65">
    <w:name w:val="标题 2 字符"/>
    <w:link w:val="6"/>
    <w:qFormat/>
    <w:uiPriority w:val="0"/>
    <w:rPr>
      <w:rFonts w:ascii="Arial" w:hAnsi="Arial" w:eastAsia="黑体" w:cs="Times New Roman"/>
      <w:b/>
      <w:sz w:val="30"/>
      <w:lang w:val="en-US" w:eastAsia="zh-CN" w:bidi="ar-SA"/>
    </w:rPr>
  </w:style>
  <w:style w:type="character" w:customStyle="1" w:styleId="66">
    <w:name w:val="标题 3 字符"/>
    <w:link w:val="8"/>
    <w:qFormat/>
    <w:uiPriority w:val="0"/>
    <w:rPr>
      <w:rFonts w:ascii="宋体" w:hAnsi="Times New Roman" w:eastAsia="宋体" w:cs="Times New Roman"/>
      <w:b/>
      <w:sz w:val="24"/>
      <w:u w:val="single"/>
      <w:lang w:val="en-US" w:eastAsia="zh-CN" w:bidi="ar-SA"/>
    </w:rPr>
  </w:style>
  <w:style w:type="character" w:customStyle="1" w:styleId="67">
    <w:name w:val="标题 4 字符"/>
    <w:link w:val="9"/>
    <w:qFormat/>
    <w:uiPriority w:val="0"/>
    <w:rPr>
      <w:rFonts w:ascii="Arial" w:hAnsi="Arial" w:eastAsia="黑体" w:cs="Times New Roman"/>
      <w:b/>
      <w:sz w:val="28"/>
    </w:rPr>
  </w:style>
  <w:style w:type="character" w:customStyle="1" w:styleId="68">
    <w:name w:val="标题 5 字符"/>
    <w:link w:val="10"/>
    <w:qFormat/>
    <w:uiPriority w:val="0"/>
    <w:rPr>
      <w:rFonts w:ascii="Times New Roman" w:hAnsi="Times New Roman" w:eastAsia="宋体" w:cs="Times New Roman"/>
      <w:b/>
      <w:sz w:val="28"/>
    </w:rPr>
  </w:style>
  <w:style w:type="character" w:customStyle="1" w:styleId="69">
    <w:name w:val="标题 6 字符"/>
    <w:link w:val="11"/>
    <w:qFormat/>
    <w:uiPriority w:val="0"/>
    <w:rPr>
      <w:rFonts w:ascii="Arial" w:hAnsi="Arial" w:eastAsia="黑体" w:cs="Times New Roman"/>
      <w:b/>
      <w:sz w:val="24"/>
    </w:rPr>
  </w:style>
  <w:style w:type="character" w:customStyle="1" w:styleId="70">
    <w:name w:val="标题 7 字符"/>
    <w:link w:val="12"/>
    <w:qFormat/>
    <w:uiPriority w:val="0"/>
    <w:rPr>
      <w:rFonts w:ascii="Times New Roman" w:hAnsi="Times New Roman" w:eastAsia="宋体" w:cs="Times New Roman"/>
      <w:b/>
      <w:sz w:val="24"/>
    </w:rPr>
  </w:style>
  <w:style w:type="character" w:customStyle="1" w:styleId="71">
    <w:name w:val="标题 8 字符"/>
    <w:link w:val="13"/>
    <w:qFormat/>
    <w:uiPriority w:val="0"/>
    <w:rPr>
      <w:rFonts w:ascii="Arial" w:hAnsi="Arial" w:eastAsia="黑体" w:cs="Times New Roman"/>
      <w:sz w:val="24"/>
    </w:rPr>
  </w:style>
  <w:style w:type="character" w:customStyle="1" w:styleId="72">
    <w:name w:val="标题 9 字符"/>
    <w:link w:val="14"/>
    <w:qFormat/>
    <w:uiPriority w:val="0"/>
    <w:rPr>
      <w:rFonts w:ascii="Arial" w:hAnsi="Arial" w:eastAsia="黑体" w:cs="Times New Roman"/>
      <w:sz w:val="21"/>
    </w:rPr>
  </w:style>
  <w:style w:type="character" w:customStyle="1" w:styleId="73">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4">
    <w:name w:val="批注文字 字符1"/>
    <w:link w:val="16"/>
    <w:qFormat/>
    <w:uiPriority w:val="0"/>
    <w:rPr>
      <w:rFonts w:ascii="Times New Roman" w:hAnsi="Times New Roman" w:eastAsia="宋体" w:cs="Times New Roman"/>
      <w:kern w:val="2"/>
      <w:sz w:val="21"/>
      <w:szCs w:val="24"/>
    </w:rPr>
  </w:style>
  <w:style w:type="character" w:customStyle="1" w:styleId="75">
    <w:name w:val="正文文本 3 字符"/>
    <w:link w:val="20"/>
    <w:qFormat/>
    <w:uiPriority w:val="0"/>
    <w:rPr>
      <w:rFonts w:ascii="Times New Roman" w:hAnsi="Times New Roman" w:eastAsia="宋体" w:cs="Times New Roman"/>
      <w:kern w:val="2"/>
      <w:sz w:val="16"/>
      <w:szCs w:val="16"/>
    </w:rPr>
  </w:style>
  <w:style w:type="character" w:customStyle="1" w:styleId="76">
    <w:name w:val="正文文本 字符"/>
    <w:link w:val="3"/>
    <w:qFormat/>
    <w:uiPriority w:val="0"/>
    <w:rPr>
      <w:rFonts w:ascii="宋体" w:hAnsi="宋体" w:eastAsia="宋体" w:cs="Times New Roman"/>
      <w:kern w:val="2"/>
      <w:sz w:val="24"/>
      <w:szCs w:val="24"/>
    </w:rPr>
  </w:style>
  <w:style w:type="character" w:customStyle="1" w:styleId="77">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8">
    <w:name w:val="纯文本 字符2"/>
    <w:link w:val="28"/>
    <w:qFormat/>
    <w:uiPriority w:val="0"/>
    <w:rPr>
      <w:rFonts w:hint="eastAsia" w:ascii="宋体" w:hAnsi="Courier New" w:eastAsia="宋体" w:cs="宋体"/>
      <w:kern w:val="2"/>
      <w:sz w:val="21"/>
    </w:rPr>
  </w:style>
  <w:style w:type="character" w:customStyle="1" w:styleId="79">
    <w:name w:val="日期 字符"/>
    <w:link w:val="30"/>
    <w:qFormat/>
    <w:uiPriority w:val="0"/>
    <w:rPr>
      <w:rFonts w:ascii="仿宋_GB2312" w:hAnsi="宋体" w:eastAsia="仿宋_GB2312" w:cs="Times New Roman"/>
      <w:color w:val="000000"/>
      <w:kern w:val="2"/>
      <w:sz w:val="24"/>
      <w:szCs w:val="24"/>
    </w:rPr>
  </w:style>
  <w:style w:type="character" w:customStyle="1" w:styleId="80">
    <w:name w:val="正文文本缩进 2 字符"/>
    <w:link w:val="31"/>
    <w:qFormat/>
    <w:uiPriority w:val="0"/>
    <w:rPr>
      <w:rFonts w:ascii="仿宋_GB2312" w:hAnsi="Times New Roman" w:eastAsia="仿宋_GB2312" w:cs="Times New Roman"/>
      <w:kern w:val="2"/>
      <w:sz w:val="24"/>
      <w:szCs w:val="24"/>
    </w:rPr>
  </w:style>
  <w:style w:type="character" w:customStyle="1" w:styleId="81">
    <w:name w:val="批注框文本 字符"/>
    <w:link w:val="32"/>
    <w:qFormat/>
    <w:uiPriority w:val="0"/>
    <w:rPr>
      <w:rFonts w:ascii="Times New Roman" w:hAnsi="Times New Roman" w:eastAsia="宋体" w:cs="Times New Roman"/>
      <w:kern w:val="2"/>
      <w:sz w:val="18"/>
      <w:szCs w:val="18"/>
    </w:rPr>
  </w:style>
  <w:style w:type="character" w:customStyle="1" w:styleId="82">
    <w:name w:val="页脚 字符"/>
    <w:link w:val="33"/>
    <w:qFormat/>
    <w:uiPriority w:val="0"/>
    <w:rPr>
      <w:rFonts w:ascii="宋体" w:hAnsi="Times New Roman" w:eastAsia="宋体" w:cs="Times New Roman"/>
      <w:sz w:val="18"/>
      <w:lang w:val="en-US" w:eastAsia="zh-CN" w:bidi="ar-SA"/>
    </w:rPr>
  </w:style>
  <w:style w:type="character" w:customStyle="1" w:styleId="83">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4">
    <w:name w:val="正文文本缩进 3 字符"/>
    <w:link w:val="39"/>
    <w:qFormat/>
    <w:uiPriority w:val="0"/>
    <w:rPr>
      <w:rFonts w:ascii="宋体" w:hAnsi="Times New Roman" w:eastAsia="宋体" w:cs="Times New Roman"/>
      <w:sz w:val="24"/>
    </w:rPr>
  </w:style>
  <w:style w:type="character" w:customStyle="1" w:styleId="85">
    <w:name w:val="HTML 预设格式 字符"/>
    <w:link w:val="43"/>
    <w:qFormat/>
    <w:uiPriority w:val="0"/>
    <w:rPr>
      <w:rFonts w:ascii="宋体" w:hAnsi="宋体" w:eastAsia="宋体" w:cs="宋体"/>
      <w:sz w:val="24"/>
      <w:szCs w:val="24"/>
    </w:rPr>
  </w:style>
  <w:style w:type="character" w:customStyle="1" w:styleId="86">
    <w:name w:val="标题 字符"/>
    <w:link w:val="46"/>
    <w:qFormat/>
    <w:uiPriority w:val="0"/>
    <w:rPr>
      <w:rFonts w:ascii="Times New Roman" w:hAnsi="Times New Roman" w:eastAsia="宋体" w:cs="Times New Roman"/>
      <w:b/>
      <w:kern w:val="2"/>
      <w:sz w:val="32"/>
    </w:rPr>
  </w:style>
  <w:style w:type="character" w:customStyle="1" w:styleId="87">
    <w:name w:val="批注主题 字符"/>
    <w:link w:val="15"/>
    <w:qFormat/>
    <w:uiPriority w:val="0"/>
    <w:rPr>
      <w:rFonts w:ascii="Times New Roman" w:hAnsi="Times New Roman" w:eastAsia="宋体" w:cs="Times New Roman"/>
      <w:b/>
      <w:bCs/>
      <w:kern w:val="2"/>
      <w:sz w:val="21"/>
      <w:szCs w:val="24"/>
      <w:lang w:val="en-US" w:eastAsia="zh-CN" w:bidi="ar-SA"/>
    </w:rPr>
  </w:style>
  <w:style w:type="character" w:customStyle="1" w:styleId="88">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9">
    <w:name w:val="普通文字1 Char1"/>
    <w:qFormat/>
    <w:uiPriority w:val="0"/>
    <w:rPr>
      <w:rFonts w:ascii="宋体" w:hAnsi="Courier New" w:eastAsia="宋体" w:cs="Times New Roman"/>
      <w:kern w:val="2"/>
      <w:sz w:val="21"/>
      <w:lang w:val="en-US" w:eastAsia="zh-CN" w:bidi="ar-SA"/>
    </w:rPr>
  </w:style>
  <w:style w:type="character" w:customStyle="1" w:styleId="90">
    <w:name w:val="正文缩进 Char Char"/>
    <w:link w:val="91"/>
    <w:qFormat/>
    <w:uiPriority w:val="0"/>
    <w:rPr>
      <w:rFonts w:ascii="宋体" w:hAnsi="Times New Roman" w:eastAsia="宋体" w:cs="Times New Roman"/>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3">
    <w:name w:val="title4"/>
    <w:qFormat/>
    <w:uiPriority w:val="0"/>
    <w:rPr>
      <w:rFonts w:ascii="Times New Roman" w:hAnsi="Times New Roman" w:eastAsia="宋体" w:cs="Times New Roman"/>
      <w:b/>
      <w:bCs/>
      <w:color w:val="1D87B3"/>
      <w:sz w:val="15"/>
      <w:szCs w:val="15"/>
    </w:rPr>
  </w:style>
  <w:style w:type="character" w:customStyle="1" w:styleId="94">
    <w:name w:val="标题 3 Char"/>
    <w:qFormat/>
    <w:uiPriority w:val="0"/>
    <w:rPr>
      <w:rFonts w:ascii="宋体" w:hAnsi="Times New Roman" w:eastAsia="宋体" w:cs="Times New Roman"/>
      <w:b/>
      <w:sz w:val="24"/>
      <w:u w:val="single"/>
      <w:lang w:val="en-US" w:eastAsia="zh-CN" w:bidi="ar-SA"/>
    </w:rPr>
  </w:style>
  <w:style w:type="character" w:customStyle="1" w:styleId="95">
    <w:name w:val="标题 Char"/>
    <w:qFormat/>
    <w:uiPriority w:val="0"/>
    <w:rPr>
      <w:rFonts w:ascii="Times New Roman" w:hAnsi="Times New Roman" w:eastAsia="宋体" w:cs="Times New Roman"/>
      <w:b/>
      <w:kern w:val="2"/>
      <w:sz w:val="32"/>
    </w:rPr>
  </w:style>
  <w:style w:type="character" w:customStyle="1" w:styleId="96">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7">
    <w:name w:val="段1 Char"/>
    <w:qFormat/>
    <w:uiPriority w:val="0"/>
    <w:rPr>
      <w:rFonts w:ascii="宋体" w:hAnsi="Times New Roman" w:eastAsia="宋体" w:cs="Times New Roman"/>
      <w:sz w:val="24"/>
      <w:lang w:val="en-US" w:eastAsia="zh-CN" w:bidi="ar-SA"/>
    </w:rPr>
  </w:style>
  <w:style w:type="character" w:customStyle="1" w:styleId="98">
    <w:name w:val="正文大标题 Char"/>
    <w:link w:val="99"/>
    <w:qFormat/>
    <w:uiPriority w:val="0"/>
    <w:rPr>
      <w:rFonts w:ascii="宋体" w:hAnsi="宋体" w:eastAsia="宋体" w:cs="Times New Roman"/>
      <w:b/>
      <w:color w:val="000000"/>
      <w:kern w:val="2"/>
      <w:sz w:val="28"/>
      <w:szCs w:val="21"/>
    </w:rPr>
  </w:style>
  <w:style w:type="paragraph" w:customStyle="1" w:styleId="99">
    <w:name w:val="正文大标题"/>
    <w:basedOn w:val="100"/>
    <w:next w:val="7"/>
    <w:link w:val="98"/>
    <w:qFormat/>
    <w:uiPriority w:val="0"/>
    <w:pPr>
      <w:jc w:val="center"/>
    </w:pPr>
    <w:rPr>
      <w:i w:val="0"/>
      <w:color w:val="000000"/>
      <w:sz w:val="28"/>
      <w:szCs w:val="21"/>
    </w:rPr>
  </w:style>
  <w:style w:type="paragraph" w:customStyle="1" w:styleId="100">
    <w:name w:val="正文小标题"/>
    <w:basedOn w:val="1"/>
    <w:next w:val="7"/>
    <w:link w:val="10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1">
    <w:name w:val="正文小标题 Char"/>
    <w:link w:val="100"/>
    <w:qFormat/>
    <w:uiPriority w:val="0"/>
    <w:rPr>
      <w:rFonts w:ascii="宋体" w:hAnsi="宋体" w:eastAsia="宋体" w:cs="Times New Roman"/>
      <w:b/>
      <w:i/>
      <w:color w:val="FF0000"/>
      <w:kern w:val="2"/>
      <w:sz w:val="24"/>
    </w:rPr>
  </w:style>
  <w:style w:type="character" w:customStyle="1" w:styleId="102">
    <w:name w:val="c21"/>
    <w:qFormat/>
    <w:uiPriority w:val="0"/>
    <w:rPr>
      <w:rFonts w:hint="default" w:ascii="ˎ̥" w:hAnsi="ˎ̥" w:eastAsia="宋体" w:cs="Times New Roman"/>
      <w:color w:val="000000"/>
      <w:sz w:val="20"/>
      <w:szCs w:val="20"/>
      <w:u w:val="none"/>
    </w:rPr>
  </w:style>
  <w:style w:type="character" w:customStyle="1" w:styleId="103">
    <w:name w:val="标题 2 Char Char"/>
    <w:qFormat/>
    <w:uiPriority w:val="0"/>
    <w:rPr>
      <w:rFonts w:ascii="Arial" w:hAnsi="Arial" w:eastAsia="黑体" w:cs="Times New Roman"/>
      <w:b/>
      <w:bCs/>
      <w:kern w:val="2"/>
      <w:sz w:val="32"/>
      <w:szCs w:val="32"/>
      <w:lang w:val="en-US" w:eastAsia="zh-CN" w:bidi="ar-SA"/>
    </w:rPr>
  </w:style>
  <w:style w:type="character" w:customStyle="1" w:styleId="104">
    <w:name w:val="black1"/>
    <w:qFormat/>
    <w:uiPriority w:val="0"/>
    <w:rPr>
      <w:rFonts w:ascii="Times New Roman" w:hAnsi="Times New Roman" w:eastAsia="宋体" w:cs="Times New Roman"/>
      <w:color w:val="000000"/>
    </w:rPr>
  </w:style>
  <w:style w:type="character" w:customStyle="1" w:styleId="105">
    <w:name w:val="列表段落 字符"/>
    <w:link w:val="106"/>
    <w:qFormat/>
    <w:uiPriority w:val="0"/>
    <w:rPr>
      <w:rFonts w:ascii="Calibri" w:hAnsi="Calibri" w:eastAsia="宋体" w:cs="Times New Roman"/>
      <w:kern w:val="2"/>
      <w:sz w:val="21"/>
      <w:szCs w:val="22"/>
      <w:lang w:val="en-US" w:eastAsia="zh-CN" w:bidi="ar-SA"/>
    </w:rPr>
  </w:style>
  <w:style w:type="paragraph" w:customStyle="1" w:styleId="106">
    <w:name w:val="List Paragraph"/>
    <w:basedOn w:val="1"/>
    <w:link w:val="105"/>
    <w:qFormat/>
    <w:uiPriority w:val="0"/>
    <w:pPr>
      <w:ind w:firstLine="420" w:firstLineChars="200"/>
    </w:pPr>
    <w:rPr>
      <w:rFonts w:ascii="Calibri" w:hAnsi="Calibri"/>
      <w:szCs w:val="22"/>
    </w:rPr>
  </w:style>
  <w:style w:type="character" w:customStyle="1" w:styleId="107">
    <w:name w:val="bjh-p"/>
    <w:qFormat/>
    <w:uiPriority w:val="0"/>
    <w:rPr>
      <w:rFonts w:ascii="Times New Roman" w:hAnsi="Times New Roman" w:eastAsia="宋体" w:cs="Times New Roman"/>
    </w:rPr>
  </w:style>
  <w:style w:type="character" w:customStyle="1" w:styleId="108">
    <w:name w:val="正文重点 Char"/>
    <w:link w:val="109"/>
    <w:qFormat/>
    <w:uiPriority w:val="0"/>
    <w:rPr>
      <w:rFonts w:ascii="Times New Roman" w:hAnsi="Times New Roman" w:eastAsia="宋体" w:cs="Times New Roman"/>
      <w:b/>
      <w:sz w:val="24"/>
    </w:rPr>
  </w:style>
  <w:style w:type="paragraph" w:customStyle="1" w:styleId="109">
    <w:name w:val="正文重点"/>
    <w:basedOn w:val="1"/>
    <w:link w:val="108"/>
    <w:qFormat/>
    <w:uiPriority w:val="0"/>
    <w:pPr>
      <w:adjustRightInd w:val="0"/>
      <w:spacing w:line="360" w:lineRule="auto"/>
      <w:ind w:firstLine="482" w:firstLineChars="200"/>
      <w:jc w:val="left"/>
      <w:textAlignment w:val="baseline"/>
    </w:pPr>
    <w:rPr>
      <w:b/>
      <w:kern w:val="0"/>
      <w:sz w:val="24"/>
      <w:szCs w:val="20"/>
    </w:rPr>
  </w:style>
  <w:style w:type="character" w:customStyle="1" w:styleId="110">
    <w:name w:val="chanpin1"/>
    <w:qFormat/>
    <w:uiPriority w:val="0"/>
    <w:rPr>
      <w:rFonts w:hint="default" w:ascii="ˎ̥" w:hAnsi="ˎ̥" w:eastAsia="宋体" w:cs="Times New Roman"/>
      <w:color w:val="000000"/>
      <w:sz w:val="20"/>
      <w:szCs w:val="20"/>
      <w:u w:val="none"/>
    </w:rPr>
  </w:style>
  <w:style w:type="character" w:customStyle="1" w:styleId="111">
    <w:name w:val="纯文本 字符"/>
    <w:qFormat/>
    <w:uiPriority w:val="0"/>
    <w:rPr>
      <w:rFonts w:ascii="宋体" w:hAnsi="Courier New" w:eastAsia="宋体" w:cs="Times New Roman"/>
      <w:kern w:val="2"/>
      <w:sz w:val="21"/>
      <w:szCs w:val="21"/>
      <w:lang w:val="en-US" w:eastAsia="zh-CN" w:bidi="ar-SA"/>
    </w:rPr>
  </w:style>
  <w:style w:type="character" w:customStyle="1" w:styleId="112">
    <w:name w:val="列出段落 Char"/>
    <w:qFormat/>
    <w:uiPriority w:val="0"/>
    <w:rPr>
      <w:rFonts w:ascii="Calibri" w:hAnsi="Calibri" w:eastAsia="宋体" w:cs="Times New Roman"/>
      <w:kern w:val="2"/>
      <w:sz w:val="21"/>
      <w:szCs w:val="22"/>
      <w:lang w:val="en-US" w:eastAsia="zh-CN" w:bidi="ar-SA"/>
    </w:rPr>
  </w:style>
  <w:style w:type="character" w:customStyle="1" w:styleId="113">
    <w:name w:val="纯文本 字符1"/>
    <w:qFormat/>
    <w:uiPriority w:val="0"/>
    <w:rPr>
      <w:rFonts w:ascii="宋体" w:hAnsi="Courier New" w:eastAsia="宋体" w:cs="Times New Roman"/>
    </w:rPr>
  </w:style>
  <w:style w:type="character" w:customStyle="1" w:styleId="114">
    <w:name w:val="页眉 Char"/>
    <w:qFormat/>
    <w:uiPriority w:val="0"/>
    <w:rPr>
      <w:rFonts w:ascii="Times New Roman" w:hAnsi="Times New Roman" w:eastAsia="宋体" w:cs="Times New Roman"/>
      <w:kern w:val="2"/>
      <w:sz w:val="18"/>
      <w:szCs w:val="18"/>
      <w:lang w:val="en-US" w:eastAsia="zh-CN" w:bidi="ar-SA"/>
    </w:rPr>
  </w:style>
  <w:style w:type="character" w:customStyle="1" w:styleId="115">
    <w:name w:val="street-address"/>
    <w:qFormat/>
    <w:uiPriority w:val="0"/>
    <w:rPr>
      <w:rFonts w:ascii="Times New Roman" w:hAnsi="Times New Roman" w:eastAsia="宋体" w:cs="Times New Roman"/>
    </w:rPr>
  </w:style>
  <w:style w:type="character" w:customStyle="1" w:styleId="116">
    <w:name w:val="Char Char111"/>
    <w:qFormat/>
    <w:uiPriority w:val="0"/>
    <w:rPr>
      <w:rFonts w:ascii="宋体" w:hAnsi="Times New Roman" w:eastAsia="宋体" w:cs="Times New Roman"/>
      <w:b/>
      <w:sz w:val="24"/>
      <w:u w:val="single"/>
      <w:lang w:val="en-US" w:eastAsia="zh-CN" w:bidi="ar-SA"/>
    </w:rPr>
  </w:style>
  <w:style w:type="character" w:customStyle="1" w:styleId="117">
    <w:name w:val="chanpin拷贝"/>
    <w:qFormat/>
    <w:uiPriority w:val="0"/>
    <w:rPr>
      <w:rFonts w:ascii="Times New Roman" w:hAnsi="Times New Roman" w:eastAsia="宋体" w:cs="Times New Roman"/>
    </w:rPr>
  </w:style>
  <w:style w:type="character" w:customStyle="1" w:styleId="118">
    <w:name w:val="正文缩进 Char"/>
    <w:qFormat/>
    <w:uiPriority w:val="0"/>
    <w:rPr>
      <w:rFonts w:ascii="宋体" w:hAnsi="Times New Roman" w:eastAsia="宋体" w:cs="Times New Roman"/>
      <w:kern w:val="2"/>
      <w:sz w:val="24"/>
      <w:szCs w:val="24"/>
      <w:lang w:val="en-US" w:eastAsia="zh-CN" w:bidi="ar-SA"/>
    </w:rPr>
  </w:style>
  <w:style w:type="character" w:customStyle="1" w:styleId="119">
    <w:name w:val="纯文本 Char1"/>
    <w:qFormat/>
    <w:uiPriority w:val="0"/>
    <w:rPr>
      <w:rFonts w:ascii="宋体" w:hAnsi="Courier New" w:eastAsia="宋体" w:cs="Times New Roman"/>
      <w:kern w:val="2"/>
      <w:sz w:val="21"/>
      <w:lang w:val="en-US" w:eastAsia="zh-CN" w:bidi="ar-SA"/>
    </w:rPr>
  </w:style>
  <w:style w:type="character" w:customStyle="1" w:styleId="120">
    <w:name w:val="批注文字 字符"/>
    <w:qFormat/>
    <w:uiPriority w:val="0"/>
    <w:rPr>
      <w:rFonts w:ascii="Times New Roman" w:hAnsi="Times New Roman" w:eastAsia="宋体" w:cs="Times New Roman"/>
      <w:sz w:val="24"/>
      <w:lang w:val="en-US" w:eastAsia="zh-CN" w:bidi="ar-SA"/>
    </w:rPr>
  </w:style>
  <w:style w:type="character" w:customStyle="1" w:styleId="121">
    <w:name w:val="页脚 Char"/>
    <w:qFormat/>
    <w:uiPriority w:val="0"/>
    <w:rPr>
      <w:rFonts w:ascii="宋体" w:hAnsi="Times New Roman" w:eastAsia="宋体" w:cs="Times New Roman"/>
      <w:sz w:val="18"/>
      <w:lang w:val="en-US" w:eastAsia="zh-CN" w:bidi="ar-SA"/>
    </w:rPr>
  </w:style>
  <w:style w:type="character" w:customStyle="1" w:styleId="122">
    <w:name w:val="apple-style-span"/>
    <w:qFormat/>
    <w:uiPriority w:val="0"/>
    <w:rPr>
      <w:rFonts w:ascii="Times New Roman" w:hAnsi="Times New Roman" w:eastAsia="宋体" w:cs="Times New Roman"/>
    </w:rPr>
  </w:style>
  <w:style w:type="character" w:customStyle="1" w:styleId="123">
    <w:name w:val="标题 2 Char"/>
    <w:qFormat/>
    <w:uiPriority w:val="0"/>
    <w:rPr>
      <w:rFonts w:ascii="Arial" w:hAnsi="Arial" w:eastAsia="黑体" w:cs="Times New Roman"/>
      <w:b/>
      <w:sz w:val="30"/>
      <w:lang w:val="en-US" w:eastAsia="zh-CN" w:bidi="ar-SA"/>
    </w:rPr>
  </w:style>
  <w:style w:type="character" w:customStyle="1" w:styleId="124">
    <w:name w:val="正文表格 Char"/>
    <w:link w:val="125"/>
    <w:qFormat/>
    <w:uiPriority w:val="0"/>
    <w:rPr>
      <w:rFonts w:ascii="宋体" w:hAnsi="宋体" w:eastAsia="宋体" w:cs="Times New Roman"/>
      <w:color w:val="000000"/>
      <w:kern w:val="2"/>
      <w:sz w:val="21"/>
      <w:szCs w:val="21"/>
    </w:rPr>
  </w:style>
  <w:style w:type="paragraph" w:customStyle="1" w:styleId="125">
    <w:name w:val="正文表格"/>
    <w:basedOn w:val="1"/>
    <w:link w:val="124"/>
    <w:qFormat/>
    <w:uiPriority w:val="0"/>
    <w:pPr>
      <w:adjustRightInd w:val="0"/>
      <w:snapToGrid w:val="0"/>
      <w:jc w:val="left"/>
    </w:pPr>
    <w:rPr>
      <w:rFonts w:ascii="宋体" w:hAnsi="宋体"/>
      <w:color w:val="000000"/>
      <w:szCs w:val="21"/>
    </w:rPr>
  </w:style>
  <w:style w:type="character" w:customStyle="1" w:styleId="126">
    <w:name w:val="locality"/>
    <w:qFormat/>
    <w:uiPriority w:val="0"/>
    <w:rPr>
      <w:rFonts w:ascii="Times New Roman" w:hAnsi="Times New Roman" w:eastAsia="宋体" w:cs="Times New Roman"/>
    </w:rPr>
  </w:style>
  <w:style w:type="character" w:customStyle="1" w:styleId="127">
    <w:name w:val="注释 Char"/>
    <w:link w:val="128"/>
    <w:qFormat/>
    <w:uiPriority w:val="0"/>
    <w:rPr>
      <w:rFonts w:ascii="宋体" w:hAnsi="宋体" w:eastAsia="宋体" w:cs="Times New Roman"/>
      <w:kern w:val="2"/>
      <w:sz w:val="21"/>
      <w:szCs w:val="21"/>
    </w:rPr>
  </w:style>
  <w:style w:type="paragraph" w:customStyle="1" w:styleId="128">
    <w:name w:val="注释"/>
    <w:basedOn w:val="1"/>
    <w:link w:val="127"/>
    <w:qFormat/>
    <w:uiPriority w:val="0"/>
    <w:pPr>
      <w:adjustRightInd w:val="0"/>
      <w:snapToGrid w:val="0"/>
      <w:ind w:left="420" w:hanging="420" w:hangingChars="200"/>
      <w:jc w:val="left"/>
    </w:pPr>
    <w:rPr>
      <w:rFonts w:ascii="宋体" w:hAnsi="宋体"/>
      <w:szCs w:val="21"/>
    </w:rPr>
  </w:style>
  <w:style w:type="character" w:customStyle="1" w:styleId="129">
    <w:name w:val="批注文字 Char"/>
    <w:qFormat/>
    <w:uiPriority w:val="0"/>
    <w:rPr>
      <w:rFonts w:ascii="Times New Roman" w:hAnsi="Times New Roman" w:eastAsia="宋体" w:cs="Times New Roman"/>
      <w:kern w:val="2"/>
      <w:sz w:val="21"/>
      <w:szCs w:val="24"/>
    </w:rPr>
  </w:style>
  <w:style w:type="character" w:customStyle="1" w:styleId="130">
    <w:name w:val="txt"/>
    <w:qFormat/>
    <w:uiPriority w:val="0"/>
    <w:rPr>
      <w:rFonts w:ascii="Times New Roman" w:hAnsi="Times New Roman" w:eastAsia="宋体" w:cs="Times New Roman"/>
    </w:rPr>
  </w:style>
  <w:style w:type="character" w:customStyle="1" w:styleId="131">
    <w:name w:val="中等深浅网格 1 - 强调文字颜色 2 Char"/>
    <w:link w:val="132"/>
    <w:qFormat/>
    <w:uiPriority w:val="0"/>
    <w:rPr>
      <w:kern w:val="2"/>
      <w:sz w:val="21"/>
      <w:szCs w:val="24"/>
      <w:lang w:val="zh-CN" w:eastAsia="zh-CN" w:bidi="ar-SA"/>
    </w:rPr>
  </w:style>
  <w:style w:type="paragraph" w:customStyle="1" w:styleId="132">
    <w:name w:val="1"/>
    <w:link w:val="131"/>
    <w:qFormat/>
    <w:uiPriority w:val="0"/>
    <w:rPr>
      <w:rFonts w:ascii="Times New Roman" w:hAnsi="Times New Roman" w:eastAsia="宋体" w:cs="Times New Roman"/>
      <w:kern w:val="2"/>
      <w:sz w:val="21"/>
      <w:szCs w:val="24"/>
      <w:lang w:val="zh-CN" w:eastAsia="zh-CN" w:bidi="ar-SA"/>
    </w:rPr>
  </w:style>
  <w:style w:type="character" w:customStyle="1" w:styleId="133">
    <w:name w:val="正文文本缩进 Char1"/>
    <w:link w:val="134"/>
    <w:qFormat/>
    <w:uiPriority w:val="0"/>
    <w:rPr>
      <w:rFonts w:ascii="宋体" w:hAnsi="宋体" w:eastAsia="宋体" w:cs="Times New Roman"/>
      <w:sz w:val="24"/>
      <w:szCs w:val="24"/>
      <w:lang w:bidi="ar-SA"/>
    </w:rPr>
  </w:style>
  <w:style w:type="paragraph" w:customStyle="1" w:styleId="134">
    <w:name w:val="正文文本缩进1"/>
    <w:basedOn w:val="1"/>
    <w:link w:val="133"/>
    <w:qFormat/>
    <w:uiPriority w:val="0"/>
    <w:pPr>
      <w:spacing w:line="480" w:lineRule="exact"/>
      <w:ind w:firstLine="480" w:firstLineChars="200"/>
    </w:pPr>
    <w:rPr>
      <w:rFonts w:ascii="宋体" w:hAnsi="宋体"/>
      <w:kern w:val="0"/>
      <w:sz w:val="24"/>
    </w:rPr>
  </w:style>
  <w:style w:type="character" w:customStyle="1" w:styleId="135">
    <w:name w:val="Char Char11"/>
    <w:qFormat/>
    <w:uiPriority w:val="0"/>
    <w:rPr>
      <w:rFonts w:ascii="宋体" w:hAnsi="Times New Roman" w:eastAsia="宋体" w:cs="Times New Roman"/>
      <w:b/>
      <w:sz w:val="24"/>
      <w:u w:val="single"/>
      <w:lang w:val="en-US" w:eastAsia="zh-CN" w:bidi="ar-SA"/>
    </w:rPr>
  </w:style>
  <w:style w:type="character" w:customStyle="1" w:styleId="136">
    <w:name w:val="正文格式 Char"/>
    <w:link w:val="137"/>
    <w:qFormat/>
    <w:uiPriority w:val="0"/>
    <w:rPr>
      <w:rFonts w:ascii="宋体" w:hAnsi="宋体" w:eastAsia="宋体" w:cs="Times New Roman"/>
      <w:sz w:val="24"/>
      <w:szCs w:val="24"/>
      <w:lang w:val="en-GB"/>
    </w:rPr>
  </w:style>
  <w:style w:type="paragraph" w:customStyle="1" w:styleId="137">
    <w:name w:val="正文格式"/>
    <w:basedOn w:val="1"/>
    <w:link w:val="136"/>
    <w:qFormat/>
    <w:uiPriority w:val="0"/>
    <w:pPr>
      <w:spacing w:beforeLines="50" w:line="360" w:lineRule="auto"/>
      <w:ind w:firstLine="480" w:firstLineChars="200"/>
    </w:pPr>
    <w:rPr>
      <w:rFonts w:ascii="宋体" w:hAnsi="宋体"/>
      <w:kern w:val="0"/>
      <w:sz w:val="24"/>
      <w:lang w:val="en-GB"/>
    </w:rPr>
  </w:style>
  <w:style w:type="paragraph" w:customStyle="1" w:styleId="1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4">
    <w:name w:val="字元 字元"/>
    <w:basedOn w:val="1"/>
    <w:qFormat/>
    <w:uiPriority w:val="0"/>
    <w:rPr>
      <w:rFonts w:ascii="Tahoma" w:hAnsi="Tahoma"/>
      <w:sz w:val="24"/>
      <w:szCs w:val="20"/>
    </w:rPr>
  </w:style>
  <w:style w:type="paragraph" w:customStyle="1" w:styleId="14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6">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_Style 160"/>
    <w:qFormat/>
    <w:uiPriority w:val="0"/>
    <w:rPr>
      <w:rFonts w:ascii="Times New Roman" w:hAnsi="Times New Roman" w:eastAsia="宋体" w:cs="Times New Roman"/>
      <w:kern w:val="2"/>
      <w:sz w:val="21"/>
      <w:szCs w:val="24"/>
      <w:lang w:val="en-US" w:eastAsia="zh-CN" w:bidi="ar-SA"/>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5">
    <w:name w:val="Char Char Char1 Char2"/>
    <w:basedOn w:val="1"/>
    <w:qFormat/>
    <w:uiPriority w:val="0"/>
    <w:rPr>
      <w:rFonts w:ascii="Tahoma" w:hAnsi="Tahoma"/>
      <w:sz w:val="24"/>
      <w:szCs w:val="20"/>
    </w:r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Char3 Char Char Char"/>
    <w:basedOn w:val="1"/>
    <w:qFormat/>
    <w:uiPriority w:val="0"/>
    <w:rPr>
      <w:rFonts w:ascii="Tahoma" w:hAnsi="Tahoma"/>
      <w:sz w:val="24"/>
      <w:szCs w:val="20"/>
    </w:rPr>
  </w:style>
  <w:style w:type="paragraph" w:customStyle="1" w:styleId="159">
    <w:name w:val="Char2"/>
    <w:basedOn w:val="1"/>
    <w:qFormat/>
    <w:uiPriority w:val="0"/>
    <w:rPr>
      <w:rFonts w:ascii="Tahoma" w:hAnsi="Tahoma"/>
      <w:sz w:val="24"/>
      <w:szCs w:val="20"/>
    </w:rPr>
  </w:style>
  <w:style w:type="paragraph" w:customStyle="1" w:styleId="16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1">
    <w:name w:val="列出段落2"/>
    <w:basedOn w:val="1"/>
    <w:qFormat/>
    <w:uiPriority w:val="0"/>
    <w:pPr>
      <w:ind w:firstLine="420" w:firstLineChars="200"/>
    </w:pPr>
    <w:rPr>
      <w:rFonts w:ascii="Calibri" w:hAnsi="Calibri"/>
      <w:szCs w:val="22"/>
    </w:rPr>
  </w:style>
  <w:style w:type="paragraph" w:customStyle="1" w:styleId="162">
    <w:name w:val="List Paragraph1"/>
    <w:basedOn w:val="1"/>
    <w:qFormat/>
    <w:uiPriority w:val="0"/>
    <w:pPr>
      <w:ind w:firstLine="420" w:firstLineChars="200"/>
    </w:pPr>
    <w:rPr>
      <w:rFonts w:ascii="Calibri" w:hAnsi="Calibri"/>
      <w:szCs w:val="22"/>
    </w:rPr>
  </w:style>
  <w:style w:type="paragraph" w:customStyle="1" w:styleId="16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4">
    <w:name w:val="Char2 Char Char Char Char Char Char1"/>
    <w:basedOn w:val="1"/>
    <w:qFormat/>
    <w:uiPriority w:val="0"/>
    <w:pPr>
      <w:widowControl/>
      <w:spacing w:line="400" w:lineRule="exact"/>
      <w:jc w:val="center"/>
    </w:pPr>
  </w:style>
  <w:style w:type="paragraph" w:customStyle="1" w:styleId="165">
    <w:name w:val="Char"/>
    <w:basedOn w:val="1"/>
    <w:qFormat/>
    <w:uiPriority w:val="0"/>
    <w:pPr>
      <w:tabs>
        <w:tab w:val="left" w:pos="360"/>
      </w:tabs>
    </w:pPr>
    <w:rPr>
      <w:sz w:val="24"/>
    </w:rPr>
  </w:style>
  <w:style w:type="paragraph" w:customStyle="1" w:styleId="166">
    <w:name w:val="样式 标题 2 + 宋体 五号 行距: 单倍行距"/>
    <w:basedOn w:val="6"/>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标题1-附件"/>
    <w:basedOn w:val="5"/>
    <w:qFormat/>
    <w:uiPriority w:val="0"/>
    <w:pPr>
      <w:jc w:val="left"/>
    </w:pPr>
    <w:rPr>
      <w:rFonts w:ascii="Times New Roman"/>
      <w:sz w:val="24"/>
      <w:szCs w:val="24"/>
    </w:rPr>
  </w:style>
  <w:style w:type="paragraph" w:customStyle="1" w:styleId="170">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1">
    <w:name w:val="五级条标题"/>
    <w:basedOn w:val="172"/>
    <w:next w:val="1"/>
    <w:qFormat/>
    <w:uiPriority w:val="0"/>
    <w:pPr>
      <w:numPr>
        <w:ilvl w:val="5"/>
      </w:numPr>
      <w:tabs>
        <w:tab w:val="left" w:pos="360"/>
        <w:tab w:val="left" w:pos="840"/>
      </w:tabs>
      <w:ind w:left="0" w:hanging="840"/>
      <w:outlineLvl w:val="5"/>
    </w:pPr>
  </w:style>
  <w:style w:type="paragraph" w:customStyle="1" w:styleId="172">
    <w:name w:val="四级条标题"/>
    <w:basedOn w:val="173"/>
    <w:next w:val="1"/>
    <w:qFormat/>
    <w:uiPriority w:val="0"/>
    <w:pPr>
      <w:numPr>
        <w:ilvl w:val="4"/>
      </w:numPr>
      <w:tabs>
        <w:tab w:val="left" w:pos="360"/>
        <w:tab w:val="left" w:pos="840"/>
      </w:tabs>
      <w:ind w:left="0" w:hanging="840"/>
      <w:outlineLvl w:val="4"/>
    </w:pPr>
  </w:style>
  <w:style w:type="paragraph" w:customStyle="1" w:styleId="173">
    <w:name w:val="三级条标题"/>
    <w:basedOn w:val="174"/>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4">
    <w:name w:val="二级条标题"/>
    <w:basedOn w:val="175"/>
    <w:next w:val="1"/>
    <w:qFormat/>
    <w:uiPriority w:val="0"/>
    <w:pPr>
      <w:numPr>
        <w:ilvl w:val="0"/>
        <w:numId w:val="0"/>
      </w:numPr>
      <w:tabs>
        <w:tab w:val="left" w:pos="360"/>
        <w:tab w:val="left" w:pos="840"/>
      </w:tabs>
      <w:ind w:hanging="840"/>
      <w:outlineLvl w:val="2"/>
    </w:pPr>
    <w:rPr>
      <w:rFonts w:ascii="宋体"/>
      <w:b w:val="0"/>
    </w:rPr>
  </w:style>
  <w:style w:type="paragraph" w:customStyle="1" w:styleId="175">
    <w:name w:val="一级条标题"/>
    <w:basedOn w:val="146"/>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7">
    <w:name w:val="Char Char Char1 Char"/>
    <w:basedOn w:val="1"/>
    <w:qFormat/>
    <w:uiPriority w:val="0"/>
    <w:rPr>
      <w:rFonts w:ascii="Tahoma" w:hAnsi="Tahoma"/>
      <w:sz w:val="24"/>
      <w:szCs w:val="20"/>
    </w:rPr>
  </w:style>
  <w:style w:type="paragraph" w:customStyle="1" w:styleId="178">
    <w:name w:val="图中文字"/>
    <w:basedOn w:val="1"/>
    <w:qFormat/>
    <w:uiPriority w:val="0"/>
    <w:pPr>
      <w:adjustRightInd w:val="0"/>
      <w:snapToGrid w:val="0"/>
      <w:spacing w:line="0" w:lineRule="atLeast"/>
      <w:jc w:val="center"/>
    </w:pPr>
    <w:rPr>
      <w:sz w:val="24"/>
      <w:szCs w:val="20"/>
    </w:rPr>
  </w:style>
  <w:style w:type="paragraph" w:customStyle="1" w:styleId="179">
    <w:name w:val="Char1"/>
    <w:basedOn w:val="1"/>
    <w:qFormat/>
    <w:uiPriority w:val="0"/>
    <w:pPr>
      <w:tabs>
        <w:tab w:val="left" w:pos="360"/>
      </w:tabs>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2">
    <w:name w:val="Char22"/>
    <w:basedOn w:val="1"/>
    <w:qFormat/>
    <w:uiPriority w:val="0"/>
    <w:rPr>
      <w:rFonts w:ascii="Tahoma" w:hAnsi="Tahoma"/>
      <w:sz w:val="24"/>
      <w:szCs w:val="20"/>
    </w:rPr>
  </w:style>
  <w:style w:type="paragraph" w:customStyle="1" w:styleId="183">
    <w:name w:val="Char Char Char Char Char Char Char Char Char Char1"/>
    <w:basedOn w:val="1"/>
    <w:qFormat/>
    <w:uiPriority w:val="0"/>
    <w:rPr>
      <w:rFonts w:ascii="宋体" w:hAnsi="宋体" w:cs="Courier New"/>
      <w:sz w:val="32"/>
      <w:szCs w:val="32"/>
    </w:rPr>
  </w:style>
  <w:style w:type="paragraph" w:customStyle="1" w:styleId="18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6">
    <w:name w:val="样式2"/>
    <w:basedOn w:val="45"/>
    <w:qFormat/>
    <w:uiPriority w:val="0"/>
    <w:pPr>
      <w:spacing w:line="360" w:lineRule="auto"/>
      <w:jc w:val="center"/>
    </w:pPr>
    <w:rPr>
      <w:sz w:val="24"/>
    </w:rPr>
  </w:style>
  <w:style w:type="paragraph" w:customStyle="1" w:styleId="18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9">
    <w:name w:val="文档正文"/>
    <w:basedOn w:val="1"/>
    <w:qFormat/>
    <w:uiPriority w:val="0"/>
    <w:pPr>
      <w:snapToGrid w:val="0"/>
      <w:spacing w:before="120" w:after="120" w:line="180" w:lineRule="auto"/>
    </w:pPr>
    <w:rPr>
      <w:rFonts w:ascii="Arial" w:hAnsi="Arial"/>
      <w:szCs w:val="20"/>
    </w:rPr>
  </w:style>
  <w:style w:type="paragraph" w:customStyle="1" w:styleId="1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1">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2">
    <w:name w:val="Char3"/>
    <w:basedOn w:val="1"/>
    <w:qFormat/>
    <w:uiPriority w:val="0"/>
    <w:pPr>
      <w:tabs>
        <w:tab w:val="left" w:pos="360"/>
      </w:tabs>
    </w:pPr>
    <w:rPr>
      <w:sz w:val="24"/>
    </w:rPr>
  </w:style>
  <w:style w:type="paragraph" w:customStyle="1" w:styleId="19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9">
    <w:name w:val="Char Char Char"/>
    <w:basedOn w:val="1"/>
    <w:qFormat/>
    <w:uiPriority w:val="0"/>
    <w:rPr>
      <w:rFonts w:ascii="Tahoma" w:hAnsi="Tahoma"/>
      <w:sz w:val="24"/>
      <w:szCs w:val="20"/>
    </w:rPr>
  </w:style>
  <w:style w:type="paragraph" w:customStyle="1" w:styleId="2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1 Char Char Char1"/>
    <w:basedOn w:val="1"/>
    <w:qFormat/>
    <w:uiPriority w:val="0"/>
    <w:rPr>
      <w:rFonts w:ascii="Tahoma" w:hAnsi="Tahoma" w:cs="仿宋_GB2312"/>
      <w:sz w:val="24"/>
      <w:szCs w:val="28"/>
    </w:rPr>
  </w:style>
  <w:style w:type="paragraph" w:customStyle="1" w:styleId="20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3">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4">
    <w:name w:val="Char3 Char Char Char1"/>
    <w:basedOn w:val="1"/>
    <w:qFormat/>
    <w:uiPriority w:val="0"/>
    <w:rPr>
      <w:rFonts w:ascii="Tahoma" w:hAnsi="Tahoma"/>
      <w:sz w:val="24"/>
      <w:szCs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9">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1">
    <w:name w:val="项目编号2"/>
    <w:basedOn w:val="160"/>
    <w:qFormat/>
    <w:uiPriority w:val="0"/>
    <w:pPr>
      <w:numPr>
        <w:numId w:val="6"/>
      </w:numPr>
    </w:pPr>
  </w:style>
  <w:style w:type="paragraph" w:customStyle="1" w:styleId="212">
    <w:name w:val="1名"/>
    <w:basedOn w:val="1"/>
    <w:qFormat/>
    <w:uiPriority w:val="0"/>
    <w:pPr>
      <w:numPr>
        <w:ilvl w:val="0"/>
        <w:numId w:val="7"/>
      </w:numPr>
      <w:spacing w:before="120"/>
    </w:pPr>
    <w:rPr>
      <w:rFonts w:ascii="宋体"/>
      <w:sz w:val="28"/>
      <w:szCs w:val="20"/>
    </w:rPr>
  </w:style>
  <w:style w:type="paragraph" w:customStyle="1" w:styleId="213">
    <w:name w:val="字元 字元1"/>
    <w:basedOn w:val="1"/>
    <w:qFormat/>
    <w:uiPriority w:val="0"/>
    <w:rPr>
      <w:rFonts w:ascii="Tahoma" w:hAnsi="Tahoma"/>
      <w:sz w:val="24"/>
      <w:szCs w:val="20"/>
    </w:rPr>
  </w:style>
  <w:style w:type="paragraph" w:customStyle="1" w:styleId="214">
    <w:name w:val="font8"/>
    <w:basedOn w:val="1"/>
    <w:qFormat/>
    <w:uiPriority w:val="0"/>
    <w:pPr>
      <w:widowControl/>
      <w:spacing w:before="100" w:beforeAutospacing="1" w:after="100" w:afterAutospacing="1"/>
      <w:jc w:val="left"/>
    </w:pPr>
    <w:rPr>
      <w:kern w:val="0"/>
      <w:sz w:val="36"/>
      <w:szCs w:val="36"/>
    </w:rPr>
  </w:style>
  <w:style w:type="paragraph" w:customStyle="1" w:styleId="215">
    <w:name w:val="1 Char Char Char Char"/>
    <w:basedOn w:val="1"/>
    <w:qFormat/>
    <w:uiPriority w:val="0"/>
    <w:rPr>
      <w:rFonts w:ascii="Tahoma" w:hAnsi="Tahoma"/>
      <w:sz w:val="24"/>
      <w:szCs w:val="20"/>
    </w:rPr>
  </w:style>
  <w:style w:type="paragraph" w:customStyle="1" w:styleId="216">
    <w:name w:val="Char Char Char1"/>
    <w:basedOn w:val="1"/>
    <w:qFormat/>
    <w:uiPriority w:val="0"/>
    <w:rPr>
      <w:rFonts w:ascii="Tahoma" w:hAnsi="Tahoma"/>
      <w:sz w:val="24"/>
      <w:szCs w:val="20"/>
    </w:rPr>
  </w:style>
  <w:style w:type="paragraph" w:customStyle="1" w:styleId="217">
    <w:name w:val="Char Char1"/>
    <w:basedOn w:val="19"/>
    <w:qFormat/>
    <w:uiPriority w:val="0"/>
    <w:rPr>
      <w:rFonts w:ascii="Tahoma" w:hAnsi="Tahoma"/>
      <w:sz w:val="24"/>
    </w:rPr>
  </w:style>
  <w:style w:type="paragraph" w:customStyle="1" w:styleId="218">
    <w:name w:val="Char3 Char Char Char2"/>
    <w:basedOn w:val="1"/>
    <w:qFormat/>
    <w:uiPriority w:val="0"/>
    <w:rPr>
      <w:rFonts w:ascii="Tahoma" w:hAnsi="Tahoma"/>
      <w:sz w:val="24"/>
      <w:szCs w:val="20"/>
    </w:rPr>
  </w:style>
  <w:style w:type="paragraph" w:customStyle="1" w:styleId="219">
    <w:name w:val="项目符号1"/>
    <w:basedOn w:val="220"/>
    <w:qFormat/>
    <w:uiPriority w:val="0"/>
    <w:pPr>
      <w:ind w:left="-25" w:firstLine="0"/>
    </w:pPr>
    <w:rPr>
      <w:rFonts w:cs="Times New Roman"/>
    </w:rPr>
  </w:style>
  <w:style w:type="paragraph" w:customStyle="1" w:styleId="220">
    <w:name w:val="正文文本样式"/>
    <w:basedOn w:val="1"/>
    <w:qFormat/>
    <w:uiPriority w:val="0"/>
    <w:pPr>
      <w:spacing w:line="360" w:lineRule="auto"/>
      <w:ind w:firstLine="482"/>
    </w:pPr>
    <w:rPr>
      <w:rFonts w:cs="宋体"/>
      <w:sz w:val="24"/>
      <w:szCs w:val="20"/>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默认段落字体 Para Char Char Char Char"/>
    <w:basedOn w:val="1"/>
    <w:qFormat/>
    <w:uiPriority w:val="0"/>
    <w:rPr>
      <w:rFonts w:ascii="Arial" w:hAnsi="Arial" w:cs="Arial"/>
      <w:szCs w:val="21"/>
    </w:rPr>
  </w:style>
  <w:style w:type="paragraph" w:customStyle="1" w:styleId="2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Char Char Char1 Char1"/>
    <w:basedOn w:val="1"/>
    <w:qFormat/>
    <w:uiPriority w:val="0"/>
    <w:rPr>
      <w:rFonts w:ascii="Tahoma" w:hAnsi="Tahoma"/>
      <w:sz w:val="24"/>
      <w:szCs w:val="20"/>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Char Char41"/>
    <w:basedOn w:val="1"/>
    <w:qFormat/>
    <w:uiPriority w:val="0"/>
    <w:pPr>
      <w:widowControl/>
      <w:spacing w:line="400" w:lineRule="exact"/>
      <w:jc w:val="center"/>
    </w:pPr>
  </w:style>
  <w:style w:type="paragraph" w:customStyle="1" w:styleId="229">
    <w:name w:val="Char2 Char Char Char Char Char Char"/>
    <w:basedOn w:val="1"/>
    <w:qFormat/>
    <w:uiPriority w:val="0"/>
    <w:pPr>
      <w:widowControl/>
      <w:spacing w:line="400" w:lineRule="exact"/>
      <w:jc w:val="center"/>
    </w:pPr>
  </w:style>
  <w:style w:type="paragraph" w:customStyle="1" w:styleId="230">
    <w:name w:val="Char21"/>
    <w:basedOn w:val="1"/>
    <w:qFormat/>
    <w:uiPriority w:val="0"/>
    <w:rPr>
      <w:rFonts w:ascii="Tahoma" w:hAnsi="Tahoma"/>
      <w:sz w:val="24"/>
      <w:szCs w:val="20"/>
    </w:rPr>
  </w:style>
  <w:style w:type="paragraph" w:customStyle="1" w:styleId="231">
    <w:name w:val="正文文本样式 加粗"/>
    <w:basedOn w:val="220"/>
    <w:qFormat/>
    <w:uiPriority w:val="0"/>
    <w:rPr>
      <w:rFonts w:cs="Times New Roman"/>
      <w:b/>
    </w:rPr>
  </w:style>
  <w:style w:type="paragraph" w:customStyle="1" w:styleId="232">
    <w:name w:val="项目编号3"/>
    <w:basedOn w:val="220"/>
    <w:qFormat/>
    <w:uiPriority w:val="0"/>
    <w:pPr>
      <w:numPr>
        <w:ilvl w:val="0"/>
        <w:numId w:val="8"/>
      </w:numPr>
    </w:pPr>
    <w:rPr>
      <w:rFonts w:cs="Times New Roman"/>
    </w:rPr>
  </w:style>
  <w:style w:type="paragraph" w:customStyle="1" w:styleId="2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5">
    <w:name w:val="Char Char Char Char Char Char Char Char Char Char2"/>
    <w:basedOn w:val="1"/>
    <w:qFormat/>
    <w:uiPriority w:val="0"/>
    <w:rPr>
      <w:rFonts w:ascii="宋体" w:hAnsi="宋体" w:cs="Courier New"/>
      <w:sz w:val="32"/>
      <w:szCs w:val="32"/>
    </w:rPr>
  </w:style>
  <w:style w:type="paragraph" w:customStyle="1" w:styleId="236">
    <w:name w:val="修订1"/>
    <w:qFormat/>
    <w:uiPriority w:val="0"/>
    <w:rPr>
      <w:rFonts w:ascii="Times New Roman" w:hAnsi="Times New Roman" w:eastAsia="宋体" w:cs="Times New Roman"/>
      <w:kern w:val="2"/>
      <w:sz w:val="21"/>
      <w:szCs w:val="24"/>
      <w:lang w:val="en-US" w:eastAsia="zh-CN" w:bidi="ar-SA"/>
    </w:rPr>
  </w:style>
  <w:style w:type="paragraph" w:customStyle="1" w:styleId="23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8">
    <w:name w:val="字元 字元2"/>
    <w:basedOn w:val="1"/>
    <w:qFormat/>
    <w:uiPriority w:val="0"/>
    <w:rPr>
      <w:rFonts w:ascii="Tahoma" w:hAnsi="Tahoma"/>
      <w:sz w:val="24"/>
      <w:szCs w:val="20"/>
    </w:rPr>
  </w:style>
  <w:style w:type="paragraph" w:customStyle="1" w:styleId="239">
    <w:name w:val="图例"/>
    <w:basedOn w:val="1"/>
    <w:qFormat/>
    <w:uiPriority w:val="0"/>
    <w:pPr>
      <w:spacing w:before="120" w:after="120" w:line="360" w:lineRule="auto"/>
      <w:jc w:val="center"/>
    </w:pPr>
    <w:rPr>
      <w:rFonts w:eastAsia="仿宋_GB2312"/>
      <w:b/>
      <w:sz w:val="24"/>
      <w:szCs w:val="20"/>
    </w:rPr>
  </w:style>
  <w:style w:type="paragraph" w:customStyle="1" w:styleId="240">
    <w:name w:val="正文 + 楷体_GB2312"/>
    <w:basedOn w:val="1"/>
    <w:qFormat/>
    <w:uiPriority w:val="0"/>
    <w:pPr>
      <w:widowControl/>
      <w:jc w:val="left"/>
    </w:pPr>
    <w:rPr>
      <w:rFonts w:ascii="楷体_GB2312" w:eastAsia="楷体_GB2312" w:cs="Arial"/>
      <w:kern w:val="0"/>
      <w:sz w:val="24"/>
    </w:rPr>
  </w:style>
  <w:style w:type="paragraph" w:customStyle="1" w:styleId="24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4">
    <w:name w:val="Char Char Char2"/>
    <w:basedOn w:val="1"/>
    <w:qFormat/>
    <w:uiPriority w:val="0"/>
    <w:rPr>
      <w:rFonts w:ascii="Tahoma" w:hAnsi="Tahoma"/>
      <w:sz w:val="24"/>
      <w:szCs w:val="20"/>
    </w:rPr>
  </w:style>
  <w:style w:type="paragraph" w:customStyle="1" w:styleId="24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7">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9">
    <w:name w:val="Char Char4"/>
    <w:basedOn w:val="1"/>
    <w:qFormat/>
    <w:uiPriority w:val="0"/>
    <w:pPr>
      <w:widowControl/>
      <w:spacing w:line="400" w:lineRule="exact"/>
      <w:jc w:val="center"/>
    </w:pPr>
  </w:style>
  <w:style w:type="paragraph" w:customStyle="1" w:styleId="25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2">
    <w:name w:val="列出段落1"/>
    <w:basedOn w:val="1"/>
    <w:qFormat/>
    <w:uiPriority w:val="0"/>
    <w:pPr>
      <w:ind w:firstLine="420" w:firstLineChars="200"/>
    </w:pPr>
    <w:rPr>
      <w:rFonts w:ascii="Calibri" w:hAnsi="Calibri"/>
      <w:szCs w:val="22"/>
    </w:rPr>
  </w:style>
  <w:style w:type="paragraph" w:customStyle="1" w:styleId="25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5">
    <w:name w:val="表格1"/>
    <w:basedOn w:val="1"/>
    <w:qFormat/>
    <w:uiPriority w:val="0"/>
    <w:pPr>
      <w:ind w:firstLine="480" w:firstLineChars="200"/>
      <w:jc w:val="center"/>
    </w:pPr>
    <w:rPr>
      <w:sz w:val="24"/>
      <w:szCs w:val="20"/>
    </w:rPr>
  </w:style>
  <w:style w:type="paragraph" w:customStyle="1" w:styleId="256">
    <w:name w:val="Char Char Char Char Char Char Char Char Char Char"/>
    <w:basedOn w:val="1"/>
    <w:qFormat/>
    <w:uiPriority w:val="0"/>
  </w:style>
  <w:style w:type="table" w:customStyle="1" w:styleId="257">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8">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9">
    <w:name w:val="NormalCharacter"/>
    <w:link w:val="260"/>
    <w:semiHidden/>
    <w:qFormat/>
    <w:uiPriority w:val="0"/>
    <w:rPr>
      <w:rFonts w:ascii="Tahoma" w:hAnsi="Tahoma" w:cs="Tahoma"/>
      <w:sz w:val="24"/>
      <w:szCs w:val="24"/>
    </w:rPr>
  </w:style>
  <w:style w:type="paragraph" w:customStyle="1" w:styleId="260">
    <w:name w:val="UserStyle_0"/>
    <w:basedOn w:val="1"/>
    <w:link w:val="259"/>
    <w:qFormat/>
    <w:uiPriority w:val="0"/>
    <w:rPr>
      <w:rFonts w:ascii="Tahoma" w:hAnsi="Tahoma" w:cs="Tahoma"/>
      <w:sz w:val="24"/>
    </w:rPr>
  </w:style>
  <w:style w:type="paragraph" w:customStyle="1" w:styleId="261">
    <w:name w:val="列出段落3"/>
    <w:basedOn w:val="1"/>
    <w:qFormat/>
    <w:uiPriority w:val="34"/>
    <w:pPr>
      <w:ind w:firstLine="420" w:firstLineChars="200"/>
    </w:pPr>
  </w:style>
  <w:style w:type="paragraph" w:customStyle="1" w:styleId="262">
    <w:name w:val="标题1"/>
    <w:basedOn w:val="5"/>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3">
    <w:name w:val="Other|1"/>
    <w:basedOn w:val="1"/>
    <w:qFormat/>
    <w:uiPriority w:val="0"/>
    <w:rPr>
      <w:rFonts w:ascii="宋体" w:hAnsi="宋体" w:cs="宋体"/>
      <w:sz w:val="22"/>
      <w:szCs w:val="22"/>
      <w:lang w:val="zh-TW" w:eastAsia="zh-TW" w:bidi="zh-TW"/>
    </w:rPr>
  </w:style>
  <w:style w:type="paragraph" w:customStyle="1" w:styleId="26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5">
    <w:name w:val="p0"/>
    <w:basedOn w:val="1"/>
    <w:qFormat/>
    <w:uiPriority w:val="0"/>
    <w:pPr>
      <w:widowControl/>
    </w:pPr>
    <w:rPr>
      <w:kern w:val="0"/>
      <w:szCs w:val="21"/>
    </w:rPr>
  </w:style>
  <w:style w:type="character" w:customStyle="1" w:styleId="266">
    <w:name w:val="font21"/>
    <w:qFormat/>
    <w:uiPriority w:val="0"/>
    <w:rPr>
      <w:rFonts w:hint="eastAsia" w:ascii="仿宋_GB2312" w:eastAsia="仿宋_GB2312" w:cs="仿宋_GB2312"/>
      <w:color w:val="000000"/>
      <w:sz w:val="22"/>
      <w:szCs w:val="22"/>
      <w:u w:val="none"/>
    </w:rPr>
  </w:style>
  <w:style w:type="paragraph" w:customStyle="1" w:styleId="26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Table Text"/>
    <w:basedOn w:val="1"/>
    <w:semiHidden/>
    <w:qFormat/>
    <w:uiPriority w:val="0"/>
    <w:rPr>
      <w:rFonts w:ascii="Arial" w:hAnsi="Arial" w:eastAsia="Arial" w:cs="Arial"/>
      <w:szCs w:val="21"/>
      <w:lang w:eastAsia="en-US"/>
    </w:rPr>
  </w:style>
  <w:style w:type="paragraph" w:customStyle="1" w:styleId="269">
    <w:name w:val="列出段落22"/>
    <w:basedOn w:val="1"/>
    <w:qFormat/>
    <w:uiPriority w:val="99"/>
    <w:pPr>
      <w:ind w:firstLine="420" w:firstLineChars="200"/>
    </w:pPr>
    <w:rPr>
      <w:rFonts w:ascii="Calibri" w:hAnsi="Calibri"/>
      <w:szCs w:val="22"/>
    </w:rPr>
  </w:style>
  <w:style w:type="paragraph" w:customStyle="1" w:styleId="270">
    <w:name w:val="4 级标题"/>
    <w:basedOn w:val="9"/>
    <w:qFormat/>
    <w:uiPriority w:val="0"/>
    <w:pPr>
      <w:tabs>
        <w:tab w:val="left" w:pos="864"/>
      </w:tabs>
      <w:ind w:left="567" w:right="27" w:rightChars="13" w:hanging="567"/>
    </w:pPr>
    <w:rPr>
      <w:sz w:val="24"/>
      <w:lang w:val="zh-CN"/>
    </w:rPr>
  </w:style>
  <w:style w:type="paragraph" w:customStyle="1" w:styleId="271">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2">
    <w:name w:val="标题 1 Char Char Char Char"/>
    <w:qFormat/>
    <w:uiPriority w:val="0"/>
    <w:rPr>
      <w:rFonts w:eastAsia="宋体"/>
      <w:b/>
      <w:bCs/>
      <w:kern w:val="44"/>
      <w:sz w:val="44"/>
      <w:szCs w:val="44"/>
      <w:lang w:val="en-US" w:eastAsia="zh-CN" w:bidi="ar-SA"/>
    </w:rPr>
  </w:style>
  <w:style w:type="paragraph" w:customStyle="1" w:styleId="273">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4">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5">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6">
    <w:name w:val="正文首行缩进 2111"/>
    <w:basedOn w:val="22"/>
    <w:qFormat/>
    <w:uiPriority w:val="0"/>
    <w:pPr>
      <w:spacing w:line="480" w:lineRule="exact"/>
      <w:ind w:left="480" w:firstLine="480" w:firstLineChars="200"/>
    </w:pPr>
    <w:rPr>
      <w:rFonts w:asciiTheme="minorEastAsia" w:hAnsiTheme="minorEastAsia" w:eastAsiaTheme="minorEastAsia"/>
    </w:rPr>
  </w:style>
  <w:style w:type="paragraph" w:customStyle="1" w:styleId="277">
    <w:name w:val="列表段落1"/>
    <w:basedOn w:val="1"/>
    <w:qFormat/>
    <w:uiPriority w:val="34"/>
    <w:pPr>
      <w:adjustRightInd w:val="0"/>
      <w:spacing w:line="360" w:lineRule="atLeast"/>
      <w:ind w:firstLine="420" w:firstLineChars="200"/>
      <w:jc w:val="left"/>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15199</Words>
  <Characters>16232</Characters>
  <Lines>1</Lines>
  <Paragraphs>1</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stone</cp:lastModifiedBy>
  <cp:lastPrinted>2020-04-02T03:13:00Z</cp:lastPrinted>
  <dcterms:modified xsi:type="dcterms:W3CDTF">2025-11-28T06:54:41Z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