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557B3">
      <w:pPr>
        <w:spacing w:line="360" w:lineRule="auto"/>
        <w:ind w:firstLine="300" w:firstLineChars="50"/>
        <w:rPr>
          <w:rFonts w:eastAsiaTheme="minorEastAsia"/>
          <w:spacing w:val="0"/>
          <w:sz w:val="60"/>
          <w:szCs w:val="60"/>
        </w:rPr>
      </w:pPr>
    </w:p>
    <w:p w14:paraId="6DEC5A08">
      <w:pPr>
        <w:spacing w:line="360" w:lineRule="auto"/>
        <w:ind w:firstLine="300" w:firstLineChars="50"/>
        <w:rPr>
          <w:rFonts w:eastAsiaTheme="minorEastAsia"/>
          <w:spacing w:val="0"/>
          <w:sz w:val="60"/>
          <w:szCs w:val="60"/>
        </w:rPr>
      </w:pPr>
    </w:p>
    <w:p w14:paraId="5FD6A53C">
      <w:pPr>
        <w:jc w:val="center"/>
        <w:rPr>
          <w:rFonts w:eastAsiaTheme="minorEastAsia"/>
          <w:b/>
          <w:bCs/>
          <w:spacing w:val="0"/>
          <w:sz w:val="60"/>
          <w:szCs w:val="60"/>
        </w:rPr>
      </w:pPr>
      <w:r>
        <w:rPr>
          <w:rFonts w:eastAsiaTheme="minorEastAsia"/>
          <w:b/>
          <w:bCs/>
          <w:spacing w:val="0"/>
          <w:sz w:val="60"/>
          <w:szCs w:val="60"/>
        </w:rPr>
        <w:t>北京市政府采购项目</w:t>
      </w:r>
    </w:p>
    <w:p w14:paraId="0E512A26">
      <w:pPr>
        <w:jc w:val="center"/>
        <w:rPr>
          <w:rFonts w:eastAsiaTheme="minorEastAsia"/>
          <w:b/>
          <w:bCs/>
          <w:spacing w:val="0"/>
          <w:sz w:val="60"/>
          <w:szCs w:val="60"/>
        </w:rPr>
      </w:pPr>
      <w:r>
        <w:rPr>
          <w:rFonts w:eastAsiaTheme="minorEastAsia"/>
          <w:b/>
          <w:bCs/>
          <w:spacing w:val="0"/>
          <w:sz w:val="60"/>
          <w:szCs w:val="60"/>
        </w:rPr>
        <w:t>竞争性磋商文件</w:t>
      </w:r>
    </w:p>
    <w:p w14:paraId="74696AA6">
      <w:pPr>
        <w:jc w:val="center"/>
        <w:rPr>
          <w:b/>
          <w:bCs/>
          <w:spacing w:val="0"/>
          <w:sz w:val="60"/>
          <w:szCs w:val="60"/>
        </w:rPr>
      </w:pPr>
      <w:r>
        <w:rPr>
          <w:b/>
          <w:bCs/>
          <w:spacing w:val="0"/>
          <w:sz w:val="60"/>
          <w:szCs w:val="60"/>
        </w:rPr>
        <w:t>（202</w:t>
      </w:r>
      <w:r>
        <w:rPr>
          <w:rFonts w:hint="eastAsia"/>
          <w:b/>
          <w:bCs/>
          <w:spacing w:val="0"/>
          <w:sz w:val="60"/>
          <w:szCs w:val="60"/>
        </w:rPr>
        <w:t>4</w:t>
      </w:r>
      <w:r>
        <w:rPr>
          <w:b/>
          <w:bCs/>
          <w:spacing w:val="0"/>
          <w:sz w:val="60"/>
          <w:szCs w:val="60"/>
        </w:rPr>
        <w:t>年版）</w:t>
      </w:r>
    </w:p>
    <w:p w14:paraId="67A6455F">
      <w:pPr>
        <w:spacing w:line="360" w:lineRule="auto"/>
        <w:jc w:val="center"/>
        <w:rPr>
          <w:rFonts w:eastAsiaTheme="majorEastAsia"/>
          <w:b/>
          <w:bCs/>
          <w:spacing w:val="0"/>
          <w:sz w:val="60"/>
          <w:szCs w:val="60"/>
        </w:rPr>
      </w:pPr>
    </w:p>
    <w:p w14:paraId="52B5F776">
      <w:pPr>
        <w:pStyle w:val="43"/>
        <w:rPr>
          <w:rFonts w:eastAsiaTheme="majorEastAsia"/>
          <w:b/>
          <w:bCs/>
          <w:spacing w:val="0"/>
          <w:sz w:val="60"/>
          <w:szCs w:val="60"/>
        </w:rPr>
      </w:pPr>
    </w:p>
    <w:p w14:paraId="1EC64A7A">
      <w:pPr>
        <w:pStyle w:val="44"/>
      </w:pPr>
    </w:p>
    <w:p w14:paraId="6A7A2FF7">
      <w:pPr>
        <w:spacing w:line="360" w:lineRule="auto"/>
        <w:jc w:val="center"/>
        <w:rPr>
          <w:rFonts w:eastAsiaTheme="majorEastAsia"/>
          <w:b/>
          <w:bCs/>
          <w:spacing w:val="0"/>
          <w:sz w:val="60"/>
          <w:szCs w:val="60"/>
        </w:rPr>
      </w:pPr>
    </w:p>
    <w:p w14:paraId="390C4814">
      <w:pPr>
        <w:tabs>
          <w:tab w:val="left" w:pos="3240"/>
          <w:tab w:val="left" w:pos="3420"/>
        </w:tabs>
        <w:spacing w:line="360" w:lineRule="auto"/>
        <w:ind w:left="2832" w:leftChars="444" w:hanging="1900" w:hangingChars="528"/>
        <w:jc w:val="left"/>
        <w:rPr>
          <w:rFonts w:hint="eastAsia" w:eastAsiaTheme="minorEastAsia"/>
          <w:bCs/>
          <w:spacing w:val="0"/>
          <w:sz w:val="36"/>
          <w:szCs w:val="36"/>
          <w:highlight w:val="none"/>
          <w:lang w:eastAsia="zh-CN"/>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2026年物业管理服务</w:t>
      </w:r>
    </w:p>
    <w:p w14:paraId="51150423">
      <w:pPr>
        <w:tabs>
          <w:tab w:val="left" w:pos="3240"/>
          <w:tab w:val="left" w:pos="3420"/>
        </w:tabs>
        <w:spacing w:line="360" w:lineRule="auto"/>
        <w:ind w:left="2832" w:leftChars="444" w:hanging="1900" w:hangingChars="528"/>
        <w:jc w:val="left"/>
        <w:rPr>
          <w:rFonts w:hint="eastAsia" w:ascii="宋体" w:hAnsi="宋体" w:cs="宋体"/>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eastAsia="zh-CN"/>
        </w:rPr>
        <w:t>11010525210200026650-XM001</w:t>
      </w:r>
      <w:r>
        <w:rPr>
          <w:rFonts w:hint="eastAsia" w:ascii="宋体" w:hAnsi="宋体" w:eastAsia="宋体" w:cs="宋体"/>
          <w:bCs/>
          <w:spacing w:val="0"/>
          <w:sz w:val="36"/>
          <w:szCs w:val="36"/>
          <w:highlight w:val="none"/>
          <w:lang w:val="en-US" w:eastAsia="zh-CN"/>
        </w:rPr>
        <w:t>/</w:t>
      </w:r>
      <w:r>
        <w:rPr>
          <w:rFonts w:hint="eastAsia" w:ascii="宋体" w:hAnsi="宋体" w:cs="宋体"/>
          <w:bCs/>
          <w:spacing w:val="0"/>
          <w:sz w:val="36"/>
          <w:szCs w:val="36"/>
          <w:highlight w:val="none"/>
          <w:lang w:val="en-US" w:eastAsia="zh-CN"/>
        </w:rPr>
        <w:t>01</w:t>
      </w:r>
    </w:p>
    <w:p w14:paraId="06A8B6DB">
      <w:pPr>
        <w:tabs>
          <w:tab w:val="left" w:pos="3240"/>
          <w:tab w:val="left" w:pos="3420"/>
        </w:tabs>
        <w:spacing w:line="360" w:lineRule="auto"/>
        <w:ind w:left="2832" w:leftChars="444" w:hanging="1900" w:hangingChars="528"/>
        <w:jc w:val="left"/>
        <w:rPr>
          <w:rFonts w:hint="eastAsia" w:eastAsiaTheme="minorEastAsia"/>
          <w:bCs/>
          <w:spacing w:val="0"/>
          <w:sz w:val="36"/>
          <w:szCs w:val="36"/>
          <w:lang w:eastAsia="zh-CN"/>
        </w:rPr>
      </w:pPr>
      <w:r>
        <w:rPr>
          <w:rFonts w:eastAsiaTheme="minorEastAsia"/>
          <w:bCs/>
          <w:spacing w:val="0"/>
          <w:sz w:val="36"/>
          <w:szCs w:val="36"/>
        </w:rPr>
        <w:t>采购人：</w:t>
      </w:r>
      <w:r>
        <w:rPr>
          <w:rFonts w:hint="eastAsia" w:eastAsiaTheme="minorEastAsia"/>
          <w:bCs/>
          <w:spacing w:val="0"/>
          <w:sz w:val="36"/>
          <w:szCs w:val="36"/>
          <w:lang w:eastAsia="zh-CN"/>
        </w:rPr>
        <w:t>北京市第二中学朝阳学校</w:t>
      </w:r>
    </w:p>
    <w:p w14:paraId="498C8536">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rPr>
        <w:t>汇信（北京）工程管理有限公司</w:t>
      </w:r>
    </w:p>
    <w:p w14:paraId="3F9AC6F1">
      <w:pPr>
        <w:widowControl/>
        <w:jc w:val="left"/>
        <w:rPr>
          <w:rFonts w:eastAsiaTheme="minorEastAsia"/>
          <w:spacing w:val="0"/>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pacing w:val="0"/>
          <w:sz w:val="44"/>
        </w:rPr>
        <w:br w:type="page"/>
      </w:r>
    </w:p>
    <w:p w14:paraId="03D497D2">
      <w:pPr>
        <w:spacing w:line="360" w:lineRule="auto"/>
        <w:jc w:val="center"/>
        <w:outlineLvl w:val="0"/>
        <w:rPr>
          <w:rFonts w:eastAsiaTheme="minorEastAsia"/>
          <w:b w:val="0"/>
          <w:bCs/>
          <w:spacing w:val="0"/>
          <w:sz w:val="36"/>
          <w:szCs w:val="36"/>
        </w:rPr>
      </w:pPr>
    </w:p>
    <w:sdt>
      <w:sdtPr>
        <w:rPr>
          <w:rFonts w:ascii="宋体" w:hAnsi="宋体" w:eastAsia="宋体" w:cs="Times New Roman"/>
          <w:b/>
          <w:bCs w:val="0"/>
          <w:kern w:val="2"/>
          <w:sz w:val="40"/>
          <w:szCs w:val="48"/>
          <w:lang w:val="en-US" w:eastAsia="zh-CN" w:bidi="ar-SA"/>
        </w:rPr>
        <w:id w:val="147467376"/>
        <w15:color w:val="DBDBDB"/>
        <w:docPartObj>
          <w:docPartGallery w:val="Table of Contents"/>
          <w:docPartUnique/>
        </w:docPartObj>
      </w:sdtPr>
      <w:sdtEndPr>
        <w:rPr>
          <w:rFonts w:ascii="Times New Roman" w:hAnsi="Times New Roman" w:cs="Times New Roman" w:eastAsiaTheme="minorEastAsia"/>
          <w:b/>
          <w:bCs w:val="0"/>
          <w:spacing w:val="0"/>
          <w:kern w:val="2"/>
          <w:sz w:val="24"/>
          <w:szCs w:val="24"/>
          <w:lang w:val="en-US" w:eastAsia="zh-CN" w:bidi="ar-SA"/>
        </w:rPr>
      </w:sdtEndPr>
      <w:sdtContent>
        <w:p w14:paraId="10DB30FD">
          <w:pPr>
            <w:spacing w:before="0" w:beforeLines="0" w:after="0" w:afterLines="0" w:line="240" w:lineRule="auto"/>
            <w:ind w:left="0" w:leftChars="0" w:right="0" w:rightChars="0" w:firstLine="0" w:firstLineChars="0"/>
            <w:jc w:val="center"/>
            <w:rPr>
              <w:b/>
              <w:bCs w:val="0"/>
              <w:sz w:val="40"/>
              <w:szCs w:val="48"/>
            </w:rPr>
          </w:pPr>
          <w:r>
            <w:rPr>
              <w:rFonts w:ascii="宋体" w:hAnsi="宋体" w:eastAsia="宋体"/>
              <w:b/>
              <w:bCs w:val="0"/>
              <w:sz w:val="40"/>
              <w:szCs w:val="48"/>
            </w:rPr>
            <w:t>目</w:t>
          </w:r>
          <w:r>
            <w:rPr>
              <w:rFonts w:hint="eastAsia" w:ascii="宋体" w:hAnsi="宋体" w:eastAsia="宋体"/>
              <w:b/>
              <w:bCs w:val="0"/>
              <w:sz w:val="40"/>
              <w:szCs w:val="48"/>
              <w:lang w:val="en-US" w:eastAsia="zh-CN"/>
            </w:rPr>
            <w:t xml:space="preserve"> </w:t>
          </w:r>
          <w:r>
            <w:rPr>
              <w:rFonts w:ascii="宋体" w:hAnsi="宋体" w:eastAsia="宋体"/>
              <w:b/>
              <w:bCs w:val="0"/>
              <w:sz w:val="40"/>
              <w:szCs w:val="48"/>
            </w:rPr>
            <w:t>录</w:t>
          </w:r>
        </w:p>
        <w:p w14:paraId="37E87123">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b w:val="0"/>
              <w:spacing w:val="0"/>
              <w:sz w:val="28"/>
              <w:szCs w:val="28"/>
            </w:rPr>
            <w:fldChar w:fldCharType="begin"/>
          </w:r>
          <w:r>
            <w:rPr>
              <w:rFonts w:ascii="Times New Roman" w:hAnsi="Times New Roman" w:eastAsiaTheme="minorEastAsia"/>
              <w:b w:val="0"/>
              <w:spacing w:val="0"/>
              <w:sz w:val="28"/>
              <w:szCs w:val="28"/>
            </w:rPr>
            <w:instrText xml:space="preserve">TOC \o "1-1" \h \u </w:instrText>
          </w:r>
          <w:r>
            <w:rPr>
              <w:rFonts w:ascii="Times New Roman" w:hAnsi="Times New Roman" w:eastAsiaTheme="minorEastAsia"/>
              <w:b w:val="0"/>
              <w:spacing w:val="0"/>
              <w:sz w:val="28"/>
              <w:szCs w:val="28"/>
            </w:rPr>
            <w:fldChar w:fldCharType="separate"/>
          </w: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_Toc11784 </w:instrText>
          </w:r>
          <w:r>
            <w:rPr>
              <w:rFonts w:ascii="Times New Roman" w:hAnsi="Times New Roman" w:eastAsiaTheme="minorEastAsia"/>
              <w:spacing w:val="0"/>
              <w:sz w:val="28"/>
              <w:szCs w:val="28"/>
            </w:rPr>
            <w:fldChar w:fldCharType="separate"/>
          </w:r>
          <w:r>
            <w:rPr>
              <w:rFonts w:eastAsiaTheme="minorEastAsia"/>
              <w:spacing w:val="0"/>
              <w:sz w:val="28"/>
              <w:szCs w:val="40"/>
            </w:rPr>
            <w:t>第一章   采购邀请</w:t>
          </w:r>
          <w:r>
            <w:rPr>
              <w:sz w:val="28"/>
              <w:szCs w:val="28"/>
            </w:rPr>
            <w:tab/>
          </w:r>
          <w:r>
            <w:rPr>
              <w:sz w:val="28"/>
              <w:szCs w:val="28"/>
            </w:rPr>
            <w:fldChar w:fldCharType="begin"/>
          </w:r>
          <w:r>
            <w:rPr>
              <w:sz w:val="28"/>
              <w:szCs w:val="28"/>
            </w:rPr>
            <w:instrText xml:space="preserve"> PAGEREF _Toc11784 \h </w:instrText>
          </w:r>
          <w:r>
            <w:rPr>
              <w:sz w:val="28"/>
              <w:szCs w:val="28"/>
            </w:rPr>
            <w:fldChar w:fldCharType="separate"/>
          </w:r>
          <w:r>
            <w:rPr>
              <w:sz w:val="28"/>
              <w:szCs w:val="28"/>
            </w:rPr>
            <w:t>1</w:t>
          </w:r>
          <w:r>
            <w:rPr>
              <w:sz w:val="28"/>
              <w:szCs w:val="28"/>
            </w:rPr>
            <w:fldChar w:fldCharType="end"/>
          </w:r>
          <w:r>
            <w:rPr>
              <w:rFonts w:ascii="Times New Roman" w:hAnsi="Times New Roman" w:eastAsiaTheme="minorEastAsia"/>
              <w:spacing w:val="0"/>
              <w:sz w:val="28"/>
              <w:szCs w:val="28"/>
            </w:rPr>
            <w:fldChar w:fldCharType="end"/>
          </w:r>
        </w:p>
        <w:p w14:paraId="32F2E04D">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_Toc15945 </w:instrText>
          </w:r>
          <w:r>
            <w:rPr>
              <w:rFonts w:ascii="Times New Roman" w:hAnsi="Times New Roman" w:eastAsiaTheme="minorEastAsia"/>
              <w:spacing w:val="0"/>
              <w:sz w:val="28"/>
              <w:szCs w:val="28"/>
            </w:rPr>
            <w:fldChar w:fldCharType="separate"/>
          </w:r>
          <w:r>
            <w:rPr>
              <w:rFonts w:eastAsiaTheme="minorEastAsia"/>
              <w:spacing w:val="0"/>
              <w:sz w:val="28"/>
              <w:szCs w:val="40"/>
            </w:rPr>
            <w:t>第二章   供应商须知</w:t>
          </w:r>
          <w:r>
            <w:rPr>
              <w:sz w:val="28"/>
              <w:szCs w:val="28"/>
            </w:rPr>
            <w:tab/>
          </w:r>
          <w:r>
            <w:rPr>
              <w:sz w:val="28"/>
              <w:szCs w:val="28"/>
            </w:rPr>
            <w:fldChar w:fldCharType="begin"/>
          </w:r>
          <w:r>
            <w:rPr>
              <w:sz w:val="28"/>
              <w:szCs w:val="28"/>
            </w:rPr>
            <w:instrText xml:space="preserve"> PAGEREF _Toc15945 \h </w:instrText>
          </w:r>
          <w:r>
            <w:rPr>
              <w:sz w:val="28"/>
              <w:szCs w:val="28"/>
            </w:rPr>
            <w:fldChar w:fldCharType="separate"/>
          </w:r>
          <w:r>
            <w:rPr>
              <w:sz w:val="28"/>
              <w:szCs w:val="28"/>
            </w:rPr>
            <w:t>5</w:t>
          </w:r>
          <w:r>
            <w:rPr>
              <w:sz w:val="28"/>
              <w:szCs w:val="28"/>
            </w:rPr>
            <w:fldChar w:fldCharType="end"/>
          </w:r>
          <w:r>
            <w:rPr>
              <w:rFonts w:ascii="Times New Roman" w:hAnsi="Times New Roman" w:eastAsiaTheme="minorEastAsia"/>
              <w:spacing w:val="0"/>
              <w:sz w:val="28"/>
              <w:szCs w:val="28"/>
            </w:rPr>
            <w:fldChar w:fldCharType="end"/>
          </w:r>
        </w:p>
        <w:p w14:paraId="3A9D0F86">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_Toc27470 </w:instrText>
          </w:r>
          <w:r>
            <w:rPr>
              <w:rFonts w:ascii="Times New Roman" w:hAnsi="Times New Roman" w:eastAsiaTheme="minorEastAsia"/>
              <w:spacing w:val="0"/>
              <w:sz w:val="28"/>
              <w:szCs w:val="28"/>
            </w:rPr>
            <w:fldChar w:fldCharType="separate"/>
          </w:r>
          <w:r>
            <w:rPr>
              <w:rFonts w:eastAsiaTheme="minorEastAsia"/>
              <w:spacing w:val="0"/>
              <w:sz w:val="28"/>
              <w:szCs w:val="40"/>
            </w:rPr>
            <w:t>第三章   评审方法和评审标准</w:t>
          </w:r>
          <w:r>
            <w:rPr>
              <w:sz w:val="28"/>
              <w:szCs w:val="28"/>
            </w:rPr>
            <w:tab/>
          </w:r>
          <w:r>
            <w:rPr>
              <w:sz w:val="28"/>
              <w:szCs w:val="28"/>
            </w:rPr>
            <w:fldChar w:fldCharType="begin"/>
          </w:r>
          <w:r>
            <w:rPr>
              <w:sz w:val="28"/>
              <w:szCs w:val="28"/>
            </w:rPr>
            <w:instrText xml:space="preserve"> PAGEREF _Toc27470 \h </w:instrText>
          </w:r>
          <w:r>
            <w:rPr>
              <w:sz w:val="28"/>
              <w:szCs w:val="28"/>
            </w:rPr>
            <w:fldChar w:fldCharType="separate"/>
          </w:r>
          <w:r>
            <w:rPr>
              <w:sz w:val="28"/>
              <w:szCs w:val="28"/>
            </w:rPr>
            <w:t>20</w:t>
          </w:r>
          <w:r>
            <w:rPr>
              <w:sz w:val="28"/>
              <w:szCs w:val="28"/>
            </w:rPr>
            <w:fldChar w:fldCharType="end"/>
          </w:r>
          <w:r>
            <w:rPr>
              <w:rFonts w:ascii="Times New Roman" w:hAnsi="Times New Roman" w:eastAsiaTheme="minorEastAsia"/>
              <w:spacing w:val="0"/>
              <w:sz w:val="28"/>
              <w:szCs w:val="28"/>
            </w:rPr>
            <w:fldChar w:fldCharType="end"/>
          </w:r>
        </w:p>
        <w:p w14:paraId="0953D12F">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_Toc13331 </w:instrText>
          </w:r>
          <w:r>
            <w:rPr>
              <w:rFonts w:ascii="Times New Roman" w:hAnsi="Times New Roman" w:eastAsiaTheme="minorEastAsia"/>
              <w:spacing w:val="0"/>
              <w:sz w:val="28"/>
              <w:szCs w:val="28"/>
            </w:rPr>
            <w:fldChar w:fldCharType="separate"/>
          </w:r>
          <w:r>
            <w:rPr>
              <w:rFonts w:eastAsiaTheme="minorEastAsia"/>
              <w:spacing w:val="0"/>
              <w:sz w:val="28"/>
              <w:szCs w:val="40"/>
              <w:highlight w:val="none"/>
            </w:rPr>
            <w:t>第四章   采购需求</w:t>
          </w:r>
          <w:r>
            <w:rPr>
              <w:sz w:val="28"/>
              <w:szCs w:val="28"/>
            </w:rPr>
            <w:tab/>
          </w:r>
          <w:r>
            <w:rPr>
              <w:sz w:val="28"/>
              <w:szCs w:val="28"/>
            </w:rPr>
            <w:fldChar w:fldCharType="begin"/>
          </w:r>
          <w:r>
            <w:rPr>
              <w:sz w:val="28"/>
              <w:szCs w:val="28"/>
            </w:rPr>
            <w:instrText xml:space="preserve"> PAGEREF _Toc13331 \h </w:instrText>
          </w:r>
          <w:r>
            <w:rPr>
              <w:sz w:val="28"/>
              <w:szCs w:val="28"/>
            </w:rPr>
            <w:fldChar w:fldCharType="separate"/>
          </w:r>
          <w:r>
            <w:rPr>
              <w:sz w:val="28"/>
              <w:szCs w:val="28"/>
            </w:rPr>
            <w:t>31</w:t>
          </w:r>
          <w:r>
            <w:rPr>
              <w:sz w:val="28"/>
              <w:szCs w:val="28"/>
            </w:rPr>
            <w:fldChar w:fldCharType="end"/>
          </w:r>
          <w:r>
            <w:rPr>
              <w:rFonts w:ascii="Times New Roman" w:hAnsi="Times New Roman" w:eastAsiaTheme="minorEastAsia"/>
              <w:spacing w:val="0"/>
              <w:sz w:val="28"/>
              <w:szCs w:val="28"/>
            </w:rPr>
            <w:fldChar w:fldCharType="end"/>
          </w:r>
        </w:p>
        <w:p w14:paraId="7D2DB2A8">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_Toc28338 </w:instrText>
          </w:r>
          <w:r>
            <w:rPr>
              <w:rFonts w:ascii="Times New Roman" w:hAnsi="Times New Roman" w:eastAsiaTheme="minorEastAsia"/>
              <w:spacing w:val="0"/>
              <w:sz w:val="28"/>
              <w:szCs w:val="28"/>
            </w:rPr>
            <w:fldChar w:fldCharType="separate"/>
          </w:r>
          <w:r>
            <w:rPr>
              <w:rFonts w:eastAsiaTheme="minorEastAsia"/>
              <w:spacing w:val="0"/>
              <w:sz w:val="28"/>
              <w:szCs w:val="40"/>
              <w:highlight w:val="none"/>
            </w:rPr>
            <w:t>第五章   合同草案条款</w:t>
          </w:r>
          <w:r>
            <w:rPr>
              <w:sz w:val="28"/>
              <w:szCs w:val="28"/>
            </w:rPr>
            <w:tab/>
          </w:r>
          <w:r>
            <w:rPr>
              <w:sz w:val="28"/>
              <w:szCs w:val="28"/>
            </w:rPr>
            <w:fldChar w:fldCharType="begin"/>
          </w:r>
          <w:r>
            <w:rPr>
              <w:sz w:val="28"/>
              <w:szCs w:val="28"/>
            </w:rPr>
            <w:instrText xml:space="preserve"> PAGEREF _Toc28338 \h </w:instrText>
          </w:r>
          <w:r>
            <w:rPr>
              <w:sz w:val="28"/>
              <w:szCs w:val="28"/>
            </w:rPr>
            <w:fldChar w:fldCharType="separate"/>
          </w:r>
          <w:r>
            <w:rPr>
              <w:sz w:val="28"/>
              <w:szCs w:val="28"/>
            </w:rPr>
            <w:t>33</w:t>
          </w:r>
          <w:r>
            <w:rPr>
              <w:sz w:val="28"/>
              <w:szCs w:val="28"/>
            </w:rPr>
            <w:fldChar w:fldCharType="end"/>
          </w:r>
          <w:r>
            <w:rPr>
              <w:rFonts w:ascii="Times New Roman" w:hAnsi="Times New Roman" w:eastAsiaTheme="minorEastAsia"/>
              <w:spacing w:val="0"/>
              <w:sz w:val="28"/>
              <w:szCs w:val="28"/>
            </w:rPr>
            <w:fldChar w:fldCharType="end"/>
          </w:r>
        </w:p>
        <w:p w14:paraId="7E433808">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ascii="Times New Roman" w:hAnsi="Times New Roman" w:eastAsiaTheme="minorEastAsia"/>
              <w:spacing w:val="0"/>
              <w:sz w:val="28"/>
              <w:szCs w:val="28"/>
            </w:rPr>
            <w:fldChar w:fldCharType="begin"/>
          </w:r>
          <w:r>
            <w:rPr>
              <w:rFonts w:ascii="Times New Roman" w:hAnsi="Times New Roman" w:eastAsiaTheme="minorEastAsia"/>
              <w:spacing w:val="0"/>
              <w:sz w:val="28"/>
              <w:szCs w:val="28"/>
            </w:rPr>
            <w:instrText xml:space="preserve"> HYPERLINK \l _Toc12990 </w:instrText>
          </w:r>
          <w:r>
            <w:rPr>
              <w:rFonts w:ascii="Times New Roman" w:hAnsi="Times New Roman" w:eastAsiaTheme="minorEastAsia"/>
              <w:spacing w:val="0"/>
              <w:sz w:val="28"/>
              <w:szCs w:val="28"/>
            </w:rPr>
            <w:fldChar w:fldCharType="separate"/>
          </w:r>
          <w:r>
            <w:rPr>
              <w:rFonts w:eastAsiaTheme="minorEastAsia"/>
              <w:spacing w:val="0"/>
              <w:sz w:val="28"/>
              <w:szCs w:val="40"/>
            </w:rPr>
            <w:t>第六章   响应文件格式</w:t>
          </w:r>
          <w:r>
            <w:rPr>
              <w:sz w:val="28"/>
              <w:szCs w:val="28"/>
            </w:rPr>
            <w:tab/>
          </w:r>
          <w:r>
            <w:rPr>
              <w:sz w:val="28"/>
              <w:szCs w:val="28"/>
            </w:rPr>
            <w:fldChar w:fldCharType="begin"/>
          </w:r>
          <w:r>
            <w:rPr>
              <w:sz w:val="28"/>
              <w:szCs w:val="28"/>
            </w:rPr>
            <w:instrText xml:space="preserve"> PAGEREF _Toc12990 \h </w:instrText>
          </w:r>
          <w:r>
            <w:rPr>
              <w:sz w:val="28"/>
              <w:szCs w:val="28"/>
            </w:rPr>
            <w:fldChar w:fldCharType="separate"/>
          </w:r>
          <w:r>
            <w:rPr>
              <w:sz w:val="28"/>
              <w:szCs w:val="28"/>
            </w:rPr>
            <w:t>40</w:t>
          </w:r>
          <w:r>
            <w:rPr>
              <w:sz w:val="28"/>
              <w:szCs w:val="28"/>
            </w:rPr>
            <w:fldChar w:fldCharType="end"/>
          </w:r>
          <w:r>
            <w:rPr>
              <w:rFonts w:ascii="Times New Roman" w:hAnsi="Times New Roman" w:eastAsiaTheme="minorEastAsia"/>
              <w:spacing w:val="0"/>
              <w:sz w:val="28"/>
              <w:szCs w:val="28"/>
            </w:rPr>
            <w:fldChar w:fldCharType="end"/>
          </w:r>
        </w:p>
        <w:p w14:paraId="4DAD5F2C">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
              <w:spacing w:val="0"/>
              <w:kern w:val="2"/>
              <w:sz w:val="24"/>
              <w:szCs w:val="24"/>
              <w:lang w:val="en-US" w:eastAsia="zh-CN" w:bidi="ar-SA"/>
            </w:rPr>
          </w:pPr>
          <w:r>
            <w:rPr>
              <w:rFonts w:ascii="Times New Roman" w:hAnsi="Times New Roman" w:eastAsiaTheme="minorEastAsia"/>
              <w:spacing w:val="0"/>
              <w:sz w:val="28"/>
              <w:szCs w:val="28"/>
            </w:rPr>
            <w:fldChar w:fldCharType="end"/>
          </w:r>
        </w:p>
      </w:sdtContent>
    </w:sdt>
    <w:p w14:paraId="2770202F"/>
    <w:p w14:paraId="5B405BAA">
      <w:pPr>
        <w:pStyle w:val="31"/>
        <w:spacing w:line="360" w:lineRule="auto"/>
        <w:rPr>
          <w:rFonts w:ascii="Times New Roman" w:hAnsi="Times New Roman" w:eastAsiaTheme="minorEastAsia"/>
          <w:b w:val="0"/>
          <w:spacing w:val="0"/>
        </w:rPr>
      </w:pPr>
    </w:p>
    <w:p w14:paraId="262B61DF">
      <w:pPr>
        <w:pStyle w:val="31"/>
        <w:spacing w:line="360" w:lineRule="auto"/>
        <w:rPr>
          <w:rFonts w:ascii="Times New Roman" w:hAnsi="Times New Roman" w:eastAsiaTheme="minorEastAsia"/>
          <w:b w:val="0"/>
          <w:spacing w:val="0"/>
          <w:sz w:val="36"/>
          <w:szCs w:val="36"/>
        </w:rPr>
      </w:pPr>
    </w:p>
    <w:p w14:paraId="1448864F">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FB598A8">
      <w:pPr>
        <w:spacing w:line="360" w:lineRule="auto"/>
        <w:jc w:val="center"/>
        <w:outlineLvl w:val="0"/>
        <w:rPr>
          <w:rFonts w:eastAsiaTheme="minorEastAsia"/>
          <w:b/>
          <w:spacing w:val="0"/>
          <w:sz w:val="36"/>
          <w:szCs w:val="36"/>
        </w:rPr>
      </w:pPr>
      <w:bookmarkStart w:id="0" w:name="_Toc11784"/>
      <w:bookmarkStart w:id="1" w:name="_Toc15627"/>
      <w:r>
        <w:rPr>
          <w:rFonts w:eastAsiaTheme="minorEastAsia"/>
          <w:b/>
          <w:spacing w:val="0"/>
          <w:sz w:val="36"/>
          <w:szCs w:val="36"/>
        </w:rPr>
        <w:t>第一章   采购邀请</w:t>
      </w:r>
      <w:bookmarkEnd w:id="0"/>
      <w:bookmarkEnd w:id="1"/>
      <w:bookmarkStart w:id="2" w:name="_Toc35393790"/>
      <w:bookmarkStart w:id="3" w:name="_Hlk24379207"/>
      <w:bookmarkStart w:id="4" w:name="_Toc28359079"/>
      <w:bookmarkStart w:id="5" w:name="_Toc35393621"/>
      <w:bookmarkStart w:id="6" w:name="_Toc28359002"/>
    </w:p>
    <w:p w14:paraId="4B54304B">
      <w:pPr>
        <w:spacing w:line="360" w:lineRule="auto"/>
        <w:ind w:firstLine="480" w:firstLineChars="200"/>
        <w:rPr>
          <w:rFonts w:eastAsiaTheme="minorEastAsia"/>
          <w:spacing w:val="0"/>
          <w:sz w:val="24"/>
        </w:rPr>
      </w:pPr>
    </w:p>
    <w:bookmarkEnd w:id="2"/>
    <w:bookmarkEnd w:id="3"/>
    <w:bookmarkEnd w:id="4"/>
    <w:bookmarkEnd w:id="5"/>
    <w:bookmarkEnd w:id="6"/>
    <w:p w14:paraId="4D381B40">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14:paraId="21DBDAE6">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11010525210200026650-XM001</w:t>
      </w:r>
    </w:p>
    <w:p w14:paraId="68E3025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2026年物业管理服务</w:t>
      </w:r>
    </w:p>
    <w:p w14:paraId="2F68E66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14:paraId="1E97D49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211.485</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cs="宋体"/>
          <w:color w:val="000000" w:themeColor="text1"/>
          <w:spacing w:val="0"/>
          <w:sz w:val="24"/>
          <w:szCs w:val="24"/>
          <w:highlight w:val="none"/>
          <w:lang w:val="en-US" w:eastAsia="zh-CN"/>
          <w14:textFill>
            <w14:solidFill>
              <w14:schemeClr w14:val="tx1"/>
            </w14:solidFill>
          </w14:textFill>
        </w:rPr>
        <w:t>最高限价（如有）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211.485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5E0C418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w:t>
      </w:r>
      <w:r>
        <w:rPr>
          <w:rFonts w:hint="eastAsia" w:ascii="宋体" w:hAnsi="宋体" w:cs="宋体"/>
          <w:color w:val="auto"/>
          <w:sz w:val="24"/>
        </w:rPr>
        <w:t>具体详见竞争性磋商文件</w:t>
      </w:r>
      <w:r>
        <w:rPr>
          <w:rFonts w:hint="eastAsia" w:ascii="宋体" w:hAnsi="宋体" w:cs="宋体"/>
          <w:color w:val="auto"/>
          <w:sz w:val="24"/>
          <w:lang w:val="en-US" w:eastAsia="zh-CN"/>
        </w:rPr>
        <w:t>第四章</w:t>
      </w:r>
      <w:r>
        <w:rPr>
          <w:rFonts w:hint="eastAsia" w:ascii="宋体" w:hAnsi="宋体" w:cs="宋体"/>
          <w:color w:val="auto"/>
          <w:sz w:val="24"/>
        </w:rPr>
        <w:t>。</w:t>
      </w:r>
    </w:p>
    <w:p w14:paraId="2E766AC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1年。</w:t>
      </w:r>
    </w:p>
    <w:p w14:paraId="5F41624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 xml:space="preserve">.本项目是否接受联合体：□是  </w:t>
      </w:r>
      <w:r>
        <w:rPr>
          <w:rFonts w:hint="eastAsia" w:ascii="宋体" w:hAnsi="宋体" w:eastAsia="宋体" w:cs="宋体"/>
          <w:b/>
          <w:bCs/>
          <w:spacing w:val="0"/>
          <w:sz w:val="24"/>
          <w:szCs w:val="24"/>
        </w:rPr>
        <w:t>■</w:t>
      </w:r>
      <w:r>
        <w:rPr>
          <w:rFonts w:hint="eastAsia" w:ascii="宋体" w:hAnsi="宋体" w:eastAsia="宋体" w:cs="宋体"/>
          <w:spacing w:val="0"/>
          <w:sz w:val="24"/>
          <w:szCs w:val="24"/>
        </w:rPr>
        <w:t>否。</w:t>
      </w:r>
    </w:p>
    <w:p w14:paraId="30F122E3">
      <w:pPr>
        <w:pStyle w:val="3"/>
        <w:spacing w:before="0" w:line="360" w:lineRule="auto"/>
        <w:jc w:val="left"/>
        <w:rPr>
          <w:rFonts w:ascii="Times New Roman" w:hAnsi="Times New Roman" w:eastAsiaTheme="minorEastAsia"/>
          <w:spacing w:val="0"/>
          <w:sz w:val="24"/>
          <w:szCs w:val="24"/>
        </w:rPr>
      </w:pPr>
      <w:bookmarkStart w:id="7" w:name="_Toc35393791"/>
      <w:bookmarkStart w:id="8" w:name="_Toc35393622"/>
      <w:bookmarkStart w:id="9" w:name="_Toc28359080"/>
      <w:bookmarkStart w:id="10" w:name="_Toc28359003"/>
      <w:r>
        <w:rPr>
          <w:rFonts w:ascii="Times New Roman" w:hAnsi="Times New Roman" w:eastAsiaTheme="minorEastAsia"/>
          <w:spacing w:val="0"/>
          <w:sz w:val="24"/>
          <w:szCs w:val="24"/>
        </w:rPr>
        <w:t>二、申请人的资格要求（须同时满足）</w:t>
      </w:r>
      <w:bookmarkEnd w:id="7"/>
      <w:bookmarkEnd w:id="8"/>
      <w:bookmarkEnd w:id="9"/>
      <w:bookmarkEnd w:id="10"/>
    </w:p>
    <w:p w14:paraId="527A00D4">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2CD72386">
      <w:pPr>
        <w:spacing w:line="360" w:lineRule="auto"/>
        <w:ind w:firstLine="480" w:firstLineChars="200"/>
        <w:rPr>
          <w:rFonts w:eastAsiaTheme="minorEastAsia"/>
          <w:spacing w:val="0"/>
          <w:sz w:val="24"/>
        </w:rPr>
      </w:pPr>
      <w:bookmarkStart w:id="11" w:name="_Toc28359081"/>
      <w:bookmarkStart w:id="12" w:name="_Toc28359004"/>
      <w:r>
        <w:rPr>
          <w:rFonts w:eastAsiaTheme="minorEastAsia"/>
          <w:spacing w:val="0"/>
          <w:sz w:val="24"/>
        </w:rPr>
        <w:t>2.落实政府采购政策需满足的资格要求：</w:t>
      </w:r>
    </w:p>
    <w:p w14:paraId="6648FD6C">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195BA6E1">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3C2B378">
      <w:pPr>
        <w:spacing w:line="360" w:lineRule="auto"/>
        <w:ind w:firstLine="482"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本项目专门面向  </w:t>
      </w: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5B2FB1C8">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45E93650">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A33B602">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1FEDD394">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68433CC6">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134490E8">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0E0BD612">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14:textFill>
            <w14:solidFill>
              <w14:schemeClr w14:val="tx1"/>
            </w14:solidFill>
          </w14:textFill>
        </w:rPr>
        <w:t>供应商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F0CDA2B">
      <w:pPr>
        <w:spacing w:line="360" w:lineRule="auto"/>
        <w:ind w:firstLine="480" w:firstLineChars="200"/>
        <w:rPr>
          <w:rFonts w:eastAsiaTheme="minorEastAsia"/>
          <w:i/>
          <w:iCs/>
          <w:spacing w:val="0"/>
          <w:sz w:val="24"/>
          <w:u w:val="single"/>
        </w:rPr>
      </w:pPr>
    </w:p>
    <w:bookmarkEnd w:id="11"/>
    <w:bookmarkEnd w:id="12"/>
    <w:p w14:paraId="23F0796F">
      <w:pPr>
        <w:pStyle w:val="3"/>
        <w:widowControl/>
        <w:spacing w:before="0" w:line="360" w:lineRule="auto"/>
        <w:jc w:val="left"/>
        <w:rPr>
          <w:rFonts w:ascii="Times New Roman" w:hAnsi="Times New Roman" w:eastAsiaTheme="minorEastAsia"/>
          <w:spacing w:val="0"/>
          <w:sz w:val="24"/>
          <w:szCs w:val="24"/>
          <w:highlight w:val="none"/>
        </w:rPr>
      </w:pPr>
      <w:bookmarkStart w:id="13" w:name="_Toc35393792"/>
      <w:bookmarkStart w:id="14" w:name="_Toc35393623"/>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13"/>
      <w:bookmarkEnd w:id="14"/>
    </w:p>
    <w:p w14:paraId="57F1DEE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18</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24</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2F6F3CB5">
      <w:pPr>
        <w:adjustRightInd w:val="0"/>
        <w:snapToGrid w:val="0"/>
        <w:spacing w:line="360" w:lineRule="auto"/>
        <w:ind w:firstLine="480" w:firstLineChars="200"/>
        <w:rPr>
          <w:rFonts w:eastAsiaTheme="minorEastAsia"/>
          <w:spacing w:val="0"/>
          <w:sz w:val="24"/>
          <w:highlight w:val="none"/>
        </w:rPr>
      </w:pPr>
      <w:bookmarkStart w:id="15" w:name="_Toc28359005"/>
      <w:bookmarkStart w:id="16" w:name="_Toc35393624"/>
      <w:bookmarkStart w:id="17" w:name="_Toc35393793"/>
      <w:bookmarkStart w:id="18" w:name="_Toc28359082"/>
      <w:r>
        <w:rPr>
          <w:rFonts w:eastAsiaTheme="minorEastAsia"/>
          <w:spacing w:val="0"/>
          <w:sz w:val="24"/>
          <w:highlight w:val="none"/>
          <w:lang w:bidi="ar"/>
        </w:rPr>
        <w:t>2.地点：北京市政府采购电子交易平台</w:t>
      </w:r>
    </w:p>
    <w:p w14:paraId="5D42762F">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2CAED6F6">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7ABC2C3D">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15"/>
      <w:bookmarkEnd w:id="16"/>
      <w:bookmarkEnd w:id="17"/>
      <w:bookmarkEnd w:id="18"/>
      <w:r>
        <w:rPr>
          <w:rFonts w:ascii="Times New Roman" w:hAnsi="Times New Roman" w:eastAsiaTheme="minorEastAsia"/>
          <w:spacing w:val="0"/>
          <w:sz w:val="24"/>
          <w:szCs w:val="24"/>
          <w:highlight w:val="none"/>
        </w:rPr>
        <w:t>响应文件提交</w:t>
      </w:r>
    </w:p>
    <w:p w14:paraId="56C4DAF3">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053E6377">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eastAsiaTheme="minorEastAsia"/>
          <w:spacing w:val="0"/>
          <w:sz w:val="24"/>
          <w:highlight w:val="none"/>
          <w:lang w:val="zh-TW" w:bidi="ar"/>
        </w:rPr>
        <w:t>。</w:t>
      </w:r>
    </w:p>
    <w:p w14:paraId="4B9D4A6D">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15574290">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29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09</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00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14:paraId="15D13BA2">
      <w:pPr>
        <w:spacing w:line="360" w:lineRule="auto"/>
        <w:ind w:firstLine="480" w:firstLineChars="200"/>
        <w:rPr>
          <w:rFonts w:eastAsiaTheme="minorEastAsia"/>
          <w:spacing w:val="0"/>
          <w:sz w:val="24"/>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本项目采用远程电子开标方式，由投标</w:t>
      </w:r>
      <w:r>
        <w:rPr>
          <w:rFonts w:hint="eastAsia" w:ascii="宋体" w:hAnsi="宋体" w:eastAsia="宋体" w:cs="宋体"/>
          <w:spacing w:val="0"/>
          <w:w w:val="100"/>
          <w:position w:val="0"/>
          <w:sz w:val="24"/>
          <w:szCs w:val="24"/>
          <w:u w:val="single" w:color="auto"/>
        </w:rPr>
        <w:t>人自行对电子投标文件进行解密或供应商在开标地点使用CA认证证书登录北京市政府采购电子交易平台进行电子开标</w:t>
      </w:r>
      <w:r>
        <w:rPr>
          <w:rFonts w:eastAsiaTheme="minorEastAsia"/>
          <w:spacing w:val="0"/>
          <w:sz w:val="24"/>
          <w:lang w:val="zh-TW" w:bidi="ar"/>
        </w:rPr>
        <w:t>。</w:t>
      </w:r>
    </w:p>
    <w:p w14:paraId="27EC5A12">
      <w:pPr>
        <w:pStyle w:val="3"/>
        <w:spacing w:before="0" w:line="360" w:lineRule="auto"/>
        <w:jc w:val="left"/>
        <w:rPr>
          <w:rFonts w:ascii="Times New Roman" w:hAnsi="Times New Roman" w:eastAsiaTheme="minorEastAsia"/>
          <w:spacing w:val="0"/>
          <w:sz w:val="24"/>
          <w:szCs w:val="24"/>
        </w:rPr>
      </w:pPr>
      <w:bookmarkStart w:id="19" w:name="_Toc28359084"/>
      <w:bookmarkStart w:id="20" w:name="_Toc35393625"/>
      <w:bookmarkStart w:id="21" w:name="_Toc28359007"/>
      <w:bookmarkStart w:id="22" w:name="_Toc35393794"/>
      <w:r>
        <w:rPr>
          <w:rFonts w:ascii="Times New Roman" w:hAnsi="Times New Roman" w:eastAsiaTheme="minorEastAsia"/>
          <w:spacing w:val="0"/>
          <w:sz w:val="24"/>
          <w:szCs w:val="24"/>
        </w:rPr>
        <w:t>六、公告期限</w:t>
      </w:r>
      <w:bookmarkEnd w:id="19"/>
      <w:bookmarkEnd w:id="20"/>
      <w:bookmarkEnd w:id="21"/>
      <w:bookmarkEnd w:id="22"/>
    </w:p>
    <w:p w14:paraId="21800911">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65211675">
      <w:pPr>
        <w:pStyle w:val="3"/>
        <w:spacing w:before="0" w:line="360" w:lineRule="auto"/>
        <w:jc w:val="left"/>
        <w:rPr>
          <w:rFonts w:ascii="Times New Roman" w:hAnsi="Times New Roman" w:eastAsiaTheme="minorEastAsia"/>
          <w:spacing w:val="0"/>
          <w:sz w:val="24"/>
          <w:szCs w:val="24"/>
        </w:rPr>
      </w:pPr>
      <w:bookmarkStart w:id="23" w:name="_Toc35393626"/>
      <w:bookmarkStart w:id="24" w:name="_Toc35393795"/>
      <w:r>
        <w:rPr>
          <w:rFonts w:ascii="Times New Roman" w:hAnsi="Times New Roman" w:eastAsiaTheme="minorEastAsia"/>
          <w:spacing w:val="0"/>
          <w:sz w:val="24"/>
          <w:szCs w:val="24"/>
        </w:rPr>
        <w:t>七、其他补充事宜</w:t>
      </w:r>
      <w:bookmarkEnd w:id="23"/>
      <w:bookmarkEnd w:id="24"/>
    </w:p>
    <w:p w14:paraId="66AA8A73">
      <w:pPr>
        <w:numPr>
          <w:ilvl w:val="0"/>
          <w:numId w:val="0"/>
        </w:numPr>
        <w:spacing w:line="360" w:lineRule="auto"/>
        <w:ind w:firstLine="480" w:firstLineChars="200"/>
        <w:rPr>
          <w:rFonts w:hint="eastAsia" w:ascii="宋体" w:hAnsi="宋体" w:eastAsia="宋体" w:cs="宋体"/>
          <w:bCs/>
          <w:sz w:val="24"/>
          <w:szCs w:val="24"/>
        </w:rPr>
      </w:pPr>
      <w:bookmarkStart w:id="25" w:name="_Toc28359085"/>
      <w:bookmarkStart w:id="26" w:name="_Toc35393627"/>
      <w:bookmarkStart w:id="27" w:name="_Toc35393796"/>
      <w:bookmarkStart w:id="28" w:name="_Toc28359008"/>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1B52B39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1C3376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0483CE1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44E054D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727D5EF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52B1FDC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3ADDE52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3A1C068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73AD9FC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5078269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1C3E1F3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951BD4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05BF905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供应商使用CA数字证书或电子营业执照登录北京市政府采购电子交易平台获取电子招标文件。</w:t>
      </w:r>
    </w:p>
    <w:p w14:paraId="032FCA6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2CB47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2.5编制电子投标文件</w:t>
      </w:r>
    </w:p>
    <w:p w14:paraId="7FE116D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6B66A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p>
    <w:p w14:paraId="24307D3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28651CAC">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p>
    <w:p w14:paraId="752774F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28249D82">
      <w:pPr>
        <w:pStyle w:val="3"/>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5"/>
      <w:bookmarkEnd w:id="26"/>
      <w:bookmarkEnd w:id="27"/>
      <w:bookmarkEnd w:id="28"/>
    </w:p>
    <w:p w14:paraId="33E5E24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353B6093">
      <w:pPr>
        <w:spacing w:line="360" w:lineRule="auto"/>
        <w:ind w:left="1079" w:leftChars="371" w:hanging="300" w:hangingChars="125"/>
        <w:jc w:val="left"/>
        <w:rPr>
          <w:rFonts w:hint="eastAsia" w:ascii="宋体" w:hAnsi="宋体" w:eastAsia="宋体" w:cs="宋体"/>
          <w:spacing w:val="0"/>
          <w:sz w:val="24"/>
          <w:lang w:eastAsia="zh-CN"/>
        </w:rPr>
      </w:pPr>
      <w:bookmarkStart w:id="29" w:name="_Toc28359086"/>
      <w:bookmarkStart w:id="30" w:name="_Toc28359009"/>
      <w:r>
        <w:rPr>
          <w:rFonts w:hint="eastAsia" w:ascii="宋体" w:hAnsi="宋体" w:eastAsia="宋体" w:cs="宋体"/>
          <w:spacing w:val="0"/>
          <w:sz w:val="24"/>
        </w:rPr>
        <w:t>名    称：</w:t>
      </w:r>
      <w:r>
        <w:rPr>
          <w:rFonts w:hint="eastAsia" w:ascii="宋体" w:hAnsi="宋体" w:cs="宋体"/>
          <w:spacing w:val="0"/>
          <w:sz w:val="24"/>
          <w:u w:val="single"/>
          <w:lang w:eastAsia="zh-CN"/>
        </w:rPr>
        <w:t>北京市第二中学朝阳学校</w:t>
      </w:r>
    </w:p>
    <w:p w14:paraId="53A2373E">
      <w:pPr>
        <w:spacing w:line="360" w:lineRule="auto"/>
        <w:ind w:left="1079" w:leftChars="371" w:hanging="300" w:hangingChars="125"/>
        <w:jc w:val="left"/>
        <w:rPr>
          <w:rFonts w:hint="eastAsia" w:ascii="宋体" w:hAnsi="宋体" w:eastAsia="宋体" w:cs="宋体"/>
          <w:spacing w:val="0"/>
          <w:sz w:val="24"/>
          <w:u w:val="single"/>
        </w:rPr>
      </w:pPr>
      <w:r>
        <w:rPr>
          <w:rFonts w:hint="eastAsia" w:ascii="宋体" w:hAnsi="宋体" w:eastAsia="宋体" w:cs="宋体"/>
          <w:spacing w:val="0"/>
          <w:sz w:val="24"/>
        </w:rPr>
        <w:t>地</w:t>
      </w:r>
      <w:r>
        <w:rPr>
          <w:rFonts w:hint="eastAsia" w:ascii="宋体" w:hAnsi="宋体" w:eastAsia="宋体" w:cs="宋体"/>
          <w:spacing w:val="0"/>
          <w:sz w:val="24"/>
          <w:lang w:val="en-US" w:eastAsia="zh-CN"/>
        </w:rPr>
        <w:t xml:space="preserve">    </w:t>
      </w:r>
      <w:r>
        <w:rPr>
          <w:rFonts w:hint="eastAsia" w:ascii="宋体" w:hAnsi="宋体" w:eastAsia="宋体" w:cs="宋体"/>
          <w:spacing w:val="0"/>
          <w:sz w:val="24"/>
        </w:rPr>
        <w:t>址：</w:t>
      </w:r>
      <w:r>
        <w:rPr>
          <w:rFonts w:hint="eastAsia" w:ascii="宋体" w:hAnsi="宋体" w:eastAsia="宋体" w:cs="宋体"/>
          <w:spacing w:val="0"/>
          <w:sz w:val="24"/>
          <w:u w:val="single"/>
        </w:rPr>
        <w:t>北京市朝阳区姚家园西里 6 号</w:t>
      </w:r>
    </w:p>
    <w:p w14:paraId="0876F64D">
      <w:pPr>
        <w:spacing w:line="360" w:lineRule="auto"/>
        <w:ind w:left="1079" w:leftChars="371" w:hanging="300" w:hangingChars="125"/>
        <w:jc w:val="left"/>
        <w:rPr>
          <w:rFonts w:hint="eastAsia" w:ascii="宋体" w:hAnsi="宋体" w:eastAsia="宋体" w:cs="宋体"/>
          <w:spacing w:val="0"/>
          <w:sz w:val="24"/>
        </w:rPr>
      </w:pPr>
      <w:r>
        <w:rPr>
          <w:rFonts w:hint="eastAsia" w:ascii="宋体" w:hAnsi="宋体" w:eastAsia="宋体" w:cs="宋体"/>
          <w:spacing w:val="0"/>
          <w:sz w:val="24"/>
        </w:rPr>
        <w:t>联系方式：</w:t>
      </w:r>
      <w:r>
        <w:rPr>
          <w:rFonts w:hint="eastAsia" w:ascii="宋体" w:hAnsi="宋体" w:eastAsia="宋体" w:cs="宋体"/>
          <w:spacing w:val="0"/>
          <w:sz w:val="24"/>
          <w:u w:val="single"/>
        </w:rPr>
        <w:t>李</w:t>
      </w:r>
      <w:r>
        <w:rPr>
          <w:rFonts w:hint="eastAsia" w:ascii="宋体" w:hAnsi="宋体" w:cs="宋体"/>
          <w:spacing w:val="0"/>
          <w:sz w:val="24"/>
          <w:u w:val="single"/>
          <w:lang w:val="en-US" w:eastAsia="zh-CN"/>
        </w:rPr>
        <w:t>老师</w:t>
      </w:r>
      <w:r>
        <w:rPr>
          <w:rFonts w:hint="eastAsia" w:ascii="宋体" w:hAnsi="宋体" w:eastAsia="宋体" w:cs="宋体"/>
          <w:spacing w:val="0"/>
          <w:sz w:val="24"/>
          <w:u w:val="single"/>
        </w:rPr>
        <w:t>、010-85818256</w:t>
      </w:r>
    </w:p>
    <w:p w14:paraId="145FA8E2">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9"/>
      <w:bookmarkEnd w:id="30"/>
    </w:p>
    <w:p w14:paraId="558B73CF">
      <w:pPr>
        <w:spacing w:line="360" w:lineRule="auto"/>
        <w:ind w:left="1076" w:leftChars="371" w:hanging="297" w:hangingChars="124"/>
        <w:jc w:val="left"/>
        <w:rPr>
          <w:rFonts w:eastAsiaTheme="minorEastAsia"/>
          <w:spacing w:val="0"/>
          <w:sz w:val="24"/>
        </w:rPr>
      </w:pPr>
      <w:bookmarkStart w:id="31" w:name="_Toc28359010"/>
      <w:bookmarkStart w:id="32" w:name="_Toc28359087"/>
      <w:r>
        <w:rPr>
          <w:rFonts w:eastAsiaTheme="minorEastAsia"/>
          <w:spacing w:val="0"/>
          <w:sz w:val="24"/>
        </w:rPr>
        <w:t>名    称：</w:t>
      </w:r>
      <w:r>
        <w:rPr>
          <w:rFonts w:hint="eastAsia" w:eastAsiaTheme="minorEastAsia"/>
          <w:spacing w:val="0"/>
          <w:sz w:val="24"/>
          <w:u w:val="single"/>
        </w:rPr>
        <w:t>汇信（北京）工程管理有限公司</w:t>
      </w:r>
    </w:p>
    <w:p w14:paraId="58925D9B">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D021992">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63326281">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1"/>
      <w:bookmarkEnd w:id="32"/>
    </w:p>
    <w:p w14:paraId="2C525AB1">
      <w:pPr>
        <w:pStyle w:val="24"/>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74D4F9B5">
      <w:pPr>
        <w:spacing w:line="360" w:lineRule="auto"/>
        <w:ind w:left="1076" w:leftChars="371" w:hanging="297" w:hangingChars="124"/>
        <w:jc w:val="left"/>
        <w:rPr>
          <w:rFonts w:hint="eastAsia" w:ascii="Times New Roman" w:hAnsi="Times New Roman" w:cs="Times New Roman" w:eastAsiaTheme="minorEastAsia"/>
          <w:spacing w:val="0"/>
          <w:sz w:val="24"/>
        </w:rPr>
      </w:pPr>
      <w:r>
        <w:rPr>
          <w:rFonts w:hint="default" w:ascii="Times New Roman" w:hAnsi="Times New Roman" w:cs="Times New Roman" w:eastAsiaTheme="minorEastAsia"/>
          <w:spacing w:val="0"/>
          <w:sz w:val="24"/>
        </w:rPr>
        <w:t>电      话：</w:t>
      </w:r>
      <w:r>
        <w:rPr>
          <w:rFonts w:hint="eastAsia" w:ascii="宋体" w:hAnsi="宋体" w:eastAsia="宋体" w:cs="宋体"/>
          <w:spacing w:val="0"/>
          <w:sz w:val="24"/>
          <w:u w:val="single"/>
        </w:rPr>
        <w:t>010-53387002</w:t>
      </w:r>
    </w:p>
    <w:p w14:paraId="380A8641">
      <w:pPr>
        <w:pStyle w:val="24"/>
        <w:spacing w:line="360" w:lineRule="auto"/>
        <w:ind w:left="1076" w:leftChars="371" w:hanging="297" w:hangingChars="124"/>
        <w:rPr>
          <w:rFonts w:hint="default" w:ascii="Times New Roman" w:hAnsi="Times New Roman" w:eastAsiaTheme="minorEastAsia"/>
          <w:spacing w:val="0"/>
          <w:sz w:val="24"/>
          <w:szCs w:val="24"/>
        </w:rPr>
      </w:pPr>
    </w:p>
    <w:p w14:paraId="32C1CC67">
      <w:pPr>
        <w:spacing w:line="360" w:lineRule="auto"/>
        <w:ind w:firstLine="5880" w:firstLineChars="2450"/>
        <w:jc w:val="right"/>
        <w:rPr>
          <w:rFonts w:eastAsiaTheme="minorEastAsia"/>
          <w:spacing w:val="0"/>
          <w:sz w:val="24"/>
        </w:rPr>
      </w:pPr>
    </w:p>
    <w:p w14:paraId="4CB9A0D1">
      <w:pPr>
        <w:spacing w:line="360" w:lineRule="auto"/>
        <w:jc w:val="center"/>
        <w:outlineLvl w:val="0"/>
        <w:rPr>
          <w:rFonts w:eastAsiaTheme="minorEastAsia"/>
          <w:b/>
          <w:spacing w:val="0"/>
          <w:sz w:val="32"/>
          <w:szCs w:val="32"/>
        </w:rPr>
      </w:pPr>
      <w:r>
        <w:rPr>
          <w:rFonts w:eastAsiaTheme="minorEastAsia"/>
          <w:spacing w:val="0"/>
          <w:sz w:val="24"/>
        </w:rPr>
        <w:br w:type="page"/>
      </w:r>
      <w:bookmarkStart w:id="33" w:name="_Toc305158928"/>
      <w:bookmarkStart w:id="34" w:name="_Toc353873938"/>
      <w:bookmarkStart w:id="35" w:name="_Toc127161488"/>
      <w:bookmarkStart w:id="36" w:name="_Toc512937850"/>
      <w:bookmarkStart w:id="37" w:name="_Toc353825548"/>
      <w:bookmarkStart w:id="38" w:name="_Toc264969275"/>
      <w:bookmarkStart w:id="39" w:name="_Toc305158854"/>
      <w:bookmarkStart w:id="40" w:name="_Toc150774783"/>
      <w:bookmarkStart w:id="41" w:name="_Toc265228423"/>
      <w:bookmarkStart w:id="42" w:name="_Toc21247"/>
      <w:bookmarkStart w:id="43" w:name="_Toc15945"/>
      <w:bookmarkStart w:id="44" w:name="_Toc195842950"/>
      <w:bookmarkStart w:id="45" w:name="_Toc127151777"/>
      <w:bookmarkStart w:id="46" w:name="_Toc226965856"/>
      <w:r>
        <w:rPr>
          <w:rFonts w:eastAsiaTheme="minorEastAsia"/>
          <w:b/>
          <w:spacing w:val="0"/>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7015A8A">
      <w:pPr>
        <w:pStyle w:val="3"/>
        <w:tabs>
          <w:tab w:val="center" w:pos="4592"/>
          <w:tab w:val="left" w:pos="7860"/>
        </w:tabs>
        <w:spacing w:before="0" w:line="360" w:lineRule="auto"/>
        <w:rPr>
          <w:rFonts w:ascii="Times New Roman" w:hAnsi="Times New Roman" w:eastAsiaTheme="minorEastAsia"/>
          <w:b w:val="0"/>
          <w:spacing w:val="0"/>
          <w:sz w:val="28"/>
        </w:rPr>
      </w:pPr>
      <w:bookmarkStart w:id="47" w:name="_Toc151193761"/>
      <w:bookmarkStart w:id="48" w:name="_Toc151190146"/>
      <w:bookmarkStart w:id="49" w:name="_Toc127151720"/>
      <w:bookmarkStart w:id="50" w:name="_Toc226337215"/>
      <w:bookmarkStart w:id="51" w:name="_Toc151193833"/>
      <w:bookmarkStart w:id="52" w:name="_Toc149720812"/>
      <w:bookmarkStart w:id="53" w:name="_Toc226965792"/>
      <w:bookmarkStart w:id="54" w:name="_Toc164351613"/>
      <w:bookmarkStart w:id="55" w:name="_Toc164229214"/>
      <w:bookmarkStart w:id="56" w:name="_Toc150774619"/>
      <w:bookmarkStart w:id="57" w:name="_Toc150480757"/>
      <w:bookmarkStart w:id="58" w:name="_Toc195842884"/>
      <w:bookmarkStart w:id="59" w:name="_Toc151193689"/>
      <w:bookmarkStart w:id="60" w:name="_Toc150774724"/>
      <w:bookmarkStart w:id="61" w:name="_Toc164608788"/>
      <w:bookmarkStart w:id="62" w:name="_Toc150509270"/>
      <w:bookmarkStart w:id="63" w:name="_Toc127151519"/>
      <w:bookmarkStart w:id="64" w:name="_Toc142311021"/>
      <w:bookmarkStart w:id="65" w:name="_Toc520356144"/>
      <w:bookmarkStart w:id="66" w:name="_Toc164608633"/>
      <w:bookmarkStart w:id="67" w:name="_Toc127161433"/>
      <w:bookmarkStart w:id="68" w:name="_Toc164229360"/>
      <w:bookmarkStart w:id="69" w:name="_Toc151193617"/>
      <w:bookmarkStart w:id="70" w:name="_Toc226965709"/>
      <w:bookmarkStart w:id="71" w:name="_Toc151193907"/>
      <w:bookmarkStart w:id="72" w:name="_Toc226309763"/>
      <w:r>
        <w:rPr>
          <w:rFonts w:ascii="Times New Roman" w:hAnsi="Times New Roman" w:eastAsiaTheme="minorEastAsia"/>
          <w:spacing w:val="0"/>
          <w:sz w:val="28"/>
        </w:rPr>
        <w:t>供应商须知资料表</w:t>
      </w:r>
    </w:p>
    <w:p w14:paraId="3C8D522A">
      <w:pPr>
        <w:jc w:val="center"/>
        <w:rPr>
          <w:rFonts w:eastAsiaTheme="minorEastAsia"/>
          <w:b/>
          <w:spacing w:val="0"/>
          <w:sz w:val="28"/>
          <w:szCs w:val="28"/>
        </w:rPr>
      </w:pPr>
    </w:p>
    <w:p w14:paraId="576656E7">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90"/>
        <w:gridCol w:w="7473"/>
      </w:tblGrid>
      <w:tr w14:paraId="0424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79" w:type="dxa"/>
            <w:vAlign w:val="center"/>
          </w:tcPr>
          <w:p w14:paraId="610356F4">
            <w:pPr>
              <w:jc w:val="center"/>
              <w:rPr>
                <w:rFonts w:hint="eastAsia" w:ascii="宋体" w:hAnsi="宋体" w:eastAsia="宋体" w:cs="宋体"/>
                <w:b/>
                <w:bCs/>
                <w:spacing w:val="0"/>
                <w:sz w:val="24"/>
              </w:rPr>
            </w:pPr>
            <w:r>
              <w:rPr>
                <w:rFonts w:hint="eastAsia" w:ascii="宋体" w:hAnsi="宋体" w:eastAsia="宋体" w:cs="宋体"/>
                <w:b/>
                <w:spacing w:val="0"/>
                <w:sz w:val="24"/>
              </w:rPr>
              <w:t>条款号</w:t>
            </w:r>
          </w:p>
        </w:tc>
        <w:tc>
          <w:tcPr>
            <w:tcW w:w="1490" w:type="dxa"/>
            <w:vAlign w:val="center"/>
          </w:tcPr>
          <w:p w14:paraId="23056DAD">
            <w:pPr>
              <w:jc w:val="center"/>
              <w:rPr>
                <w:rFonts w:hint="eastAsia" w:ascii="宋体" w:hAnsi="宋体" w:eastAsia="宋体" w:cs="宋体"/>
                <w:b/>
                <w:bCs/>
                <w:spacing w:val="0"/>
                <w:sz w:val="24"/>
              </w:rPr>
            </w:pPr>
            <w:r>
              <w:rPr>
                <w:rFonts w:hint="eastAsia" w:ascii="宋体" w:hAnsi="宋体" w:eastAsia="宋体" w:cs="宋体"/>
                <w:b/>
                <w:bCs/>
                <w:spacing w:val="0"/>
                <w:sz w:val="24"/>
              </w:rPr>
              <w:t>条目</w:t>
            </w:r>
          </w:p>
        </w:tc>
        <w:tc>
          <w:tcPr>
            <w:tcW w:w="7473" w:type="dxa"/>
            <w:vAlign w:val="center"/>
          </w:tcPr>
          <w:p w14:paraId="5B1D0223">
            <w:pPr>
              <w:jc w:val="center"/>
              <w:rPr>
                <w:rFonts w:hint="eastAsia" w:ascii="宋体" w:hAnsi="宋体" w:eastAsia="宋体" w:cs="宋体"/>
                <w:b/>
                <w:bCs/>
                <w:spacing w:val="0"/>
                <w:sz w:val="24"/>
              </w:rPr>
            </w:pPr>
            <w:r>
              <w:rPr>
                <w:rFonts w:hint="eastAsia" w:ascii="宋体" w:hAnsi="宋体" w:eastAsia="宋体" w:cs="宋体"/>
                <w:b/>
                <w:bCs/>
                <w:spacing w:val="0"/>
                <w:sz w:val="24"/>
              </w:rPr>
              <w:t>内容</w:t>
            </w:r>
          </w:p>
        </w:tc>
      </w:tr>
      <w:tr w14:paraId="2DD5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2DC7EB7B">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2.2</w:t>
            </w:r>
          </w:p>
        </w:tc>
        <w:tc>
          <w:tcPr>
            <w:tcW w:w="1490" w:type="dxa"/>
            <w:vAlign w:val="center"/>
          </w:tcPr>
          <w:p w14:paraId="33C53AD7">
            <w:pPr>
              <w:jc w:val="center"/>
              <w:rPr>
                <w:rFonts w:hint="eastAsia" w:ascii="宋体" w:hAnsi="宋体" w:eastAsia="宋体" w:cs="宋体"/>
                <w:spacing w:val="0"/>
                <w:sz w:val="24"/>
              </w:rPr>
            </w:pPr>
            <w:r>
              <w:rPr>
                <w:rFonts w:hint="eastAsia" w:ascii="宋体" w:hAnsi="宋体" w:eastAsia="宋体" w:cs="宋体"/>
                <w:spacing w:val="0"/>
                <w:sz w:val="24"/>
              </w:rPr>
              <w:t>项目属性</w:t>
            </w:r>
          </w:p>
        </w:tc>
        <w:tc>
          <w:tcPr>
            <w:tcW w:w="7473" w:type="dxa"/>
            <w:vAlign w:val="center"/>
          </w:tcPr>
          <w:p w14:paraId="6ACAF9F0">
            <w:pPr>
              <w:jc w:val="left"/>
              <w:rPr>
                <w:rFonts w:hint="eastAsia" w:ascii="宋体" w:hAnsi="宋体" w:eastAsia="宋体" w:cs="宋体"/>
                <w:spacing w:val="0"/>
                <w:sz w:val="24"/>
              </w:rPr>
            </w:pPr>
            <w:r>
              <w:rPr>
                <w:rFonts w:hint="eastAsia" w:ascii="宋体" w:hAnsi="宋体" w:eastAsia="宋体" w:cs="宋体"/>
                <w:spacing w:val="0"/>
                <w:sz w:val="24"/>
              </w:rPr>
              <w:t>项目属性：</w:t>
            </w:r>
          </w:p>
          <w:p w14:paraId="336DE5C4">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服务</w:t>
            </w:r>
          </w:p>
          <w:p w14:paraId="425A3977">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货物</w:t>
            </w:r>
          </w:p>
          <w:p w14:paraId="0C424AC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工程</w:t>
            </w:r>
          </w:p>
        </w:tc>
      </w:tr>
      <w:tr w14:paraId="4D0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5F771671">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w:t>
            </w:r>
          </w:p>
        </w:tc>
        <w:tc>
          <w:tcPr>
            <w:tcW w:w="1490" w:type="dxa"/>
            <w:vAlign w:val="center"/>
          </w:tcPr>
          <w:p w14:paraId="3A93510E">
            <w:pPr>
              <w:jc w:val="center"/>
              <w:rPr>
                <w:rFonts w:hint="eastAsia" w:ascii="宋体" w:hAnsi="宋体" w:eastAsia="宋体" w:cs="宋体"/>
                <w:spacing w:val="0"/>
                <w:sz w:val="24"/>
              </w:rPr>
            </w:pPr>
            <w:r>
              <w:rPr>
                <w:rFonts w:hint="eastAsia" w:ascii="宋体" w:hAnsi="宋体" w:eastAsia="宋体" w:cs="宋体"/>
                <w:spacing w:val="0"/>
                <w:sz w:val="24"/>
              </w:rPr>
              <w:t>科研仪器设备</w:t>
            </w:r>
          </w:p>
        </w:tc>
        <w:tc>
          <w:tcPr>
            <w:tcW w:w="7473" w:type="dxa"/>
            <w:vAlign w:val="center"/>
          </w:tcPr>
          <w:p w14:paraId="5E43090B">
            <w:pPr>
              <w:jc w:val="left"/>
              <w:rPr>
                <w:rFonts w:hint="eastAsia" w:ascii="宋体" w:hAnsi="宋体" w:eastAsia="宋体" w:cs="宋体"/>
                <w:spacing w:val="0"/>
                <w:sz w:val="24"/>
              </w:rPr>
            </w:pPr>
            <w:r>
              <w:rPr>
                <w:rFonts w:hint="eastAsia" w:ascii="宋体" w:hAnsi="宋体" w:eastAsia="宋体" w:cs="宋体"/>
                <w:spacing w:val="0"/>
                <w:sz w:val="24"/>
              </w:rPr>
              <w:t>是否属于科研仪器设备采购项目：</w:t>
            </w:r>
          </w:p>
          <w:p w14:paraId="247E4EE8">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是</w:t>
            </w:r>
          </w:p>
          <w:p w14:paraId="11FE2A6C">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tc>
      </w:tr>
      <w:tr w14:paraId="53D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Merge w:val="restart"/>
            <w:vAlign w:val="center"/>
          </w:tcPr>
          <w:p w14:paraId="0F66A9FA">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3.1</w:t>
            </w:r>
          </w:p>
        </w:tc>
        <w:tc>
          <w:tcPr>
            <w:tcW w:w="1490" w:type="dxa"/>
            <w:vAlign w:val="center"/>
          </w:tcPr>
          <w:p w14:paraId="15831233">
            <w:pPr>
              <w:jc w:val="center"/>
              <w:rPr>
                <w:rFonts w:hint="eastAsia" w:ascii="宋体" w:hAnsi="宋体" w:eastAsia="宋体" w:cs="宋体"/>
                <w:spacing w:val="0"/>
                <w:sz w:val="24"/>
              </w:rPr>
            </w:pPr>
            <w:r>
              <w:rPr>
                <w:rFonts w:hint="eastAsia" w:ascii="宋体" w:hAnsi="宋体" w:eastAsia="宋体" w:cs="宋体"/>
                <w:spacing w:val="0"/>
                <w:sz w:val="24"/>
              </w:rPr>
              <w:t>现场考察</w:t>
            </w:r>
          </w:p>
        </w:tc>
        <w:tc>
          <w:tcPr>
            <w:tcW w:w="7473" w:type="dxa"/>
            <w:vAlign w:val="center"/>
          </w:tcPr>
          <w:p w14:paraId="177723D6">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不组织</w:t>
            </w:r>
          </w:p>
          <w:p w14:paraId="78DF096E">
            <w:pPr>
              <w:jc w:val="left"/>
              <w:rPr>
                <w:rFonts w:hint="eastAsia" w:ascii="宋体" w:hAnsi="宋体" w:eastAsia="宋体" w:cs="宋体"/>
                <w:bCs/>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组织，考察时间：___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5FA6F84F">
            <w:pPr>
              <w:pStyle w:val="24"/>
              <w:adjustRightInd w:val="0"/>
              <w:snapToGrid w:val="0"/>
              <w:rPr>
                <w:rFonts w:hint="eastAsia" w:ascii="宋体" w:hAnsi="宋体" w:eastAsia="宋体" w:cs="宋体"/>
                <w:spacing w:val="0"/>
                <w:sz w:val="24"/>
              </w:rPr>
            </w:pPr>
            <w:r>
              <w:rPr>
                <w:rFonts w:hint="eastAsia" w:ascii="宋体" w:hAnsi="宋体" w:eastAsia="宋体" w:cs="宋体"/>
                <w:spacing w:val="0"/>
                <w:sz w:val="24"/>
              </w:rPr>
              <w:t>考察地点：___________。</w:t>
            </w:r>
          </w:p>
        </w:tc>
      </w:tr>
      <w:tr w14:paraId="45F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Merge w:val="continue"/>
            <w:vAlign w:val="center"/>
          </w:tcPr>
          <w:p w14:paraId="37F0A644">
            <w:pPr>
              <w:pStyle w:val="24"/>
              <w:adjustRightInd w:val="0"/>
              <w:snapToGrid w:val="0"/>
              <w:jc w:val="center"/>
              <w:rPr>
                <w:rFonts w:hint="eastAsia" w:ascii="宋体" w:hAnsi="宋体" w:eastAsia="宋体" w:cs="宋体"/>
                <w:spacing w:val="0"/>
                <w:sz w:val="24"/>
                <w:szCs w:val="24"/>
              </w:rPr>
            </w:pPr>
          </w:p>
        </w:tc>
        <w:tc>
          <w:tcPr>
            <w:tcW w:w="1490" w:type="dxa"/>
            <w:vAlign w:val="center"/>
          </w:tcPr>
          <w:p w14:paraId="383E3885">
            <w:pPr>
              <w:jc w:val="center"/>
              <w:rPr>
                <w:rFonts w:hint="eastAsia" w:ascii="宋体" w:hAnsi="宋体" w:eastAsia="宋体" w:cs="宋体"/>
                <w:spacing w:val="0"/>
                <w:sz w:val="24"/>
              </w:rPr>
            </w:pPr>
            <w:r>
              <w:rPr>
                <w:rFonts w:hint="eastAsia" w:ascii="宋体" w:hAnsi="宋体" w:eastAsia="宋体" w:cs="宋体"/>
                <w:spacing w:val="0"/>
                <w:sz w:val="24"/>
              </w:rPr>
              <w:t>磋商前答疑会</w:t>
            </w:r>
          </w:p>
        </w:tc>
        <w:tc>
          <w:tcPr>
            <w:tcW w:w="7473" w:type="dxa"/>
            <w:vAlign w:val="center"/>
          </w:tcPr>
          <w:p w14:paraId="4C4940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不召开</w:t>
            </w:r>
          </w:p>
          <w:p w14:paraId="70D90F4C">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召开，召开时间：___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2145B73B">
            <w:pPr>
              <w:jc w:val="left"/>
              <w:rPr>
                <w:rFonts w:hint="eastAsia" w:ascii="宋体" w:hAnsi="宋体" w:eastAsia="宋体" w:cs="宋体"/>
                <w:spacing w:val="0"/>
                <w:sz w:val="24"/>
              </w:rPr>
            </w:pPr>
            <w:r>
              <w:rPr>
                <w:rFonts w:hint="eastAsia" w:ascii="宋体" w:hAnsi="宋体" w:eastAsia="宋体" w:cs="宋体"/>
                <w:spacing w:val="0"/>
                <w:sz w:val="24"/>
              </w:rPr>
              <w:t>召开地点：___________。</w:t>
            </w:r>
          </w:p>
        </w:tc>
      </w:tr>
      <w:tr w14:paraId="7A7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79" w:type="dxa"/>
            <w:vAlign w:val="center"/>
          </w:tcPr>
          <w:p w14:paraId="624A9D7E">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4.2.5</w:t>
            </w:r>
          </w:p>
        </w:tc>
        <w:tc>
          <w:tcPr>
            <w:tcW w:w="1490" w:type="dxa"/>
            <w:vAlign w:val="center"/>
          </w:tcPr>
          <w:p w14:paraId="54DE272B">
            <w:pPr>
              <w:jc w:val="center"/>
              <w:rPr>
                <w:rFonts w:hint="eastAsia" w:ascii="宋体" w:hAnsi="宋体" w:eastAsia="宋体" w:cs="宋体"/>
                <w:spacing w:val="0"/>
                <w:sz w:val="24"/>
              </w:rPr>
            </w:pPr>
            <w:r>
              <w:rPr>
                <w:rFonts w:hint="eastAsia" w:ascii="宋体" w:hAnsi="宋体" w:eastAsia="宋体" w:cs="宋体"/>
                <w:spacing w:val="0"/>
                <w:sz w:val="24"/>
              </w:rPr>
              <w:t>标的所属行业</w:t>
            </w:r>
          </w:p>
        </w:tc>
        <w:tc>
          <w:tcPr>
            <w:tcW w:w="7473" w:type="dxa"/>
            <w:vAlign w:val="center"/>
          </w:tcPr>
          <w:p w14:paraId="65D88634">
            <w:pPr>
              <w:jc w:val="left"/>
              <w:rPr>
                <w:rFonts w:hint="eastAsia" w:ascii="宋体" w:hAnsi="宋体" w:eastAsia="宋体" w:cs="宋体"/>
                <w:spacing w:val="0"/>
                <w:sz w:val="24"/>
              </w:rPr>
            </w:pPr>
            <w:r>
              <w:rPr>
                <w:rFonts w:hint="eastAsia" w:ascii="宋体" w:hAnsi="宋体" w:eastAsia="宋体" w:cs="宋体"/>
                <w:spacing w:val="0"/>
                <w:sz w:val="24"/>
              </w:rPr>
              <w:t>本项目采购标的对应的中小企业划分标准所属行业：</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842"/>
              <w:gridCol w:w="3597"/>
            </w:tblGrid>
            <w:tr w14:paraId="497E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7" w:type="pct"/>
                  <w:tcBorders>
                    <w:top w:val="single" w:color="auto" w:sz="4" w:space="0"/>
                    <w:left w:val="single" w:color="auto" w:sz="4" w:space="0"/>
                    <w:bottom w:val="single" w:color="auto" w:sz="4" w:space="0"/>
                    <w:right w:val="single" w:color="auto" w:sz="4" w:space="0"/>
                  </w:tcBorders>
                  <w:vAlign w:val="center"/>
                </w:tcPr>
                <w:p w14:paraId="0D6E6125">
                  <w:pPr>
                    <w:shd w:val="clea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包号</w:t>
                  </w:r>
                </w:p>
              </w:tc>
              <w:tc>
                <w:tcPr>
                  <w:tcW w:w="1961" w:type="pct"/>
                  <w:tcBorders>
                    <w:top w:val="single" w:color="auto" w:sz="4" w:space="0"/>
                    <w:left w:val="single" w:color="auto" w:sz="4" w:space="0"/>
                    <w:bottom w:val="single" w:color="auto" w:sz="4" w:space="0"/>
                    <w:right w:val="single" w:color="auto" w:sz="4" w:space="0"/>
                  </w:tcBorders>
                  <w:vAlign w:val="center"/>
                </w:tcPr>
                <w:p w14:paraId="741B853D">
                  <w:pPr>
                    <w:shd w:val="clear"/>
                    <w:jc w:val="center"/>
                    <w:rPr>
                      <w:rFonts w:hint="eastAsia" w:ascii="宋体" w:hAnsi="宋体" w:eastAsia="宋体" w:cs="宋体"/>
                      <w:bCs/>
                      <w:color w:val="000000" w:themeColor="text1"/>
                      <w:spacing w:val="0"/>
                      <w:sz w:val="24"/>
                      <w:highlight w:val="none"/>
                      <w14:textFill>
                        <w14:solidFill>
                          <w14:schemeClr w14:val="tx1"/>
                        </w14:solidFill>
                      </w14:textFill>
                    </w:rPr>
                  </w:pPr>
                  <w:r>
                    <w:rPr>
                      <w:rFonts w:hint="eastAsia" w:ascii="宋体" w:hAnsi="宋体" w:eastAsia="宋体" w:cs="宋体"/>
                      <w:bCs/>
                      <w:color w:val="000000" w:themeColor="text1"/>
                      <w:spacing w:val="0"/>
                      <w:sz w:val="24"/>
                      <w:highlight w:val="none"/>
                      <w14:textFill>
                        <w14:solidFill>
                          <w14:schemeClr w14:val="tx1"/>
                        </w14:solidFill>
                      </w14:textFill>
                    </w:rPr>
                    <w:t>标的名称</w:t>
                  </w:r>
                </w:p>
              </w:tc>
              <w:tc>
                <w:tcPr>
                  <w:tcW w:w="2481" w:type="pct"/>
                  <w:tcBorders>
                    <w:top w:val="single" w:color="auto" w:sz="4" w:space="0"/>
                    <w:left w:val="single" w:color="auto" w:sz="4" w:space="0"/>
                    <w:bottom w:val="single" w:color="auto" w:sz="4" w:space="0"/>
                    <w:right w:val="single" w:color="auto" w:sz="4" w:space="0"/>
                  </w:tcBorders>
                  <w:vAlign w:val="center"/>
                </w:tcPr>
                <w:p w14:paraId="2FAC64F0">
                  <w:pPr>
                    <w:shd w:val="clear"/>
                    <w:jc w:val="center"/>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中小企业划分标准所属行业</w:t>
                  </w:r>
                </w:p>
              </w:tc>
            </w:tr>
            <w:tr w14:paraId="2DB0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7" w:type="pct"/>
                  <w:tcBorders>
                    <w:top w:val="single" w:color="auto" w:sz="4" w:space="0"/>
                    <w:left w:val="single" w:color="auto" w:sz="4" w:space="0"/>
                    <w:bottom w:val="single" w:color="auto" w:sz="4" w:space="0"/>
                    <w:right w:val="single" w:color="auto" w:sz="4" w:space="0"/>
                  </w:tcBorders>
                  <w:vAlign w:val="center"/>
                </w:tcPr>
                <w:p w14:paraId="0838C666">
                  <w:pPr>
                    <w:shd w:val="clear"/>
                    <w:jc w:val="center"/>
                    <w:rPr>
                      <w:rFonts w:hint="default"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color w:val="000000" w:themeColor="text1"/>
                      <w:spacing w:val="0"/>
                      <w:sz w:val="24"/>
                      <w:highlight w:val="none"/>
                      <w:lang w:val="en-US" w:eastAsia="zh-CN"/>
                      <w14:textFill>
                        <w14:solidFill>
                          <w14:schemeClr w14:val="tx1"/>
                        </w14:solidFill>
                      </w14:textFill>
                    </w:rPr>
                    <w:t>01</w:t>
                  </w:r>
                </w:p>
              </w:tc>
              <w:tc>
                <w:tcPr>
                  <w:tcW w:w="1961" w:type="pct"/>
                  <w:tcBorders>
                    <w:top w:val="single" w:color="auto" w:sz="4" w:space="0"/>
                    <w:left w:val="single" w:color="auto" w:sz="4" w:space="0"/>
                    <w:bottom w:val="single" w:color="auto" w:sz="4" w:space="0"/>
                    <w:right w:val="single" w:color="auto" w:sz="4" w:space="0"/>
                  </w:tcBorders>
                  <w:vAlign w:val="center"/>
                </w:tcPr>
                <w:p w14:paraId="1D94CAC9">
                  <w:pPr>
                    <w:shd w:val="clear"/>
                    <w:jc w:val="center"/>
                    <w:rPr>
                      <w:rFonts w:hint="eastAsia" w:ascii="宋体" w:hAnsi="宋体" w:eastAsia="宋体" w:cs="宋体"/>
                      <w:b/>
                      <w:bCs w:val="0"/>
                      <w:color w:val="000000" w:themeColor="text1"/>
                      <w:spacing w:val="0"/>
                      <w:sz w:val="24"/>
                      <w:highlight w:val="none"/>
                      <w:lang w:val="en-US" w:eastAsia="zh-CN"/>
                      <w14:textFill>
                        <w14:solidFill>
                          <w14:schemeClr w14:val="tx1"/>
                        </w14:solidFill>
                      </w14:textFill>
                    </w:rPr>
                  </w:pPr>
                  <w:r>
                    <w:rPr>
                      <w:rFonts w:hint="eastAsia" w:ascii="宋体" w:hAnsi="宋体" w:cs="宋体"/>
                      <w:b/>
                      <w:bCs w:val="0"/>
                      <w:i w:val="0"/>
                      <w:iCs w:val="0"/>
                      <w:color w:val="000000" w:themeColor="text1"/>
                      <w:spacing w:val="0"/>
                      <w:sz w:val="24"/>
                      <w:highlight w:val="none"/>
                      <w:lang w:val="en-US" w:eastAsia="zh-CN"/>
                      <w14:textFill>
                        <w14:solidFill>
                          <w14:schemeClr w14:val="tx1"/>
                        </w14:solidFill>
                      </w14:textFill>
                    </w:rPr>
                    <w:t>2026年物业管理服务</w:t>
                  </w:r>
                </w:p>
              </w:tc>
              <w:tc>
                <w:tcPr>
                  <w:tcW w:w="2481" w:type="pct"/>
                  <w:tcBorders>
                    <w:top w:val="single" w:color="auto" w:sz="4" w:space="0"/>
                    <w:left w:val="single" w:color="auto" w:sz="4" w:space="0"/>
                    <w:bottom w:val="single" w:color="auto" w:sz="4" w:space="0"/>
                    <w:right w:val="single" w:color="auto" w:sz="4" w:space="0"/>
                  </w:tcBorders>
                  <w:vAlign w:val="center"/>
                </w:tcPr>
                <w:p w14:paraId="3B4CFC89">
                  <w:pPr>
                    <w:shd w:val="clear"/>
                    <w:jc w:val="center"/>
                    <w:rPr>
                      <w:rFonts w:hint="eastAsia" w:ascii="宋体" w:hAnsi="宋体" w:eastAsia="宋体" w:cs="宋体"/>
                      <w:b/>
                      <w:color w:val="000000" w:themeColor="text1"/>
                      <w:spacing w:val="0"/>
                      <w:kern w:val="0"/>
                      <w:sz w:val="24"/>
                      <w:highlight w:val="none"/>
                      <w:lang w:val="en-US" w:eastAsia="zh-CN"/>
                      <w14:textFill>
                        <w14:solidFill>
                          <w14:schemeClr w14:val="tx1"/>
                        </w14:solidFill>
                      </w14:textFill>
                    </w:rPr>
                  </w:pPr>
                  <w:r>
                    <w:rPr>
                      <w:rFonts w:hint="eastAsia" w:ascii="宋体" w:hAnsi="宋体" w:eastAsia="宋体" w:cs="宋体"/>
                      <w:b/>
                      <w:bCs/>
                      <w:spacing w:val="0"/>
                      <w:sz w:val="24"/>
                    </w:rPr>
                    <w:t>物业管理</w:t>
                  </w:r>
                </w:p>
              </w:tc>
            </w:tr>
          </w:tbl>
          <w:p w14:paraId="14C22004">
            <w:pPr>
              <w:shd w:val="clear"/>
              <w:jc w:val="left"/>
              <w:rPr>
                <w:rFonts w:hint="eastAsia" w:ascii="宋体" w:hAnsi="宋体" w:eastAsia="宋体" w:cs="宋体"/>
                <w:spacing w:val="0"/>
                <w:sz w:val="24"/>
              </w:rPr>
            </w:pPr>
            <w:r>
              <w:rPr>
                <w:rFonts w:hint="eastAsia" w:ascii="宋体" w:hAnsi="宋体" w:eastAsia="宋体" w:cs="宋体"/>
                <w:b/>
                <w:bCs/>
                <w:spacing w:val="0"/>
                <w:sz w:val="24"/>
              </w:rPr>
              <w:t>物业管理。</w:t>
            </w:r>
            <w:r>
              <w:rPr>
                <w:rFonts w:hint="eastAsia" w:ascii="宋体" w:hAnsi="宋体" w:eastAsia="宋体" w:cs="宋体"/>
                <w:spacing w:val="0"/>
                <w:sz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14:paraId="16E2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79" w:type="dxa"/>
            <w:vAlign w:val="center"/>
          </w:tcPr>
          <w:p w14:paraId="44316757">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10.2</w:t>
            </w:r>
          </w:p>
        </w:tc>
        <w:tc>
          <w:tcPr>
            <w:tcW w:w="1490" w:type="dxa"/>
            <w:vAlign w:val="center"/>
          </w:tcPr>
          <w:p w14:paraId="23965501">
            <w:pPr>
              <w:jc w:val="center"/>
              <w:rPr>
                <w:rFonts w:hint="eastAsia" w:ascii="宋体" w:hAnsi="宋体" w:eastAsia="宋体" w:cs="宋体"/>
                <w:spacing w:val="0"/>
                <w:sz w:val="24"/>
              </w:rPr>
            </w:pPr>
            <w:r>
              <w:rPr>
                <w:rFonts w:hint="eastAsia" w:ascii="宋体" w:hAnsi="宋体" w:eastAsia="宋体" w:cs="宋体"/>
                <w:spacing w:val="0"/>
                <w:sz w:val="24"/>
              </w:rPr>
              <w:t>报价</w:t>
            </w:r>
          </w:p>
        </w:tc>
        <w:tc>
          <w:tcPr>
            <w:tcW w:w="7473" w:type="dxa"/>
            <w:vAlign w:val="center"/>
          </w:tcPr>
          <w:p w14:paraId="02A3154B">
            <w:pPr>
              <w:jc w:val="left"/>
              <w:rPr>
                <w:rFonts w:hint="eastAsia" w:ascii="宋体" w:hAnsi="宋体" w:eastAsia="宋体" w:cs="宋体"/>
                <w:spacing w:val="0"/>
                <w:sz w:val="24"/>
              </w:rPr>
            </w:pPr>
            <w:r>
              <w:rPr>
                <w:rFonts w:hint="eastAsia" w:ascii="宋体" w:hAnsi="宋体" w:eastAsia="宋体" w:cs="宋体"/>
                <w:spacing w:val="0"/>
                <w:sz w:val="24"/>
              </w:rPr>
              <w:t>报价的特殊规定：</w:t>
            </w:r>
          </w:p>
          <w:p w14:paraId="015067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无</w:t>
            </w:r>
          </w:p>
          <w:p w14:paraId="596F76B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有，具体情形：___________。</w:t>
            </w:r>
          </w:p>
        </w:tc>
      </w:tr>
      <w:tr w14:paraId="60D3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9" w:type="dxa"/>
            <w:vMerge w:val="restart"/>
            <w:vAlign w:val="center"/>
          </w:tcPr>
          <w:p w14:paraId="1267364E">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11.1</w:t>
            </w:r>
          </w:p>
        </w:tc>
        <w:tc>
          <w:tcPr>
            <w:tcW w:w="1490" w:type="dxa"/>
            <w:vMerge w:val="restart"/>
            <w:vAlign w:val="center"/>
          </w:tcPr>
          <w:p w14:paraId="48F84969">
            <w:pPr>
              <w:jc w:val="center"/>
              <w:rPr>
                <w:rFonts w:hint="eastAsia" w:ascii="宋体" w:hAnsi="宋体" w:eastAsia="宋体" w:cs="宋体"/>
                <w:spacing w:val="0"/>
                <w:sz w:val="24"/>
              </w:rPr>
            </w:pPr>
            <w:r>
              <w:rPr>
                <w:rFonts w:hint="eastAsia" w:ascii="宋体" w:hAnsi="宋体" w:eastAsia="宋体" w:cs="宋体"/>
                <w:spacing w:val="0"/>
                <w:sz w:val="24"/>
              </w:rPr>
              <w:t>磋商保证金</w:t>
            </w:r>
          </w:p>
        </w:tc>
        <w:tc>
          <w:tcPr>
            <w:tcW w:w="7473" w:type="dxa"/>
            <w:vAlign w:val="center"/>
          </w:tcPr>
          <w:p w14:paraId="3D867C32">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highlight w:val="none"/>
                <w:lang w:eastAsia="zh-CN"/>
              </w:rPr>
            </w:pPr>
            <w:r>
              <w:rPr>
                <w:rFonts w:hint="eastAsia"/>
                <w:highlight w:val="none"/>
                <w:lang w:eastAsia="zh-CN"/>
              </w:rPr>
              <w:t>投标保证金金额：</w:t>
            </w:r>
            <w:r>
              <w:rPr>
                <w:rFonts w:hint="eastAsia"/>
                <w:highlight w:val="none"/>
                <w:lang w:val="en-US" w:eastAsia="zh-CN"/>
              </w:rPr>
              <w:t>4</w:t>
            </w:r>
            <w:r>
              <w:rPr>
                <w:rFonts w:hint="eastAsia"/>
                <w:highlight w:val="none"/>
                <w:u w:val="single"/>
                <w:lang w:val="en-US" w:eastAsia="zh-CN"/>
              </w:rPr>
              <w:t>0000</w:t>
            </w:r>
            <w:r>
              <w:rPr>
                <w:rFonts w:hint="eastAsia"/>
                <w:highlight w:val="none"/>
                <w:u w:val="single"/>
                <w:lang w:eastAsia="zh-CN"/>
              </w:rPr>
              <w:t>元（</w:t>
            </w:r>
            <w:r>
              <w:rPr>
                <w:rFonts w:hint="eastAsia"/>
                <w:highlight w:val="none"/>
                <w:u w:val="single"/>
                <w:lang w:val="en-US" w:eastAsia="zh-CN"/>
              </w:rPr>
              <w:t>肆万元整</w:t>
            </w:r>
            <w:r>
              <w:rPr>
                <w:rFonts w:hint="eastAsia"/>
                <w:highlight w:val="none"/>
                <w:u w:val="single"/>
                <w:lang w:eastAsia="zh-CN"/>
              </w:rPr>
              <w:t>）</w:t>
            </w:r>
            <w:r>
              <w:rPr>
                <w:rFonts w:hint="eastAsia"/>
                <w:highlight w:val="none"/>
                <w:lang w:eastAsia="zh-CN"/>
              </w:rPr>
              <w:t>。</w:t>
            </w:r>
          </w:p>
          <w:p w14:paraId="0E3320AD">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宋体" w:hAnsi="宋体"/>
                <w:sz w:val="24"/>
                <w:highlight w:val="none"/>
              </w:rPr>
            </w:pPr>
            <w:r>
              <w:rPr>
                <w:rFonts w:hint="eastAsia" w:ascii="宋体" w:hAnsi="宋体" w:cs="宋体"/>
                <w:sz w:val="24"/>
                <w:highlight w:val="none"/>
              </w:rPr>
              <w:t>投标保证金收受人信息：</w:t>
            </w:r>
            <w:r>
              <w:rPr>
                <w:rFonts w:hint="eastAsia" w:ascii="宋体" w:hAnsi="宋体"/>
                <w:sz w:val="24"/>
                <w:highlight w:val="none"/>
                <w:u w:val="single"/>
              </w:rPr>
              <w:t>投标保证金可采用下列形式之一：</w:t>
            </w:r>
          </w:p>
          <w:p w14:paraId="65C640C7">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宋体" w:hAnsi="宋体" w:cs="宋体"/>
                <w:bCs/>
                <w:sz w:val="24"/>
                <w:highlight w:val="none"/>
                <w:u w:val="single"/>
              </w:rPr>
            </w:pPr>
            <w:r>
              <w:rPr>
                <w:rFonts w:hint="eastAsia" w:ascii="宋体" w:hAnsi="宋体" w:cs="宋体"/>
                <w:bCs/>
                <w:sz w:val="24"/>
                <w:highlight w:val="none"/>
                <w:u w:val="single"/>
              </w:rPr>
              <w:t>（1）支票（支票抬头：汇信（北京）工程管理有限公司）；</w:t>
            </w:r>
          </w:p>
          <w:p w14:paraId="52BA61FB">
            <w:pPr>
              <w:keepNext w:val="0"/>
              <w:keepLines w:val="0"/>
              <w:pageBreakBefore w:val="0"/>
              <w:kinsoku/>
              <w:wordWrap/>
              <w:overflowPunct/>
              <w:topLinePunct w:val="0"/>
              <w:autoSpaceDE/>
              <w:autoSpaceDN/>
              <w:bidi w:val="0"/>
              <w:spacing w:line="240" w:lineRule="auto"/>
              <w:rPr>
                <w:rFonts w:ascii="宋体" w:hAnsi="宋体" w:cs="宋体"/>
                <w:b/>
                <w:bCs/>
                <w:sz w:val="24"/>
                <w:highlight w:val="none"/>
                <w:u w:val="single"/>
              </w:rPr>
            </w:pPr>
            <w:r>
              <w:rPr>
                <w:rFonts w:hint="eastAsia" w:ascii="宋体" w:hAnsi="宋体" w:cs="宋体"/>
                <w:bCs/>
                <w:sz w:val="24"/>
                <w:highlight w:val="none"/>
                <w:u w:val="single"/>
              </w:rPr>
              <w:fldChar w:fldCharType="begin"/>
            </w:r>
            <w:r>
              <w:rPr>
                <w:rFonts w:hint="eastAsia" w:ascii="宋体" w:hAnsi="宋体" w:cs="宋体"/>
                <w:bCs/>
                <w:sz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cs="宋体"/>
                <w:bCs/>
                <w:sz w:val="24"/>
                <w:highlight w:val="none"/>
                <w:u w:val="single"/>
              </w:rPr>
              <w:fldChar w:fldCharType="separate"/>
            </w:r>
            <w:r>
              <w:rPr>
                <w:rStyle w:val="53"/>
                <w:rFonts w:hint="eastAsia" w:ascii="宋体" w:hAnsi="宋体" w:cs="宋体"/>
                <w:bCs/>
                <w:color w:val="auto"/>
                <w:sz w:val="24"/>
                <w:highlight w:val="none"/>
              </w:rPr>
              <w:t>（2）汇款（1.凡以汇款形式提交投标保证金的，投标人须</w:t>
            </w:r>
            <w:r>
              <w:rPr>
                <w:rFonts w:hint="eastAsia" w:ascii="宋体" w:hAnsi="宋体" w:cs="宋体"/>
                <w:sz w:val="24"/>
                <w:highlight w:val="none"/>
                <w:u w:val="single"/>
              </w:rPr>
              <w:t>登录该网站链接获取缴纳账户信息</w:t>
            </w:r>
            <w:r>
              <w:rPr>
                <w:rFonts w:hint="eastAsia" w:ascii="宋体" w:hAnsi="宋体" w:cs="宋体"/>
                <w:b/>
                <w:bCs/>
                <w:sz w:val="24"/>
                <w:highlight w:val="none"/>
                <w:u w:val="single"/>
              </w:rPr>
              <w:t>https://s8giz9twlp.jiandaoyun.com/f/67e4fd7ba49d372ccf29633a</w:t>
            </w:r>
          </w:p>
          <w:p w14:paraId="01092553">
            <w:pPr>
              <w:keepNext w:val="0"/>
              <w:keepLines w:val="0"/>
              <w:pageBreakBefore w:val="0"/>
              <w:widowControl/>
              <w:kinsoku/>
              <w:wordWrap/>
              <w:overflowPunct/>
              <w:topLinePunct w:val="0"/>
              <w:autoSpaceDE/>
              <w:autoSpaceDN/>
              <w:bidi w:val="0"/>
              <w:adjustRightInd w:val="0"/>
              <w:snapToGrid w:val="0"/>
              <w:spacing w:line="240" w:lineRule="auto"/>
              <w:textAlignment w:val="baseline"/>
              <w:rPr>
                <w:rStyle w:val="53"/>
                <w:rFonts w:ascii="宋体" w:hAnsi="宋体" w:cs="宋体"/>
                <w:color w:val="auto"/>
                <w:sz w:val="24"/>
                <w:highlight w:val="none"/>
              </w:rPr>
            </w:pPr>
            <w:r>
              <w:rPr>
                <w:rFonts w:hint="eastAsia" w:ascii="宋体" w:hAnsi="宋体" w:cs="宋体"/>
                <w:sz w:val="24"/>
                <w:highlight w:val="none"/>
                <w:u w:val="single"/>
              </w:rPr>
              <w:t>并上传缴纳凭证。如投标人不按照以上要求缴纳投标保证金，可能会造成投标过程的不利情形；</w:t>
            </w:r>
          </w:p>
          <w:p w14:paraId="1F1E386F">
            <w:pPr>
              <w:keepNext w:val="0"/>
              <w:keepLines w:val="0"/>
              <w:pageBreakBefore w:val="0"/>
              <w:kinsoku/>
              <w:wordWrap/>
              <w:overflowPunct/>
              <w:topLinePunct w:val="0"/>
              <w:autoSpaceDE/>
              <w:autoSpaceDN/>
              <w:bidi w:val="0"/>
              <w:spacing w:line="240" w:lineRule="auto"/>
              <w:jc w:val="left"/>
              <w:rPr>
                <w:rFonts w:ascii="宋体" w:hAnsi="宋体" w:cs="宋体"/>
                <w:bCs/>
                <w:sz w:val="24"/>
                <w:highlight w:val="none"/>
                <w:u w:val="single"/>
              </w:rPr>
            </w:pPr>
            <w:r>
              <w:rPr>
                <w:rFonts w:hint="eastAsia" w:ascii="宋体" w:hAnsi="宋体" w:cs="宋体"/>
                <w:bCs/>
                <w:sz w:val="24"/>
                <w:highlight w:val="none"/>
                <w:u w:val="single"/>
              </w:rPr>
              <w:fldChar w:fldCharType="end"/>
            </w:r>
            <w:r>
              <w:rPr>
                <w:rFonts w:hint="eastAsia" w:ascii="宋体" w:hAnsi="宋体" w:cs="宋体"/>
                <w:bCs/>
                <w:sz w:val="24"/>
                <w:highlight w:val="none"/>
                <w:u w:val="single"/>
              </w:rPr>
              <w:t>2.投标阶段投标保证金汇款凭证上用途栏应注明本项目项目编号【标准格式：</w:t>
            </w:r>
            <w:r>
              <w:rPr>
                <w:rFonts w:hint="eastAsia" w:ascii="宋体" w:hAnsi="宋体" w:cs="宋体"/>
                <w:b/>
                <w:sz w:val="24"/>
                <w:highlight w:val="none"/>
                <w:u w:val="single"/>
                <w:lang w:eastAsia="zh-CN"/>
              </w:rPr>
              <w:t>11010525210200026650-XM001</w:t>
            </w:r>
            <w:r>
              <w:rPr>
                <w:rFonts w:hint="eastAsia" w:ascii="宋体" w:hAnsi="宋体" w:cs="宋体"/>
                <w:bCs/>
                <w:sz w:val="24"/>
                <w:highlight w:val="none"/>
                <w:u w:val="single"/>
              </w:rPr>
              <w:t>】）；</w:t>
            </w:r>
          </w:p>
          <w:p w14:paraId="496694A0">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eastAsia"/>
                <w:bCs/>
                <w:highlight w:val="none"/>
                <w:lang w:eastAsia="zh-CN"/>
              </w:rPr>
            </w:pPr>
            <w:r>
              <w:rPr>
                <w:rFonts w:hint="eastAsia"/>
                <w:bCs/>
                <w:highlight w:val="none"/>
                <w:u w:val="single"/>
                <w:lang w:eastAsia="zh-CN"/>
              </w:rPr>
              <w:t>（3）投标担保函原件</w:t>
            </w:r>
            <w:r>
              <w:rPr>
                <w:rFonts w:hint="eastAsia"/>
                <w:bCs/>
                <w:highlight w:val="none"/>
                <w:lang w:eastAsia="zh-CN"/>
              </w:rPr>
              <w:t>。</w:t>
            </w:r>
          </w:p>
          <w:p w14:paraId="1D42D3FE">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default"/>
                <w:bCs/>
                <w:highlight w:val="none"/>
                <w:lang w:val="en-US" w:eastAsia="zh-CN"/>
              </w:rPr>
            </w:pPr>
            <w:r>
              <w:rPr>
                <w:rFonts w:hint="eastAsia"/>
                <w:bCs/>
                <w:highlight w:val="none"/>
                <w:lang w:val="en-US" w:eastAsia="zh-CN"/>
              </w:rPr>
              <w:t>（4）本票。</w:t>
            </w:r>
          </w:p>
        </w:tc>
      </w:tr>
      <w:tr w14:paraId="1F6B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9" w:type="dxa"/>
            <w:vMerge w:val="continue"/>
            <w:vAlign w:val="center"/>
          </w:tcPr>
          <w:p w14:paraId="1F0CB823">
            <w:pPr>
              <w:pStyle w:val="24"/>
              <w:adjustRightInd w:val="0"/>
              <w:snapToGrid w:val="0"/>
              <w:jc w:val="center"/>
              <w:rPr>
                <w:rFonts w:hint="eastAsia" w:ascii="宋体" w:hAnsi="宋体" w:eastAsia="宋体" w:cs="宋体"/>
                <w:spacing w:val="0"/>
                <w:sz w:val="24"/>
                <w:szCs w:val="24"/>
              </w:rPr>
            </w:pPr>
          </w:p>
        </w:tc>
        <w:tc>
          <w:tcPr>
            <w:tcW w:w="1490" w:type="dxa"/>
            <w:vMerge w:val="continue"/>
            <w:vAlign w:val="center"/>
          </w:tcPr>
          <w:p w14:paraId="6B585A0F">
            <w:pPr>
              <w:jc w:val="center"/>
              <w:rPr>
                <w:rFonts w:hint="eastAsia" w:ascii="宋体" w:hAnsi="宋体" w:eastAsia="宋体" w:cs="宋体"/>
                <w:spacing w:val="0"/>
                <w:sz w:val="24"/>
              </w:rPr>
            </w:pPr>
          </w:p>
        </w:tc>
        <w:tc>
          <w:tcPr>
            <w:tcW w:w="7473" w:type="dxa"/>
            <w:vAlign w:val="center"/>
          </w:tcPr>
          <w:p w14:paraId="5E5D827A">
            <w:pPr>
              <w:keepNext w:val="0"/>
              <w:keepLines w:val="0"/>
              <w:pageBreakBefore w:val="0"/>
              <w:kinsoku/>
              <w:wordWrap/>
              <w:overflowPunct/>
              <w:topLinePunct w:val="0"/>
              <w:autoSpaceDE/>
              <w:autoSpaceDN/>
              <w:bidi w:val="0"/>
              <w:spacing w:line="240" w:lineRule="auto"/>
              <w:jc w:val="left"/>
              <w:rPr>
                <w:rFonts w:ascii="宋体" w:hAnsi="宋体" w:cs="宋体"/>
                <w:sz w:val="24"/>
              </w:rPr>
            </w:pPr>
            <w:r>
              <w:rPr>
                <w:rFonts w:hint="eastAsia" w:ascii="宋体" w:hAnsi="宋体" w:cs="宋体"/>
                <w:sz w:val="24"/>
              </w:rPr>
              <w:t>磋商保证金不予退还的其他情形：</w:t>
            </w:r>
          </w:p>
          <w:p w14:paraId="3623F0FE">
            <w:pPr>
              <w:keepNext w:val="0"/>
              <w:keepLines w:val="0"/>
              <w:pageBreakBefore w:val="0"/>
              <w:kinsoku/>
              <w:wordWrap/>
              <w:overflowPunct/>
              <w:topLinePunct w:val="0"/>
              <w:autoSpaceDE/>
              <w:autoSpaceDN/>
              <w:bidi w:val="0"/>
              <w:spacing w:line="240" w:lineRule="auto"/>
              <w:jc w:val="left"/>
              <w:rPr>
                <w:rFonts w:ascii="宋体" w:hAnsi="宋体" w:cs="宋体"/>
                <w:sz w:val="24"/>
              </w:rPr>
            </w:pPr>
            <w:r>
              <w:rPr>
                <w:rFonts w:hAnsi="宋体" w:cs="宋体"/>
              </w:rPr>
              <w:t>口</w:t>
            </w:r>
            <w:r>
              <w:rPr>
                <w:rFonts w:hint="eastAsia" w:ascii="宋体" w:hAnsi="宋体" w:cs="宋体"/>
                <w:sz w:val="24"/>
              </w:rPr>
              <w:t>无</w:t>
            </w:r>
          </w:p>
          <w:p w14:paraId="7AD2B81D">
            <w:pPr>
              <w:pStyle w:val="24"/>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■有，具体情形：</w:t>
            </w:r>
          </w:p>
          <w:p w14:paraId="551747C6">
            <w:pPr>
              <w:pStyle w:val="24"/>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（1）在开标之日后到响应有效期满前，响应人擅自撤回响应的；</w:t>
            </w:r>
          </w:p>
          <w:p w14:paraId="3FB69CDF">
            <w:pPr>
              <w:pStyle w:val="24"/>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（2）响应人不接受招标人对其响应价格错误的修正；</w:t>
            </w:r>
          </w:p>
          <w:p w14:paraId="1D22B05B">
            <w:pPr>
              <w:pStyle w:val="24"/>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（3）响应人在响应文件中提供任何虚假材料的；</w:t>
            </w:r>
          </w:p>
          <w:p w14:paraId="412ECC93">
            <w:pPr>
              <w:pStyle w:val="24"/>
              <w:keepNext w:val="0"/>
              <w:keepLines w:val="0"/>
              <w:pageBreakBefore w:val="0"/>
              <w:kinsoku/>
              <w:wordWrap/>
              <w:overflowPunct/>
              <w:topLinePunct w:val="0"/>
              <w:autoSpaceDE/>
              <w:autoSpaceDN/>
              <w:bidi w:val="0"/>
              <w:adjustRightInd w:val="0"/>
              <w:snapToGrid w:val="0"/>
              <w:spacing w:line="240" w:lineRule="auto"/>
              <w:rPr>
                <w:rFonts w:hint="default" w:hAnsi="宋体" w:cs="宋体"/>
                <w:sz w:val="24"/>
              </w:rPr>
            </w:pPr>
            <w:r>
              <w:rPr>
                <w:rFonts w:hAnsi="宋体" w:cs="宋体"/>
                <w:sz w:val="24"/>
              </w:rPr>
              <w:t>（4）中标人在规定期限内未能签订合同；</w:t>
            </w:r>
          </w:p>
          <w:p w14:paraId="387C807B">
            <w:pPr>
              <w:pStyle w:val="253"/>
              <w:keepNext w:val="0"/>
              <w:keepLines w:val="0"/>
              <w:pageBreakBefore w:val="0"/>
              <w:widowControl/>
              <w:kinsoku/>
              <w:wordWrap/>
              <w:overflowPunct/>
              <w:topLinePunct w:val="0"/>
              <w:autoSpaceDE/>
              <w:autoSpaceDN/>
              <w:bidi w:val="0"/>
              <w:adjustRightInd w:val="0"/>
              <w:snapToGrid w:val="0"/>
              <w:spacing w:line="240" w:lineRule="auto"/>
              <w:textAlignment w:val="baseline"/>
              <w:rPr>
                <w:rFonts w:hint="eastAsia" w:cs="宋体"/>
                <w:color w:val="000000" w:themeColor="text1"/>
                <w:spacing w:val="0"/>
                <w:w w:val="100"/>
                <w:position w:val="0"/>
                <w:highlight w:val="none"/>
                <w:lang w:val="en-US" w:eastAsia="zh-CN"/>
                <w14:textFill>
                  <w14:solidFill>
                    <w14:schemeClr w14:val="tx1"/>
                  </w14:solidFill>
                </w14:textFill>
              </w:rPr>
            </w:pPr>
            <w:r>
              <w:rPr>
                <w:lang w:eastAsia="zh-CN"/>
              </w:rPr>
              <w:t>（5）中标人未按采购文件规定交纳招标代理服务费。</w:t>
            </w:r>
          </w:p>
        </w:tc>
      </w:tr>
      <w:tr w14:paraId="7E0C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0A0B23A5">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12.1</w:t>
            </w:r>
          </w:p>
        </w:tc>
        <w:tc>
          <w:tcPr>
            <w:tcW w:w="1490" w:type="dxa"/>
            <w:vAlign w:val="center"/>
          </w:tcPr>
          <w:p w14:paraId="636BA695">
            <w:pPr>
              <w:jc w:val="center"/>
              <w:rPr>
                <w:rFonts w:hint="eastAsia" w:ascii="宋体" w:hAnsi="宋体" w:eastAsia="宋体" w:cs="宋体"/>
                <w:spacing w:val="0"/>
                <w:sz w:val="24"/>
              </w:rPr>
            </w:pPr>
            <w:r>
              <w:rPr>
                <w:rFonts w:hint="eastAsia" w:ascii="宋体" w:hAnsi="宋体" w:eastAsia="宋体" w:cs="宋体"/>
                <w:spacing w:val="0"/>
                <w:sz w:val="24"/>
              </w:rPr>
              <w:t>响应有效期</w:t>
            </w:r>
          </w:p>
        </w:tc>
        <w:tc>
          <w:tcPr>
            <w:tcW w:w="7473" w:type="dxa"/>
            <w:vAlign w:val="center"/>
          </w:tcPr>
          <w:p w14:paraId="725925C4">
            <w:pPr>
              <w:jc w:val="left"/>
              <w:rPr>
                <w:rFonts w:hint="eastAsia" w:ascii="宋体" w:hAnsi="宋体" w:eastAsia="宋体" w:cs="宋体"/>
                <w:spacing w:val="0"/>
                <w:sz w:val="24"/>
              </w:rPr>
            </w:pPr>
            <w:r>
              <w:rPr>
                <w:rFonts w:hint="eastAsia" w:ascii="宋体" w:hAnsi="宋体" w:eastAsia="宋体" w:cs="宋体"/>
                <w:spacing w:val="0"/>
                <w:sz w:val="24"/>
              </w:rPr>
              <w:t>自响应文件提交截止之日起算</w:t>
            </w:r>
            <w:r>
              <w:rPr>
                <w:rFonts w:hint="eastAsia" w:ascii="宋体" w:hAnsi="宋体" w:eastAsia="宋体" w:cs="宋体"/>
                <w:spacing w:val="0"/>
                <w:sz w:val="24"/>
                <w:u w:val="single"/>
                <w:lang w:val="en-US" w:eastAsia="zh-CN"/>
              </w:rPr>
              <w:t xml:space="preserve"> 90 </w:t>
            </w:r>
            <w:r>
              <w:rPr>
                <w:rFonts w:hint="eastAsia" w:ascii="宋体" w:hAnsi="宋体" w:eastAsia="宋体" w:cs="宋体"/>
                <w:spacing w:val="0"/>
                <w:sz w:val="24"/>
              </w:rPr>
              <w:t>日历天。</w:t>
            </w:r>
          </w:p>
        </w:tc>
      </w:tr>
      <w:tr w14:paraId="6232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vAlign w:val="center"/>
          </w:tcPr>
          <w:p w14:paraId="139D0D91">
            <w:pPr>
              <w:pStyle w:val="24"/>
              <w:adjustRightInd w:val="0"/>
              <w:snapToGrid w:val="0"/>
              <w:jc w:val="center"/>
              <w:rPr>
                <w:rFonts w:hint="eastAsia" w:ascii="宋体" w:hAnsi="宋体" w:eastAsia="宋体" w:cs="宋体"/>
                <w:spacing w:val="0"/>
                <w:kern w:val="2"/>
                <w:sz w:val="24"/>
                <w:szCs w:val="24"/>
                <w:lang w:val="en-US" w:eastAsia="zh-CN" w:bidi="ar-SA"/>
              </w:rPr>
            </w:pPr>
            <w:r>
              <w:rPr>
                <w:rFonts w:hint="eastAsia" w:hAnsi="宋体" w:cs="宋体"/>
                <w:spacing w:val="0"/>
                <w:sz w:val="24"/>
                <w:szCs w:val="24"/>
                <w:lang w:val="en-US" w:eastAsia="zh-CN"/>
              </w:rPr>
              <w:t>17.2</w:t>
            </w:r>
          </w:p>
        </w:tc>
        <w:tc>
          <w:tcPr>
            <w:tcW w:w="1490" w:type="dxa"/>
            <w:vAlign w:val="center"/>
          </w:tcPr>
          <w:p w14:paraId="1A9754A3">
            <w:pPr>
              <w:jc w:val="center"/>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rPr>
              <w:t>解密时间</w:t>
            </w:r>
          </w:p>
        </w:tc>
        <w:tc>
          <w:tcPr>
            <w:tcW w:w="7473" w:type="dxa"/>
            <w:vAlign w:val="center"/>
          </w:tcPr>
          <w:p w14:paraId="6DA1133D">
            <w:pPr>
              <w:keepNext w:val="0"/>
              <w:keepLines w:val="0"/>
              <w:widowControl/>
              <w:suppressLineNumbers w:val="0"/>
              <w:jc w:val="left"/>
              <w:rPr>
                <w:rFonts w:hint="eastAsia" w:ascii="宋体" w:hAnsi="宋体" w:eastAsia="宋体" w:cs="宋体"/>
                <w:spacing w:val="0"/>
                <w:kern w:val="2"/>
                <w:sz w:val="24"/>
                <w:szCs w:val="24"/>
                <w:lang w:val="en-US" w:eastAsia="zh-CN" w:bidi="ar-SA"/>
              </w:rPr>
            </w:pPr>
            <w:r>
              <w:rPr>
                <w:rFonts w:ascii="FZShuSong-Z01" w:hAnsi="FZShuSong-Z01" w:eastAsia="FZShuSong-Z01" w:cs="FZShuSong-Z01"/>
                <w:color w:val="000000"/>
                <w:kern w:val="0"/>
                <w:sz w:val="24"/>
                <w:szCs w:val="24"/>
                <w:lang w:val="en-US" w:eastAsia="zh-CN" w:bidi="ar"/>
              </w:rPr>
              <w:t>解密时间：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30</w:t>
            </w:r>
            <w:r>
              <w:rPr>
                <w:rFonts w:hint="eastAsia" w:ascii="宋体" w:hAnsi="宋体" w:eastAsia="宋体" w:cs="宋体"/>
                <w:color w:val="000000"/>
                <w:kern w:val="0"/>
                <w:sz w:val="24"/>
                <w:szCs w:val="24"/>
                <w:u w:val="single"/>
                <w:lang w:val="en-US" w:eastAsia="zh-CN" w:bidi="ar"/>
              </w:rPr>
              <w:t xml:space="preserve">  </w:t>
            </w:r>
            <w:r>
              <w:rPr>
                <w:rFonts w:hint="default" w:ascii="FZShuSong-Z01" w:hAnsi="FZShuSong-Z01" w:eastAsia="FZShuSong-Z01" w:cs="FZShuSong-Z01"/>
                <w:color w:val="000000"/>
                <w:kern w:val="0"/>
                <w:sz w:val="24"/>
                <w:szCs w:val="24"/>
                <w:lang w:val="en-US" w:eastAsia="zh-CN" w:bidi="ar"/>
              </w:rPr>
              <w:t>分钟</w:t>
            </w:r>
          </w:p>
        </w:tc>
      </w:tr>
      <w:tr w14:paraId="085C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0E060BA">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20.1</w:t>
            </w:r>
          </w:p>
        </w:tc>
        <w:tc>
          <w:tcPr>
            <w:tcW w:w="1490" w:type="dxa"/>
            <w:vAlign w:val="center"/>
          </w:tcPr>
          <w:p w14:paraId="7A75514E">
            <w:pPr>
              <w:jc w:val="center"/>
              <w:rPr>
                <w:rFonts w:hint="eastAsia" w:ascii="宋体" w:hAnsi="宋体" w:eastAsia="宋体" w:cs="宋体"/>
                <w:spacing w:val="0"/>
                <w:sz w:val="24"/>
              </w:rPr>
            </w:pPr>
            <w:r>
              <w:rPr>
                <w:rFonts w:hint="eastAsia" w:ascii="宋体" w:hAnsi="宋体" w:eastAsia="宋体" w:cs="宋体"/>
                <w:spacing w:val="0"/>
                <w:sz w:val="24"/>
              </w:rPr>
              <w:t>确定成交供应商</w:t>
            </w:r>
          </w:p>
        </w:tc>
        <w:tc>
          <w:tcPr>
            <w:tcW w:w="7473" w:type="dxa"/>
            <w:vAlign w:val="center"/>
          </w:tcPr>
          <w:p w14:paraId="6EFE17D4">
            <w:pPr>
              <w:pStyle w:val="24"/>
              <w:adjustRightInd w:val="0"/>
              <w:snapToGrid w:val="0"/>
              <w:rPr>
                <w:rFonts w:hint="eastAsia" w:ascii="宋体" w:hAnsi="宋体" w:eastAsia="宋体" w:cs="宋体"/>
                <w:spacing w:val="0"/>
                <w:sz w:val="24"/>
              </w:rPr>
            </w:pPr>
            <w:r>
              <w:rPr>
                <w:rFonts w:hint="eastAsia" w:ascii="宋体" w:hAnsi="宋体" w:eastAsia="宋体" w:cs="宋体"/>
                <w:spacing w:val="0"/>
                <w:sz w:val="24"/>
              </w:rPr>
              <w:t>采购人是否</w:t>
            </w:r>
            <w:r>
              <w:rPr>
                <w:rFonts w:hint="eastAsia" w:ascii="宋体" w:hAnsi="宋体" w:eastAsia="宋体" w:cs="宋体"/>
                <w:color w:val="000000"/>
                <w:spacing w:val="0"/>
                <w:sz w:val="24"/>
              </w:rPr>
              <w:t>授权磋商小组直接确定成交供应商</w:t>
            </w:r>
            <w:r>
              <w:rPr>
                <w:rFonts w:hint="eastAsia" w:ascii="宋体" w:hAnsi="宋体" w:eastAsia="宋体" w:cs="宋体"/>
                <w:spacing w:val="0"/>
                <w:sz w:val="24"/>
              </w:rPr>
              <w:t>：</w:t>
            </w:r>
          </w:p>
          <w:p w14:paraId="4171B0F5">
            <w:pPr>
              <w:pStyle w:val="24"/>
              <w:adjustRightInd w:val="0"/>
              <w:snapToGrid w:val="0"/>
              <w:rPr>
                <w:rFonts w:hint="eastAsia" w:ascii="宋体" w:hAnsi="宋体" w:eastAsia="宋体" w:cs="宋体"/>
                <w:spacing w:val="0"/>
                <w:sz w:val="24"/>
              </w:rPr>
            </w:pPr>
            <w:r>
              <w:rPr>
                <w:rFonts w:hint="eastAsia" w:ascii="宋体" w:hAnsi="宋体" w:eastAsia="宋体" w:cs="宋体"/>
                <w:spacing w:val="0"/>
                <w:w w:val="100"/>
                <w:position w:val="0"/>
                <w:sz w:val="24"/>
                <w:szCs w:val="24"/>
              </w:rPr>
              <w:t>■</w:t>
            </w:r>
            <w:r>
              <w:rPr>
                <w:rFonts w:hint="eastAsia" w:ascii="宋体" w:hAnsi="宋体" w:eastAsia="宋体" w:cs="宋体"/>
                <w:spacing w:val="0"/>
                <w:sz w:val="24"/>
              </w:rPr>
              <w:t>否</w:t>
            </w:r>
          </w:p>
          <w:p w14:paraId="453B6153">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sz w:val="24"/>
              </w:rPr>
              <w:t>是</w:t>
            </w:r>
          </w:p>
          <w:p w14:paraId="21D15622">
            <w:pPr>
              <w:jc w:val="left"/>
              <w:rPr>
                <w:rFonts w:hint="eastAsia" w:ascii="宋体" w:hAnsi="宋体" w:eastAsia="宋体" w:cs="宋体"/>
                <w:spacing w:val="0"/>
                <w:sz w:val="24"/>
              </w:rPr>
            </w:pPr>
            <w:r>
              <w:rPr>
                <w:rFonts w:hint="eastAsia" w:ascii="宋体" w:hAnsi="宋体" w:eastAsia="宋体" w:cs="宋体"/>
                <w:spacing w:val="0"/>
                <w:sz w:val="24"/>
              </w:rPr>
              <w:t>成交候选人并列的，按照以下方式确定成交供应商：</w:t>
            </w:r>
          </w:p>
          <w:p w14:paraId="570C92C2">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ascii="宋体" w:hAnsi="宋体" w:eastAsia="宋体" w:cs="宋体"/>
                <w:spacing w:val="0"/>
                <w:w w:val="100"/>
                <w:position w:val="0"/>
                <w:u w:val="single" w:color="auto"/>
                <w:lang w:eastAsia="zh-CN"/>
              </w:rPr>
              <w:t>响应文件</w:t>
            </w:r>
            <w:r>
              <w:rPr>
                <w:rFonts w:hint="eastAsia" w:ascii="宋体" w:hAnsi="宋体" w:eastAsia="宋体" w:cs="宋体"/>
                <w:spacing w:val="0"/>
                <w:w w:val="100"/>
                <w:position w:val="0"/>
                <w:u w:val="single" w:color="auto"/>
              </w:rPr>
              <w:t>满足</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全部实质性要求，且按照评审因素的量化指标评审</w:t>
            </w:r>
            <w:r>
              <w:rPr>
                <w:rFonts w:hint="eastAsia" w:ascii="宋体" w:hAnsi="宋体" w:eastAsia="宋体" w:cs="宋体"/>
                <w:spacing w:val="0"/>
                <w:w w:val="100"/>
                <w:position w:val="0"/>
              </w:rPr>
              <w:t>得分高者为中标人</w:t>
            </w:r>
          </w:p>
          <w:p w14:paraId="498999CC">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w w:val="100"/>
                <w:position w:val="0"/>
                <w:sz w:val="24"/>
                <w:szCs w:val="24"/>
              </w:rPr>
              <w:t>随机抽取</w:t>
            </w:r>
          </w:p>
        </w:tc>
      </w:tr>
      <w:tr w14:paraId="40B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C5BC861">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23.5</w:t>
            </w:r>
          </w:p>
        </w:tc>
        <w:tc>
          <w:tcPr>
            <w:tcW w:w="1490" w:type="dxa"/>
            <w:vAlign w:val="center"/>
          </w:tcPr>
          <w:p w14:paraId="450832B6">
            <w:pPr>
              <w:jc w:val="center"/>
              <w:rPr>
                <w:rFonts w:hint="eastAsia" w:ascii="宋体" w:hAnsi="宋体" w:eastAsia="宋体" w:cs="宋体"/>
                <w:spacing w:val="0"/>
                <w:sz w:val="24"/>
              </w:rPr>
            </w:pPr>
            <w:r>
              <w:rPr>
                <w:rFonts w:hint="eastAsia" w:ascii="宋体" w:hAnsi="宋体" w:eastAsia="宋体" w:cs="宋体"/>
                <w:spacing w:val="0"/>
                <w:sz w:val="24"/>
              </w:rPr>
              <w:t>分包</w:t>
            </w:r>
          </w:p>
        </w:tc>
        <w:tc>
          <w:tcPr>
            <w:tcW w:w="7473" w:type="dxa"/>
            <w:vAlign w:val="center"/>
          </w:tcPr>
          <w:p w14:paraId="07C9079F">
            <w:pPr>
              <w:jc w:val="left"/>
              <w:rPr>
                <w:rFonts w:hint="eastAsia" w:ascii="宋体" w:hAnsi="宋体" w:eastAsia="宋体" w:cs="宋体"/>
                <w:spacing w:val="0"/>
                <w:sz w:val="24"/>
              </w:rPr>
            </w:pPr>
            <w:r>
              <w:rPr>
                <w:rFonts w:hint="eastAsia" w:ascii="宋体" w:hAnsi="宋体" w:eastAsia="宋体" w:cs="宋体"/>
                <w:spacing w:val="0"/>
                <w:sz w:val="24"/>
              </w:rPr>
              <w:t xml:space="preserve">本项目是否允许分包： </w:t>
            </w:r>
          </w:p>
          <w:p w14:paraId="1E9291B3">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不允许</w:t>
            </w:r>
          </w:p>
          <w:p w14:paraId="353A818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允许，具体要求：_______。</w:t>
            </w:r>
          </w:p>
          <w:p w14:paraId="201146F7">
            <w:pPr>
              <w:jc w:val="left"/>
              <w:rPr>
                <w:rFonts w:hint="eastAsia" w:ascii="宋体" w:hAnsi="宋体" w:eastAsia="宋体" w:cs="宋体"/>
                <w:spacing w:val="0"/>
                <w:sz w:val="24"/>
              </w:rPr>
            </w:pPr>
            <w:r>
              <w:rPr>
                <w:rFonts w:hint="eastAsia" w:ascii="宋体" w:hAnsi="宋体" w:eastAsia="宋体" w:cs="宋体"/>
                <w:spacing w:val="0"/>
                <w:sz w:val="24"/>
              </w:rPr>
              <w:t>（1）可以分包履行的具体内容：_______；</w:t>
            </w:r>
          </w:p>
          <w:p w14:paraId="2D2B60E8">
            <w:pPr>
              <w:jc w:val="left"/>
              <w:rPr>
                <w:rFonts w:hint="eastAsia" w:ascii="宋体" w:hAnsi="宋体" w:eastAsia="宋体" w:cs="宋体"/>
                <w:spacing w:val="0"/>
                <w:sz w:val="24"/>
              </w:rPr>
            </w:pPr>
            <w:r>
              <w:rPr>
                <w:rFonts w:hint="eastAsia" w:ascii="宋体" w:hAnsi="宋体" w:eastAsia="宋体" w:cs="宋体"/>
                <w:spacing w:val="0"/>
                <w:sz w:val="24"/>
              </w:rPr>
              <w:t>（2）允许分包的金额或者比例：_______；</w:t>
            </w:r>
          </w:p>
          <w:p w14:paraId="022D261A">
            <w:pPr>
              <w:jc w:val="left"/>
              <w:rPr>
                <w:rFonts w:hint="eastAsia" w:ascii="宋体" w:hAnsi="宋体" w:eastAsia="宋体" w:cs="宋体"/>
                <w:spacing w:val="0"/>
                <w:sz w:val="24"/>
                <w:u w:val="single"/>
              </w:rPr>
            </w:pPr>
            <w:r>
              <w:rPr>
                <w:rFonts w:hint="eastAsia" w:ascii="宋体" w:hAnsi="宋体" w:eastAsia="宋体" w:cs="宋体"/>
                <w:spacing w:val="0"/>
                <w:sz w:val="24"/>
              </w:rPr>
              <w:t>（3）其他要求：_______。</w:t>
            </w:r>
          </w:p>
        </w:tc>
      </w:tr>
      <w:tr w14:paraId="0362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105A7B17">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23.6</w:t>
            </w:r>
          </w:p>
        </w:tc>
        <w:tc>
          <w:tcPr>
            <w:tcW w:w="1490" w:type="dxa"/>
            <w:vAlign w:val="center"/>
          </w:tcPr>
          <w:p w14:paraId="32EC7925">
            <w:pPr>
              <w:jc w:val="center"/>
              <w:rPr>
                <w:rFonts w:hint="eastAsia" w:ascii="宋体" w:hAnsi="宋体" w:eastAsia="宋体" w:cs="宋体"/>
                <w:spacing w:val="0"/>
                <w:sz w:val="24"/>
              </w:rPr>
            </w:pPr>
            <w:r>
              <w:rPr>
                <w:rFonts w:hint="eastAsia" w:ascii="宋体" w:hAnsi="宋体" w:eastAsia="宋体" w:cs="宋体"/>
                <w:spacing w:val="0"/>
                <w:sz w:val="24"/>
              </w:rPr>
              <w:t>政采贷</w:t>
            </w:r>
          </w:p>
        </w:tc>
        <w:tc>
          <w:tcPr>
            <w:tcW w:w="7473" w:type="dxa"/>
            <w:vAlign w:val="center"/>
          </w:tcPr>
          <w:p w14:paraId="3FE26E0B">
            <w:pPr>
              <w:jc w:val="left"/>
              <w:rPr>
                <w:rFonts w:hint="eastAsia" w:ascii="宋体" w:hAnsi="宋体" w:eastAsia="宋体" w:cs="宋体"/>
                <w:spacing w:val="0"/>
                <w:sz w:val="24"/>
              </w:rPr>
            </w:pPr>
            <w:r>
              <w:rPr>
                <w:rFonts w:hint="eastAsia" w:ascii="宋体" w:hAnsi="宋体" w:eastAsia="宋体" w:cs="宋体"/>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19C4D44D">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24.1.1</w:t>
            </w:r>
          </w:p>
        </w:tc>
        <w:tc>
          <w:tcPr>
            <w:tcW w:w="1490" w:type="dxa"/>
            <w:vAlign w:val="center"/>
          </w:tcPr>
          <w:p w14:paraId="57A50754">
            <w:pPr>
              <w:jc w:val="center"/>
              <w:rPr>
                <w:rFonts w:hint="eastAsia" w:ascii="宋体" w:hAnsi="宋体" w:eastAsia="宋体" w:cs="宋体"/>
                <w:spacing w:val="0"/>
                <w:sz w:val="24"/>
              </w:rPr>
            </w:pPr>
            <w:r>
              <w:rPr>
                <w:rFonts w:hint="eastAsia" w:ascii="宋体" w:hAnsi="宋体" w:eastAsia="宋体" w:cs="宋体"/>
                <w:spacing w:val="0"/>
                <w:sz w:val="24"/>
              </w:rPr>
              <w:t>询问</w:t>
            </w:r>
          </w:p>
        </w:tc>
        <w:tc>
          <w:tcPr>
            <w:tcW w:w="7473" w:type="dxa"/>
            <w:vAlign w:val="center"/>
          </w:tcPr>
          <w:p w14:paraId="627C565A">
            <w:pPr>
              <w:jc w:val="left"/>
              <w:rPr>
                <w:rFonts w:hint="eastAsia" w:ascii="宋体" w:hAnsi="宋体" w:eastAsia="宋体" w:cs="宋体"/>
                <w:spacing w:val="0"/>
                <w:sz w:val="24"/>
              </w:rPr>
            </w:pPr>
            <w:r>
              <w:rPr>
                <w:rFonts w:hint="eastAsia" w:ascii="宋体" w:hAnsi="宋体" w:eastAsia="宋体" w:cs="宋体"/>
                <w:spacing w:val="0"/>
                <w:sz w:val="24"/>
              </w:rPr>
              <w:t>询问提出形式：</w:t>
            </w:r>
            <w:r>
              <w:rPr>
                <w:rFonts w:hint="eastAsia" w:ascii="宋体" w:hAnsi="宋体" w:eastAsia="宋体" w:cs="宋体"/>
                <w:spacing w:val="0"/>
                <w:sz w:val="24"/>
                <w:u w:val="single"/>
                <w:lang w:val="en-US" w:eastAsia="zh-CN"/>
              </w:rPr>
              <w:t>供应商以书面形式加盖公章向采购人或采购代理机构提出询问，并将盖章后的电子扫描件发送huixin6283@163.com</w:t>
            </w:r>
            <w:r>
              <w:rPr>
                <w:rFonts w:hint="eastAsia" w:ascii="宋体" w:hAnsi="宋体" w:eastAsia="宋体" w:cs="宋体"/>
                <w:spacing w:val="0"/>
                <w:sz w:val="24"/>
              </w:rPr>
              <w:t>。</w:t>
            </w:r>
          </w:p>
        </w:tc>
      </w:tr>
      <w:tr w14:paraId="541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5B1C33B6">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24.3</w:t>
            </w:r>
          </w:p>
        </w:tc>
        <w:tc>
          <w:tcPr>
            <w:tcW w:w="1490" w:type="dxa"/>
            <w:vAlign w:val="center"/>
          </w:tcPr>
          <w:p w14:paraId="0EF5B934">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473" w:type="dxa"/>
            <w:vAlign w:val="center"/>
          </w:tcPr>
          <w:p w14:paraId="7E4670C0">
            <w:pPr>
              <w:jc w:val="left"/>
              <w:rPr>
                <w:rFonts w:hint="eastAsia" w:ascii="宋体" w:hAnsi="宋体" w:eastAsia="宋体" w:cs="宋体"/>
                <w:spacing w:val="0"/>
                <w:sz w:val="24"/>
                <w:szCs w:val="24"/>
              </w:rPr>
            </w:pPr>
            <w:r>
              <w:rPr>
                <w:rFonts w:hint="eastAsia" w:ascii="宋体" w:hAnsi="宋体" w:eastAsia="宋体" w:cs="宋体"/>
                <w:spacing w:val="0"/>
                <w:sz w:val="24"/>
                <w:szCs w:val="24"/>
              </w:rPr>
              <w:t>接收询问和质疑的联系方式</w:t>
            </w:r>
          </w:p>
          <w:p w14:paraId="39ABBF4B">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联系部门：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招标部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w:t>
            </w:r>
          </w:p>
          <w:p w14:paraId="0F036BEA">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联系电话：</w:t>
            </w:r>
            <w:r>
              <w:rPr>
                <w:rFonts w:hint="eastAsia" w:ascii="宋体" w:hAnsi="宋体" w:eastAsia="宋体" w:cs="宋体"/>
                <w:sz w:val="24"/>
                <w:szCs w:val="24"/>
                <w:u w:val="single"/>
                <w:lang w:eastAsia="zh-CN"/>
              </w:rPr>
              <w:t>010-53387002</w:t>
            </w:r>
            <w:r>
              <w:rPr>
                <w:rFonts w:hint="eastAsia" w:ascii="宋体" w:hAnsi="宋体" w:eastAsia="宋体" w:cs="宋体"/>
                <w:spacing w:val="0"/>
                <w:sz w:val="24"/>
                <w:szCs w:val="24"/>
              </w:rPr>
              <w:t>；</w:t>
            </w:r>
          </w:p>
          <w:p w14:paraId="0BADAACA">
            <w:pPr>
              <w:jc w:val="left"/>
              <w:rPr>
                <w:rFonts w:hint="eastAsia" w:ascii="宋体" w:hAnsi="宋体" w:eastAsia="宋体" w:cs="宋体"/>
                <w:spacing w:val="0"/>
                <w:sz w:val="24"/>
              </w:rPr>
            </w:pPr>
            <w:r>
              <w:rPr>
                <w:rFonts w:hint="eastAsia" w:ascii="宋体" w:hAnsi="宋体" w:eastAsia="宋体" w:cs="宋体"/>
                <w:spacing w:val="0"/>
                <w:sz w:val="24"/>
                <w:szCs w:val="24"/>
              </w:rPr>
              <w:t>通讯地址：</w:t>
            </w:r>
            <w:r>
              <w:rPr>
                <w:rFonts w:hint="eastAsia" w:ascii="宋体" w:hAnsi="宋体" w:eastAsia="宋体" w:cs="宋体"/>
                <w:sz w:val="24"/>
                <w:szCs w:val="24"/>
                <w:u w:val="single"/>
                <w:lang w:eastAsia="zh-CN"/>
              </w:rPr>
              <w:t>北京市经济开发区亦庄云时代B2座-18层</w:t>
            </w:r>
            <w:r>
              <w:rPr>
                <w:rFonts w:hint="eastAsia" w:ascii="宋体" w:hAnsi="宋体" w:eastAsia="宋体" w:cs="宋体"/>
                <w:spacing w:val="0"/>
                <w:sz w:val="24"/>
                <w:szCs w:val="24"/>
              </w:rPr>
              <w:t>。</w:t>
            </w:r>
          </w:p>
        </w:tc>
      </w:tr>
      <w:tr w14:paraId="1A03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 w:type="dxa"/>
            <w:vAlign w:val="center"/>
          </w:tcPr>
          <w:p w14:paraId="347E202D">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25</w:t>
            </w:r>
          </w:p>
        </w:tc>
        <w:tc>
          <w:tcPr>
            <w:tcW w:w="1490" w:type="dxa"/>
            <w:vAlign w:val="center"/>
          </w:tcPr>
          <w:p w14:paraId="4136419A">
            <w:pPr>
              <w:jc w:val="center"/>
              <w:rPr>
                <w:rFonts w:hint="eastAsia" w:ascii="宋体" w:hAnsi="宋体" w:eastAsia="宋体" w:cs="宋体"/>
                <w:spacing w:val="0"/>
                <w:sz w:val="24"/>
              </w:rPr>
            </w:pPr>
            <w:r>
              <w:rPr>
                <w:rFonts w:hint="eastAsia" w:ascii="宋体" w:hAnsi="宋体" w:eastAsia="宋体" w:cs="宋体"/>
                <w:spacing w:val="0"/>
                <w:sz w:val="24"/>
              </w:rPr>
              <w:t>代理费</w:t>
            </w:r>
          </w:p>
        </w:tc>
        <w:tc>
          <w:tcPr>
            <w:tcW w:w="7473" w:type="dxa"/>
            <w:vAlign w:val="center"/>
          </w:tcPr>
          <w:p w14:paraId="1B892B25">
            <w:pPr>
              <w:jc w:val="left"/>
              <w:rPr>
                <w:rFonts w:hint="eastAsia" w:ascii="宋体" w:hAnsi="宋体" w:eastAsia="宋体" w:cs="宋体"/>
                <w:spacing w:val="0"/>
                <w:sz w:val="24"/>
              </w:rPr>
            </w:pPr>
            <w:r>
              <w:rPr>
                <w:rFonts w:hint="eastAsia" w:ascii="宋体" w:hAnsi="宋体" w:eastAsia="宋体" w:cs="宋体"/>
                <w:spacing w:val="0"/>
                <w:sz w:val="24"/>
              </w:rPr>
              <w:t>收费对象：</w:t>
            </w:r>
          </w:p>
          <w:p w14:paraId="646E73DF">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采购人</w:t>
            </w:r>
          </w:p>
          <w:p w14:paraId="7F13BBCB">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成交供应商</w:t>
            </w:r>
          </w:p>
          <w:p w14:paraId="0F6F264F">
            <w:pPr>
              <w:bidi w:val="0"/>
              <w:rPr>
                <w:rFonts w:hint="eastAsia" w:ascii="宋体" w:hAnsi="宋体" w:eastAsia="宋体" w:cs="宋体"/>
                <w:sz w:val="24"/>
                <w:szCs w:val="24"/>
              </w:rPr>
            </w:pPr>
            <w:r>
              <w:rPr>
                <w:rFonts w:hint="eastAsia" w:ascii="宋体" w:hAnsi="宋体" w:eastAsia="宋体" w:cs="宋体"/>
                <w:sz w:val="24"/>
                <w:szCs w:val="24"/>
              </w:rPr>
              <w:t>收费标准：中标服务费收取标准参考原国家计委招标代理服务费暂行标准[2002]1980号文件中规定执行；</w:t>
            </w:r>
          </w:p>
          <w:p w14:paraId="5A94074F">
            <w:pPr>
              <w:bidi w:val="0"/>
              <w:rPr>
                <w:rFonts w:hint="eastAsia" w:ascii="宋体" w:hAnsi="宋体" w:eastAsia="宋体" w:cs="宋体"/>
                <w:sz w:val="24"/>
                <w:szCs w:val="24"/>
              </w:rPr>
            </w:pPr>
            <w:r>
              <w:rPr>
                <w:rFonts w:hint="eastAsia" w:ascii="宋体" w:hAnsi="宋体" w:eastAsia="宋体" w:cs="宋体"/>
                <w:sz w:val="24"/>
                <w:szCs w:val="24"/>
              </w:rPr>
              <w:t>缴纳时间：中标人领取中标通知书时。</w:t>
            </w:r>
          </w:p>
          <w:p w14:paraId="08EE6FF9">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服务费缴纳账户信息：</w:t>
            </w:r>
          </w:p>
          <w:p w14:paraId="7A52CCF5">
            <w:pPr>
              <w:bidi w:val="0"/>
              <w:rPr>
                <w:rFonts w:hint="eastAsia" w:ascii="宋体" w:hAnsi="宋体" w:eastAsia="宋体" w:cs="宋体"/>
                <w:sz w:val="24"/>
                <w:szCs w:val="24"/>
              </w:rPr>
            </w:pPr>
            <w:r>
              <w:rPr>
                <w:rFonts w:hint="eastAsia" w:ascii="宋体" w:hAnsi="宋体" w:eastAsia="宋体" w:cs="宋体"/>
                <w:sz w:val="24"/>
                <w:szCs w:val="24"/>
              </w:rPr>
              <w:t>公司名称：汇信（北京）工程管理有限公司</w:t>
            </w:r>
          </w:p>
          <w:p w14:paraId="42038CE8">
            <w:pPr>
              <w:bidi w:val="0"/>
              <w:rPr>
                <w:rFonts w:hint="default" w:ascii="宋体" w:hAnsi="宋体" w:eastAsia="宋体" w:cs="宋体"/>
                <w:sz w:val="24"/>
                <w:szCs w:val="24"/>
                <w:lang w:val="en-US" w:eastAsia="zh-CN"/>
              </w:rPr>
            </w:pPr>
            <w:r>
              <w:rPr>
                <w:rFonts w:hint="eastAsia" w:ascii="宋体" w:hAnsi="宋体" w:eastAsia="宋体" w:cs="宋体"/>
                <w:sz w:val="24"/>
                <w:szCs w:val="24"/>
              </w:rPr>
              <w:t>账号：110929866310501</w:t>
            </w:r>
            <w:r>
              <w:rPr>
                <w:rFonts w:hint="eastAsia" w:ascii="宋体" w:hAnsi="宋体" w:cs="宋体"/>
                <w:sz w:val="24"/>
                <w:szCs w:val="24"/>
                <w:lang w:val="en-US" w:eastAsia="zh-CN"/>
              </w:rPr>
              <w:t xml:space="preserve">  </w:t>
            </w:r>
          </w:p>
          <w:p w14:paraId="1DFA3C8A">
            <w:pPr>
              <w:pStyle w:val="253"/>
              <w:spacing w:before="25" w:line="219" w:lineRule="auto"/>
              <w:ind w:right="3"/>
              <w:jc w:val="left"/>
              <w:rPr>
                <w:rFonts w:hint="eastAsia" w:ascii="宋体" w:hAnsi="宋体" w:eastAsia="宋体" w:cs="宋体"/>
                <w:spacing w:val="0"/>
                <w:sz w:val="24"/>
              </w:rPr>
            </w:pPr>
            <w:r>
              <w:rPr>
                <w:rFonts w:hint="eastAsia" w:ascii="宋体" w:hAnsi="宋体" w:eastAsia="宋体" w:cs="宋体"/>
                <w:sz w:val="24"/>
                <w:szCs w:val="24"/>
              </w:rPr>
              <w:t>开户银行：招商银行股份有限公司北京亦庄支行</w:t>
            </w:r>
          </w:p>
        </w:tc>
      </w:tr>
    </w:tbl>
    <w:p w14:paraId="66DBDD12">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417" w:header="851" w:footer="851" w:gutter="0"/>
          <w:pgNumType w:fmt="decimal" w:start="1"/>
          <w:cols w:space="720" w:num="1"/>
          <w:titlePg/>
          <w:docGrid w:linePitch="462" w:charSpace="0"/>
        </w:sectPr>
      </w:pPr>
    </w:p>
    <w:p w14:paraId="250D9F89">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14:paraId="3353D7A3">
      <w:pPr>
        <w:pStyle w:val="3"/>
        <w:tabs>
          <w:tab w:val="center" w:pos="4592"/>
          <w:tab w:val="left" w:pos="7860"/>
        </w:tabs>
        <w:spacing w:before="0" w:line="360" w:lineRule="auto"/>
        <w:jc w:val="left"/>
        <w:rPr>
          <w:rFonts w:ascii="Times New Roman" w:hAnsi="Times New Roman" w:eastAsiaTheme="minorEastAsia"/>
          <w:spacing w:val="0"/>
          <w:sz w:val="28"/>
        </w:rPr>
      </w:pPr>
      <w:bookmarkStart w:id="73" w:name="_Toc520356143"/>
      <w:bookmarkStart w:id="74" w:name="_Toc127151518"/>
      <w:r>
        <w:rPr>
          <w:rFonts w:ascii="Times New Roman" w:hAnsi="Times New Roman" w:eastAsiaTheme="minorEastAsia"/>
          <w:spacing w:val="0"/>
          <w:sz w:val="28"/>
        </w:rPr>
        <w:tab/>
      </w:r>
      <w:bookmarkEnd w:id="73"/>
      <w:bookmarkEnd w:id="74"/>
      <w:bookmarkStart w:id="75" w:name="_Toc151190145"/>
      <w:bookmarkStart w:id="76" w:name="_Toc226337214"/>
      <w:bookmarkStart w:id="77" w:name="_Toc151193688"/>
      <w:bookmarkStart w:id="78" w:name="_Toc150774618"/>
      <w:bookmarkStart w:id="79" w:name="_Toc305158786"/>
      <w:bookmarkStart w:id="80" w:name="_Toc151193906"/>
      <w:bookmarkStart w:id="81" w:name="_Toc142311020"/>
      <w:bookmarkStart w:id="82" w:name="_Toc151193832"/>
      <w:bookmarkStart w:id="83" w:name="_Toc226309762"/>
      <w:bookmarkStart w:id="84" w:name="_Toc226965791"/>
      <w:bookmarkStart w:id="85" w:name="_Toc151193760"/>
      <w:bookmarkStart w:id="86" w:name="_Toc151193616"/>
      <w:bookmarkStart w:id="87" w:name="_Toc265228356"/>
      <w:bookmarkStart w:id="88" w:name="_Toc150774723"/>
      <w:bookmarkStart w:id="89" w:name="_Toc150480756"/>
      <w:bookmarkStart w:id="90" w:name="_Toc305158860"/>
      <w:bookmarkStart w:id="91" w:name="_Toc150509269"/>
      <w:bookmarkStart w:id="92" w:name="_Toc226965708"/>
      <w:bookmarkStart w:id="93" w:name="_Toc264969208"/>
      <w:bookmarkStart w:id="94" w:name="_Toc195842883"/>
      <w:r>
        <w:rPr>
          <w:rFonts w:ascii="Times New Roman" w:hAnsi="Times New Roman" w:eastAsiaTheme="minorEastAsia"/>
          <w:spacing w:val="0"/>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Theme="minorEastAsia"/>
          <w:spacing w:val="0"/>
          <w:sz w:val="28"/>
        </w:rPr>
        <w:tab/>
      </w:r>
    </w:p>
    <w:p w14:paraId="6A3D9BCB">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5" w:name="_Toc265228357"/>
      <w:bookmarkStart w:id="96" w:name="_Toc305158787"/>
      <w:bookmarkStart w:id="97" w:name="_Toc264969209"/>
      <w:bookmarkStart w:id="98" w:name="_Toc305158861"/>
      <w:r>
        <w:rPr>
          <w:rFonts w:eastAsiaTheme="minorEastAsia"/>
          <w:spacing w:val="0"/>
          <w:sz w:val="24"/>
        </w:rPr>
        <w:t>采购人、采购代理机构、供应商</w:t>
      </w:r>
      <w:bookmarkEnd w:id="95"/>
      <w:bookmarkEnd w:id="96"/>
      <w:bookmarkEnd w:id="97"/>
      <w:bookmarkEnd w:id="98"/>
      <w:r>
        <w:rPr>
          <w:rFonts w:eastAsiaTheme="minorEastAsia"/>
          <w:spacing w:val="0"/>
          <w:sz w:val="24"/>
        </w:rPr>
        <w:t>、联合体</w:t>
      </w:r>
    </w:p>
    <w:p w14:paraId="0580713E">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14:paraId="0D6010F4">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14:paraId="1B12ADE0">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14:paraId="732B8FE9">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9" w:name="_Toc127161434"/>
      <w:bookmarkStart w:id="100" w:name="_Toc226965793"/>
      <w:bookmarkStart w:id="101" w:name="_Toc265228358"/>
      <w:bookmarkStart w:id="102" w:name="_Toc151193762"/>
      <w:bookmarkStart w:id="103" w:name="_Toc164608634"/>
      <w:bookmarkStart w:id="104" w:name="_Toc149720813"/>
      <w:bookmarkStart w:id="105" w:name="_Toc226309764"/>
      <w:bookmarkStart w:id="106" w:name="_Toc305158862"/>
      <w:bookmarkStart w:id="107" w:name="_Toc164608789"/>
      <w:bookmarkStart w:id="108" w:name="_Toc127151721"/>
      <w:bookmarkStart w:id="109" w:name="_Toc305158788"/>
      <w:bookmarkStart w:id="110" w:name="_Toc150480758"/>
      <w:bookmarkStart w:id="111" w:name="_Toc164351614"/>
      <w:bookmarkStart w:id="112" w:name="_Toc164229361"/>
      <w:bookmarkStart w:id="113" w:name="_Toc151190147"/>
      <w:bookmarkStart w:id="114" w:name="_Toc226965710"/>
      <w:bookmarkStart w:id="115" w:name="_Toc264969210"/>
      <w:bookmarkStart w:id="116" w:name="_Toc142311022"/>
      <w:bookmarkStart w:id="117" w:name="_Toc164229215"/>
      <w:bookmarkStart w:id="118" w:name="_Toc226337216"/>
      <w:bookmarkStart w:id="119" w:name="_Toc195842885"/>
      <w:bookmarkStart w:id="120" w:name="_Toc150774725"/>
      <w:bookmarkStart w:id="121" w:name="_Toc150509271"/>
      <w:bookmarkStart w:id="122" w:name="_Toc127151520"/>
      <w:bookmarkStart w:id="123" w:name="_Toc151193908"/>
      <w:bookmarkStart w:id="124" w:name="_Toc151193618"/>
      <w:bookmarkStart w:id="125" w:name="_Toc150774620"/>
      <w:bookmarkStart w:id="126" w:name="_Toc151193690"/>
      <w:bookmarkStart w:id="127" w:name="_Toc151193834"/>
      <w:r>
        <w:rPr>
          <w:rFonts w:eastAsiaTheme="minorEastAsia"/>
          <w:spacing w:val="0"/>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pacing w:val="0"/>
          <w:sz w:val="24"/>
        </w:rPr>
        <w:t>、项目属性、科研仪器设备采购</w:t>
      </w:r>
    </w:p>
    <w:p w14:paraId="7F6D63EB">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14:paraId="348C10A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14:paraId="372258DD">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14:paraId="5394D72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14:paraId="68D7CF4B">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28" w:name="_Toc265228360"/>
      <w:bookmarkStart w:id="129" w:name="_Toc195842887"/>
      <w:bookmarkStart w:id="130" w:name="_Toc520356146"/>
      <w:bookmarkStart w:id="131" w:name="_Toc226309766"/>
      <w:bookmarkStart w:id="132" w:name="_Toc150509273"/>
      <w:bookmarkStart w:id="133" w:name="_Toc151193692"/>
      <w:bookmarkStart w:id="134" w:name="_Toc226337218"/>
      <w:bookmarkStart w:id="135" w:name="_Toc226965712"/>
      <w:bookmarkStart w:id="136" w:name="_Toc142311024"/>
      <w:bookmarkStart w:id="137" w:name="_Toc150774622"/>
      <w:bookmarkStart w:id="138" w:name="_Toc264969212"/>
      <w:bookmarkStart w:id="139" w:name="_Toc305158790"/>
      <w:bookmarkStart w:id="140" w:name="_Toc151193910"/>
      <w:bookmarkStart w:id="141" w:name="_Toc127151522"/>
      <w:bookmarkStart w:id="142" w:name="_Toc151193836"/>
      <w:bookmarkStart w:id="143" w:name="_Toc151193764"/>
      <w:bookmarkStart w:id="144" w:name="_Toc150480760"/>
      <w:bookmarkStart w:id="145" w:name="_Toc305158864"/>
      <w:bookmarkStart w:id="146" w:name="_Toc150774727"/>
      <w:bookmarkStart w:id="147" w:name="_Toc151190149"/>
      <w:bookmarkStart w:id="148" w:name="_Toc226965795"/>
      <w:bookmarkStart w:id="149" w:name="_Toc151193620"/>
    </w:p>
    <w:p w14:paraId="1190D7A8">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14:paraId="7C9EE47E">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14:paraId="2852C45B">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14:paraId="59A12F8B">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14:paraId="7D154005">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14:paraId="0BDCFE81">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80B6FF">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14:paraId="772334AD">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14:paraId="580D5A1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14:paraId="1E377030">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14:paraId="227CEF7D">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14:paraId="17277786">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14:paraId="50D1F3A2">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0A7710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14:paraId="72EB595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0D114A5">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F00B13">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14:paraId="688A2BC7">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14:paraId="129B713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14:paraId="2678EF4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14:paraId="78E7361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14:paraId="3133AE7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14:paraId="30CEC5F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D0D6B8">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14:paraId="5398AF87">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14:paraId="245D63A1">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14:paraId="616DE55E">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14:paraId="1F77E9E4">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20627E">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389454D">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14:paraId="6E2055E6">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14:paraId="5AB8101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14:paraId="46675570">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0B358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14:paraId="21629300">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14:paraId="4F9F1E9A">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14:paraId="6DE150A7">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14:paraId="1A592407">
      <w:pPr>
        <w:numPr>
          <w:ilvl w:val="1"/>
          <w:numId w:val="8"/>
        </w:numPr>
        <w:tabs>
          <w:tab w:val="left" w:pos="1080"/>
        </w:tabs>
        <w:snapToGrid w:val="0"/>
        <w:spacing w:line="360" w:lineRule="auto"/>
        <w:rPr>
          <w:spacing w:val="0"/>
          <w:sz w:val="24"/>
        </w:rPr>
      </w:pPr>
      <w:r>
        <w:rPr>
          <w:spacing w:val="0"/>
          <w:sz w:val="24"/>
        </w:rPr>
        <w:t>采购需求标准</w:t>
      </w:r>
    </w:p>
    <w:p w14:paraId="035D3760">
      <w:pPr>
        <w:numPr>
          <w:ilvl w:val="2"/>
          <w:numId w:val="8"/>
        </w:numPr>
        <w:snapToGrid w:val="0"/>
        <w:spacing w:line="360" w:lineRule="auto"/>
        <w:rPr>
          <w:spacing w:val="0"/>
          <w:sz w:val="24"/>
        </w:rPr>
      </w:pPr>
      <w:r>
        <w:rPr>
          <w:spacing w:val="0"/>
          <w:sz w:val="24"/>
        </w:rPr>
        <w:t>商品包装、快递包装政府采购需求标准（试行）</w:t>
      </w:r>
    </w:p>
    <w:p w14:paraId="73CC8BD6">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5989387">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14:paraId="0BB916FF">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50" w:name="_Hlk168431650"/>
      <w:r>
        <w:rPr>
          <w:rFonts w:hint="eastAsia"/>
          <w:spacing w:val="0"/>
          <w:sz w:val="24"/>
        </w:rPr>
        <w:t>财政部门会同有关部门制定发布的</w:t>
      </w:r>
      <w:bookmarkEnd w:id="150"/>
      <w:r>
        <w:rPr>
          <w:rFonts w:hint="eastAsia"/>
          <w:spacing w:val="0"/>
          <w:sz w:val="24"/>
        </w:rPr>
        <w:t>其他政府采购需求标准，</w:t>
      </w:r>
      <w:r>
        <w:rPr>
          <w:spacing w:val="0"/>
          <w:sz w:val="24"/>
        </w:rPr>
        <w:t>本项目如涉及，则具体要求见第四章《采购需求》。</w:t>
      </w:r>
    </w:p>
    <w:p w14:paraId="3720BD73">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14:paraId="55A7A496">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14:paraId="52B62909">
      <w:pPr>
        <w:tabs>
          <w:tab w:val="left" w:pos="1080"/>
        </w:tabs>
        <w:snapToGrid w:val="0"/>
        <w:spacing w:line="360" w:lineRule="auto"/>
        <w:ind w:left="1080"/>
        <w:rPr>
          <w:rFonts w:eastAsiaTheme="minorEastAsia"/>
          <w:spacing w:val="0"/>
          <w:sz w:val="28"/>
        </w:rPr>
      </w:pPr>
      <w:bookmarkStart w:id="151" w:name="_1.8_计量单位"/>
      <w:bookmarkEnd w:id="151"/>
    </w:p>
    <w:p w14:paraId="33810A40">
      <w:pPr>
        <w:pStyle w:val="3"/>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461FE03">
      <w:pPr>
        <w:numPr>
          <w:ilvl w:val="0"/>
          <w:numId w:val="8"/>
        </w:numPr>
        <w:tabs>
          <w:tab w:val="left" w:pos="360"/>
        </w:tabs>
        <w:snapToGrid w:val="0"/>
        <w:spacing w:line="360" w:lineRule="auto"/>
        <w:ind w:left="357" w:hanging="357"/>
        <w:outlineLvl w:val="1"/>
        <w:rPr>
          <w:rFonts w:eastAsiaTheme="minorEastAsia"/>
          <w:spacing w:val="0"/>
          <w:sz w:val="24"/>
        </w:rPr>
      </w:pPr>
      <w:bookmarkStart w:id="152" w:name="_Toc150509274"/>
      <w:bookmarkStart w:id="153" w:name="_Toc264969213"/>
      <w:bookmarkStart w:id="154" w:name="_Toc127151523"/>
      <w:bookmarkStart w:id="155" w:name="_Toc151193837"/>
      <w:bookmarkStart w:id="156" w:name="_Toc151193911"/>
      <w:bookmarkStart w:id="157" w:name="_Toc226337219"/>
      <w:bookmarkStart w:id="158" w:name="_Toc151193765"/>
      <w:bookmarkStart w:id="159" w:name="_Toc142311025"/>
      <w:bookmarkStart w:id="160" w:name="_Toc127151724"/>
      <w:bookmarkStart w:id="161" w:name="_Toc150480761"/>
      <w:bookmarkStart w:id="162" w:name="_Toc520356147"/>
      <w:bookmarkStart w:id="163" w:name="_Toc164608792"/>
      <w:bookmarkStart w:id="164" w:name="_Toc164608637"/>
      <w:bookmarkStart w:id="165" w:name="_Toc151193621"/>
      <w:bookmarkStart w:id="166" w:name="_Toc164229218"/>
      <w:bookmarkStart w:id="167" w:name="_Toc127161437"/>
      <w:bookmarkStart w:id="168" w:name="_Toc226965713"/>
      <w:bookmarkStart w:id="169" w:name="_Toc164229364"/>
      <w:bookmarkStart w:id="170" w:name="_Toc195842888"/>
      <w:bookmarkStart w:id="171" w:name="_Toc265228361"/>
      <w:bookmarkStart w:id="172" w:name="_Toc164351617"/>
      <w:bookmarkStart w:id="173" w:name="_Toc305158791"/>
      <w:bookmarkStart w:id="174" w:name="_Toc226965796"/>
      <w:bookmarkStart w:id="175" w:name="_Toc226309767"/>
      <w:bookmarkStart w:id="176" w:name="_Toc305158865"/>
      <w:bookmarkStart w:id="177" w:name="_Toc151193693"/>
      <w:bookmarkStart w:id="178" w:name="_Toc150774623"/>
      <w:bookmarkStart w:id="179" w:name="_Toc149720816"/>
      <w:bookmarkStart w:id="180" w:name="_Toc150774728"/>
      <w:bookmarkStart w:id="181" w:name="_Toc151190150"/>
      <w:r>
        <w:rPr>
          <w:rFonts w:eastAsiaTheme="minorEastAsia"/>
          <w:spacing w:val="0"/>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pacing w:val="0"/>
          <w:sz w:val="24"/>
        </w:rPr>
        <w:t>成</w:t>
      </w:r>
    </w:p>
    <w:p w14:paraId="6B620E1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14:paraId="6ACBB53A">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14:paraId="0916C169">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14:paraId="1E76FAF3">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14:paraId="1CA1C57F">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14:paraId="52A656C1">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14:paraId="254BF678">
      <w:pPr>
        <w:numPr>
          <w:ilvl w:val="0"/>
          <w:numId w:val="9"/>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14:paraId="008E5109">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14:paraId="17DF1B12">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14:paraId="63C5ABAE">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25BA590">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14:paraId="6E420AB5">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14:paraId="45D28BEB">
      <w:pPr>
        <w:tabs>
          <w:tab w:val="left" w:pos="1080"/>
          <w:tab w:val="left" w:pos="1561"/>
        </w:tabs>
        <w:snapToGrid w:val="0"/>
        <w:spacing w:line="360" w:lineRule="auto"/>
        <w:ind w:left="1080"/>
        <w:rPr>
          <w:rFonts w:eastAsiaTheme="minorEastAsia"/>
          <w:spacing w:val="0"/>
          <w:sz w:val="28"/>
        </w:rPr>
      </w:pPr>
      <w:bookmarkStart w:id="182" w:name="_Toc516367020"/>
      <w:bookmarkStart w:id="183" w:name="_Toc142311028"/>
      <w:bookmarkStart w:id="184" w:name="_Toc226337222"/>
      <w:bookmarkStart w:id="185" w:name="_Toc226309770"/>
      <w:bookmarkStart w:id="186" w:name="_Toc305158868"/>
      <w:bookmarkStart w:id="187" w:name="_Toc151193768"/>
      <w:bookmarkStart w:id="188" w:name="_Toc150774731"/>
      <w:bookmarkStart w:id="189" w:name="_Toc520356150"/>
      <w:bookmarkStart w:id="190" w:name="_Toc264969216"/>
      <w:bookmarkStart w:id="191" w:name="_Toc151193914"/>
      <w:bookmarkStart w:id="192" w:name="_Toc195842891"/>
      <w:bookmarkStart w:id="193" w:name="_Toc305158794"/>
      <w:bookmarkStart w:id="194" w:name="_Toc150774626"/>
      <w:bookmarkStart w:id="195" w:name="_Toc150509277"/>
      <w:bookmarkStart w:id="196" w:name="_Toc150480764"/>
      <w:bookmarkStart w:id="197" w:name="_Toc151193624"/>
      <w:bookmarkStart w:id="198" w:name="_Toc151193696"/>
      <w:bookmarkStart w:id="199" w:name="_Toc226965716"/>
      <w:bookmarkStart w:id="200" w:name="_Toc127151526"/>
      <w:bookmarkStart w:id="201" w:name="_Toc265228364"/>
      <w:bookmarkStart w:id="202" w:name="_Toc226965799"/>
      <w:bookmarkStart w:id="203" w:name="_Toc151193840"/>
      <w:bookmarkStart w:id="204" w:name="_Toc151190153"/>
    </w:p>
    <w:p w14:paraId="6229E178">
      <w:pPr>
        <w:pStyle w:val="3"/>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2"/>
      <w:r>
        <w:rPr>
          <w:rFonts w:ascii="Times New Roman" w:hAnsi="Times New Roman" w:eastAsiaTheme="minorEastAsia"/>
          <w:spacing w:val="0"/>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D784C77">
      <w:pPr>
        <w:numPr>
          <w:ilvl w:val="0"/>
          <w:numId w:val="8"/>
        </w:numPr>
        <w:tabs>
          <w:tab w:val="left" w:pos="360"/>
        </w:tabs>
        <w:snapToGrid w:val="0"/>
        <w:spacing w:line="360" w:lineRule="auto"/>
        <w:ind w:left="357" w:hanging="357"/>
        <w:outlineLvl w:val="1"/>
        <w:rPr>
          <w:rFonts w:eastAsiaTheme="minorEastAsia"/>
          <w:spacing w:val="0"/>
          <w:sz w:val="24"/>
        </w:rPr>
      </w:pPr>
      <w:bookmarkStart w:id="205" w:name="_Toc305158795"/>
      <w:bookmarkStart w:id="206" w:name="_Toc151193769"/>
      <w:bookmarkStart w:id="207" w:name="_Toc265228365"/>
      <w:bookmarkStart w:id="208" w:name="_Toc151193625"/>
      <w:bookmarkStart w:id="209" w:name="_Toc127151527"/>
      <w:bookmarkStart w:id="210" w:name="_Toc127161441"/>
      <w:bookmarkStart w:id="211" w:name="_Toc149720820"/>
      <w:bookmarkStart w:id="212" w:name="_Toc151193697"/>
      <w:bookmarkStart w:id="213" w:name="_Toc142311029"/>
      <w:bookmarkStart w:id="214" w:name="_Toc226965717"/>
      <w:bookmarkStart w:id="215" w:name="_Toc150774732"/>
      <w:bookmarkStart w:id="216" w:name="_Toc516367021"/>
      <w:bookmarkStart w:id="217" w:name="_Toc150509278"/>
      <w:bookmarkStart w:id="218" w:name="_Toc151190154"/>
      <w:bookmarkStart w:id="219" w:name="_Toc305158869"/>
      <w:bookmarkStart w:id="220" w:name="_Toc151193841"/>
      <w:bookmarkStart w:id="221" w:name="_Toc520356151"/>
      <w:bookmarkStart w:id="222" w:name="_Toc195842892"/>
      <w:bookmarkStart w:id="223" w:name="_Toc164351621"/>
      <w:bookmarkStart w:id="224" w:name="_Toc127151728"/>
      <w:bookmarkStart w:id="225" w:name="_Toc226965800"/>
      <w:bookmarkStart w:id="226" w:name="_Toc164229222"/>
      <w:bookmarkStart w:id="227" w:name="_Toc150480765"/>
      <w:bookmarkStart w:id="228" w:name="_Toc164608796"/>
      <w:bookmarkStart w:id="229" w:name="_Toc226337223"/>
      <w:bookmarkStart w:id="230" w:name="_Toc164229368"/>
      <w:bookmarkStart w:id="231" w:name="_Toc150774627"/>
      <w:bookmarkStart w:id="232" w:name="_Toc164608641"/>
      <w:bookmarkStart w:id="233" w:name="_Toc226309771"/>
      <w:bookmarkStart w:id="234" w:name="_Toc264969217"/>
      <w:bookmarkStart w:id="235" w:name="_Toc151193915"/>
      <w:r>
        <w:rPr>
          <w:rFonts w:eastAsiaTheme="minorEastAsia"/>
          <w:spacing w:val="0"/>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pacing w:val="0"/>
          <w:sz w:val="24"/>
        </w:rPr>
        <w:t>及磋商语言</w:t>
      </w:r>
    </w:p>
    <w:p w14:paraId="15FBC21B">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14:paraId="41B8C028">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14:paraId="1B0C2D75">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7C12CBD">
      <w:pPr>
        <w:numPr>
          <w:ilvl w:val="0"/>
          <w:numId w:val="8"/>
        </w:numPr>
        <w:tabs>
          <w:tab w:val="left" w:pos="360"/>
        </w:tabs>
        <w:snapToGrid w:val="0"/>
        <w:spacing w:line="360" w:lineRule="auto"/>
        <w:ind w:left="357" w:hanging="357"/>
        <w:outlineLvl w:val="1"/>
        <w:rPr>
          <w:rFonts w:eastAsiaTheme="minorEastAsia"/>
          <w:spacing w:val="0"/>
          <w:sz w:val="24"/>
        </w:rPr>
      </w:pPr>
      <w:bookmarkStart w:id="236" w:name="_Toc516367022"/>
      <w:bookmarkStart w:id="237" w:name="_Ref467306195"/>
      <w:bookmarkStart w:id="238" w:name="_Ref467306676"/>
      <w:bookmarkStart w:id="239" w:name="_Toc164229369"/>
      <w:bookmarkStart w:id="240" w:name="_Toc305158796"/>
      <w:bookmarkStart w:id="241" w:name="_Toc265228366"/>
      <w:bookmarkStart w:id="242" w:name="_Toc150774733"/>
      <w:bookmarkStart w:id="243" w:name="_Toc226965801"/>
      <w:bookmarkStart w:id="244" w:name="_Toc150774628"/>
      <w:bookmarkStart w:id="245" w:name="_Toc520356152"/>
      <w:bookmarkStart w:id="246" w:name="_Toc149720821"/>
      <w:bookmarkStart w:id="247" w:name="_Toc151193626"/>
      <w:bookmarkStart w:id="248" w:name="_Toc151190155"/>
      <w:bookmarkStart w:id="249" w:name="_Toc150509279"/>
      <w:bookmarkStart w:id="250" w:name="_Toc127161442"/>
      <w:bookmarkStart w:id="251" w:name="_Toc164608797"/>
      <w:bookmarkStart w:id="252" w:name="_Toc127151528"/>
      <w:bookmarkStart w:id="253" w:name="_Toc164608642"/>
      <w:bookmarkStart w:id="254" w:name="_Toc164229223"/>
      <w:bookmarkStart w:id="255" w:name="_Toc151193916"/>
      <w:bookmarkStart w:id="256" w:name="_Toc151193842"/>
      <w:bookmarkStart w:id="257" w:name="_Toc164351622"/>
      <w:bookmarkStart w:id="258" w:name="_Toc127151729"/>
      <w:bookmarkStart w:id="259" w:name="_Toc151193770"/>
      <w:bookmarkStart w:id="260" w:name="_Toc226965718"/>
      <w:bookmarkStart w:id="261" w:name="_Toc195842893"/>
      <w:bookmarkStart w:id="262" w:name="_Toc226337224"/>
      <w:bookmarkStart w:id="263" w:name="_Toc151193698"/>
      <w:bookmarkStart w:id="264" w:name="_Toc226309772"/>
      <w:bookmarkStart w:id="265" w:name="_Toc142311030"/>
      <w:bookmarkStart w:id="266" w:name="_Toc305158870"/>
      <w:bookmarkStart w:id="267" w:name="_Toc264969218"/>
      <w:bookmarkStart w:id="268" w:name="_Toc150480766"/>
      <w:r>
        <w:rPr>
          <w:rFonts w:eastAsiaTheme="minorEastAsia"/>
          <w:spacing w:val="0"/>
          <w:sz w:val="24"/>
        </w:rPr>
        <w:t>响应文件</w:t>
      </w:r>
      <w:bookmarkEnd w:id="236"/>
      <w:bookmarkEnd w:id="237"/>
      <w:bookmarkEnd w:id="238"/>
      <w:r>
        <w:rPr>
          <w:rFonts w:eastAsiaTheme="minorEastAsia"/>
          <w:spacing w:val="0"/>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E550A03">
      <w:pPr>
        <w:numPr>
          <w:ilvl w:val="1"/>
          <w:numId w:val="8"/>
        </w:numPr>
        <w:tabs>
          <w:tab w:val="left" w:pos="1080"/>
          <w:tab w:val="left" w:pos="2014"/>
        </w:tabs>
        <w:snapToGrid w:val="0"/>
        <w:spacing w:line="360" w:lineRule="auto"/>
        <w:ind w:left="1077" w:hanging="720"/>
        <w:rPr>
          <w:rFonts w:eastAsiaTheme="minorEastAsia"/>
          <w:spacing w:val="0"/>
          <w:sz w:val="24"/>
        </w:rPr>
      </w:pPr>
      <w:bookmarkStart w:id="269"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14:paraId="774525B7">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6059DC9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14:paraId="16308F1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DC9BB1">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69"/>
    </w:p>
    <w:p w14:paraId="51DC0577">
      <w:pPr>
        <w:numPr>
          <w:ilvl w:val="0"/>
          <w:numId w:val="8"/>
        </w:numPr>
        <w:tabs>
          <w:tab w:val="left" w:pos="360"/>
        </w:tabs>
        <w:snapToGrid w:val="0"/>
        <w:spacing w:line="360" w:lineRule="auto"/>
        <w:ind w:left="357" w:hanging="357"/>
        <w:outlineLvl w:val="1"/>
        <w:rPr>
          <w:rFonts w:eastAsiaTheme="minorEastAsia"/>
          <w:spacing w:val="0"/>
          <w:sz w:val="24"/>
        </w:rPr>
      </w:pPr>
      <w:bookmarkStart w:id="270" w:name="_Toc127151731"/>
      <w:bookmarkStart w:id="271" w:name="_Toc127161444"/>
      <w:bookmarkStart w:id="272" w:name="_Toc164229371"/>
      <w:bookmarkStart w:id="273" w:name="_Toc127151530"/>
      <w:bookmarkStart w:id="274" w:name="_Toc164608644"/>
      <w:bookmarkStart w:id="275" w:name="_Toc164608799"/>
      <w:bookmarkStart w:id="276" w:name="_Toc151193844"/>
      <w:bookmarkStart w:id="277" w:name="_Toc150774630"/>
      <w:bookmarkStart w:id="278" w:name="_Toc150774735"/>
      <w:bookmarkStart w:id="279" w:name="_Toc151190157"/>
      <w:bookmarkStart w:id="280" w:name="_Toc164229225"/>
      <w:bookmarkStart w:id="281" w:name="_Toc151193700"/>
      <w:bookmarkStart w:id="282" w:name="_Toc164351624"/>
      <w:bookmarkStart w:id="283" w:name="_Toc151193628"/>
      <w:bookmarkStart w:id="284" w:name="_Toc151193772"/>
      <w:bookmarkStart w:id="285" w:name="_Toc195842895"/>
      <w:bookmarkStart w:id="286" w:name="_Toc520356155"/>
      <w:bookmarkStart w:id="287" w:name="_Toc150509281"/>
      <w:bookmarkStart w:id="288" w:name="_Toc149720823"/>
      <w:bookmarkStart w:id="289" w:name="_Toc142311032"/>
      <w:bookmarkStart w:id="290" w:name="_Toc151193918"/>
      <w:bookmarkStart w:id="291" w:name="_Toc150480768"/>
      <w:r>
        <w:rPr>
          <w:rFonts w:eastAsiaTheme="minorEastAsia"/>
          <w:spacing w:val="0"/>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2F5C95A">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14:paraId="3D631DEF">
      <w:pPr>
        <w:numPr>
          <w:ilvl w:val="1"/>
          <w:numId w:val="8"/>
        </w:numPr>
        <w:tabs>
          <w:tab w:val="left" w:pos="1080"/>
        </w:tabs>
        <w:snapToGrid w:val="0"/>
        <w:spacing w:line="360" w:lineRule="auto"/>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14:paraId="787A0339">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3A20781">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14:paraId="6595A2D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14:paraId="1B6BF85D">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14:paraId="75C98D1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14:paraId="7D593A0B">
      <w:pPr>
        <w:numPr>
          <w:ilvl w:val="1"/>
          <w:numId w:val="8"/>
        </w:numPr>
        <w:tabs>
          <w:tab w:val="left" w:pos="1080"/>
          <w:tab w:val="left" w:pos="2014"/>
        </w:tabs>
        <w:snapToGrid w:val="0"/>
        <w:spacing w:line="360" w:lineRule="auto"/>
        <w:ind w:left="1077" w:hanging="720"/>
        <w:rPr>
          <w:rFonts w:eastAsiaTheme="minorEastAsia"/>
          <w:spacing w:val="0"/>
          <w:sz w:val="24"/>
        </w:rPr>
      </w:pPr>
      <w:bookmarkStart w:id="292" w:name="_Ref467306302"/>
      <w:r>
        <w:rPr>
          <w:rFonts w:eastAsiaTheme="minorEastAsia"/>
          <w:spacing w:val="0"/>
          <w:sz w:val="24"/>
        </w:rPr>
        <w:t>供应商应按《供应商须知资料表》中规定的金额及要求交纳磋商保证金</w:t>
      </w:r>
      <w:bookmarkEnd w:id="292"/>
      <w:r>
        <w:rPr>
          <w:rFonts w:eastAsiaTheme="minorEastAsia"/>
          <w:spacing w:val="0"/>
          <w:sz w:val="24"/>
        </w:rPr>
        <w:t>。</w:t>
      </w:r>
      <w:r>
        <w:rPr>
          <w:rFonts w:hint="eastAsia" w:eastAsiaTheme="minorEastAsia"/>
          <w:spacing w:val="0"/>
          <w:sz w:val="24"/>
        </w:rPr>
        <w:t>供应商自愿超额缴纳磋商保证金的，响应文件不做无效处理。</w:t>
      </w:r>
    </w:p>
    <w:p w14:paraId="760D2B60">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14:paraId="482601EA">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3"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3"/>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14:paraId="0044F168">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lang w:val="en-US" w:eastAsia="zh-CN"/>
        </w:rPr>
        <w:t>供应商除需在响应文件中提供“磋商保证金凭证</w:t>
      </w:r>
      <w:r>
        <w:rPr>
          <w:rFonts w:hint="default" w:eastAsiaTheme="minorEastAsia"/>
          <w:spacing w:val="0"/>
          <w:sz w:val="24"/>
          <w:lang w:val="en-US" w:eastAsia="zh-CN"/>
        </w:rPr>
        <w:t>/交款单据电子件”，还需在首次响应文件提交截止时间前，通过电子交易平台上传“磋商保证金凭证/交款单据电子件”</w:t>
      </w:r>
      <w:r>
        <w:rPr>
          <w:rFonts w:hint="eastAsia" w:eastAsiaTheme="minorEastAsia"/>
          <w:spacing w:val="0"/>
          <w:sz w:val="24"/>
          <w:lang w:val="en-US" w:eastAsia="zh-CN"/>
        </w:rPr>
        <w:t>。</w:t>
      </w:r>
    </w:p>
    <w:p w14:paraId="780C007B">
      <w:pPr>
        <w:numPr>
          <w:ilvl w:val="1"/>
          <w:numId w:val="8"/>
        </w:numPr>
        <w:tabs>
          <w:tab w:val="left" w:pos="1080"/>
          <w:tab w:val="left" w:pos="2014"/>
        </w:tabs>
        <w:snapToGrid w:val="0"/>
        <w:spacing w:line="360" w:lineRule="auto"/>
        <w:ind w:left="1077" w:hanging="720"/>
        <w:rPr>
          <w:spacing w:val="0"/>
          <w:sz w:val="24"/>
        </w:rPr>
      </w:pPr>
      <w:bookmarkStart w:id="294" w:name="_Hlk168432698"/>
      <w:r>
        <w:rPr>
          <w:rFonts w:eastAsiaTheme="minorEastAsia"/>
          <w:spacing w:val="0"/>
          <w:sz w:val="24"/>
        </w:rPr>
        <w:t>磋商保证金有效期同响应有效期。</w:t>
      </w:r>
    </w:p>
    <w:bookmarkEnd w:id="294"/>
    <w:p w14:paraId="2524DDC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14:paraId="6480369D">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27B51B5">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14:paraId="7141D8EE">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14:paraId="3AE7206E">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14:paraId="1841C902">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14:paraId="6ACBE91B">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14:paraId="759A66FD">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14:paraId="560AAFF3">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14:paraId="5E41E15F">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14:paraId="7D00BF71">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14:paraId="2357B3CE">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14:paraId="61E2E94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14:paraId="33526E17">
      <w:pPr>
        <w:numPr>
          <w:ilvl w:val="0"/>
          <w:numId w:val="8"/>
        </w:numPr>
        <w:tabs>
          <w:tab w:val="left" w:pos="360"/>
        </w:tabs>
        <w:snapToGrid w:val="0"/>
        <w:spacing w:line="360" w:lineRule="auto"/>
        <w:ind w:left="357" w:hanging="357"/>
        <w:outlineLvl w:val="1"/>
        <w:rPr>
          <w:rFonts w:eastAsiaTheme="minorEastAsia"/>
          <w:spacing w:val="0"/>
          <w:sz w:val="24"/>
        </w:rPr>
      </w:pPr>
      <w:bookmarkStart w:id="295" w:name="_Toc151193631"/>
      <w:bookmarkStart w:id="296" w:name="_Toc150480771"/>
      <w:bookmarkStart w:id="297" w:name="_Toc264969223"/>
      <w:bookmarkStart w:id="298" w:name="_Toc151190160"/>
      <w:bookmarkStart w:id="299" w:name="_Toc164351627"/>
      <w:bookmarkStart w:id="300" w:name="_Toc151193775"/>
      <w:bookmarkStart w:id="301" w:name="_Toc150774738"/>
      <w:bookmarkStart w:id="302" w:name="_Toc164229228"/>
      <w:bookmarkStart w:id="303" w:name="_Toc226337229"/>
      <w:bookmarkStart w:id="304" w:name="_Toc305158875"/>
      <w:bookmarkStart w:id="305" w:name="_Toc226965806"/>
      <w:bookmarkStart w:id="306" w:name="_Toc265228371"/>
      <w:bookmarkStart w:id="307" w:name="_Toc164229374"/>
      <w:bookmarkStart w:id="308" w:name="_Toc195842898"/>
      <w:bookmarkStart w:id="309" w:name="_Toc151193921"/>
      <w:bookmarkStart w:id="310" w:name="_Toc127161447"/>
      <w:bookmarkStart w:id="311" w:name="_Toc151193847"/>
      <w:bookmarkStart w:id="312" w:name="_Toc150774633"/>
      <w:bookmarkStart w:id="313" w:name="_Toc226965723"/>
      <w:bookmarkStart w:id="314" w:name="_Toc150509284"/>
      <w:bookmarkStart w:id="315" w:name="_Toc127151533"/>
      <w:bookmarkStart w:id="316" w:name="_Toc520356158"/>
      <w:bookmarkStart w:id="317" w:name="_Toc149720826"/>
      <w:bookmarkStart w:id="318" w:name="_Toc142311035"/>
      <w:bookmarkStart w:id="319" w:name="_Toc164608802"/>
      <w:bookmarkStart w:id="320" w:name="_Toc226309777"/>
      <w:bookmarkStart w:id="321" w:name="_Toc127151734"/>
      <w:bookmarkStart w:id="322" w:name="_Toc164608647"/>
      <w:bookmarkStart w:id="323" w:name="_Toc151193703"/>
      <w:bookmarkStart w:id="324" w:name="_Toc305158801"/>
      <w:r>
        <w:rPr>
          <w:rFonts w:eastAsiaTheme="minorEastAsia"/>
          <w:spacing w:val="0"/>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pacing w:val="0"/>
          <w:sz w:val="24"/>
        </w:rPr>
        <w:t>、盖章</w:t>
      </w:r>
    </w:p>
    <w:p w14:paraId="5A5AED6B">
      <w:pPr>
        <w:numPr>
          <w:ilvl w:val="0"/>
          <w:numId w:val="0"/>
        </w:numPr>
        <w:tabs>
          <w:tab w:val="left" w:pos="1080"/>
          <w:tab w:val="left" w:pos="2014"/>
        </w:tabs>
        <w:snapToGrid w:val="0"/>
        <w:spacing w:line="360" w:lineRule="auto"/>
        <w:ind w:left="1199" w:leftChars="228" w:hanging="720" w:hangingChars="300"/>
        <w:rPr>
          <w:rFonts w:hint="eastAsia" w:eastAsiaTheme="minorEastAsia"/>
          <w:spacing w:val="0"/>
          <w:sz w:val="24"/>
        </w:rPr>
      </w:pPr>
      <w:bookmarkStart w:id="325" w:name="_Toc151193704"/>
      <w:bookmarkStart w:id="326" w:name="_Toc195842899"/>
      <w:bookmarkStart w:id="327" w:name="_Toc150509285"/>
      <w:bookmarkStart w:id="328" w:name="_Toc305158802"/>
      <w:bookmarkStart w:id="329" w:name="_Toc264969224"/>
      <w:bookmarkStart w:id="330" w:name="_Toc226965807"/>
      <w:bookmarkStart w:id="331" w:name="_Toc305158876"/>
      <w:bookmarkStart w:id="332" w:name="_Toc226337230"/>
      <w:bookmarkStart w:id="333" w:name="_Toc127151534"/>
      <w:bookmarkStart w:id="334" w:name="_Toc226965724"/>
      <w:bookmarkStart w:id="335" w:name="_Toc520356159"/>
      <w:bookmarkStart w:id="336" w:name="_Toc151193922"/>
      <w:bookmarkStart w:id="337" w:name="_Toc150480772"/>
      <w:bookmarkStart w:id="338" w:name="_Toc265228372"/>
      <w:bookmarkStart w:id="339" w:name="_Toc142311036"/>
      <w:bookmarkStart w:id="340" w:name="_Toc151193776"/>
      <w:bookmarkStart w:id="341" w:name="_Toc151193632"/>
      <w:bookmarkStart w:id="342" w:name="_Toc150774739"/>
      <w:bookmarkStart w:id="343" w:name="_Toc150774634"/>
      <w:bookmarkStart w:id="344" w:name="_Toc226309778"/>
      <w:bookmarkStart w:id="345" w:name="_Toc151193848"/>
      <w:bookmarkStart w:id="346" w:name="_Toc151190161"/>
      <w:r>
        <w:rPr>
          <w:rFonts w:hint="eastAsia" w:ascii="Times New Roman" w:hAnsi="Times New Roman" w:cs="Times New Roman" w:eastAsiaTheme="minorEastAsia"/>
          <w:spacing w:val="0"/>
          <w:sz w:val="24"/>
          <w:lang w:val="en-US" w:eastAsia="zh-CN"/>
        </w:rPr>
        <w:t xml:space="preserve">13.1  </w:t>
      </w:r>
      <w:r>
        <w:rPr>
          <w:rFonts w:hint="eastAsia" w:eastAsiaTheme="minorEastAsia"/>
          <w:spacing w:val="0"/>
          <w:sz w:val="24"/>
          <w:lang w:val="en-US" w:eastAsia="zh-CN"/>
        </w:rPr>
        <w:t xml:space="preserve">竞争性磋商文件要求签字的内容（如授权委托书等），可以使用电子签章 </w:t>
      </w:r>
    </w:p>
    <w:p w14:paraId="0D18F359">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或使用原件的电子件（电子件指扫描件、照片等形式电子文件）；要求第 </w:t>
      </w:r>
    </w:p>
    <w:p w14:paraId="7FBB9F8F">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 xml:space="preserve">三方出具的盖章件原件（如联合协议、分包意向协议、制造商授权书等）， </w:t>
      </w:r>
    </w:p>
    <w:p w14:paraId="69897800">
      <w:pPr>
        <w:numPr>
          <w:ilvl w:val="0"/>
          <w:numId w:val="0"/>
        </w:numPr>
        <w:tabs>
          <w:tab w:val="left" w:pos="1080"/>
          <w:tab w:val="left" w:pos="2014"/>
        </w:tabs>
        <w:snapToGrid w:val="0"/>
        <w:spacing w:line="360" w:lineRule="auto"/>
        <w:ind w:left="1197" w:leftChars="570" w:firstLine="0" w:firstLineChars="0"/>
        <w:rPr>
          <w:rFonts w:hint="eastAsia" w:eastAsiaTheme="minorEastAsia"/>
          <w:spacing w:val="0"/>
          <w:sz w:val="24"/>
        </w:rPr>
      </w:pPr>
      <w:r>
        <w:rPr>
          <w:rFonts w:hint="default" w:eastAsiaTheme="minorEastAsia"/>
          <w:spacing w:val="0"/>
          <w:sz w:val="24"/>
          <w:lang w:val="en-US" w:eastAsia="zh-CN"/>
        </w:rPr>
        <w:t>响应文件中应使用原件的电子件。</w:t>
      </w:r>
    </w:p>
    <w:p w14:paraId="7D61A7EA">
      <w:pPr>
        <w:numPr>
          <w:ilvl w:val="0"/>
          <w:numId w:val="0"/>
        </w:numPr>
        <w:tabs>
          <w:tab w:val="left" w:pos="1080"/>
        </w:tabs>
        <w:snapToGrid w:val="0"/>
        <w:spacing w:line="360" w:lineRule="auto"/>
        <w:ind w:left="1199" w:leftChars="228" w:hanging="720" w:hangingChars="300"/>
        <w:rPr>
          <w:rFonts w:eastAsiaTheme="minorEastAsia"/>
          <w:spacing w:val="0"/>
          <w:sz w:val="24"/>
        </w:rPr>
      </w:pPr>
    </w:p>
    <w:p w14:paraId="1AEA7D97">
      <w:pPr>
        <w:numPr>
          <w:ilvl w:val="0"/>
          <w:numId w:val="0"/>
        </w:numPr>
        <w:tabs>
          <w:tab w:val="left" w:pos="1080"/>
          <w:tab w:val="left" w:pos="2014"/>
        </w:tabs>
        <w:snapToGrid w:val="0"/>
        <w:spacing w:line="360" w:lineRule="auto"/>
        <w:ind w:left="1199" w:leftChars="228" w:hanging="720" w:hangingChars="300"/>
        <w:rPr>
          <w:rFonts w:eastAsiaTheme="minorEastAsia"/>
          <w:spacing w:val="0"/>
          <w:sz w:val="24"/>
        </w:rPr>
      </w:pPr>
      <w:r>
        <w:rPr>
          <w:rFonts w:hint="eastAsia" w:eastAsiaTheme="minorEastAsia"/>
          <w:spacing w:val="0"/>
          <w:sz w:val="24"/>
          <w:lang w:val="en-US" w:eastAsia="zh-CN"/>
        </w:rPr>
        <w:t>13.2  竞争性磋商文件要求盖章的内容，一般通过投标文件编制工具加盖电子签章。</w:t>
      </w:r>
    </w:p>
    <w:p w14:paraId="03A53AC2">
      <w:pPr>
        <w:tabs>
          <w:tab w:val="left" w:pos="900"/>
          <w:tab w:val="left" w:pos="1080"/>
        </w:tabs>
        <w:snapToGrid w:val="0"/>
        <w:spacing w:line="360" w:lineRule="auto"/>
        <w:ind w:left="357"/>
        <w:rPr>
          <w:rFonts w:eastAsiaTheme="minorEastAsia"/>
          <w:spacing w:val="0"/>
        </w:rPr>
      </w:pPr>
    </w:p>
    <w:p w14:paraId="18985864">
      <w:pPr>
        <w:pStyle w:val="3"/>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7C27A50">
      <w:pPr>
        <w:numPr>
          <w:ilvl w:val="0"/>
          <w:numId w:val="8"/>
        </w:numPr>
        <w:tabs>
          <w:tab w:val="left" w:pos="360"/>
        </w:tabs>
        <w:snapToGrid w:val="0"/>
        <w:spacing w:line="360" w:lineRule="auto"/>
        <w:ind w:left="357" w:hanging="357"/>
        <w:outlineLvl w:val="1"/>
        <w:rPr>
          <w:rFonts w:eastAsiaTheme="minorEastAsia"/>
          <w:spacing w:val="0"/>
          <w:sz w:val="24"/>
        </w:rPr>
      </w:pPr>
      <w:bookmarkStart w:id="347" w:name="_Toc164229376"/>
      <w:bookmarkStart w:id="348" w:name="_Toc164351629"/>
      <w:bookmarkStart w:id="349" w:name="_Toc151193633"/>
      <w:bookmarkStart w:id="350" w:name="_Toc142311037"/>
      <w:bookmarkStart w:id="351" w:name="_Toc226337231"/>
      <w:bookmarkStart w:id="352" w:name="_Toc226309779"/>
      <w:bookmarkStart w:id="353" w:name="_Toc150509286"/>
      <w:bookmarkStart w:id="354" w:name="_Toc264969225"/>
      <w:bookmarkStart w:id="355" w:name="_Toc150774635"/>
      <w:bookmarkStart w:id="356" w:name="_Toc149720828"/>
      <w:bookmarkStart w:id="357" w:name="_Toc265228373"/>
      <w:bookmarkStart w:id="358" w:name="_Toc305158877"/>
      <w:bookmarkStart w:id="359" w:name="_Toc520356160"/>
      <w:bookmarkStart w:id="360" w:name="_Toc151193777"/>
      <w:bookmarkStart w:id="361" w:name="_Toc151193849"/>
      <w:bookmarkStart w:id="362" w:name="_Toc127161449"/>
      <w:bookmarkStart w:id="363" w:name="_Toc150774740"/>
      <w:bookmarkStart w:id="364" w:name="_Toc226965725"/>
      <w:bookmarkStart w:id="365" w:name="_Toc151190162"/>
      <w:bookmarkStart w:id="366" w:name="_Toc164608804"/>
      <w:bookmarkStart w:id="367" w:name="_Toc195842900"/>
      <w:bookmarkStart w:id="368" w:name="_Toc151193705"/>
      <w:bookmarkStart w:id="369" w:name="_Toc150480773"/>
      <w:bookmarkStart w:id="370" w:name="_Toc305158803"/>
      <w:bookmarkStart w:id="371" w:name="_Toc164608649"/>
      <w:bookmarkStart w:id="372" w:name="_Toc164229230"/>
      <w:bookmarkStart w:id="373" w:name="_Toc151193923"/>
      <w:bookmarkStart w:id="374" w:name="_Toc226965808"/>
      <w:bookmarkStart w:id="375" w:name="_Toc127151535"/>
      <w:bookmarkStart w:id="376" w:name="_Toc127151736"/>
      <w:r>
        <w:rPr>
          <w:rFonts w:eastAsiaTheme="minorEastAsia"/>
          <w:spacing w:val="0"/>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pacing w:val="0"/>
          <w:sz w:val="24"/>
        </w:rPr>
        <w:t>提交</w:t>
      </w:r>
    </w:p>
    <w:p w14:paraId="0520278B">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lang w:val="en-US" w:eastAsia="zh-CN"/>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w:t>
      </w:r>
    </w:p>
    <w:p w14:paraId="724FA6FD">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lang w:val="en-US" w:eastAsia="zh-CN"/>
        </w:rPr>
        <w:t>子交易平台供应商操作手册要求编制、生成并提交电子响应文件。</w:t>
      </w:r>
    </w:p>
    <w:p w14:paraId="49283864">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w:t>
      </w:r>
    </w:p>
    <w:p w14:paraId="26645D92">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highlight w:val="none"/>
        </w:rPr>
        <w:t>响应文件，磋商保证金除外。</w:t>
      </w:r>
    </w:p>
    <w:p w14:paraId="3D50F0FC">
      <w:pPr>
        <w:numPr>
          <w:ilvl w:val="0"/>
          <w:numId w:val="8"/>
        </w:numPr>
        <w:tabs>
          <w:tab w:val="left" w:pos="360"/>
        </w:tabs>
        <w:snapToGrid w:val="0"/>
        <w:spacing w:line="360" w:lineRule="auto"/>
        <w:ind w:left="357" w:hanging="357"/>
        <w:outlineLvl w:val="1"/>
        <w:rPr>
          <w:rFonts w:eastAsiaTheme="minorEastAsia"/>
          <w:spacing w:val="0"/>
          <w:sz w:val="24"/>
        </w:rPr>
      </w:pPr>
      <w:bookmarkStart w:id="377" w:name="_Toc127161450"/>
      <w:bookmarkStart w:id="378" w:name="_Toc226309780"/>
      <w:bookmarkStart w:id="379" w:name="_Toc149720829"/>
      <w:bookmarkStart w:id="380" w:name="_Toc164229377"/>
      <w:bookmarkStart w:id="381" w:name="_Toc150509287"/>
      <w:bookmarkStart w:id="382" w:name="_Toc226965726"/>
      <w:bookmarkStart w:id="383" w:name="_Toc195842901"/>
      <w:bookmarkStart w:id="384" w:name="_Toc150774741"/>
      <w:bookmarkStart w:id="385" w:name="_Toc127151737"/>
      <w:bookmarkStart w:id="386" w:name="_Toc520356161"/>
      <w:bookmarkStart w:id="387" w:name="_Toc226965809"/>
      <w:bookmarkStart w:id="388" w:name="_Toc151193634"/>
      <w:bookmarkStart w:id="389" w:name="_Toc151193778"/>
      <w:bookmarkStart w:id="390" w:name="_Toc151193706"/>
      <w:bookmarkStart w:id="391" w:name="_Toc151193924"/>
      <w:bookmarkStart w:id="392" w:name="_Toc142311038"/>
      <w:bookmarkStart w:id="393" w:name="_Toc151193850"/>
      <w:bookmarkStart w:id="394" w:name="_Toc164608650"/>
      <w:bookmarkStart w:id="395" w:name="_Toc305158878"/>
      <w:bookmarkStart w:id="396" w:name="_Toc151190163"/>
      <w:bookmarkStart w:id="397" w:name="_Toc150480774"/>
      <w:bookmarkStart w:id="398" w:name="_Toc164351630"/>
      <w:bookmarkStart w:id="399" w:name="_Toc150774636"/>
      <w:bookmarkStart w:id="400" w:name="_Toc226337232"/>
      <w:bookmarkStart w:id="401" w:name="_Toc265228374"/>
      <w:bookmarkStart w:id="402" w:name="_Toc164608805"/>
      <w:bookmarkStart w:id="403" w:name="_Toc127151536"/>
      <w:bookmarkStart w:id="404" w:name="_Toc264969226"/>
      <w:bookmarkStart w:id="405" w:name="_Toc305158804"/>
      <w:bookmarkStart w:id="406" w:name="_Toc164229231"/>
      <w:r>
        <w:rPr>
          <w:rFonts w:eastAsiaTheme="minorEastAsia"/>
          <w:spacing w:val="0"/>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pacing w:val="0"/>
          <w:sz w:val="24"/>
        </w:rPr>
        <w:t>时间</w:t>
      </w:r>
    </w:p>
    <w:p w14:paraId="1BCF1018">
      <w:pPr>
        <w:numPr>
          <w:ilvl w:val="1"/>
          <w:numId w:val="8"/>
        </w:numPr>
        <w:tabs>
          <w:tab w:val="left" w:pos="1080"/>
          <w:tab w:val="left" w:pos="2014"/>
        </w:tabs>
        <w:snapToGrid w:val="0"/>
        <w:spacing w:line="360" w:lineRule="auto"/>
        <w:ind w:left="1077" w:hanging="720"/>
        <w:rPr>
          <w:rFonts w:hint="eastAsia"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w:t>
      </w:r>
    </w:p>
    <w:p w14:paraId="1ADAC414">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eastAsiaTheme="minorEastAsia"/>
          <w:spacing w:val="0"/>
          <w:sz w:val="24"/>
          <w:highlight w:val="none"/>
        </w:rPr>
        <w:t>提交至电子交易平台。</w:t>
      </w:r>
    </w:p>
    <w:p w14:paraId="101896CC">
      <w:pPr>
        <w:numPr>
          <w:ilvl w:val="0"/>
          <w:numId w:val="8"/>
        </w:numPr>
        <w:tabs>
          <w:tab w:val="left" w:pos="360"/>
        </w:tabs>
        <w:snapToGrid w:val="0"/>
        <w:spacing w:line="360" w:lineRule="auto"/>
        <w:ind w:left="357" w:hanging="357"/>
        <w:outlineLvl w:val="1"/>
        <w:rPr>
          <w:rFonts w:eastAsiaTheme="minorEastAsia"/>
          <w:spacing w:val="0"/>
          <w:sz w:val="24"/>
        </w:rPr>
      </w:pPr>
      <w:bookmarkStart w:id="407" w:name="_Toc164351631"/>
      <w:bookmarkStart w:id="408" w:name="_Toc150480775"/>
      <w:bookmarkStart w:id="409" w:name="_Toc151193851"/>
      <w:bookmarkStart w:id="410" w:name="_Toc164229378"/>
      <w:bookmarkStart w:id="411" w:name="_Toc151193779"/>
      <w:bookmarkStart w:id="412" w:name="_Toc305158879"/>
      <w:bookmarkStart w:id="413" w:name="_Toc164608651"/>
      <w:bookmarkStart w:id="414" w:name="_Toc150774637"/>
      <w:bookmarkStart w:id="415" w:name="_Toc226309781"/>
      <w:bookmarkStart w:id="416" w:name="_Toc151193925"/>
      <w:bookmarkStart w:id="417" w:name="_Toc164608806"/>
      <w:bookmarkStart w:id="418" w:name="_Toc151190164"/>
      <w:bookmarkStart w:id="419" w:name="_Toc151193707"/>
      <w:bookmarkStart w:id="420" w:name="_Toc520356162"/>
      <w:bookmarkStart w:id="421" w:name="_Toc226965810"/>
      <w:bookmarkStart w:id="422" w:name="_Toc127161451"/>
      <w:bookmarkStart w:id="423" w:name="_Toc127151537"/>
      <w:bookmarkStart w:id="424" w:name="_Toc195842902"/>
      <w:bookmarkStart w:id="425" w:name="_Toc149720830"/>
      <w:bookmarkStart w:id="426" w:name="_Toc265228375"/>
      <w:bookmarkStart w:id="427" w:name="_Toc150509288"/>
      <w:bookmarkStart w:id="428" w:name="_Toc305158805"/>
      <w:bookmarkStart w:id="429" w:name="_Toc264969227"/>
      <w:bookmarkStart w:id="430" w:name="_Toc127151738"/>
      <w:bookmarkStart w:id="431" w:name="_Toc150774742"/>
      <w:bookmarkStart w:id="432" w:name="_Toc226965727"/>
      <w:bookmarkStart w:id="433" w:name="_Toc142311039"/>
      <w:bookmarkStart w:id="434" w:name="_Toc164229232"/>
      <w:bookmarkStart w:id="435" w:name="_Toc226337233"/>
      <w:bookmarkStart w:id="436" w:name="_Toc151193635"/>
      <w:r>
        <w:rPr>
          <w:rFonts w:eastAsiaTheme="minorEastAsia"/>
          <w:spacing w:val="0"/>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2D1B723">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rPr>
      </w:pPr>
      <w:r>
        <w:rPr>
          <w:rFonts w:hint="eastAsia" w:ascii="Times New Roman" w:hAnsi="Times New Roman" w:cs="Times New Roman" w:eastAsiaTheme="minorEastAsia"/>
          <w:spacing w:val="0"/>
          <w:sz w:val="24"/>
        </w:rPr>
        <w:t>响应文件提交截止时间前，供应商可以通过电子交易平台对所提交的响应文件进行补充、修改或者撤回。磋商保证金的补充、修改或者撤回无需通过电</w:t>
      </w:r>
    </w:p>
    <w:p w14:paraId="23E7116D">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rPr>
        <w:t>子交易平台，但应就其补充、修改或者撤回通知采购人或采购代理机构。</w:t>
      </w:r>
    </w:p>
    <w:p w14:paraId="245FB51E">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供应商对响应文件的补充、修改的内容应当按照竞争性磋商文件要求签署、</w:t>
      </w:r>
    </w:p>
    <w:p w14:paraId="6BBC8AB6">
      <w:pPr>
        <w:numPr>
          <w:ilvl w:val="0"/>
          <w:numId w:val="0"/>
        </w:numPr>
        <w:tabs>
          <w:tab w:val="left" w:pos="1080"/>
          <w:tab w:val="left" w:pos="2014"/>
        </w:tabs>
        <w:snapToGrid w:val="0"/>
        <w:spacing w:line="360" w:lineRule="auto"/>
        <w:ind w:left="357" w:leftChars="0" w:firstLine="720" w:firstLineChars="300"/>
        <w:rPr>
          <w:rFonts w:hint="eastAsia" w:ascii="Times New Roman" w:hAnsi="Times New Roman" w:cs="Times New Roman" w:eastAsiaTheme="minorEastAsia"/>
          <w:spacing w:val="0"/>
          <w:sz w:val="24"/>
          <w:lang w:val="en-US" w:eastAsia="zh-CN"/>
        </w:rPr>
      </w:pPr>
      <w:r>
        <w:rPr>
          <w:rFonts w:hint="eastAsia" w:ascii="Times New Roman" w:hAnsi="Times New Roman" w:cs="Times New Roman" w:eastAsiaTheme="minorEastAsia"/>
          <w:spacing w:val="0"/>
          <w:sz w:val="24"/>
          <w:lang w:val="en-US" w:eastAsia="zh-CN"/>
        </w:rPr>
        <w:t>盖章，作为响应文件的组成部分。补充、修改的内容与响应文件不一致的，</w:t>
      </w:r>
    </w:p>
    <w:p w14:paraId="3A0473E0">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Times New Roman" w:hAnsi="Times New Roman" w:cs="Times New Roman" w:eastAsiaTheme="minorEastAsia"/>
          <w:spacing w:val="0"/>
          <w:sz w:val="24"/>
          <w:lang w:val="en-US" w:eastAsia="zh-CN"/>
        </w:rPr>
        <w:t>以补充、修改的内容为准。</w:t>
      </w:r>
    </w:p>
    <w:p w14:paraId="1233BF1D">
      <w:pPr>
        <w:pStyle w:val="3"/>
        <w:spacing w:before="0" w:line="360" w:lineRule="auto"/>
        <w:rPr>
          <w:rFonts w:ascii="Times New Roman" w:hAnsi="Times New Roman" w:eastAsiaTheme="minorEastAsia"/>
          <w:spacing w:val="0"/>
          <w:sz w:val="28"/>
        </w:rPr>
      </w:pPr>
      <w:bookmarkStart w:id="437" w:name="_Toc151193926"/>
      <w:bookmarkStart w:id="438" w:name="_Toc264969228"/>
      <w:bookmarkStart w:id="439" w:name="_Toc226337234"/>
      <w:bookmarkStart w:id="440" w:name="_Toc151193852"/>
      <w:bookmarkStart w:id="441" w:name="_Toc142311040"/>
      <w:bookmarkStart w:id="442" w:name="_Toc151193708"/>
      <w:bookmarkStart w:id="443" w:name="_Toc226309782"/>
      <w:bookmarkStart w:id="444" w:name="_Toc150774743"/>
      <w:bookmarkStart w:id="445" w:name="_Toc195842903"/>
      <w:bookmarkStart w:id="446" w:name="_Toc305158880"/>
      <w:bookmarkStart w:id="447" w:name="_Toc150774638"/>
      <w:bookmarkStart w:id="448" w:name="_Toc226965811"/>
      <w:bookmarkStart w:id="449" w:name="_Toc151193636"/>
      <w:bookmarkStart w:id="450" w:name="_Toc305158806"/>
      <w:bookmarkStart w:id="451" w:name="_Toc150509289"/>
      <w:bookmarkStart w:id="452" w:name="_Toc265228376"/>
      <w:bookmarkStart w:id="453" w:name="_Toc226965728"/>
      <w:bookmarkStart w:id="454" w:name="_Toc127151538"/>
      <w:bookmarkStart w:id="455" w:name="_Toc150480776"/>
      <w:bookmarkStart w:id="456" w:name="_Toc151190165"/>
      <w:bookmarkStart w:id="457" w:name="_Toc520356163"/>
      <w:bookmarkStart w:id="458" w:name="_Toc151193780"/>
      <w:r>
        <w:rPr>
          <w:rFonts w:ascii="Times New Roman" w:hAnsi="Times New Roman" w:eastAsiaTheme="minorEastAsia"/>
          <w:spacing w:val="0"/>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Theme="minorEastAsia"/>
          <w:spacing w:val="0"/>
          <w:sz w:val="28"/>
        </w:rPr>
        <w:t>评审</w:t>
      </w:r>
    </w:p>
    <w:p w14:paraId="396A6FED">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14:paraId="604521F1">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采购人或采购代理机构将按竞争性磋商文件的规定，在响应文件提交截止时间的同一时间和竞争性磋商文件预先确定的地点开启响应文件。</w:t>
      </w:r>
    </w:p>
    <w:p w14:paraId="4AB3EA50">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w:t>
      </w:r>
    </w:p>
    <w:p w14:paraId="081CAE0F">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料表》规定的时间内对响应文件进行解密，因非系统原因导致的解密失败，</w:t>
      </w:r>
    </w:p>
    <w:p w14:paraId="5D6EF67A">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视为无效响应。</w:t>
      </w:r>
    </w:p>
    <w:p w14:paraId="6867580D">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w:t>
      </w:r>
    </w:p>
    <w:p w14:paraId="42801C70">
      <w:pPr>
        <w:numPr>
          <w:ilvl w:val="0"/>
          <w:numId w:val="0"/>
        </w:numPr>
        <w:tabs>
          <w:tab w:val="left" w:pos="1080"/>
          <w:tab w:val="left" w:pos="2014"/>
        </w:tabs>
        <w:snapToGrid w:val="0"/>
        <w:spacing w:line="360" w:lineRule="auto"/>
        <w:ind w:left="357" w:leftChars="0" w:firstLine="720" w:firstLineChars="300"/>
        <w:rPr>
          <w:rFonts w:hint="eastAsia" w:ascii="宋体" w:hAnsi="宋体" w:cs="宋体"/>
          <w:sz w:val="24"/>
          <w:highlight w:val="none"/>
        </w:rPr>
      </w:pPr>
      <w:r>
        <w:rPr>
          <w:rFonts w:hint="eastAsia" w:ascii="宋体" w:hAnsi="宋体" w:cs="宋体"/>
          <w:sz w:val="24"/>
          <w:highlight w:val="none"/>
        </w:rPr>
        <w:t>或采购代理机构书面提出回避申请，并说明理由。采购人或采购代理机构将</w:t>
      </w:r>
    </w:p>
    <w:p w14:paraId="1527D890">
      <w:pPr>
        <w:numPr>
          <w:ilvl w:val="0"/>
          <w:numId w:val="0"/>
        </w:numPr>
        <w:tabs>
          <w:tab w:val="left" w:pos="1080"/>
          <w:tab w:val="left" w:pos="2014"/>
        </w:tabs>
        <w:snapToGrid w:val="0"/>
        <w:spacing w:line="360" w:lineRule="auto"/>
        <w:ind w:left="357" w:leftChars="0" w:firstLine="720" w:firstLineChars="300"/>
        <w:rPr>
          <w:rFonts w:eastAsiaTheme="minorEastAsia"/>
          <w:spacing w:val="0"/>
          <w:sz w:val="24"/>
        </w:rPr>
      </w:pPr>
      <w:r>
        <w:rPr>
          <w:rFonts w:hint="eastAsia" w:ascii="宋体" w:hAnsi="宋体" w:cs="宋体"/>
          <w:sz w:val="24"/>
          <w:highlight w:val="none"/>
        </w:rPr>
        <w:t>及时询问被申请回避人员，有利害关系的被申请回避人员将回避。</w:t>
      </w:r>
    </w:p>
    <w:p w14:paraId="74D7229F">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ascii="宋体" w:hAnsi="宋体" w:cs="宋体"/>
          <w:sz w:val="24"/>
          <w:highlight w:val="none"/>
        </w:rPr>
        <w:t>供应商不足 3 家的，不予解密。</w:t>
      </w:r>
    </w:p>
    <w:p w14:paraId="78C2DED3">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本项目不公开报价。</w:t>
      </w:r>
    </w:p>
    <w:p w14:paraId="570512BB">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14:paraId="770B65A0">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59" w:name="_Toc520356166"/>
    </w:p>
    <w:p w14:paraId="30CDDF4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6FFC85AF">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5FC8F36E">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14:paraId="3188B51B">
      <w:pPr>
        <w:tabs>
          <w:tab w:val="left" w:pos="360"/>
          <w:tab w:val="left" w:pos="1080"/>
        </w:tabs>
        <w:snapToGrid w:val="0"/>
        <w:spacing w:line="360" w:lineRule="auto"/>
        <w:ind w:left="1080"/>
        <w:rPr>
          <w:rFonts w:eastAsiaTheme="minorEastAsia"/>
          <w:spacing w:val="0"/>
          <w:sz w:val="24"/>
        </w:rPr>
      </w:pPr>
    </w:p>
    <w:p w14:paraId="221C8438">
      <w:pPr>
        <w:pStyle w:val="3"/>
        <w:spacing w:before="0" w:line="360" w:lineRule="auto"/>
        <w:rPr>
          <w:rFonts w:ascii="Times New Roman" w:hAnsi="Times New Roman" w:eastAsiaTheme="minorEastAsia"/>
          <w:spacing w:val="0"/>
          <w:sz w:val="28"/>
        </w:rPr>
      </w:pPr>
      <w:bookmarkStart w:id="461" w:name="_Toc150774750"/>
      <w:bookmarkStart w:id="462" w:name="_Toc127151545"/>
      <w:bookmarkStart w:id="463" w:name="_Toc150774645"/>
      <w:bookmarkStart w:id="464" w:name="_Toc151190172"/>
      <w:bookmarkStart w:id="465" w:name="_Toc226309789"/>
      <w:bookmarkStart w:id="466" w:name="_Toc305158887"/>
      <w:bookmarkStart w:id="467" w:name="_Toc305158813"/>
      <w:bookmarkStart w:id="468" w:name="_Toc142311047"/>
      <w:bookmarkStart w:id="469" w:name="_Toc195842910"/>
      <w:bookmarkStart w:id="470" w:name="_Toc150480783"/>
      <w:bookmarkStart w:id="471" w:name="_Toc226965818"/>
      <w:bookmarkStart w:id="472" w:name="_Toc226965735"/>
      <w:bookmarkStart w:id="473" w:name="_Toc151193933"/>
      <w:bookmarkStart w:id="474" w:name="_Toc151193859"/>
      <w:bookmarkStart w:id="475" w:name="_Toc151193643"/>
      <w:bookmarkStart w:id="476" w:name="_Toc265228383"/>
      <w:bookmarkStart w:id="477" w:name="_Toc151193787"/>
      <w:bookmarkStart w:id="478" w:name="_Toc150509296"/>
      <w:bookmarkStart w:id="479" w:name="_Toc151193715"/>
      <w:bookmarkStart w:id="480" w:name="_Toc264969235"/>
      <w:bookmarkStart w:id="481" w:name="_Toc226337241"/>
      <w:r>
        <w:rPr>
          <w:rFonts w:ascii="Times New Roman" w:hAnsi="Times New Roman" w:eastAsiaTheme="minorEastAsia"/>
          <w:spacing w:val="0"/>
          <w:sz w:val="28"/>
        </w:rPr>
        <w:t xml:space="preserve">六   </w:t>
      </w:r>
      <w:bookmarkEnd w:id="460"/>
      <w:r>
        <w:rPr>
          <w:rFonts w:ascii="Times New Roman" w:hAnsi="Times New Roman" w:eastAsiaTheme="minorEastAsia"/>
          <w:spacing w:val="0"/>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pacing w:val="0"/>
          <w:sz w:val="28"/>
        </w:rPr>
        <w:t>成交</w:t>
      </w:r>
    </w:p>
    <w:p w14:paraId="5B94C3BC">
      <w:pPr>
        <w:numPr>
          <w:ilvl w:val="0"/>
          <w:numId w:val="8"/>
        </w:numPr>
        <w:tabs>
          <w:tab w:val="left" w:pos="360"/>
        </w:tabs>
        <w:snapToGrid w:val="0"/>
        <w:spacing w:line="360" w:lineRule="auto"/>
        <w:ind w:left="357" w:hanging="357"/>
        <w:outlineLvl w:val="1"/>
        <w:rPr>
          <w:rFonts w:eastAsiaTheme="minorEastAsia"/>
          <w:spacing w:val="0"/>
          <w:sz w:val="24"/>
        </w:rPr>
      </w:pPr>
      <w:bookmarkStart w:id="482" w:name="_Toc151193935"/>
      <w:bookmarkStart w:id="483" w:name="_Toc150509298"/>
      <w:bookmarkStart w:id="484" w:name="_Toc127151748"/>
      <w:bookmarkStart w:id="485" w:name="_Toc142311049"/>
      <w:bookmarkStart w:id="486" w:name="_Toc127151547"/>
      <w:bookmarkStart w:id="487" w:name="_Toc127161461"/>
      <w:bookmarkStart w:id="488" w:name="_Toc151190174"/>
      <w:bookmarkStart w:id="489" w:name="_Toc150774752"/>
      <w:bookmarkStart w:id="490" w:name="_Toc264969237"/>
      <w:bookmarkStart w:id="491" w:name="_Toc305158815"/>
      <w:bookmarkStart w:id="492" w:name="_Toc164608661"/>
      <w:bookmarkStart w:id="493" w:name="_Toc226965737"/>
      <w:bookmarkStart w:id="494" w:name="_Toc164229242"/>
      <w:bookmarkStart w:id="495" w:name="_Toc149720840"/>
      <w:bookmarkStart w:id="496" w:name="_Toc305158889"/>
      <w:bookmarkStart w:id="497" w:name="_Toc226309791"/>
      <w:bookmarkStart w:id="498" w:name="_Toc151193717"/>
      <w:bookmarkStart w:id="499" w:name="_Toc226965820"/>
      <w:bookmarkStart w:id="500" w:name="_Toc265228385"/>
      <w:bookmarkStart w:id="501" w:name="_Toc164351641"/>
      <w:bookmarkStart w:id="502" w:name="_Toc151193861"/>
      <w:bookmarkStart w:id="503" w:name="_Toc150480785"/>
      <w:bookmarkStart w:id="504" w:name="_Toc151193645"/>
      <w:bookmarkStart w:id="505" w:name="_Toc226337243"/>
      <w:bookmarkStart w:id="506" w:name="_Toc151193789"/>
      <w:bookmarkStart w:id="507" w:name="_Toc195842912"/>
      <w:bookmarkStart w:id="508" w:name="_Toc164608816"/>
      <w:bookmarkStart w:id="509" w:name="_Toc150774647"/>
      <w:bookmarkStart w:id="510" w:name="_Toc164229388"/>
      <w:r>
        <w:rPr>
          <w:rFonts w:eastAsiaTheme="minorEastAsia"/>
          <w:spacing w:val="0"/>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454A5FD">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2FF7A8B">
      <w:pPr>
        <w:numPr>
          <w:ilvl w:val="0"/>
          <w:numId w:val="8"/>
        </w:numPr>
        <w:tabs>
          <w:tab w:val="left" w:pos="360"/>
        </w:tabs>
        <w:snapToGrid w:val="0"/>
        <w:spacing w:line="360" w:lineRule="auto"/>
        <w:ind w:left="357" w:hanging="357"/>
        <w:outlineLvl w:val="1"/>
        <w:rPr>
          <w:rFonts w:eastAsiaTheme="minorEastAsia"/>
          <w:spacing w:val="0"/>
          <w:sz w:val="24"/>
        </w:rPr>
      </w:pPr>
      <w:bookmarkStart w:id="511" w:name="_Toc305158891"/>
      <w:bookmarkStart w:id="512" w:name="_Toc305158817"/>
      <w:bookmarkStart w:id="513" w:name="_Toc151193937"/>
      <w:bookmarkStart w:id="514" w:name="_Toc149720842"/>
      <w:bookmarkStart w:id="515" w:name="_Toc150774754"/>
      <w:bookmarkStart w:id="516" w:name="_Toc164608818"/>
      <w:bookmarkStart w:id="517" w:name="_Toc164229244"/>
      <w:bookmarkStart w:id="518" w:name="_Toc142311051"/>
      <w:bookmarkStart w:id="519" w:name="_Toc226337245"/>
      <w:bookmarkStart w:id="520" w:name="_Toc127151750"/>
      <w:bookmarkStart w:id="521" w:name="_Toc127151549"/>
      <w:bookmarkStart w:id="522" w:name="_Toc226309793"/>
      <w:bookmarkStart w:id="523" w:name="_Toc195842914"/>
      <w:bookmarkStart w:id="524" w:name="_Toc264969239"/>
      <w:bookmarkStart w:id="525" w:name="_Toc151190176"/>
      <w:bookmarkStart w:id="526" w:name="_Toc164351643"/>
      <w:bookmarkStart w:id="527" w:name="_Toc226965822"/>
      <w:bookmarkStart w:id="528" w:name="_Toc164229390"/>
      <w:bookmarkStart w:id="529" w:name="_Toc151193719"/>
      <w:bookmarkStart w:id="530" w:name="_Toc226965739"/>
      <w:bookmarkStart w:id="531" w:name="_Toc151193791"/>
      <w:bookmarkStart w:id="532" w:name="_Toc151193863"/>
      <w:bookmarkStart w:id="533" w:name="_Toc265228387"/>
      <w:bookmarkStart w:id="534" w:name="_Toc151193647"/>
      <w:bookmarkStart w:id="535" w:name="_Toc127161463"/>
      <w:bookmarkStart w:id="536" w:name="_Toc150509300"/>
      <w:bookmarkStart w:id="537" w:name="_Toc164608663"/>
      <w:bookmarkStart w:id="538" w:name="_Toc150480787"/>
      <w:bookmarkStart w:id="539" w:name="_Toc150774649"/>
      <w:bookmarkStart w:id="540" w:name="_Ref467307090"/>
      <w:bookmarkStart w:id="541" w:name="_Toc520356176"/>
      <w:bookmarkStart w:id="542" w:name="_Ref467306425"/>
      <w:r>
        <w:rPr>
          <w:rFonts w:eastAsiaTheme="minorEastAsia"/>
          <w:spacing w:val="0"/>
          <w:sz w:val="24"/>
        </w:rPr>
        <w:t>成交公告与成交通知书</w:t>
      </w:r>
      <w:bookmarkEnd w:id="511"/>
      <w:bookmarkEnd w:id="512"/>
    </w:p>
    <w:p w14:paraId="3E7CDCEE">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eastAsiaTheme="minorEastAsia"/>
          <w:spacing w:val="0"/>
          <w:sz w:val="24"/>
        </w:rPr>
        <w:t>北京市政府采购网</w:t>
      </w:r>
      <w:r>
        <w:rPr>
          <w:rFonts w:eastAsiaTheme="minorEastAsia"/>
          <w:spacing w:val="0"/>
          <w:kern w:val="0"/>
          <w:sz w:val="24"/>
        </w:rPr>
        <w:t>公告成交结果，同时向成交供应商发出成交通知书，</w:t>
      </w:r>
      <w:r>
        <w:rPr>
          <w:rFonts w:eastAsiaTheme="minorEastAsia"/>
          <w:spacing w:val="0"/>
          <w:sz w:val="24"/>
        </w:rPr>
        <w:t>成交公告期限为1个工作日。</w:t>
      </w:r>
    </w:p>
    <w:p w14:paraId="77365260">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14:paraId="635BF928">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14:paraId="7E57F17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14:paraId="021C3181">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14:paraId="68E39391">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14:paraId="3AC204EE">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5CEDF1E5">
      <w:pPr>
        <w:numPr>
          <w:ilvl w:val="0"/>
          <w:numId w:val="8"/>
        </w:numPr>
        <w:tabs>
          <w:tab w:val="left" w:pos="360"/>
        </w:tabs>
        <w:snapToGrid w:val="0"/>
        <w:spacing w:line="360" w:lineRule="auto"/>
        <w:ind w:left="357" w:hanging="357"/>
        <w:outlineLvl w:val="1"/>
        <w:rPr>
          <w:rFonts w:eastAsiaTheme="minorEastAsia"/>
          <w:spacing w:val="0"/>
          <w:sz w:val="24"/>
        </w:rPr>
      </w:pPr>
      <w:bookmarkStart w:id="543" w:name="_Toc151193938"/>
      <w:bookmarkStart w:id="544" w:name="_Toc151193864"/>
      <w:bookmarkStart w:id="545" w:name="_Toc151193720"/>
      <w:bookmarkStart w:id="546" w:name="_Toc164229245"/>
      <w:bookmarkStart w:id="547" w:name="_Toc226965740"/>
      <w:bookmarkStart w:id="548" w:name="_Toc149720843"/>
      <w:bookmarkStart w:id="549" w:name="_Toc305158818"/>
      <w:bookmarkStart w:id="550" w:name="_Toc226337246"/>
      <w:bookmarkStart w:id="551" w:name="_Toc151193648"/>
      <w:bookmarkStart w:id="552" w:name="_Ref467306377"/>
      <w:bookmarkStart w:id="553" w:name="_Toc520356175"/>
      <w:bookmarkStart w:id="554" w:name="_Toc164351644"/>
      <w:bookmarkStart w:id="555" w:name="_Toc164608664"/>
      <w:bookmarkStart w:id="556" w:name="_Toc195842915"/>
      <w:bookmarkStart w:id="557" w:name="_Toc265228388"/>
      <w:bookmarkStart w:id="558" w:name="_Toc150774650"/>
      <w:bookmarkStart w:id="559" w:name="_Toc305158892"/>
      <w:bookmarkStart w:id="560" w:name="_Toc151193792"/>
      <w:bookmarkStart w:id="561" w:name="_Toc142311052"/>
      <w:bookmarkStart w:id="562" w:name="_Toc127161464"/>
      <w:bookmarkStart w:id="563" w:name="_Toc226309794"/>
      <w:bookmarkStart w:id="564" w:name="_Ref467307204"/>
      <w:bookmarkStart w:id="565" w:name="_Toc150774755"/>
      <w:bookmarkStart w:id="566" w:name="_Toc127151751"/>
      <w:bookmarkStart w:id="567" w:name="_Toc264969240"/>
      <w:bookmarkStart w:id="568" w:name="_Ref467307062"/>
      <w:bookmarkStart w:id="569" w:name="_Toc151190177"/>
      <w:bookmarkStart w:id="570" w:name="_Toc127151550"/>
      <w:bookmarkStart w:id="571" w:name="_Toc150509301"/>
      <w:bookmarkStart w:id="572" w:name="_Toc164608819"/>
      <w:bookmarkStart w:id="573" w:name="_Toc164229391"/>
      <w:bookmarkStart w:id="574" w:name="_Ref467306978"/>
      <w:bookmarkStart w:id="575" w:name="_Toc150480788"/>
      <w:bookmarkStart w:id="576" w:name="_Toc226965823"/>
      <w:r>
        <w:rPr>
          <w:rFonts w:eastAsiaTheme="minorEastAsia"/>
          <w:spacing w:val="0"/>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2204B1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14:paraId="703B0C4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6706D6">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14:paraId="3A1F8DC3">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14:paraId="01BB1C4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14:paraId="2DCBBE13">
      <w:pPr>
        <w:numPr>
          <w:ilvl w:val="1"/>
          <w:numId w:val="8"/>
        </w:numPr>
        <w:tabs>
          <w:tab w:val="left" w:pos="1080"/>
          <w:tab w:val="left" w:pos="2014"/>
        </w:tabs>
        <w:snapToGrid w:val="0"/>
        <w:spacing w:line="360" w:lineRule="auto"/>
        <w:ind w:left="1077" w:hanging="720"/>
        <w:rPr>
          <w:rFonts w:hint="default" w:eastAsiaTheme="minorEastAsia"/>
          <w:lang w:val="en-US" w:eastAsia="zh-CN"/>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bookmarkEnd w:id="540"/>
    <w:bookmarkEnd w:id="541"/>
    <w:bookmarkEnd w:id="542"/>
    <w:p w14:paraId="4CBD5FE8">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14:paraId="5639E599">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14:paraId="063A743E">
      <w:pPr>
        <w:numPr>
          <w:ilvl w:val="2"/>
          <w:numId w:val="8"/>
        </w:numPr>
        <w:snapToGrid w:val="0"/>
        <w:spacing w:line="360" w:lineRule="auto"/>
        <w:rPr>
          <w:rFonts w:eastAsiaTheme="minorEastAsia"/>
          <w:spacing w:val="0"/>
          <w:sz w:val="24"/>
        </w:rPr>
      </w:pPr>
      <w:bookmarkStart w:id="577"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77"/>
    </w:p>
    <w:p w14:paraId="01AC6476">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14:paraId="471233FB">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14:paraId="64A1B6D5">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AA62CE0">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752E252">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8A7CB7">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14:paraId="79B2BAA8">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14:paraId="4071B0AB">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14:paraId="51C60BB1">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14:paraId="72955D16">
      <w:pPr>
        <w:spacing w:line="360" w:lineRule="auto"/>
        <w:jc w:val="center"/>
        <w:outlineLvl w:val="0"/>
        <w:rPr>
          <w:rFonts w:eastAsiaTheme="minorEastAsia"/>
          <w:b/>
          <w:spacing w:val="0"/>
          <w:sz w:val="36"/>
          <w:szCs w:val="36"/>
        </w:rPr>
      </w:pPr>
      <w:bookmarkStart w:id="578" w:name="_Toc226965827"/>
      <w:bookmarkStart w:id="579" w:name="_Toc265228392"/>
      <w:bookmarkStart w:id="580" w:name="_Toc127151554"/>
      <w:bookmarkStart w:id="581" w:name="_Toc305158896"/>
      <w:bookmarkStart w:id="582" w:name="_Toc226337250"/>
      <w:bookmarkStart w:id="583" w:name="_Toc150774759"/>
      <w:bookmarkStart w:id="584" w:name="_Toc150480792"/>
      <w:bookmarkStart w:id="585" w:name="_Toc353825544"/>
      <w:bookmarkStart w:id="586" w:name="_Toc142311056"/>
      <w:bookmarkStart w:id="587" w:name="_Toc353873664"/>
      <w:bookmarkStart w:id="588" w:name="_Toc353873934"/>
      <w:bookmarkStart w:id="589" w:name="_Toc305158822"/>
      <w:bookmarkStart w:id="590" w:name="_Toc264969244"/>
      <w:r>
        <w:rPr>
          <w:rFonts w:eastAsiaTheme="minorEastAsia"/>
          <w:spacing w:val="0"/>
          <w:sz w:val="24"/>
        </w:rPr>
        <w:br w:type="page"/>
      </w:r>
      <w:bookmarkStart w:id="591" w:name="_Toc25960"/>
      <w:bookmarkStart w:id="592" w:name="_Toc27470"/>
      <w:r>
        <w:rPr>
          <w:rFonts w:eastAsiaTheme="minorEastAsia"/>
          <w:b/>
          <w:spacing w:val="0"/>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pacing w:val="0"/>
          <w:sz w:val="36"/>
          <w:szCs w:val="36"/>
        </w:rPr>
        <w:t>评审方法和评审标准</w:t>
      </w:r>
      <w:bookmarkEnd w:id="591"/>
      <w:bookmarkEnd w:id="592"/>
      <w:bookmarkStart w:id="593" w:name="_Toc487900382"/>
    </w:p>
    <w:p w14:paraId="23B24F73">
      <w:pPr>
        <w:pStyle w:val="3"/>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14:paraId="0EA94040">
      <w:pPr>
        <w:tabs>
          <w:tab w:val="left" w:pos="1080"/>
        </w:tabs>
        <w:snapToGrid w:val="0"/>
        <w:jc w:val="left"/>
        <w:rPr>
          <w:rFonts w:eastAsiaTheme="minorEastAsia"/>
          <w:b/>
          <w:spacing w:val="0"/>
          <w:sz w:val="24"/>
        </w:rPr>
      </w:pPr>
      <w:r>
        <w:rPr>
          <w:rFonts w:eastAsiaTheme="minorEastAsia"/>
          <w:b/>
          <w:spacing w:val="0"/>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5E48A9A1">
      <w:pPr>
        <w:numPr>
          <w:ilvl w:val="0"/>
          <w:numId w:val="10"/>
        </w:numPr>
        <w:tabs>
          <w:tab w:val="left" w:pos="360"/>
        </w:tabs>
        <w:snapToGrid w:val="0"/>
        <w:spacing w:line="360" w:lineRule="auto"/>
        <w:outlineLvl w:val="1"/>
        <w:rPr>
          <w:rFonts w:eastAsiaTheme="minorEastAsia"/>
          <w:spacing w:val="0"/>
          <w:sz w:val="24"/>
        </w:rPr>
      </w:pPr>
      <w:bookmarkStart w:id="594" w:name="_Toc226309785"/>
      <w:bookmarkStart w:id="595" w:name="_Toc151190168"/>
      <w:bookmarkStart w:id="596" w:name="_Toc151193929"/>
      <w:bookmarkStart w:id="597" w:name="_Toc150480779"/>
      <w:bookmarkStart w:id="598" w:name="_Toc151193855"/>
      <w:bookmarkStart w:id="599" w:name="_Toc151193639"/>
      <w:bookmarkStart w:id="600" w:name="_Toc305158883"/>
      <w:bookmarkStart w:id="601" w:name="_Toc151193711"/>
      <w:bookmarkStart w:id="602" w:name="_Toc226337237"/>
      <w:bookmarkStart w:id="603" w:name="_Toc127161455"/>
      <w:bookmarkStart w:id="604" w:name="_Toc226965731"/>
      <w:bookmarkStart w:id="605" w:name="_Toc164229382"/>
      <w:bookmarkStart w:id="606" w:name="_Toc264969231"/>
      <w:bookmarkStart w:id="607" w:name="_Toc127151742"/>
      <w:bookmarkStart w:id="608" w:name="_Toc226965814"/>
      <w:bookmarkStart w:id="609" w:name="_Toc151193783"/>
      <w:bookmarkStart w:id="610" w:name="_Toc195842906"/>
      <w:bookmarkStart w:id="611" w:name="_Toc164608655"/>
      <w:bookmarkStart w:id="612" w:name="_Toc164608810"/>
      <w:bookmarkStart w:id="613" w:name="_Toc305158809"/>
      <w:bookmarkStart w:id="614" w:name="_Toc164229236"/>
      <w:bookmarkStart w:id="615" w:name="_Toc149720834"/>
      <w:bookmarkStart w:id="616" w:name="_Toc150774746"/>
      <w:bookmarkStart w:id="617" w:name="_Toc127151541"/>
      <w:bookmarkStart w:id="618" w:name="_Toc150774641"/>
      <w:bookmarkStart w:id="619" w:name="_Toc142311043"/>
      <w:bookmarkStart w:id="620" w:name="_Toc265228379"/>
      <w:bookmarkStart w:id="621" w:name="_Toc150509292"/>
      <w:bookmarkStart w:id="622" w:name="_Toc164351635"/>
      <w:bookmarkStart w:id="623" w:name="_Toc353825551"/>
      <w:bookmarkStart w:id="624" w:name="_Toc353873941"/>
      <w:bookmarkStart w:id="625" w:name="_Toc353825545"/>
      <w:bookmarkStart w:id="626" w:name="_Toc226965828"/>
      <w:bookmarkStart w:id="627" w:name="_Toc264969245"/>
      <w:bookmarkStart w:id="628" w:name="_Toc353873935"/>
      <w:bookmarkStart w:id="629" w:name="_Toc127151555"/>
      <w:bookmarkStart w:id="630" w:name="_Toc150480793"/>
      <w:bookmarkStart w:id="631" w:name="_Toc305158823"/>
      <w:bookmarkStart w:id="632" w:name="_Toc142311057"/>
      <w:bookmarkStart w:id="633" w:name="_Toc226337251"/>
      <w:bookmarkStart w:id="634" w:name="_Toc265228393"/>
      <w:bookmarkStart w:id="635" w:name="_Toc353873665"/>
      <w:bookmarkStart w:id="636" w:name="_Toc305158897"/>
      <w:bookmarkStart w:id="637" w:name="_Toc150774760"/>
      <w:bookmarkStart w:id="638" w:name="_Toc195842920"/>
      <w:r>
        <w:rPr>
          <w:rFonts w:eastAsiaTheme="minorEastAsia"/>
          <w:spacing w:val="0"/>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pacing w:val="0"/>
          <w:sz w:val="24"/>
        </w:rPr>
        <w:t>资格审查和符合性审查</w:t>
      </w:r>
    </w:p>
    <w:p w14:paraId="5CE0D9D4">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14:paraId="7E255D78">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14:paraId="3852D48E">
      <w:pPr>
        <w:numPr>
          <w:ilvl w:val="1"/>
          <w:numId w:val="10"/>
        </w:numPr>
        <w:tabs>
          <w:tab w:val="left" w:pos="1080"/>
        </w:tabs>
        <w:snapToGrid w:val="0"/>
        <w:spacing w:line="360" w:lineRule="auto"/>
        <w:ind w:left="1077" w:leftChars="0" w:hanging="1077" w:firstLineChars="0"/>
        <w:jc w:val="left"/>
        <w:rPr>
          <w:rFonts w:eastAsiaTheme="minorEastAsia"/>
          <w:spacing w:val="0"/>
          <w:sz w:val="24"/>
        </w:rPr>
      </w:pPr>
      <w:r>
        <w:rPr>
          <w:rFonts w:eastAsiaTheme="minorEastAsia"/>
          <w:spacing w:val="0"/>
          <w:sz w:val="24"/>
        </w:rPr>
        <w:t>《资格审查要求》见下表：</w:t>
      </w:r>
    </w:p>
    <w:p w14:paraId="689B64CF">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14:paraId="093C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4113FC89">
            <w:pPr>
              <w:tabs>
                <w:tab w:val="left" w:pos="1080"/>
              </w:tabs>
              <w:snapToGrid w:val="0"/>
              <w:jc w:val="center"/>
              <w:rPr>
                <w:rFonts w:eastAsiaTheme="minorEastAsia"/>
                <w:b/>
                <w:spacing w:val="0"/>
                <w:sz w:val="24"/>
              </w:rPr>
            </w:pPr>
            <w:bookmarkStart w:id="639" w:name="_Hlt487972895"/>
            <w:bookmarkEnd w:id="639"/>
            <w:r>
              <w:rPr>
                <w:rFonts w:eastAsiaTheme="minorEastAsia"/>
                <w:b/>
                <w:spacing w:val="0"/>
                <w:sz w:val="24"/>
              </w:rPr>
              <w:t>序号</w:t>
            </w:r>
          </w:p>
        </w:tc>
        <w:tc>
          <w:tcPr>
            <w:tcW w:w="1700" w:type="dxa"/>
            <w:vAlign w:val="center"/>
          </w:tcPr>
          <w:p w14:paraId="79ABD761">
            <w:pPr>
              <w:tabs>
                <w:tab w:val="left" w:pos="1080"/>
              </w:tabs>
              <w:snapToGrid w:val="0"/>
              <w:jc w:val="center"/>
              <w:rPr>
                <w:rFonts w:eastAsiaTheme="minorEastAsia"/>
                <w:b/>
                <w:spacing w:val="0"/>
                <w:sz w:val="24"/>
              </w:rPr>
            </w:pPr>
            <w:r>
              <w:rPr>
                <w:rFonts w:eastAsiaTheme="minorEastAsia"/>
                <w:b/>
                <w:spacing w:val="0"/>
                <w:sz w:val="24"/>
              </w:rPr>
              <w:t>检查因素</w:t>
            </w:r>
          </w:p>
        </w:tc>
        <w:tc>
          <w:tcPr>
            <w:tcW w:w="4676" w:type="dxa"/>
            <w:vAlign w:val="center"/>
          </w:tcPr>
          <w:p w14:paraId="7EFC0258">
            <w:pPr>
              <w:tabs>
                <w:tab w:val="left" w:pos="1080"/>
              </w:tabs>
              <w:snapToGrid w:val="0"/>
              <w:jc w:val="center"/>
              <w:rPr>
                <w:rFonts w:eastAsiaTheme="minorEastAsia"/>
                <w:b/>
                <w:spacing w:val="0"/>
                <w:sz w:val="24"/>
              </w:rPr>
            </w:pPr>
            <w:r>
              <w:rPr>
                <w:rFonts w:eastAsiaTheme="minorEastAsia"/>
                <w:b/>
                <w:spacing w:val="0"/>
                <w:sz w:val="24"/>
              </w:rPr>
              <w:t>检查内容</w:t>
            </w:r>
          </w:p>
        </w:tc>
        <w:tc>
          <w:tcPr>
            <w:tcW w:w="1862" w:type="dxa"/>
            <w:vAlign w:val="center"/>
          </w:tcPr>
          <w:p w14:paraId="680DBA3B">
            <w:pPr>
              <w:tabs>
                <w:tab w:val="left" w:pos="1080"/>
              </w:tabs>
              <w:snapToGrid w:val="0"/>
              <w:jc w:val="center"/>
              <w:rPr>
                <w:rFonts w:eastAsiaTheme="minorEastAsia"/>
                <w:b/>
                <w:spacing w:val="0"/>
                <w:sz w:val="24"/>
              </w:rPr>
            </w:pPr>
            <w:r>
              <w:rPr>
                <w:rFonts w:eastAsiaTheme="minorEastAsia"/>
                <w:b/>
                <w:spacing w:val="0"/>
                <w:sz w:val="24"/>
              </w:rPr>
              <w:t>格式要求</w:t>
            </w:r>
          </w:p>
        </w:tc>
      </w:tr>
      <w:tr w14:paraId="2215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BD52286">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14:paraId="2A6EC9B1">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676" w:type="dxa"/>
            <w:vAlign w:val="center"/>
          </w:tcPr>
          <w:p w14:paraId="01BE8D48">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862" w:type="dxa"/>
            <w:vAlign w:val="center"/>
          </w:tcPr>
          <w:p w14:paraId="6ABC4019">
            <w:pPr>
              <w:tabs>
                <w:tab w:val="left" w:pos="1080"/>
              </w:tabs>
              <w:snapToGrid w:val="0"/>
              <w:jc w:val="left"/>
              <w:rPr>
                <w:rFonts w:eastAsiaTheme="minorEastAsia"/>
                <w:spacing w:val="0"/>
                <w:sz w:val="24"/>
              </w:rPr>
            </w:pPr>
          </w:p>
        </w:tc>
      </w:tr>
      <w:tr w14:paraId="7BFF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D35DBDF">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14:paraId="07BA25D6">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676" w:type="dxa"/>
            <w:vAlign w:val="center"/>
          </w:tcPr>
          <w:p w14:paraId="20FA2779">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14:paraId="2F29ADC5">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14:paraId="67CCC46C">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14:paraId="5949D739">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14:paraId="2DF56B44">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14:paraId="27AC9F8A">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862" w:type="dxa"/>
            <w:vAlign w:val="center"/>
          </w:tcPr>
          <w:p w14:paraId="42DA2380">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2488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1681823">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14:paraId="6566FE2D">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676" w:type="dxa"/>
            <w:vAlign w:val="center"/>
          </w:tcPr>
          <w:p w14:paraId="61C012AC">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862" w:type="dxa"/>
            <w:vAlign w:val="center"/>
          </w:tcPr>
          <w:p w14:paraId="3F8D3596">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5B14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C7F4253">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14:paraId="5251C90B">
            <w:pPr>
              <w:tabs>
                <w:tab w:val="left" w:pos="1080"/>
              </w:tabs>
              <w:snapToGrid w:val="0"/>
              <w:rPr>
                <w:rFonts w:eastAsiaTheme="minorEastAsia"/>
                <w:spacing w:val="0"/>
                <w:sz w:val="24"/>
              </w:rPr>
            </w:pPr>
            <w:r>
              <w:rPr>
                <w:rFonts w:eastAsiaTheme="minorEastAsia"/>
                <w:spacing w:val="0"/>
                <w:sz w:val="24"/>
              </w:rPr>
              <w:t>供应商信用记录</w:t>
            </w:r>
          </w:p>
        </w:tc>
        <w:tc>
          <w:tcPr>
            <w:tcW w:w="4676" w:type="dxa"/>
            <w:vAlign w:val="center"/>
          </w:tcPr>
          <w:p w14:paraId="34E67415">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14:paraId="0B9CF03B">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14:paraId="48312426">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14:paraId="40C40625">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862" w:type="dxa"/>
            <w:vAlign w:val="center"/>
          </w:tcPr>
          <w:p w14:paraId="654C3B94">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14:paraId="17F3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A7F9950">
            <w:pPr>
              <w:tabs>
                <w:tab w:val="left" w:pos="1080"/>
              </w:tabs>
              <w:snapToGrid w:val="0"/>
              <w:jc w:val="center"/>
              <w:rPr>
                <w:rFonts w:eastAsiaTheme="minorEastAsia"/>
                <w:spacing w:val="0"/>
                <w:sz w:val="24"/>
              </w:rPr>
            </w:pPr>
            <w:r>
              <w:rPr>
                <w:spacing w:val="0"/>
                <w:sz w:val="24"/>
              </w:rPr>
              <w:t>1-4</w:t>
            </w:r>
          </w:p>
        </w:tc>
        <w:tc>
          <w:tcPr>
            <w:tcW w:w="1700" w:type="dxa"/>
            <w:vAlign w:val="center"/>
          </w:tcPr>
          <w:p w14:paraId="5D5E4E57">
            <w:pPr>
              <w:tabs>
                <w:tab w:val="left" w:pos="1080"/>
              </w:tabs>
              <w:snapToGrid w:val="0"/>
              <w:rPr>
                <w:rFonts w:eastAsiaTheme="minorEastAsia"/>
                <w:spacing w:val="0"/>
                <w:sz w:val="24"/>
              </w:rPr>
            </w:pPr>
            <w:r>
              <w:rPr>
                <w:spacing w:val="0"/>
                <w:sz w:val="24"/>
              </w:rPr>
              <w:t>法律、行政法规规定的其他条件</w:t>
            </w:r>
          </w:p>
        </w:tc>
        <w:tc>
          <w:tcPr>
            <w:tcW w:w="4676" w:type="dxa"/>
            <w:vAlign w:val="center"/>
          </w:tcPr>
          <w:p w14:paraId="43067214">
            <w:pPr>
              <w:tabs>
                <w:tab w:val="left" w:pos="1080"/>
              </w:tabs>
              <w:snapToGrid w:val="0"/>
              <w:rPr>
                <w:rFonts w:eastAsiaTheme="minorEastAsia"/>
                <w:spacing w:val="0"/>
                <w:sz w:val="24"/>
              </w:rPr>
            </w:pPr>
            <w:r>
              <w:rPr>
                <w:spacing w:val="0"/>
                <w:sz w:val="24"/>
              </w:rPr>
              <w:t>法律、行政法规规定的其他条件</w:t>
            </w:r>
          </w:p>
        </w:tc>
        <w:tc>
          <w:tcPr>
            <w:tcW w:w="1862" w:type="dxa"/>
            <w:vAlign w:val="center"/>
          </w:tcPr>
          <w:p w14:paraId="7DD8B821">
            <w:pPr>
              <w:tabs>
                <w:tab w:val="left" w:pos="1080"/>
              </w:tabs>
              <w:snapToGrid w:val="0"/>
              <w:jc w:val="center"/>
              <w:rPr>
                <w:rFonts w:eastAsiaTheme="minorEastAsia"/>
                <w:spacing w:val="0"/>
                <w:sz w:val="24"/>
              </w:rPr>
            </w:pPr>
            <w:r>
              <w:rPr>
                <w:spacing w:val="0"/>
                <w:sz w:val="24"/>
              </w:rPr>
              <w:t>/</w:t>
            </w:r>
          </w:p>
        </w:tc>
      </w:tr>
      <w:tr w14:paraId="216B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3C9757B">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14:paraId="017391C7">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676" w:type="dxa"/>
            <w:vAlign w:val="center"/>
          </w:tcPr>
          <w:p w14:paraId="35210F61">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561836A6">
            <w:pPr>
              <w:tabs>
                <w:tab w:val="left" w:pos="1080"/>
              </w:tabs>
              <w:snapToGrid w:val="0"/>
              <w:jc w:val="left"/>
              <w:rPr>
                <w:rFonts w:eastAsiaTheme="minorEastAsia"/>
                <w:spacing w:val="0"/>
                <w:sz w:val="24"/>
              </w:rPr>
            </w:pPr>
          </w:p>
        </w:tc>
      </w:tr>
      <w:tr w14:paraId="483B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A4D6ADF">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14:paraId="2CC07BD7">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676" w:type="dxa"/>
            <w:vAlign w:val="center"/>
          </w:tcPr>
          <w:p w14:paraId="2C8471C5">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0E63D7C5">
            <w:pPr>
              <w:tabs>
                <w:tab w:val="left" w:pos="1080"/>
              </w:tabs>
              <w:snapToGrid w:val="0"/>
              <w:jc w:val="left"/>
              <w:rPr>
                <w:rFonts w:eastAsiaTheme="minorEastAsia"/>
                <w:spacing w:val="0"/>
                <w:sz w:val="24"/>
              </w:rPr>
            </w:pPr>
          </w:p>
        </w:tc>
      </w:tr>
      <w:tr w14:paraId="6E85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87E980F">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14:paraId="7F7EE935">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676" w:type="dxa"/>
            <w:vAlign w:val="center"/>
          </w:tcPr>
          <w:p w14:paraId="6FDE623E">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14:paraId="18E3B02C">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14:paraId="4F13F9DB">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862" w:type="dxa"/>
            <w:vAlign w:val="center"/>
          </w:tcPr>
          <w:p w14:paraId="085C9258">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0501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F6583BB">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14:paraId="64EDAC58">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676" w:type="dxa"/>
            <w:vAlign w:val="center"/>
          </w:tcPr>
          <w:p w14:paraId="592B3B7E">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14:paraId="7C7E545A">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14:paraId="4BCD63B0">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3CC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7B2B444">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14:paraId="309B5F48">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676" w:type="dxa"/>
            <w:vAlign w:val="center"/>
          </w:tcPr>
          <w:p w14:paraId="03B330BD">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54631F13">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58DA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6CEA951">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14:paraId="631C6E0B">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676" w:type="dxa"/>
            <w:vAlign w:val="center"/>
          </w:tcPr>
          <w:p w14:paraId="4F333F55">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45728C2F">
            <w:pPr>
              <w:tabs>
                <w:tab w:val="left" w:pos="1080"/>
              </w:tabs>
              <w:snapToGrid w:val="0"/>
              <w:jc w:val="left"/>
              <w:rPr>
                <w:rFonts w:eastAsiaTheme="minorEastAsia"/>
                <w:spacing w:val="0"/>
                <w:sz w:val="24"/>
              </w:rPr>
            </w:pPr>
            <w:r>
              <w:rPr>
                <w:rFonts w:eastAsiaTheme="minorEastAsia"/>
                <w:spacing w:val="0"/>
                <w:sz w:val="24"/>
              </w:rPr>
              <w:t>提供证明文件的电子件或电子证照</w:t>
            </w:r>
          </w:p>
        </w:tc>
      </w:tr>
      <w:tr w14:paraId="464C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DCB895B">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14:paraId="76B0A56B">
            <w:pPr>
              <w:tabs>
                <w:tab w:val="left" w:pos="1080"/>
              </w:tabs>
              <w:snapToGrid w:val="0"/>
              <w:rPr>
                <w:rFonts w:eastAsiaTheme="minorEastAsia"/>
                <w:spacing w:val="0"/>
                <w:sz w:val="24"/>
              </w:rPr>
            </w:pPr>
            <w:r>
              <w:rPr>
                <w:spacing w:val="0"/>
                <w:sz w:val="24"/>
              </w:rPr>
              <w:t>本项目对于联合体的要求</w:t>
            </w:r>
          </w:p>
        </w:tc>
        <w:tc>
          <w:tcPr>
            <w:tcW w:w="4676" w:type="dxa"/>
            <w:vAlign w:val="center"/>
          </w:tcPr>
          <w:p w14:paraId="01A14F04">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7C3392A">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14:paraId="71222643">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14:paraId="41C09321">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14:paraId="5AA59FD1">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14:paraId="437DF377">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14:paraId="329D2169">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862" w:type="dxa"/>
            <w:vAlign w:val="center"/>
          </w:tcPr>
          <w:p w14:paraId="791DBDCC">
            <w:pPr>
              <w:tabs>
                <w:tab w:val="left" w:pos="1080"/>
              </w:tabs>
              <w:snapToGrid w:val="0"/>
              <w:rPr>
                <w:rFonts w:eastAsiaTheme="minorEastAsia"/>
                <w:spacing w:val="0"/>
                <w:sz w:val="24"/>
              </w:rPr>
            </w:pPr>
            <w:r>
              <w:rPr>
                <w:rFonts w:eastAsiaTheme="minorEastAsia"/>
                <w:spacing w:val="0"/>
                <w:sz w:val="24"/>
              </w:rPr>
              <w:t>提供《联合协议》原件的电子件</w:t>
            </w:r>
          </w:p>
          <w:p w14:paraId="11002172">
            <w:pPr>
              <w:tabs>
                <w:tab w:val="left" w:pos="1080"/>
              </w:tabs>
              <w:snapToGrid w:val="0"/>
              <w:rPr>
                <w:rFonts w:eastAsiaTheme="minorEastAsia"/>
                <w:spacing w:val="0"/>
                <w:sz w:val="24"/>
              </w:rPr>
            </w:pPr>
            <w:r>
              <w:rPr>
                <w:rFonts w:eastAsiaTheme="minorEastAsia"/>
                <w:spacing w:val="0"/>
                <w:sz w:val="24"/>
              </w:rPr>
              <w:t>格式见《响应文件格式》</w:t>
            </w:r>
          </w:p>
        </w:tc>
      </w:tr>
      <w:tr w14:paraId="111E7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3312409">
            <w:pPr>
              <w:tabs>
                <w:tab w:val="left" w:pos="1080"/>
              </w:tabs>
              <w:snapToGrid w:val="0"/>
              <w:jc w:val="center"/>
              <w:rPr>
                <w:rFonts w:eastAsiaTheme="minorEastAsia"/>
                <w:spacing w:val="0"/>
                <w:sz w:val="24"/>
              </w:rPr>
            </w:pPr>
            <w:r>
              <w:rPr>
                <w:spacing w:val="0"/>
                <w:sz w:val="24"/>
              </w:rPr>
              <w:t>3-2</w:t>
            </w:r>
          </w:p>
        </w:tc>
        <w:tc>
          <w:tcPr>
            <w:tcW w:w="1700" w:type="dxa"/>
            <w:vAlign w:val="center"/>
          </w:tcPr>
          <w:p w14:paraId="546D9933">
            <w:pPr>
              <w:tabs>
                <w:tab w:val="left" w:pos="1080"/>
              </w:tabs>
              <w:snapToGrid w:val="0"/>
              <w:rPr>
                <w:spacing w:val="0"/>
                <w:sz w:val="24"/>
              </w:rPr>
            </w:pPr>
            <w:r>
              <w:rPr>
                <w:spacing w:val="0"/>
                <w:sz w:val="24"/>
              </w:rPr>
              <w:t>政府购买服务承接主体的要求</w:t>
            </w:r>
          </w:p>
        </w:tc>
        <w:tc>
          <w:tcPr>
            <w:tcW w:w="4676" w:type="dxa"/>
            <w:vAlign w:val="center"/>
          </w:tcPr>
          <w:p w14:paraId="46FBA60A">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862" w:type="dxa"/>
            <w:vAlign w:val="center"/>
          </w:tcPr>
          <w:p w14:paraId="3B8F63D1">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14:paraId="2505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6E27E23">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14:paraId="102DDDE3">
            <w:pPr>
              <w:tabs>
                <w:tab w:val="left" w:pos="1080"/>
              </w:tabs>
              <w:snapToGrid w:val="0"/>
              <w:rPr>
                <w:rFonts w:eastAsiaTheme="minorEastAsia"/>
                <w:spacing w:val="0"/>
                <w:sz w:val="24"/>
              </w:rPr>
            </w:pPr>
            <w:r>
              <w:rPr>
                <w:rFonts w:eastAsiaTheme="minorEastAsia"/>
                <w:spacing w:val="0"/>
                <w:sz w:val="24"/>
              </w:rPr>
              <w:t>其他特定资格要求</w:t>
            </w:r>
          </w:p>
        </w:tc>
        <w:tc>
          <w:tcPr>
            <w:tcW w:w="4676" w:type="dxa"/>
            <w:vAlign w:val="center"/>
          </w:tcPr>
          <w:p w14:paraId="2CA25E96">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14:paraId="7F4BBA85">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862" w:type="dxa"/>
            <w:vAlign w:val="center"/>
          </w:tcPr>
          <w:p w14:paraId="58F73608">
            <w:pPr>
              <w:tabs>
                <w:tab w:val="left" w:pos="1080"/>
              </w:tabs>
              <w:snapToGrid w:val="0"/>
              <w:rPr>
                <w:rFonts w:eastAsiaTheme="minorEastAsia"/>
                <w:spacing w:val="0"/>
                <w:sz w:val="24"/>
              </w:rPr>
            </w:pPr>
            <w:r>
              <w:rPr>
                <w:rFonts w:eastAsiaTheme="minorEastAsia"/>
                <w:spacing w:val="0"/>
                <w:sz w:val="24"/>
              </w:rPr>
              <w:t>提供证明文件的电子件或电子证照</w:t>
            </w:r>
          </w:p>
        </w:tc>
      </w:tr>
      <w:tr w14:paraId="519E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842B7DE">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14:paraId="54831C1C">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676" w:type="dxa"/>
            <w:vAlign w:val="center"/>
          </w:tcPr>
          <w:p w14:paraId="03A974E2">
            <w:pPr>
              <w:tabs>
                <w:tab w:val="left" w:pos="1080"/>
              </w:tabs>
              <w:snapToGrid w:val="0"/>
              <w:rPr>
                <w:rFonts w:eastAsiaTheme="minorEastAsia"/>
                <w:color w:val="000000"/>
                <w:spacing w:val="0"/>
                <w:sz w:val="24"/>
              </w:rPr>
            </w:pPr>
            <w:r>
              <w:rPr>
                <w:rFonts w:hint="eastAsia" w:eastAsiaTheme="minorEastAsia"/>
                <w:color w:val="000000"/>
                <w:spacing w:val="0"/>
                <w:kern w:val="0"/>
                <w:sz w:val="24"/>
                <w:lang w:val="en-US" w:eastAsia="zh-CN"/>
              </w:rPr>
              <w:t>如有，</w:t>
            </w:r>
            <w:r>
              <w:rPr>
                <w:rFonts w:eastAsiaTheme="minorEastAsia"/>
                <w:color w:val="000000"/>
                <w:spacing w:val="0"/>
                <w:kern w:val="0"/>
                <w:sz w:val="24"/>
              </w:rPr>
              <w:t>按照竞争性磋商文件的要求提交磋商保证金。</w:t>
            </w:r>
          </w:p>
        </w:tc>
        <w:tc>
          <w:tcPr>
            <w:tcW w:w="1862" w:type="dxa"/>
            <w:vAlign w:val="center"/>
          </w:tcPr>
          <w:p w14:paraId="69B85B58">
            <w:pPr>
              <w:tabs>
                <w:tab w:val="left" w:pos="1080"/>
              </w:tabs>
              <w:snapToGrid w:val="0"/>
              <w:rPr>
                <w:rFonts w:eastAsiaTheme="minorEastAsia"/>
                <w:spacing w:val="0"/>
                <w:sz w:val="24"/>
              </w:rPr>
            </w:pPr>
          </w:p>
        </w:tc>
      </w:tr>
      <w:tr w14:paraId="04D3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A650D3D">
            <w:pPr>
              <w:tabs>
                <w:tab w:val="left" w:pos="1080"/>
              </w:tabs>
              <w:snapToGrid w:val="0"/>
              <w:jc w:val="center"/>
              <w:rPr>
                <w:rFonts w:eastAsiaTheme="minorEastAsia"/>
                <w:spacing w:val="0"/>
                <w:sz w:val="24"/>
              </w:rPr>
            </w:pPr>
            <w:r>
              <w:rPr>
                <w:rFonts w:hint="eastAsia" w:eastAsiaTheme="minorEastAsia"/>
                <w:spacing w:val="0"/>
                <w:sz w:val="24"/>
              </w:rPr>
              <w:t>5</w:t>
            </w:r>
          </w:p>
        </w:tc>
        <w:tc>
          <w:tcPr>
            <w:tcW w:w="1700" w:type="dxa"/>
            <w:vAlign w:val="center"/>
          </w:tcPr>
          <w:p w14:paraId="40BB4FCF">
            <w:pPr>
              <w:tabs>
                <w:tab w:val="left" w:pos="1080"/>
              </w:tabs>
              <w:snapToGrid w:val="0"/>
              <w:rPr>
                <w:rFonts w:eastAsiaTheme="minorEastAsia"/>
                <w:color w:val="000000"/>
                <w:spacing w:val="0"/>
                <w:kern w:val="0"/>
                <w:sz w:val="24"/>
              </w:rPr>
            </w:pPr>
            <w:r>
              <w:rPr>
                <w:rFonts w:hint="eastAsia" w:eastAsiaTheme="minorEastAsia"/>
                <w:color w:val="000000"/>
                <w:spacing w:val="0"/>
                <w:kern w:val="0"/>
                <w:sz w:val="24"/>
              </w:rPr>
              <w:t>获取磋商文件</w:t>
            </w:r>
          </w:p>
        </w:tc>
        <w:tc>
          <w:tcPr>
            <w:tcW w:w="4676" w:type="dxa"/>
            <w:vAlign w:val="center"/>
          </w:tcPr>
          <w:p w14:paraId="39286BD7">
            <w:pPr>
              <w:tabs>
                <w:tab w:val="left" w:pos="1080"/>
              </w:tabs>
              <w:snapToGrid w:val="0"/>
              <w:rPr>
                <w:color w:val="000000"/>
                <w:spacing w:val="0"/>
                <w:kern w:val="0"/>
                <w:sz w:val="24"/>
              </w:rPr>
            </w:pPr>
            <w:r>
              <w:rPr>
                <w:rFonts w:hint="eastAsia"/>
                <w:color w:val="000000"/>
                <w:spacing w:val="0"/>
                <w:kern w:val="0"/>
                <w:sz w:val="24"/>
              </w:rPr>
              <w:t>在规定期限内通过北京市政府采购电子交易平台获取所参与包的磋商文件。</w:t>
            </w:r>
          </w:p>
          <w:p w14:paraId="2B5BF0F5">
            <w:pPr>
              <w:tabs>
                <w:tab w:val="left" w:pos="1080"/>
              </w:tabs>
              <w:snapToGrid w:val="0"/>
              <w:rPr>
                <w:rFonts w:eastAsiaTheme="minorEastAsia"/>
                <w:color w:val="000000"/>
                <w:spacing w:val="0"/>
                <w:kern w:val="0"/>
                <w:sz w:val="24"/>
              </w:rPr>
            </w:pPr>
            <w:r>
              <w:rPr>
                <w:rFonts w:hint="eastAsia"/>
                <w:color w:val="000000"/>
                <w:spacing w:val="0"/>
                <w:kern w:val="0"/>
                <w:sz w:val="24"/>
              </w:rPr>
              <w:t>注：如本项目接受联合体，且供应商为联合体时，联合体中任一成员获取文件即视为满足要求。</w:t>
            </w:r>
          </w:p>
        </w:tc>
        <w:tc>
          <w:tcPr>
            <w:tcW w:w="1862" w:type="dxa"/>
            <w:vAlign w:val="center"/>
          </w:tcPr>
          <w:p w14:paraId="799A82D8">
            <w:pPr>
              <w:tabs>
                <w:tab w:val="left" w:pos="1080"/>
              </w:tabs>
              <w:snapToGrid w:val="0"/>
              <w:rPr>
                <w:rFonts w:eastAsiaTheme="minorEastAsia"/>
                <w:spacing w:val="0"/>
                <w:sz w:val="24"/>
              </w:rPr>
            </w:pPr>
          </w:p>
        </w:tc>
      </w:tr>
    </w:tbl>
    <w:p w14:paraId="2ADE7E7C">
      <w:pPr>
        <w:widowControl/>
        <w:jc w:val="left"/>
        <w:rPr>
          <w:rFonts w:eastAsiaTheme="minorEastAsia"/>
          <w:spacing w:val="0"/>
          <w:sz w:val="24"/>
        </w:rPr>
      </w:pPr>
    </w:p>
    <w:p w14:paraId="26C83995">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14:paraId="602FBB9D">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6BEC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14:paraId="5325F4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14:paraId="063226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14:paraId="4043328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14:paraId="4DB9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6B40DB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14:paraId="398B980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14:paraId="2FB73B4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14:paraId="3194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B52973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14:paraId="0A2FC85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14:paraId="0105AAB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14:paraId="6239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ABAE74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14:paraId="3156539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14:paraId="740F1CA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w:t>
            </w:r>
            <w:r>
              <w:rPr>
                <w:rFonts w:hint="eastAsia" w:cs="宋体"/>
                <w:spacing w:val="0"/>
                <w:w w:val="100"/>
                <w:position w:val="0"/>
                <w:lang w:eastAsia="zh-CN"/>
              </w:rPr>
              <w:t>磋商文件</w:t>
            </w:r>
            <w:r>
              <w:rPr>
                <w:rFonts w:hint="eastAsia" w:ascii="宋体" w:hAnsi="宋体" w:eastAsia="宋体" w:cs="宋体"/>
                <w:spacing w:val="0"/>
                <w:w w:val="100"/>
                <w:position w:val="0"/>
              </w:rPr>
              <w:t>中规定的项目/采购包预算金额或者项目/采购包最高限价；</w:t>
            </w:r>
          </w:p>
        </w:tc>
      </w:tr>
      <w:tr w14:paraId="61DD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231812E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14:paraId="7AE558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14:paraId="2669C72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未出现可选择性或可调整的报价（</w:t>
            </w:r>
            <w:r>
              <w:rPr>
                <w:rFonts w:hint="eastAsia" w:cs="宋体"/>
                <w:spacing w:val="0"/>
                <w:w w:val="100"/>
                <w:position w:val="0"/>
                <w:lang w:eastAsia="zh-CN"/>
              </w:rPr>
              <w:t>磋商文件</w:t>
            </w:r>
            <w:r>
              <w:rPr>
                <w:rFonts w:hint="eastAsia" w:ascii="宋体" w:hAnsi="宋体" w:eastAsia="宋体" w:cs="宋体"/>
                <w:spacing w:val="0"/>
                <w:w w:val="100"/>
                <w:position w:val="0"/>
              </w:rPr>
              <w:t>另有规定的除外）；</w:t>
            </w:r>
          </w:p>
        </w:tc>
      </w:tr>
      <w:tr w14:paraId="509A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037B832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14:paraId="216669E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14:paraId="4B32F79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中承诺的投标有效期满足</w:t>
            </w:r>
            <w:r>
              <w:rPr>
                <w:rFonts w:hint="eastAsia" w:cs="宋体"/>
                <w:spacing w:val="0"/>
                <w:w w:val="100"/>
                <w:position w:val="0"/>
                <w:lang w:eastAsia="zh-CN"/>
              </w:rPr>
              <w:t>磋商文件</w:t>
            </w:r>
            <w:r>
              <w:rPr>
                <w:rFonts w:hint="eastAsia" w:ascii="宋体" w:hAnsi="宋体" w:eastAsia="宋体" w:cs="宋体"/>
                <w:spacing w:val="0"/>
                <w:w w:val="100"/>
                <w:position w:val="0"/>
              </w:rPr>
              <w:t>中载明的投标有效期的；</w:t>
            </w:r>
          </w:p>
        </w:tc>
      </w:tr>
      <w:tr w14:paraId="27B1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393F6CC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14:paraId="429F345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14:paraId="06EC6A2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14:paraId="479BC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26F34A9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14:paraId="24C0EB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14:paraId="5E03B6FD">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满足</w:t>
            </w:r>
            <w:r>
              <w:rPr>
                <w:rFonts w:hint="eastAsia" w:cs="宋体"/>
                <w:spacing w:val="0"/>
                <w:w w:val="100"/>
                <w:position w:val="0"/>
                <w:lang w:eastAsia="zh-CN"/>
              </w:rPr>
              <w:t>磋商文件</w:t>
            </w:r>
            <w:r>
              <w:rPr>
                <w:rFonts w:hint="eastAsia" w:ascii="宋体" w:hAnsi="宋体" w:eastAsia="宋体" w:cs="宋体"/>
                <w:spacing w:val="0"/>
                <w:w w:val="100"/>
                <w:position w:val="0"/>
              </w:rPr>
              <w:t>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14:paraId="26AA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4E38B54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14:paraId="4435A470">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14:paraId="5720464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14:paraId="28CA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14:paraId="12BFE51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14:paraId="02C3C9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14:paraId="6EA850B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w:t>
            </w:r>
            <w:r>
              <w:rPr>
                <w:rFonts w:hint="eastAsia" w:cs="宋体"/>
                <w:spacing w:val="0"/>
                <w:w w:val="100"/>
                <w:position w:val="0"/>
                <w:lang w:eastAsia="zh-CN"/>
              </w:rPr>
              <w:t>供应商</w:t>
            </w:r>
            <w:r>
              <w:rPr>
                <w:rFonts w:hint="eastAsia" w:ascii="宋体" w:hAnsi="宋体" w:eastAsia="宋体" w:cs="宋体"/>
                <w:spacing w:val="0"/>
                <w:w w:val="100"/>
                <w:position w:val="0"/>
              </w:rPr>
              <w:t>须知资料表》中的规定；</w:t>
            </w:r>
          </w:p>
          <w:p w14:paraId="4A07393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w:t>
            </w:r>
            <w:r>
              <w:rPr>
                <w:rFonts w:hint="eastAsia" w:cs="宋体"/>
                <w:spacing w:val="0"/>
                <w:w w:val="100"/>
                <w:position w:val="0"/>
                <w:lang w:eastAsia="zh-CN"/>
              </w:rPr>
              <w:t>供应商</w:t>
            </w:r>
            <w:r>
              <w:rPr>
                <w:rFonts w:hint="eastAsia" w:ascii="宋体" w:hAnsi="宋体" w:eastAsia="宋体" w:cs="宋体"/>
                <w:spacing w:val="0"/>
                <w:w w:val="100"/>
                <w:position w:val="0"/>
              </w:rPr>
              <w:t>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14:paraId="37CC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1475CA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14:paraId="458D544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14:paraId="7F2E1FF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w:t>
            </w:r>
            <w:r>
              <w:rPr>
                <w:rFonts w:hint="eastAsia" w:cs="宋体"/>
                <w:spacing w:val="0"/>
                <w:w w:val="100"/>
                <w:position w:val="0"/>
                <w:lang w:eastAsia="zh-CN"/>
              </w:rPr>
              <w:t>响应文件</w:t>
            </w:r>
            <w:r>
              <w:rPr>
                <w:rFonts w:hint="eastAsia" w:ascii="宋体" w:hAnsi="宋体" w:eastAsia="宋体" w:cs="宋体"/>
                <w:spacing w:val="0"/>
                <w:w w:val="100"/>
                <w:position w:val="0"/>
              </w:rPr>
              <w:t>报价出现前后不一致时，</w:t>
            </w:r>
            <w:r>
              <w:rPr>
                <w:rFonts w:hint="eastAsia" w:cs="宋体"/>
                <w:spacing w:val="0"/>
                <w:w w:val="100"/>
                <w:position w:val="0"/>
                <w:lang w:eastAsia="zh-CN"/>
              </w:rPr>
              <w:t>供应商</w:t>
            </w:r>
            <w:r>
              <w:rPr>
                <w:rFonts w:hint="eastAsia" w:ascii="宋体" w:hAnsi="宋体" w:eastAsia="宋体" w:cs="宋体"/>
                <w:spacing w:val="0"/>
                <w:w w:val="100"/>
                <w:position w:val="0"/>
              </w:rPr>
              <w:t>对修正后的报价予以确认；（如有）</w:t>
            </w:r>
          </w:p>
        </w:tc>
      </w:tr>
      <w:tr w14:paraId="37A0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14:paraId="4A128BD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14:paraId="3F2DB4C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14:paraId="2191345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w:t>
            </w:r>
            <w:r>
              <w:rPr>
                <w:rFonts w:hint="eastAsia" w:cs="宋体"/>
                <w:spacing w:val="0"/>
                <w:w w:val="100"/>
                <w:position w:val="0"/>
                <w:lang w:eastAsia="zh-CN"/>
              </w:rPr>
              <w:t>供应商</w:t>
            </w:r>
            <w:r>
              <w:rPr>
                <w:rFonts w:hint="eastAsia" w:ascii="宋体" w:hAnsi="宋体" w:eastAsia="宋体" w:cs="宋体"/>
                <w:spacing w:val="0"/>
                <w:w w:val="100"/>
                <w:position w:val="0"/>
              </w:rPr>
              <w:t>的报价明显低于其他通过符合性审查</w:t>
            </w:r>
            <w:r>
              <w:rPr>
                <w:rFonts w:hint="eastAsia" w:cs="宋体"/>
                <w:spacing w:val="0"/>
                <w:w w:val="100"/>
                <w:position w:val="0"/>
                <w:lang w:eastAsia="zh-CN"/>
              </w:rPr>
              <w:t>供应商</w:t>
            </w:r>
            <w:r>
              <w:rPr>
                <w:rFonts w:hint="eastAsia" w:ascii="宋体" w:hAnsi="宋体" w:eastAsia="宋体" w:cs="宋体"/>
                <w:spacing w:val="0"/>
                <w:w w:val="100"/>
                <w:position w:val="0"/>
              </w:rPr>
              <w:t>的报价，有可能影响产品质量或者不能诚信履约的，能够应评标委员会要求在规定时间内证明其报价合理性的；</w:t>
            </w:r>
          </w:p>
        </w:tc>
      </w:tr>
      <w:tr w14:paraId="60FA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14:paraId="39B2D5E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14:paraId="36200BA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14:paraId="37882BE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磋商文件</w:t>
            </w:r>
            <w:r>
              <w:rPr>
                <w:rFonts w:hint="eastAsia" w:ascii="宋体" w:hAnsi="宋体" w:eastAsia="宋体" w:cs="宋体"/>
                <w:spacing w:val="0"/>
                <w:w w:val="100"/>
                <w:position w:val="0"/>
              </w:rPr>
              <w:t>不接受进口产品投标的内容时，</w:t>
            </w:r>
            <w:r>
              <w:rPr>
                <w:rFonts w:hint="eastAsia" w:cs="宋体"/>
                <w:spacing w:val="0"/>
                <w:w w:val="100"/>
                <w:position w:val="0"/>
                <w:lang w:eastAsia="zh-CN"/>
              </w:rPr>
              <w:t>供应商</w:t>
            </w:r>
            <w:r>
              <w:rPr>
                <w:rFonts w:hint="eastAsia" w:ascii="宋体" w:hAnsi="宋体" w:eastAsia="宋体" w:cs="宋体"/>
                <w:spacing w:val="0"/>
                <w:w w:val="100"/>
                <w:position w:val="0"/>
              </w:rPr>
              <w:t>所投产品不含进口产品；</w:t>
            </w:r>
          </w:p>
        </w:tc>
      </w:tr>
      <w:tr w14:paraId="7E72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14:paraId="2F94650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14:paraId="348E4762">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w:t>
            </w:r>
          </w:p>
        </w:tc>
        <w:tc>
          <w:tcPr>
            <w:tcW w:w="6727" w:type="dxa"/>
            <w:vAlign w:val="center"/>
          </w:tcPr>
          <w:p w14:paraId="548F9B8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的投标产品有强制性规定或要求的（如相应技术、安全、节能和环保等），</w:t>
            </w:r>
            <w:r>
              <w:rPr>
                <w:rFonts w:hint="eastAsia" w:cs="宋体"/>
                <w:spacing w:val="0"/>
                <w:w w:val="100"/>
                <w:position w:val="0"/>
                <w:lang w:eastAsia="zh-CN"/>
              </w:rPr>
              <w:t>供应商</w:t>
            </w:r>
            <w:r>
              <w:rPr>
                <w:rFonts w:hint="eastAsia" w:ascii="宋体" w:hAnsi="宋体" w:eastAsia="宋体" w:cs="宋体"/>
                <w:spacing w:val="0"/>
                <w:w w:val="100"/>
                <w:position w:val="0"/>
              </w:rPr>
              <w:t>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14:paraId="518232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w:t>
            </w:r>
            <w:r>
              <w:rPr>
                <w:rFonts w:hint="eastAsia" w:cs="宋体"/>
                <w:spacing w:val="0"/>
                <w:w w:val="100"/>
                <w:position w:val="0"/>
                <w:lang w:eastAsia="zh-CN"/>
              </w:rPr>
              <w:t>供应商</w:t>
            </w:r>
            <w:r>
              <w:rPr>
                <w:rFonts w:hint="eastAsia" w:ascii="宋体" w:hAnsi="宋体" w:eastAsia="宋体" w:cs="宋体"/>
                <w:spacing w:val="0"/>
                <w:w w:val="100"/>
                <w:position w:val="0"/>
              </w:rPr>
              <w:t>所报产品必须获得国家确定的认证机构出具的、处于有效期之内的节能产品认证证书；</w:t>
            </w:r>
          </w:p>
          <w:p w14:paraId="304CB03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A63E8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2C31A5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14:paraId="323F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14:paraId="4EEA00D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14:paraId="1FDAA7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14:paraId="79BB254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遵循公平竞争的原则，不存在恶意串通，妨碍其他</w:t>
            </w:r>
            <w:r>
              <w:rPr>
                <w:rFonts w:hint="eastAsia" w:cs="宋体"/>
                <w:spacing w:val="0"/>
                <w:w w:val="100"/>
                <w:position w:val="0"/>
                <w:lang w:eastAsia="zh-CN"/>
              </w:rPr>
              <w:t>供应商</w:t>
            </w:r>
            <w:r>
              <w:rPr>
                <w:rFonts w:hint="eastAsia" w:ascii="宋体" w:hAnsi="宋体" w:eastAsia="宋体" w:cs="宋体"/>
                <w:spacing w:val="0"/>
                <w:w w:val="100"/>
                <w:position w:val="0"/>
              </w:rPr>
              <w:t>的竞争行为，不存在损害采购人或者其他</w:t>
            </w:r>
            <w:r>
              <w:rPr>
                <w:rFonts w:hint="eastAsia" w:cs="宋体"/>
                <w:spacing w:val="0"/>
                <w:w w:val="100"/>
                <w:position w:val="0"/>
                <w:lang w:eastAsia="zh-CN"/>
              </w:rPr>
              <w:t>供应商</w:t>
            </w:r>
            <w:r>
              <w:rPr>
                <w:rFonts w:hint="eastAsia" w:ascii="宋体" w:hAnsi="宋体" w:eastAsia="宋体" w:cs="宋体"/>
                <w:spacing w:val="0"/>
                <w:w w:val="100"/>
                <w:position w:val="0"/>
              </w:rPr>
              <w:t>的合法权益情形的；</w:t>
            </w:r>
          </w:p>
        </w:tc>
      </w:tr>
      <w:tr w14:paraId="0C6C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14:paraId="7AF5107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14:paraId="151AF74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14:paraId="108B20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w:t>
            </w:r>
            <w:r>
              <w:rPr>
                <w:rFonts w:hint="eastAsia" w:cs="宋体"/>
                <w:spacing w:val="0"/>
                <w:w w:val="100"/>
                <w:position w:val="0"/>
                <w:lang w:eastAsia="zh-CN"/>
              </w:rPr>
              <w:t>供应商</w:t>
            </w:r>
            <w:r>
              <w:rPr>
                <w:rFonts w:hint="eastAsia" w:ascii="宋体" w:hAnsi="宋体" w:eastAsia="宋体" w:cs="宋体"/>
                <w:spacing w:val="0"/>
                <w:w w:val="100"/>
                <w:position w:val="0"/>
              </w:rPr>
              <w:t xml:space="preserve">  串通投标的情形：（一）不同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由同一单位或者个人编制；（二）不同</w:t>
            </w:r>
            <w:r>
              <w:rPr>
                <w:rFonts w:hint="eastAsia" w:cs="宋体"/>
                <w:spacing w:val="0"/>
                <w:w w:val="100"/>
                <w:position w:val="0"/>
                <w:lang w:eastAsia="zh-CN"/>
              </w:rPr>
              <w:t>供应商</w:t>
            </w:r>
            <w:r>
              <w:rPr>
                <w:rFonts w:hint="eastAsia" w:ascii="宋体" w:hAnsi="宋体" w:eastAsia="宋体" w:cs="宋体"/>
                <w:spacing w:val="0"/>
                <w:w w:val="100"/>
                <w:position w:val="0"/>
              </w:rPr>
              <w:t>委托同一单位或者个人办理投标事宜；（三）不同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载明的项目管理成员或者联系人员为同一人；（四）不同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异常一致或者投标报价呈规律性差异；（五）不同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相互混装；（六）不同</w:t>
            </w:r>
            <w:r>
              <w:rPr>
                <w:rFonts w:hint="eastAsia" w:cs="宋体"/>
                <w:spacing w:val="0"/>
                <w:w w:val="100"/>
                <w:position w:val="0"/>
                <w:lang w:eastAsia="zh-CN"/>
              </w:rPr>
              <w:t>供应商</w:t>
            </w:r>
            <w:r>
              <w:rPr>
                <w:rFonts w:hint="eastAsia" w:ascii="宋体" w:hAnsi="宋体" w:eastAsia="宋体" w:cs="宋体"/>
                <w:spacing w:val="0"/>
                <w:w w:val="100"/>
                <w:position w:val="0"/>
              </w:rPr>
              <w:t>的投标保证金从同一单位或者个人的账户转出；</w:t>
            </w:r>
          </w:p>
        </w:tc>
      </w:tr>
      <w:tr w14:paraId="2382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723F0D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14:paraId="4B24C88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14:paraId="210B176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未含有采购人不能接受的附加条件的；</w:t>
            </w:r>
          </w:p>
        </w:tc>
      </w:tr>
      <w:tr w14:paraId="0D95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14:paraId="50C891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14:paraId="21FDD2BB">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14:paraId="41E2702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w:t>
            </w:r>
            <w:r>
              <w:rPr>
                <w:rFonts w:hint="eastAsia" w:cs="宋体"/>
                <w:spacing w:val="0"/>
                <w:w w:val="100"/>
                <w:position w:val="0"/>
                <w:lang w:eastAsia="zh-CN"/>
              </w:rPr>
              <w:t>响应文件</w:t>
            </w:r>
            <w:r>
              <w:rPr>
                <w:rFonts w:hint="eastAsia" w:ascii="宋体" w:hAnsi="宋体" w:eastAsia="宋体" w:cs="宋体"/>
                <w:spacing w:val="0"/>
                <w:w w:val="100"/>
                <w:position w:val="0"/>
              </w:rPr>
              <w:t>不存在不符合法律、法规和</w:t>
            </w:r>
            <w:r>
              <w:rPr>
                <w:rFonts w:hint="eastAsia" w:cs="宋体"/>
                <w:spacing w:val="0"/>
                <w:w w:val="100"/>
                <w:position w:val="0"/>
                <w:lang w:eastAsia="zh-CN"/>
              </w:rPr>
              <w:t>磋商文件</w:t>
            </w:r>
            <w:r>
              <w:rPr>
                <w:rFonts w:hint="eastAsia" w:ascii="宋体" w:hAnsi="宋体" w:eastAsia="宋体" w:cs="宋体"/>
                <w:spacing w:val="0"/>
                <w:w w:val="100"/>
                <w:position w:val="0"/>
              </w:rPr>
              <w:t>规定的其他无效情形。</w:t>
            </w:r>
          </w:p>
        </w:tc>
      </w:tr>
    </w:tbl>
    <w:p w14:paraId="3FAD562E">
      <w:pPr>
        <w:tabs>
          <w:tab w:val="left" w:pos="900"/>
          <w:tab w:val="left" w:pos="1080"/>
          <w:tab w:val="left" w:pos="1589"/>
        </w:tabs>
        <w:snapToGrid w:val="0"/>
        <w:spacing w:line="360" w:lineRule="auto"/>
        <w:rPr>
          <w:rFonts w:eastAsiaTheme="minorEastAsia"/>
          <w:spacing w:val="0"/>
          <w:sz w:val="24"/>
        </w:rPr>
      </w:pPr>
    </w:p>
    <w:p w14:paraId="2B4C7BE3">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14:paraId="3A0FF7D8">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14:paraId="5174CBA7">
      <w:pPr>
        <w:numPr>
          <w:ilvl w:val="1"/>
          <w:numId w:val="10"/>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BF0AF1">
      <w:pPr>
        <w:numPr>
          <w:ilvl w:val="1"/>
          <w:numId w:val="10"/>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14:paraId="2DE4E56F">
      <w:pPr>
        <w:numPr>
          <w:ilvl w:val="1"/>
          <w:numId w:val="10"/>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14:paraId="3076EEBD">
      <w:pPr>
        <w:numPr>
          <w:ilvl w:val="1"/>
          <w:numId w:val="10"/>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14:paraId="2D9947B2">
      <w:pPr>
        <w:numPr>
          <w:ilvl w:val="2"/>
          <w:numId w:val="10"/>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66F5B1F">
      <w:pPr>
        <w:numPr>
          <w:ilvl w:val="2"/>
          <w:numId w:val="10"/>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14:paraId="4CA6A848">
      <w:pPr>
        <w:numPr>
          <w:ilvl w:val="2"/>
          <w:numId w:val="10"/>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14:paraId="48910C42">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14:paraId="45B8AD91">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66E170">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14:paraId="6A561331">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14:paraId="1DE54118">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14:paraId="5E10C98C">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14:paraId="3C6382FB">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14:paraId="02C5ECD6">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14:paraId="1476946E">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14:paraId="2CBBBD17">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14:paraId="51EE2E4F">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14:paraId="2F81D885">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14:paraId="25CBF6D8">
      <w:pPr>
        <w:numPr>
          <w:ilvl w:val="2"/>
          <w:numId w:val="10"/>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14:paraId="33C8ED96">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14:paraId="7777A727">
      <w:pPr>
        <w:numPr>
          <w:ilvl w:val="2"/>
          <w:numId w:val="10"/>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14:paraId="687ED7D7">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14:paraId="0348C28F">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w:t>
      </w:r>
      <w:r>
        <w:rPr>
          <w:rFonts w:eastAsiaTheme="minorEastAsia"/>
          <w:spacing w:val="0"/>
          <w:sz w:val="24"/>
          <w:highlight w:val="none"/>
        </w:rPr>
        <w:t>小企业采购的采购项目，以及预留份额项目中的非预留部分采购包，对小微企业报价给予</w:t>
      </w:r>
      <w:r>
        <w:rPr>
          <w:rFonts w:hint="eastAsia" w:eastAsiaTheme="minorEastAsia"/>
          <w:spacing w:val="0"/>
          <w:sz w:val="24"/>
          <w:highlight w:val="none"/>
          <w:u w:val="single"/>
          <w:lang w:val="en-US" w:eastAsia="zh-CN"/>
        </w:rPr>
        <w:t xml:space="preserve">  10  </w:t>
      </w:r>
      <w:r>
        <w:rPr>
          <w:rFonts w:eastAsiaTheme="minorEastAsia"/>
          <w:spacing w:val="0"/>
          <w:sz w:val="24"/>
          <w:highlight w:val="none"/>
        </w:rPr>
        <w:t>%的扣除，用扣除后的价格参加评审。</w:t>
      </w:r>
    </w:p>
    <w:p w14:paraId="3FAD6486">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w:t>
      </w:r>
      <w:r>
        <w:rPr>
          <w:rFonts w:eastAsiaTheme="minorEastAsia"/>
          <w:spacing w:val="0"/>
          <w:sz w:val="24"/>
          <w:highlight w:val="none"/>
        </w:rPr>
        <w:t>约定小微企业的合同份额占到合同总金额 30%以上的联合体或者大中型企业的报价给予</w:t>
      </w:r>
      <w:r>
        <w:rPr>
          <w:rFonts w:hint="eastAsia" w:eastAsiaTheme="minorEastAsia"/>
          <w:spacing w:val="0"/>
          <w:sz w:val="24"/>
          <w:highlight w:val="none"/>
          <w:u w:val="single"/>
          <w:lang w:val="en-US" w:eastAsia="zh-CN"/>
        </w:rPr>
        <w:t xml:space="preserve">  4  </w:t>
      </w:r>
      <w:r>
        <w:rPr>
          <w:rFonts w:eastAsiaTheme="minorEastAsia"/>
          <w:spacing w:val="0"/>
          <w:sz w:val="24"/>
          <w:highlight w:val="none"/>
        </w:rPr>
        <w:t>%的扣除，</w:t>
      </w:r>
      <w:r>
        <w:rPr>
          <w:rFonts w:eastAsiaTheme="minorEastAsia"/>
          <w:spacing w:val="0"/>
          <w:sz w:val="24"/>
        </w:rPr>
        <w:t>用扣除后的价格参加评审。</w:t>
      </w:r>
    </w:p>
    <w:p w14:paraId="5903A9E3">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14:paraId="194812AB">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14:paraId="2BA7CD91">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14:paraId="45229A2E">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14:paraId="6E42BF00">
      <w:pPr>
        <w:numPr>
          <w:ilvl w:val="2"/>
          <w:numId w:val="10"/>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14:paraId="3DA50FED">
      <w:pPr>
        <w:numPr>
          <w:ilvl w:val="2"/>
          <w:numId w:val="10"/>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14:paraId="08425F3E">
      <w:pPr>
        <w:numPr>
          <w:ilvl w:val="2"/>
          <w:numId w:val="10"/>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14:paraId="333E9DE1">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14:paraId="547E38B9">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14:paraId="443F37BD">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14:paraId="22D9497C">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14:paraId="0005E6CE">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14:paraId="6EAB399D">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14:paraId="3C0F419A">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14:paraId="5CAFA9AA">
      <w:pPr>
        <w:numPr>
          <w:ilvl w:val="1"/>
          <w:numId w:val="10"/>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3"/>
    <w:bookmarkEnd w:id="624"/>
    <w:p w14:paraId="3C91C024">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6247AA23">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02BFED">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14:paraId="2A11862D">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14:paraId="1CEB0E4C">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40" w:name="_Toc226309790"/>
      <w:bookmarkStart w:id="641" w:name="_Toc127151747"/>
      <w:bookmarkStart w:id="642" w:name="_Toc150774751"/>
      <w:bookmarkStart w:id="643" w:name="_Toc142311048"/>
      <w:bookmarkStart w:id="644" w:name="_Toc150480784"/>
      <w:bookmarkStart w:id="645" w:name="_Toc151190173"/>
      <w:bookmarkStart w:id="646" w:name="_Toc151193716"/>
      <w:bookmarkStart w:id="647" w:name="_Toc226965736"/>
      <w:bookmarkStart w:id="648" w:name="_Toc127161460"/>
      <w:bookmarkStart w:id="649" w:name="_Toc164229241"/>
      <w:bookmarkStart w:id="650" w:name="_Toc164229387"/>
      <w:bookmarkStart w:id="651" w:name="_Toc195842911"/>
      <w:bookmarkStart w:id="652" w:name="_Toc520356170"/>
      <w:bookmarkStart w:id="653" w:name="_Toc151193860"/>
      <w:bookmarkStart w:id="654" w:name="_Ref467307010"/>
      <w:bookmarkStart w:id="655" w:name="_Toc151193788"/>
      <w:bookmarkStart w:id="656" w:name="_Toc127151546"/>
      <w:bookmarkStart w:id="657" w:name="_Toc151193934"/>
      <w:bookmarkStart w:id="658" w:name="_Toc265228384"/>
      <w:bookmarkStart w:id="659" w:name="_Toc149720839"/>
      <w:bookmarkStart w:id="660" w:name="_Toc305158888"/>
      <w:bookmarkStart w:id="661" w:name="_Toc226337242"/>
      <w:bookmarkStart w:id="662" w:name="_Toc226965819"/>
      <w:bookmarkStart w:id="663" w:name="_Toc264969236"/>
      <w:bookmarkStart w:id="664" w:name="_Toc164608660"/>
      <w:bookmarkStart w:id="665" w:name="_Toc305158814"/>
      <w:bookmarkStart w:id="666" w:name="_Toc150774646"/>
      <w:bookmarkStart w:id="667" w:name="_Toc164351640"/>
      <w:bookmarkStart w:id="668" w:name="_Toc151193644"/>
      <w:bookmarkStart w:id="669" w:name="_Toc150509297"/>
      <w:bookmarkStart w:id="670" w:name="_Toc164608815"/>
      <w:r>
        <w:rPr>
          <w:rFonts w:eastAsiaTheme="minorEastAsia"/>
          <w:spacing w:val="0"/>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50EBDBE">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6700739">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14:paraId="62620ABE">
      <w:pPr>
        <w:numPr>
          <w:ilvl w:val="1"/>
          <w:numId w:val="10"/>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14:paraId="7E3448DB">
      <w:pPr>
        <w:numPr>
          <w:ilvl w:val="0"/>
          <w:numId w:val="10"/>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14:paraId="5C54FC53">
      <w:pPr>
        <w:widowControl/>
        <w:numPr>
          <w:ilvl w:val="1"/>
          <w:numId w:val="10"/>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14:paraId="7A3DE38D">
      <w:pPr>
        <w:pStyle w:val="3"/>
        <w:spacing w:before="0" w:line="360" w:lineRule="auto"/>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二、评审标准</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330"/>
        <w:gridCol w:w="6612"/>
      </w:tblGrid>
      <w:tr w14:paraId="6896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29" w:type="dxa"/>
            <w:vAlign w:val="center"/>
          </w:tcPr>
          <w:p w14:paraId="20AF7AF9">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vertAlign w:val="baseline"/>
              </w:rPr>
            </w:pPr>
            <w:bookmarkStart w:id="671" w:name="_Toc9363"/>
            <w:r>
              <w:rPr>
                <w:b/>
                <w:bCs/>
                <w:spacing w:val="-5"/>
              </w:rPr>
              <w:t>评分因素</w:t>
            </w:r>
            <w:r>
              <w:rPr>
                <w:b/>
                <w:bCs/>
                <w:spacing w:val="-9"/>
              </w:rPr>
              <w:t>分值</w:t>
            </w:r>
          </w:p>
        </w:tc>
        <w:tc>
          <w:tcPr>
            <w:tcW w:w="1330" w:type="dxa"/>
            <w:vAlign w:val="center"/>
          </w:tcPr>
          <w:p w14:paraId="64AE019E">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vertAlign w:val="baseline"/>
              </w:rPr>
            </w:pPr>
            <w:r>
              <w:rPr>
                <w:b/>
                <w:bCs/>
                <w:spacing w:val="-5"/>
              </w:rPr>
              <w:t>评分内容</w:t>
            </w:r>
          </w:p>
        </w:tc>
        <w:tc>
          <w:tcPr>
            <w:tcW w:w="6612" w:type="dxa"/>
            <w:vAlign w:val="center"/>
          </w:tcPr>
          <w:p w14:paraId="1937B1F1">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vertAlign w:val="baseline"/>
              </w:rPr>
            </w:pPr>
            <w:r>
              <w:rPr>
                <w:b/>
                <w:bCs/>
                <w:spacing w:val="-9"/>
              </w:rPr>
              <w:t>说明</w:t>
            </w:r>
          </w:p>
        </w:tc>
      </w:tr>
      <w:tr w14:paraId="0AF6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top"/>
          </w:tcPr>
          <w:p w14:paraId="1CD1D5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42AF1E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3D3B4842">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4"/>
              </w:rPr>
              <w:t>报价</w:t>
            </w:r>
            <w:r>
              <w:rPr>
                <w:spacing w:val="-11"/>
              </w:rPr>
              <w:t>（</w:t>
            </w:r>
            <w:r>
              <w:rPr>
                <w:rFonts w:ascii="Times New Roman" w:hAnsi="Times New Roman" w:eastAsia="Times New Roman" w:cs="Times New Roman"/>
                <w:spacing w:val="-11"/>
              </w:rPr>
              <w:t>10</w:t>
            </w:r>
            <w:r>
              <w:rPr>
                <w:spacing w:val="-11"/>
              </w:rPr>
              <w:t>分）</w:t>
            </w:r>
          </w:p>
        </w:tc>
        <w:tc>
          <w:tcPr>
            <w:tcW w:w="1330" w:type="dxa"/>
            <w:vAlign w:val="top"/>
          </w:tcPr>
          <w:p w14:paraId="3AF0F1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F59AD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43C37A0">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6"/>
              </w:rPr>
              <w:t>价格</w:t>
            </w:r>
            <w:r>
              <w:rPr>
                <w:spacing w:val="-11"/>
              </w:rPr>
              <w:t>（</w:t>
            </w:r>
            <w:r>
              <w:rPr>
                <w:rFonts w:ascii="Times New Roman" w:hAnsi="Times New Roman" w:eastAsia="Times New Roman" w:cs="Times New Roman"/>
                <w:spacing w:val="-11"/>
              </w:rPr>
              <w:t>10</w:t>
            </w:r>
            <w:r>
              <w:rPr>
                <w:spacing w:val="-11"/>
              </w:rPr>
              <w:t>分）</w:t>
            </w:r>
          </w:p>
        </w:tc>
        <w:tc>
          <w:tcPr>
            <w:tcW w:w="6612" w:type="dxa"/>
            <w:vAlign w:val="top"/>
          </w:tcPr>
          <w:p w14:paraId="7623143E">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满足磋商文件要求的最后报价最低的供应商的价格为磋商基准价，其价格分为满分。其他供应商的价格分统一按照下列公式计</w:t>
            </w:r>
            <w:r>
              <w:rPr>
                <w:spacing w:val="-6"/>
              </w:rPr>
              <w:t>算：</w:t>
            </w:r>
          </w:p>
          <w:p w14:paraId="73803E62">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position w:val="1"/>
              </w:rPr>
              <w:t>磋商报价得分</w:t>
            </w:r>
            <w:r>
              <w:rPr>
                <w:rFonts w:ascii="Times New Roman" w:hAnsi="Times New Roman" w:eastAsia="Times New Roman" w:cs="Times New Roman"/>
                <w:spacing w:val="-1"/>
                <w:position w:val="1"/>
              </w:rPr>
              <w:t>=</w:t>
            </w:r>
            <w:r>
              <w:rPr>
                <w:spacing w:val="-1"/>
                <w:position w:val="1"/>
              </w:rPr>
              <w:t>（磋商基准价</w:t>
            </w:r>
            <w:r>
              <w:rPr>
                <w:rFonts w:ascii="Times New Roman" w:hAnsi="Times New Roman" w:eastAsia="Times New Roman" w:cs="Times New Roman"/>
                <w:spacing w:val="-1"/>
                <w:position w:val="1"/>
              </w:rPr>
              <w:t>/</w:t>
            </w:r>
            <w:r>
              <w:rPr>
                <w:spacing w:val="-1"/>
                <w:position w:val="1"/>
              </w:rPr>
              <w:t>最后报价）</w:t>
            </w:r>
            <w:r>
              <w:rPr>
                <w:rFonts w:ascii="Times New Roman" w:hAnsi="Times New Roman" w:eastAsia="Times New Roman" w:cs="Times New Roman"/>
                <w:spacing w:val="-1"/>
                <w:position w:val="1"/>
              </w:rPr>
              <w:t>×</w:t>
            </w:r>
            <w:r>
              <w:rPr>
                <w:spacing w:val="-1"/>
                <w:position w:val="1"/>
              </w:rPr>
              <w:t>分值</w:t>
            </w:r>
          </w:p>
          <w:p w14:paraId="25342CDA">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textAlignment w:val="baseline"/>
              <w:rPr>
                <w:vertAlign w:val="baseline"/>
              </w:rPr>
            </w:pPr>
            <w:r>
              <w:rPr>
                <w:spacing w:val="-1"/>
              </w:rPr>
              <w:t>此处最后报价指经过报价修正，及因落实政府采购政策进行价格调整后的报价，详见第三章《评审方法和评审标</w:t>
            </w:r>
            <w:r>
              <w:rPr>
                <w:spacing w:val="-2"/>
              </w:rPr>
              <w:t>准》</w:t>
            </w:r>
          </w:p>
        </w:tc>
      </w:tr>
      <w:tr w14:paraId="5C34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Align w:val="top"/>
          </w:tcPr>
          <w:p w14:paraId="76E0C8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64173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3CC3BA66">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4"/>
              </w:rPr>
              <w:t>商务部分</w:t>
            </w:r>
            <w:r>
              <w:rPr>
                <w:spacing w:val="-11"/>
              </w:rPr>
              <w:t>（</w:t>
            </w:r>
            <w:r>
              <w:rPr>
                <w:rFonts w:ascii="Times New Roman" w:hAnsi="Times New Roman" w:eastAsia="Times New Roman" w:cs="Times New Roman"/>
                <w:spacing w:val="-11"/>
              </w:rPr>
              <w:t>10</w:t>
            </w:r>
            <w:r>
              <w:rPr>
                <w:spacing w:val="-11"/>
              </w:rPr>
              <w:t>分）</w:t>
            </w:r>
          </w:p>
        </w:tc>
        <w:tc>
          <w:tcPr>
            <w:tcW w:w="1330" w:type="dxa"/>
            <w:vAlign w:val="top"/>
          </w:tcPr>
          <w:p w14:paraId="4879F3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069795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C8686E6">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3"/>
              </w:rPr>
              <w:t>相关业绩</w:t>
            </w:r>
            <w:r>
              <w:rPr>
                <w:spacing w:val="-11"/>
              </w:rPr>
              <w:t>（</w:t>
            </w:r>
            <w:r>
              <w:rPr>
                <w:rFonts w:ascii="Times New Roman" w:hAnsi="Times New Roman" w:eastAsia="Times New Roman" w:cs="Times New Roman"/>
                <w:spacing w:val="-11"/>
              </w:rPr>
              <w:t>10</w:t>
            </w:r>
            <w:r>
              <w:rPr>
                <w:spacing w:val="-11"/>
              </w:rPr>
              <w:t>分）</w:t>
            </w:r>
          </w:p>
        </w:tc>
        <w:tc>
          <w:tcPr>
            <w:tcW w:w="6612" w:type="dxa"/>
            <w:vAlign w:val="top"/>
          </w:tcPr>
          <w:p w14:paraId="7ED1B26E">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供应商自</w:t>
            </w:r>
            <w:r>
              <w:rPr>
                <w:rFonts w:ascii="Times New Roman" w:hAnsi="Times New Roman" w:eastAsia="Times New Roman" w:cs="Times New Roman"/>
                <w:spacing w:val="-3"/>
              </w:rPr>
              <w:t>2022</w:t>
            </w:r>
            <w:r>
              <w:rPr>
                <w:spacing w:val="-3"/>
              </w:rPr>
              <w:t>年</w:t>
            </w:r>
            <w:r>
              <w:rPr>
                <w:rFonts w:ascii="Times New Roman" w:hAnsi="Times New Roman" w:eastAsia="Times New Roman" w:cs="Times New Roman"/>
                <w:spacing w:val="-3"/>
              </w:rPr>
              <w:t>1</w:t>
            </w:r>
            <w:r>
              <w:rPr>
                <w:spacing w:val="-3"/>
              </w:rPr>
              <w:t>月</w:t>
            </w:r>
            <w:r>
              <w:rPr>
                <w:rFonts w:ascii="Times New Roman" w:hAnsi="Times New Roman" w:eastAsia="Times New Roman" w:cs="Times New Roman"/>
                <w:spacing w:val="-3"/>
              </w:rPr>
              <w:t>1</w:t>
            </w:r>
            <w:r>
              <w:rPr>
                <w:spacing w:val="-3"/>
              </w:rPr>
              <w:t>日以来（以合同签订时间为准）承担过</w:t>
            </w:r>
            <w:r>
              <w:rPr>
                <w:spacing w:val="-2"/>
              </w:rPr>
              <w:t>的物业服务项目，每提供一个类似有效业绩得</w:t>
            </w:r>
            <w:r>
              <w:rPr>
                <w:rFonts w:ascii="Times New Roman" w:hAnsi="Times New Roman" w:eastAsia="Times New Roman" w:cs="Times New Roman"/>
                <w:spacing w:val="-2"/>
              </w:rPr>
              <w:t>2</w:t>
            </w:r>
            <w:r>
              <w:rPr>
                <w:spacing w:val="-2"/>
              </w:rPr>
              <w:t>分，最高得</w:t>
            </w:r>
            <w:r>
              <w:rPr>
                <w:rFonts w:ascii="Times New Roman" w:hAnsi="Times New Roman" w:eastAsia="Times New Roman" w:cs="Times New Roman"/>
                <w:spacing w:val="-2"/>
              </w:rPr>
              <w:t>10</w:t>
            </w:r>
            <w:r>
              <w:rPr>
                <w:spacing w:val="-7"/>
              </w:rPr>
              <w:t>分。</w:t>
            </w:r>
          </w:p>
          <w:p w14:paraId="157B3B8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textAlignment w:val="baseline"/>
              <w:rPr>
                <w:vertAlign w:val="baseline"/>
              </w:rPr>
            </w:pPr>
            <w:r>
              <w:rPr>
                <w:spacing w:val="-1"/>
              </w:rPr>
              <w:t>注：需提供合同复印件（至少包含合同甲乙双方页、内容页、签</w:t>
            </w:r>
            <w:r>
              <w:rPr>
                <w:spacing w:val="-2"/>
              </w:rPr>
              <w:t>字盖章页、签订日期页复印件，</w:t>
            </w:r>
            <w:r>
              <w:rPr>
                <w:b/>
                <w:bCs/>
                <w:spacing w:val="-2"/>
              </w:rPr>
              <w:t>合同无签订日期的不得</w:t>
            </w:r>
            <w:r>
              <w:rPr>
                <w:b/>
                <w:bCs/>
                <w:spacing w:val="-3"/>
              </w:rPr>
              <w:t>分</w:t>
            </w:r>
            <w:r>
              <w:rPr>
                <w:spacing w:val="4"/>
              </w:rPr>
              <w:t>），</w:t>
            </w:r>
            <w:r>
              <w:rPr>
                <w:spacing w:val="-3"/>
              </w:rPr>
              <w:t>并</w:t>
            </w:r>
            <w:r>
              <w:rPr>
                <w:spacing w:val="-1"/>
              </w:rPr>
              <w:t>加盖供应商公章，否则不得分。</w:t>
            </w:r>
          </w:p>
        </w:tc>
      </w:tr>
      <w:tr w14:paraId="6FE5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1629" w:type="dxa"/>
            <w:vMerge w:val="restart"/>
            <w:vAlign w:val="top"/>
          </w:tcPr>
          <w:p w14:paraId="67DC28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16D5EC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E326D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7439EE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111678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18F34E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C9069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1510F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1E374E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584081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704EB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005F3D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095FD1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7E57F2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4AE155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37D2AD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1FB204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51FA597A">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4"/>
              </w:rPr>
              <w:t>项目方案</w:t>
            </w:r>
            <w:r>
              <w:rPr>
                <w:spacing w:val="-11"/>
              </w:rPr>
              <w:t>（</w:t>
            </w:r>
            <w:r>
              <w:rPr>
                <w:rFonts w:ascii="Times New Roman" w:hAnsi="Times New Roman" w:eastAsia="Times New Roman" w:cs="Times New Roman"/>
                <w:spacing w:val="-11"/>
              </w:rPr>
              <w:t>80</w:t>
            </w:r>
            <w:r>
              <w:rPr>
                <w:spacing w:val="-11"/>
              </w:rPr>
              <w:t>分）</w:t>
            </w:r>
          </w:p>
        </w:tc>
        <w:tc>
          <w:tcPr>
            <w:tcW w:w="1330" w:type="dxa"/>
            <w:vAlign w:val="top"/>
          </w:tcPr>
          <w:p w14:paraId="30FF51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7485C1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42503B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159126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646B1162">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6"/>
              </w:rPr>
              <w:t>需求分析</w:t>
            </w:r>
            <w:r>
              <w:rPr>
                <w:spacing w:val="9"/>
              </w:rPr>
              <w:t>（</w:t>
            </w:r>
            <w:r>
              <w:rPr>
                <w:rFonts w:ascii="Times New Roman" w:hAnsi="Times New Roman" w:eastAsia="Times New Roman" w:cs="Times New Roman"/>
                <w:spacing w:val="9"/>
              </w:rPr>
              <w:t>4</w:t>
            </w:r>
            <w:r>
              <w:rPr>
                <w:spacing w:val="9"/>
              </w:rPr>
              <w:t>分）</w:t>
            </w:r>
          </w:p>
        </w:tc>
        <w:tc>
          <w:tcPr>
            <w:tcW w:w="6612" w:type="dxa"/>
            <w:vAlign w:val="top"/>
          </w:tcPr>
          <w:p w14:paraId="3BD4BFFF">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综合考虑供应商结合本项目情况及采购人实际需求特点等，对项</w:t>
            </w:r>
            <w:r>
              <w:rPr>
                <w:spacing w:val="-5"/>
              </w:rPr>
              <w:t>目的总体理解及重难点分析。</w:t>
            </w:r>
          </w:p>
          <w:p w14:paraId="25BB878C">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具有详细的项目需求分析，对项目理解透彻、思路清晰，重点及难点归纳分析透彻、理解准确完整，建议或措施得当、针对性强</w:t>
            </w:r>
            <w:r>
              <w:rPr>
                <w:spacing w:val="-9"/>
              </w:rPr>
              <w:t>的，得</w:t>
            </w:r>
            <w:r>
              <w:rPr>
                <w:rFonts w:ascii="Times New Roman" w:hAnsi="Times New Roman" w:eastAsia="Times New Roman" w:cs="Times New Roman"/>
                <w:spacing w:val="-9"/>
              </w:rPr>
              <w:t>4</w:t>
            </w:r>
            <w:r>
              <w:rPr>
                <w:spacing w:val="-9"/>
              </w:rPr>
              <w:t>分；</w:t>
            </w:r>
          </w:p>
          <w:p w14:paraId="763807E2">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对项目需求分析及理解程度一般，重点及难点归纳分析及理解基本准确，建议或措施一般的，或内容有缺失的，得</w:t>
            </w:r>
            <w:r>
              <w:rPr>
                <w:rFonts w:ascii="Times New Roman" w:hAnsi="Times New Roman" w:eastAsia="Times New Roman" w:cs="Times New Roman"/>
                <w:spacing w:val="-1"/>
              </w:rPr>
              <w:t>2</w:t>
            </w:r>
            <w:r>
              <w:rPr>
                <w:spacing w:val="-1"/>
              </w:rPr>
              <w:t>分；</w:t>
            </w:r>
          </w:p>
          <w:p w14:paraId="6E21A415">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textAlignment w:val="baseline"/>
              <w:rPr>
                <w:vertAlign w:val="baseline"/>
              </w:rPr>
            </w:pPr>
            <w:r>
              <w:rPr>
                <w:spacing w:val="-4"/>
              </w:rPr>
              <w:t>项目需求分析差，思路混乱，或内容有严重缺失的，得</w:t>
            </w:r>
            <w:r>
              <w:rPr>
                <w:rFonts w:ascii="Times New Roman" w:hAnsi="Times New Roman" w:eastAsia="Times New Roman" w:cs="Times New Roman"/>
                <w:spacing w:val="-4"/>
              </w:rPr>
              <w:t>1</w:t>
            </w:r>
            <w:r>
              <w:rPr>
                <w:spacing w:val="-4"/>
              </w:rPr>
              <w:t>分；</w:t>
            </w:r>
            <w:r>
              <w:rPr>
                <w:spacing w:val="-3"/>
              </w:rPr>
              <w:t>未提供，得</w:t>
            </w:r>
            <w:r>
              <w:rPr>
                <w:rFonts w:ascii="Times New Roman" w:hAnsi="Times New Roman" w:eastAsia="Times New Roman" w:cs="Times New Roman"/>
                <w:spacing w:val="-3"/>
              </w:rPr>
              <w:t>0</w:t>
            </w:r>
            <w:r>
              <w:rPr>
                <w:spacing w:val="-3"/>
              </w:rPr>
              <w:t>分。</w:t>
            </w:r>
          </w:p>
        </w:tc>
      </w:tr>
      <w:tr w14:paraId="1075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0B189F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restart"/>
            <w:vAlign w:val="top"/>
          </w:tcPr>
          <w:p w14:paraId="0FA21C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4B4A9A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416B2C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046A11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01E8EB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2C170C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735A22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58BD49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7B7FA1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5F4F56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3DAA58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Arial"/>
                <w:sz w:val="21"/>
              </w:rPr>
            </w:pPr>
          </w:p>
          <w:p w14:paraId="04B870A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vertAlign w:val="baseline"/>
              </w:rPr>
            </w:pPr>
            <w:r>
              <w:rPr>
                <w:spacing w:val="-4"/>
              </w:rPr>
              <w:t>项目方案</w:t>
            </w:r>
            <w:r>
              <w:rPr>
                <w:spacing w:val="-11"/>
              </w:rPr>
              <w:t>（</w:t>
            </w:r>
            <w:r>
              <w:rPr>
                <w:rFonts w:ascii="Times New Roman" w:hAnsi="Times New Roman" w:eastAsia="Times New Roman" w:cs="Times New Roman"/>
                <w:spacing w:val="-11"/>
              </w:rPr>
              <w:t>46</w:t>
            </w:r>
            <w:r>
              <w:rPr>
                <w:spacing w:val="-11"/>
              </w:rPr>
              <w:t>分）</w:t>
            </w:r>
          </w:p>
        </w:tc>
        <w:tc>
          <w:tcPr>
            <w:tcW w:w="6612" w:type="dxa"/>
            <w:vAlign w:val="top"/>
          </w:tcPr>
          <w:p w14:paraId="0D1C624C">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rFonts w:ascii="Times New Roman" w:hAnsi="Times New Roman" w:eastAsia="Times New Roman" w:cs="Times New Roman"/>
                <w:spacing w:val="-5"/>
              </w:rPr>
              <w:t>1</w:t>
            </w:r>
            <w:r>
              <w:rPr>
                <w:spacing w:val="-5"/>
              </w:rPr>
              <w:t>、</w:t>
            </w:r>
            <w:r>
              <w:rPr>
                <w:b/>
                <w:bCs/>
                <w:spacing w:val="-5"/>
              </w:rPr>
              <w:t>物业项目管理方案（</w:t>
            </w:r>
            <w:r>
              <w:rPr>
                <w:rFonts w:ascii="Times New Roman" w:hAnsi="Times New Roman" w:eastAsia="Times New Roman" w:cs="Times New Roman"/>
                <w:b/>
                <w:bCs/>
                <w:spacing w:val="-5"/>
              </w:rPr>
              <w:t>4</w:t>
            </w:r>
            <w:r>
              <w:rPr>
                <w:b/>
                <w:bCs/>
                <w:spacing w:val="-5"/>
              </w:rPr>
              <w:t>分）</w:t>
            </w:r>
          </w:p>
          <w:p w14:paraId="60C7411F">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6"/>
              </w:rPr>
              <w:t>4</w:t>
            </w:r>
            <w:r>
              <w:rPr>
                <w:spacing w:val="-6"/>
              </w:rPr>
              <w:t>分；</w:t>
            </w:r>
          </w:p>
          <w:p w14:paraId="281FB2F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66FF214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vertAlign w:val="baseline"/>
              </w:rPr>
            </w:pPr>
            <w:r>
              <w:rPr>
                <w:spacing w:val="-3"/>
              </w:rPr>
              <w:t>未提供，得</w:t>
            </w:r>
            <w:r>
              <w:rPr>
                <w:rFonts w:ascii="Times New Roman" w:hAnsi="Times New Roman" w:eastAsia="Times New Roman" w:cs="Times New Roman"/>
                <w:spacing w:val="-3"/>
              </w:rPr>
              <w:t>0</w:t>
            </w:r>
            <w:r>
              <w:rPr>
                <w:spacing w:val="-3"/>
              </w:rPr>
              <w:t>分。</w:t>
            </w:r>
          </w:p>
        </w:tc>
      </w:tr>
      <w:tr w14:paraId="7FC4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198DB7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410CC3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6612" w:type="dxa"/>
            <w:vAlign w:val="top"/>
          </w:tcPr>
          <w:p w14:paraId="4DDDA4FC">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rFonts w:ascii="Times New Roman" w:hAnsi="Times New Roman" w:eastAsia="Times New Roman" w:cs="Times New Roman"/>
                <w:spacing w:val="-4"/>
              </w:rPr>
              <w:t>2</w:t>
            </w:r>
            <w:r>
              <w:rPr>
                <w:spacing w:val="-4"/>
              </w:rPr>
              <w:t>、</w:t>
            </w:r>
            <w:r>
              <w:rPr>
                <w:b/>
                <w:bCs/>
                <w:spacing w:val="-4"/>
              </w:rPr>
              <w:t>设备运管方案（</w:t>
            </w:r>
            <w:r>
              <w:rPr>
                <w:rFonts w:ascii="Times New Roman" w:hAnsi="Times New Roman" w:eastAsia="Times New Roman" w:cs="Times New Roman"/>
                <w:b/>
                <w:bCs/>
                <w:spacing w:val="-4"/>
              </w:rPr>
              <w:t>21</w:t>
            </w:r>
            <w:r>
              <w:rPr>
                <w:b/>
                <w:bCs/>
                <w:spacing w:val="-4"/>
              </w:rPr>
              <w:t>分）</w:t>
            </w:r>
          </w:p>
          <w:p w14:paraId="006E5E55">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3"/>
              </w:rPr>
              <w:t>①房屋日常检查与维护方案</w:t>
            </w:r>
          </w:p>
          <w:p w14:paraId="378D774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09A57CF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7FFCBE02">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未提供，得</w:t>
            </w:r>
            <w:r>
              <w:rPr>
                <w:rFonts w:ascii="Times New Roman" w:hAnsi="Times New Roman" w:eastAsia="Times New Roman" w:cs="Times New Roman"/>
                <w:spacing w:val="-3"/>
              </w:rPr>
              <w:t>0</w:t>
            </w:r>
            <w:r>
              <w:rPr>
                <w:spacing w:val="-3"/>
              </w:rPr>
              <w:t>分。</w:t>
            </w:r>
          </w:p>
          <w:p w14:paraId="302E3BE1">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2"/>
              </w:rPr>
              <w:t>②电力系统</w:t>
            </w:r>
            <w:r>
              <w:rPr>
                <w:rFonts w:ascii="Times New Roman" w:hAnsi="Times New Roman" w:eastAsia="Times New Roman" w:cs="Times New Roman"/>
                <w:b/>
                <w:bCs/>
                <w:spacing w:val="-2"/>
              </w:rPr>
              <w:t>(</w:t>
            </w:r>
            <w:r>
              <w:rPr>
                <w:b/>
                <w:bCs/>
                <w:spacing w:val="-2"/>
              </w:rPr>
              <w:t>高低压</w:t>
            </w:r>
            <w:r>
              <w:rPr>
                <w:rFonts w:ascii="Times New Roman" w:hAnsi="Times New Roman" w:eastAsia="Times New Roman" w:cs="Times New Roman"/>
                <w:b/>
                <w:bCs/>
                <w:spacing w:val="-2"/>
              </w:rPr>
              <w:t>)</w:t>
            </w:r>
            <w:r>
              <w:rPr>
                <w:b/>
                <w:bCs/>
                <w:spacing w:val="-2"/>
              </w:rPr>
              <w:t>日常运行维护及管理</w:t>
            </w:r>
            <w:r>
              <w:rPr>
                <w:b/>
                <w:bCs/>
                <w:spacing w:val="-3"/>
              </w:rPr>
              <w:t>方案</w:t>
            </w:r>
          </w:p>
          <w:p w14:paraId="63807C94">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2C449A6E">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63CD48DC">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未提供，得</w:t>
            </w:r>
            <w:r>
              <w:rPr>
                <w:rFonts w:ascii="Times New Roman" w:hAnsi="Times New Roman" w:eastAsia="Times New Roman" w:cs="Times New Roman"/>
                <w:spacing w:val="-3"/>
              </w:rPr>
              <w:t>0</w:t>
            </w:r>
            <w:r>
              <w:rPr>
                <w:spacing w:val="-3"/>
              </w:rPr>
              <w:t>分。</w:t>
            </w:r>
          </w:p>
          <w:p w14:paraId="25219007">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b/>
                <w:bCs/>
                <w:spacing w:val="-2"/>
              </w:rPr>
            </w:pPr>
            <w:r>
              <w:rPr>
                <w:b/>
                <w:bCs/>
                <w:spacing w:val="-2"/>
              </w:rPr>
              <w:t>③热力系统</w:t>
            </w:r>
            <w:r>
              <w:rPr>
                <w:rFonts w:ascii="Times New Roman" w:hAnsi="Times New Roman" w:eastAsia="Times New Roman" w:cs="Times New Roman"/>
                <w:b/>
                <w:bCs/>
                <w:spacing w:val="-2"/>
              </w:rPr>
              <w:t>(</w:t>
            </w:r>
            <w:r>
              <w:rPr>
                <w:b/>
                <w:bCs/>
                <w:spacing w:val="-2"/>
              </w:rPr>
              <w:t>热力站</w:t>
            </w:r>
            <w:r>
              <w:rPr>
                <w:rFonts w:ascii="Times New Roman" w:hAnsi="Times New Roman" w:eastAsia="Times New Roman" w:cs="Times New Roman"/>
                <w:b/>
                <w:bCs/>
                <w:spacing w:val="-2"/>
              </w:rPr>
              <w:t>)</w:t>
            </w:r>
            <w:r>
              <w:rPr>
                <w:b/>
                <w:bCs/>
                <w:spacing w:val="-2"/>
              </w:rPr>
              <w:t>日常运行维护及管理方案</w:t>
            </w:r>
          </w:p>
          <w:p w14:paraId="301DFD43">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5BCE32F6">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7AA4F6EE">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未提供，得</w:t>
            </w:r>
            <w:r>
              <w:rPr>
                <w:rFonts w:ascii="Times New Roman" w:hAnsi="Times New Roman" w:eastAsia="Times New Roman" w:cs="Times New Roman"/>
                <w:spacing w:val="-3"/>
              </w:rPr>
              <w:t>0</w:t>
            </w:r>
            <w:r>
              <w:rPr>
                <w:spacing w:val="-3"/>
              </w:rPr>
              <w:t>分。</w:t>
            </w:r>
          </w:p>
          <w:p w14:paraId="28516C0A">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2"/>
              </w:rPr>
              <w:t>④给排水系统</w:t>
            </w:r>
            <w:r>
              <w:rPr>
                <w:rFonts w:ascii="Times New Roman" w:hAnsi="Times New Roman" w:eastAsia="Times New Roman" w:cs="Times New Roman"/>
                <w:b/>
                <w:bCs/>
                <w:spacing w:val="-2"/>
              </w:rPr>
              <w:t>(</w:t>
            </w:r>
            <w:r>
              <w:rPr>
                <w:b/>
                <w:bCs/>
                <w:spacing w:val="-2"/>
              </w:rPr>
              <w:t>含水泵房</w:t>
            </w:r>
            <w:r>
              <w:rPr>
                <w:rFonts w:ascii="Times New Roman" w:hAnsi="Times New Roman" w:eastAsia="Times New Roman" w:cs="Times New Roman"/>
                <w:b/>
                <w:bCs/>
                <w:spacing w:val="-2"/>
              </w:rPr>
              <w:t>)</w:t>
            </w:r>
            <w:r>
              <w:rPr>
                <w:b/>
                <w:bCs/>
                <w:spacing w:val="-2"/>
              </w:rPr>
              <w:t>日常运行维护及管理方案</w:t>
            </w:r>
          </w:p>
          <w:p w14:paraId="130DF2B0">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786DB02A">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66E1319F">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未提供，得</w:t>
            </w:r>
            <w:r>
              <w:rPr>
                <w:rFonts w:ascii="Times New Roman" w:hAnsi="Times New Roman" w:eastAsia="Times New Roman" w:cs="Times New Roman"/>
                <w:spacing w:val="-3"/>
              </w:rPr>
              <w:t>0</w:t>
            </w:r>
            <w:r>
              <w:rPr>
                <w:spacing w:val="-3"/>
              </w:rPr>
              <w:t>分。</w:t>
            </w:r>
          </w:p>
          <w:p w14:paraId="7D67345B">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3"/>
              </w:rPr>
              <w:t>⑤空调系统日常运行维护及管理方案</w:t>
            </w:r>
          </w:p>
          <w:p w14:paraId="56D0F718">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50A5A943">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4CF9D594">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未提供，得</w:t>
            </w:r>
            <w:r>
              <w:rPr>
                <w:rFonts w:ascii="Times New Roman" w:hAnsi="Times New Roman" w:eastAsia="Times New Roman" w:cs="Times New Roman"/>
                <w:spacing w:val="-3"/>
              </w:rPr>
              <w:t>0</w:t>
            </w:r>
            <w:r>
              <w:rPr>
                <w:spacing w:val="-3"/>
              </w:rPr>
              <w:t>分。</w:t>
            </w:r>
          </w:p>
          <w:p w14:paraId="08A2E634">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3"/>
              </w:rPr>
              <w:t>⑥电梯日常运行维护及管理方案</w:t>
            </w:r>
          </w:p>
          <w:p w14:paraId="3AC72DB9">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06411846">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5690724C">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未提供，得</w:t>
            </w:r>
            <w:r>
              <w:rPr>
                <w:rFonts w:ascii="Times New Roman" w:hAnsi="Times New Roman" w:eastAsia="Times New Roman" w:cs="Times New Roman"/>
                <w:spacing w:val="-3"/>
              </w:rPr>
              <w:t>0</w:t>
            </w:r>
            <w:r>
              <w:rPr>
                <w:spacing w:val="-3"/>
              </w:rPr>
              <w:t>分。</w:t>
            </w:r>
          </w:p>
          <w:p w14:paraId="06D299B9">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b/>
                <w:bCs/>
                <w:spacing w:val="-3"/>
              </w:rPr>
              <w:t>⑦弱电系统日常运行维护及管理方案</w:t>
            </w:r>
          </w:p>
          <w:p w14:paraId="351B10CC">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176DFCA2">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10F803BD">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b/>
                <w:bCs/>
                <w:spacing w:val="-2"/>
              </w:rPr>
            </w:pPr>
            <w:r>
              <w:rPr>
                <w:spacing w:val="-3"/>
              </w:rPr>
              <w:t>未提供，得</w:t>
            </w:r>
            <w:r>
              <w:rPr>
                <w:rFonts w:ascii="Times New Roman" w:hAnsi="Times New Roman" w:eastAsia="Times New Roman" w:cs="Times New Roman"/>
                <w:spacing w:val="-3"/>
              </w:rPr>
              <w:t>0</w:t>
            </w:r>
            <w:r>
              <w:rPr>
                <w:spacing w:val="-3"/>
              </w:rPr>
              <w:t>分。</w:t>
            </w:r>
          </w:p>
        </w:tc>
      </w:tr>
      <w:tr w14:paraId="53CA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2DD1B5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1FEE7E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6612" w:type="dxa"/>
            <w:vAlign w:val="top"/>
          </w:tcPr>
          <w:p w14:paraId="6520F13A">
            <w:pPr>
              <w:pStyle w:val="253"/>
              <w:keepNext w:val="0"/>
              <w:keepLines w:val="0"/>
              <w:pageBreakBefore w:val="0"/>
              <w:wordWrap/>
              <w:overflowPunct/>
              <w:topLinePunct w:val="0"/>
              <w:bidi w:val="0"/>
              <w:spacing w:line="240" w:lineRule="auto"/>
              <w:ind w:left="0" w:right="0" w:firstLine="0"/>
            </w:pPr>
            <w:r>
              <w:rPr>
                <w:rFonts w:ascii="Times New Roman" w:hAnsi="Times New Roman" w:eastAsia="Times New Roman" w:cs="Times New Roman"/>
                <w:spacing w:val="-4"/>
              </w:rPr>
              <w:t>3</w:t>
            </w:r>
            <w:r>
              <w:rPr>
                <w:spacing w:val="-4"/>
              </w:rPr>
              <w:t>、</w:t>
            </w:r>
            <w:r>
              <w:rPr>
                <w:b/>
                <w:bCs/>
                <w:spacing w:val="-4"/>
              </w:rPr>
              <w:t>环境维护养护方案（</w:t>
            </w:r>
            <w:r>
              <w:rPr>
                <w:rFonts w:ascii="Times New Roman" w:hAnsi="Times New Roman" w:eastAsia="Times New Roman" w:cs="Times New Roman"/>
                <w:b/>
                <w:bCs/>
                <w:spacing w:val="-4"/>
              </w:rPr>
              <w:t>6</w:t>
            </w:r>
            <w:r>
              <w:rPr>
                <w:b/>
                <w:bCs/>
                <w:spacing w:val="-4"/>
              </w:rPr>
              <w:t>分）</w:t>
            </w:r>
          </w:p>
          <w:p w14:paraId="2F36F152">
            <w:pPr>
              <w:pStyle w:val="253"/>
              <w:keepNext w:val="0"/>
              <w:keepLines w:val="0"/>
              <w:pageBreakBefore w:val="0"/>
              <w:wordWrap/>
              <w:overflowPunct/>
              <w:topLinePunct w:val="0"/>
              <w:bidi w:val="0"/>
              <w:spacing w:line="240" w:lineRule="auto"/>
              <w:ind w:left="0" w:right="0" w:firstLine="0"/>
            </w:pPr>
            <w:r>
              <w:rPr>
                <w:b/>
                <w:bCs/>
                <w:spacing w:val="-2"/>
              </w:rPr>
              <w:t>①保洁工作（含专业虫害消杀、其他垃圾清运消</w:t>
            </w:r>
            <w:r>
              <w:rPr>
                <w:b/>
                <w:bCs/>
                <w:spacing w:val="-3"/>
              </w:rPr>
              <w:t>纳）方案</w:t>
            </w:r>
          </w:p>
          <w:p w14:paraId="5911B058">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36496A43">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42B76813">
            <w:pPr>
              <w:pStyle w:val="253"/>
              <w:keepNext w:val="0"/>
              <w:keepLines w:val="0"/>
              <w:pageBreakBefore w:val="0"/>
              <w:wordWrap/>
              <w:overflowPunct/>
              <w:topLinePunct w:val="0"/>
              <w:bidi w:val="0"/>
              <w:spacing w:line="240" w:lineRule="auto"/>
              <w:ind w:left="0" w:right="0" w:firstLine="0"/>
            </w:pPr>
            <w:r>
              <w:rPr>
                <w:spacing w:val="-3"/>
              </w:rPr>
              <w:t>未提供，得</w:t>
            </w:r>
            <w:r>
              <w:rPr>
                <w:rFonts w:ascii="Times New Roman" w:hAnsi="Times New Roman" w:eastAsia="Times New Roman" w:cs="Times New Roman"/>
                <w:spacing w:val="-3"/>
              </w:rPr>
              <w:t>0</w:t>
            </w:r>
            <w:r>
              <w:rPr>
                <w:spacing w:val="-3"/>
              </w:rPr>
              <w:t>分。</w:t>
            </w:r>
          </w:p>
          <w:p w14:paraId="780E5219">
            <w:pPr>
              <w:pStyle w:val="253"/>
              <w:keepNext w:val="0"/>
              <w:keepLines w:val="0"/>
              <w:pageBreakBefore w:val="0"/>
              <w:wordWrap/>
              <w:overflowPunct/>
              <w:topLinePunct w:val="0"/>
              <w:bidi w:val="0"/>
              <w:spacing w:line="240" w:lineRule="auto"/>
              <w:ind w:left="0" w:right="0" w:firstLine="0"/>
            </w:pPr>
            <w:r>
              <w:rPr>
                <w:b/>
                <w:bCs/>
                <w:spacing w:val="-3"/>
              </w:rPr>
              <w:t>②园区绿化养护方案</w:t>
            </w:r>
          </w:p>
          <w:p w14:paraId="3141FAB8">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46318414">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17C9232D">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5847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014626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17B56E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6612" w:type="dxa"/>
            <w:vAlign w:val="top"/>
          </w:tcPr>
          <w:p w14:paraId="2C1EDFE9">
            <w:pPr>
              <w:pStyle w:val="253"/>
              <w:keepNext w:val="0"/>
              <w:keepLines w:val="0"/>
              <w:pageBreakBefore w:val="0"/>
              <w:wordWrap/>
              <w:overflowPunct/>
              <w:topLinePunct w:val="0"/>
              <w:bidi w:val="0"/>
              <w:spacing w:line="240" w:lineRule="auto"/>
              <w:ind w:left="0" w:right="0" w:firstLine="0"/>
            </w:pPr>
            <w:r>
              <w:rPr>
                <w:rFonts w:ascii="Times New Roman" w:hAnsi="Times New Roman" w:eastAsia="Times New Roman" w:cs="Times New Roman"/>
                <w:spacing w:val="-4"/>
              </w:rPr>
              <w:t>4</w:t>
            </w:r>
            <w:r>
              <w:rPr>
                <w:spacing w:val="-4"/>
              </w:rPr>
              <w:t>、</w:t>
            </w:r>
            <w:r>
              <w:rPr>
                <w:b/>
                <w:bCs/>
                <w:spacing w:val="-4"/>
              </w:rPr>
              <w:t>体育场馆服务方案（</w:t>
            </w:r>
            <w:r>
              <w:rPr>
                <w:rFonts w:ascii="Times New Roman" w:hAnsi="Times New Roman" w:eastAsia="Times New Roman" w:cs="Times New Roman"/>
                <w:b/>
                <w:bCs/>
                <w:spacing w:val="-4"/>
              </w:rPr>
              <w:t>15</w:t>
            </w:r>
            <w:r>
              <w:rPr>
                <w:b/>
                <w:bCs/>
                <w:spacing w:val="-4"/>
              </w:rPr>
              <w:t>分）</w:t>
            </w:r>
          </w:p>
          <w:p w14:paraId="4D3BFEC6">
            <w:pPr>
              <w:pStyle w:val="253"/>
              <w:keepNext w:val="0"/>
              <w:keepLines w:val="0"/>
              <w:pageBreakBefore w:val="0"/>
              <w:wordWrap/>
              <w:overflowPunct/>
              <w:topLinePunct w:val="0"/>
              <w:bidi w:val="0"/>
              <w:spacing w:line="240" w:lineRule="auto"/>
              <w:ind w:left="0" w:leftChars="0" w:right="0" w:firstLine="0"/>
              <w:rPr>
                <w:b/>
                <w:bCs/>
                <w:spacing w:val="-3"/>
              </w:rPr>
            </w:pPr>
            <w:r>
              <w:rPr>
                <w:b/>
                <w:bCs/>
                <w:spacing w:val="-3"/>
              </w:rPr>
              <w:t>①运动场馆日常使用及管理方案</w:t>
            </w:r>
          </w:p>
          <w:p w14:paraId="2A38164C">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67A87663">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1243A405">
            <w:pPr>
              <w:pStyle w:val="253"/>
              <w:keepNext w:val="0"/>
              <w:keepLines w:val="0"/>
              <w:pageBreakBefore w:val="0"/>
              <w:wordWrap/>
              <w:overflowPunct/>
              <w:topLinePunct w:val="0"/>
              <w:bidi w:val="0"/>
              <w:spacing w:line="240" w:lineRule="auto"/>
              <w:ind w:left="0" w:right="0" w:firstLine="0"/>
            </w:pPr>
            <w:r>
              <w:rPr>
                <w:spacing w:val="-3"/>
              </w:rPr>
              <w:t>未提供，得</w:t>
            </w:r>
            <w:r>
              <w:rPr>
                <w:rFonts w:ascii="Times New Roman" w:hAnsi="Times New Roman" w:eastAsia="Times New Roman" w:cs="Times New Roman"/>
                <w:spacing w:val="-3"/>
              </w:rPr>
              <w:t>0</w:t>
            </w:r>
            <w:r>
              <w:rPr>
                <w:spacing w:val="-3"/>
              </w:rPr>
              <w:t>分。</w:t>
            </w:r>
          </w:p>
          <w:p w14:paraId="67B86BA3">
            <w:pPr>
              <w:pStyle w:val="253"/>
              <w:keepNext w:val="0"/>
              <w:keepLines w:val="0"/>
              <w:pageBreakBefore w:val="0"/>
              <w:wordWrap/>
              <w:overflowPunct/>
              <w:topLinePunct w:val="0"/>
              <w:bidi w:val="0"/>
              <w:spacing w:line="240" w:lineRule="auto"/>
              <w:ind w:left="0" w:right="0" w:firstLine="0"/>
            </w:pPr>
            <w:r>
              <w:rPr>
                <w:b/>
                <w:bCs/>
                <w:spacing w:val="-3"/>
              </w:rPr>
              <w:t>②会议室日常使用及管理方案</w:t>
            </w:r>
          </w:p>
          <w:p w14:paraId="48D2B18F">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75008907">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51EA8C5D">
            <w:pPr>
              <w:pStyle w:val="253"/>
              <w:keepNext w:val="0"/>
              <w:keepLines w:val="0"/>
              <w:pageBreakBefore w:val="0"/>
              <w:wordWrap/>
              <w:overflowPunct/>
              <w:topLinePunct w:val="0"/>
              <w:bidi w:val="0"/>
              <w:spacing w:line="240" w:lineRule="auto"/>
              <w:ind w:left="0" w:right="0" w:firstLine="0"/>
            </w:pPr>
            <w:r>
              <w:rPr>
                <w:spacing w:val="-3"/>
              </w:rPr>
              <w:t>未提供，得</w:t>
            </w:r>
            <w:r>
              <w:rPr>
                <w:rFonts w:ascii="Times New Roman" w:hAnsi="Times New Roman" w:eastAsia="Times New Roman" w:cs="Times New Roman"/>
                <w:spacing w:val="-3"/>
              </w:rPr>
              <w:t>0</w:t>
            </w:r>
            <w:r>
              <w:rPr>
                <w:spacing w:val="-3"/>
              </w:rPr>
              <w:t>分。</w:t>
            </w:r>
          </w:p>
          <w:p w14:paraId="3FDE8810">
            <w:pPr>
              <w:pStyle w:val="253"/>
              <w:keepNext w:val="0"/>
              <w:keepLines w:val="0"/>
              <w:pageBreakBefore w:val="0"/>
              <w:wordWrap/>
              <w:overflowPunct/>
              <w:topLinePunct w:val="0"/>
              <w:bidi w:val="0"/>
              <w:spacing w:line="240" w:lineRule="auto"/>
              <w:ind w:left="0" w:right="0" w:firstLine="0"/>
            </w:pPr>
            <w:r>
              <w:rPr>
                <w:b/>
                <w:bCs/>
                <w:spacing w:val="-3"/>
              </w:rPr>
              <w:t>③值班室日常使用及管理方案</w:t>
            </w:r>
          </w:p>
          <w:p w14:paraId="6CFACC02">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2D2350FB">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39C67910">
            <w:pPr>
              <w:pStyle w:val="253"/>
              <w:keepNext w:val="0"/>
              <w:keepLines w:val="0"/>
              <w:pageBreakBefore w:val="0"/>
              <w:wordWrap/>
              <w:overflowPunct/>
              <w:topLinePunct w:val="0"/>
              <w:bidi w:val="0"/>
              <w:spacing w:line="240" w:lineRule="auto"/>
              <w:ind w:left="0" w:right="0" w:firstLine="0"/>
            </w:pPr>
            <w:r>
              <w:rPr>
                <w:spacing w:val="-3"/>
              </w:rPr>
              <w:t>未提供，得</w:t>
            </w:r>
            <w:r>
              <w:rPr>
                <w:rFonts w:ascii="Times New Roman" w:hAnsi="Times New Roman" w:eastAsia="Times New Roman" w:cs="Times New Roman"/>
                <w:spacing w:val="-3"/>
              </w:rPr>
              <w:t>0</w:t>
            </w:r>
            <w:r>
              <w:rPr>
                <w:spacing w:val="-3"/>
              </w:rPr>
              <w:t>分。</w:t>
            </w:r>
          </w:p>
          <w:p w14:paraId="0D857605">
            <w:pPr>
              <w:pStyle w:val="253"/>
              <w:keepNext w:val="0"/>
              <w:keepLines w:val="0"/>
              <w:pageBreakBefore w:val="0"/>
              <w:wordWrap/>
              <w:overflowPunct/>
              <w:topLinePunct w:val="0"/>
              <w:bidi w:val="0"/>
              <w:spacing w:line="240" w:lineRule="auto"/>
              <w:ind w:left="0" w:right="0" w:firstLine="0"/>
            </w:pPr>
            <w:r>
              <w:rPr>
                <w:b/>
                <w:bCs/>
                <w:spacing w:val="-3"/>
              </w:rPr>
              <w:t>④文印室日常使用及管理方案</w:t>
            </w:r>
          </w:p>
          <w:p w14:paraId="14E4C11B">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391F3236">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3AA5CDA5">
            <w:pPr>
              <w:pStyle w:val="253"/>
              <w:keepNext w:val="0"/>
              <w:keepLines w:val="0"/>
              <w:pageBreakBefore w:val="0"/>
              <w:wordWrap/>
              <w:overflowPunct/>
              <w:topLinePunct w:val="0"/>
              <w:bidi w:val="0"/>
              <w:spacing w:line="240" w:lineRule="auto"/>
              <w:ind w:left="0" w:right="0" w:firstLine="0"/>
            </w:pPr>
            <w:r>
              <w:rPr>
                <w:spacing w:val="-3"/>
              </w:rPr>
              <w:t>未提供，得</w:t>
            </w:r>
            <w:r>
              <w:rPr>
                <w:rFonts w:ascii="Times New Roman" w:hAnsi="Times New Roman" w:eastAsia="Times New Roman" w:cs="Times New Roman"/>
                <w:spacing w:val="-3"/>
              </w:rPr>
              <w:t>0</w:t>
            </w:r>
            <w:r>
              <w:rPr>
                <w:spacing w:val="-3"/>
              </w:rPr>
              <w:t>分。</w:t>
            </w:r>
          </w:p>
          <w:p w14:paraId="41E5B21E">
            <w:pPr>
              <w:pStyle w:val="253"/>
              <w:keepNext w:val="0"/>
              <w:keepLines w:val="0"/>
              <w:pageBreakBefore w:val="0"/>
              <w:wordWrap/>
              <w:overflowPunct/>
              <w:topLinePunct w:val="0"/>
              <w:bidi w:val="0"/>
              <w:spacing w:line="240" w:lineRule="auto"/>
              <w:ind w:left="0" w:right="0" w:firstLine="0"/>
            </w:pPr>
            <w:r>
              <w:rPr>
                <w:b/>
                <w:bCs/>
                <w:spacing w:val="-3"/>
              </w:rPr>
              <w:t>⑤会议服务及重大活动保障方案</w:t>
            </w:r>
          </w:p>
          <w:p w14:paraId="528FE716">
            <w:pPr>
              <w:pStyle w:val="253"/>
              <w:keepNext w:val="0"/>
              <w:keepLines w:val="0"/>
              <w:pageBreakBefore w:val="0"/>
              <w:wordWrap/>
              <w:overflowPunct/>
              <w:topLinePunct w:val="0"/>
              <w:bidi w:val="0"/>
              <w:spacing w:line="240" w:lineRule="auto"/>
              <w:ind w:left="0" w:right="0" w:firstLine="0"/>
            </w:pPr>
            <w:r>
              <w:rPr>
                <w:spacing w:val="-1"/>
              </w:rPr>
              <w:t>方案内容描述详尽，针对性强，具有很强的操作性和执行性，得</w:t>
            </w:r>
            <w:r>
              <w:rPr>
                <w:rFonts w:ascii="Times New Roman" w:hAnsi="Times New Roman" w:eastAsia="Times New Roman" w:cs="Times New Roman"/>
                <w:spacing w:val="-8"/>
              </w:rPr>
              <w:t>3</w:t>
            </w:r>
            <w:r>
              <w:rPr>
                <w:spacing w:val="-8"/>
              </w:rPr>
              <w:t>分；</w:t>
            </w:r>
          </w:p>
          <w:p w14:paraId="7183912A">
            <w:pPr>
              <w:pStyle w:val="253"/>
              <w:keepNext w:val="0"/>
              <w:keepLines w:val="0"/>
              <w:pageBreakBefore w:val="0"/>
              <w:wordWrap/>
              <w:overflowPunct/>
              <w:topLinePunct w:val="0"/>
              <w:bidi w:val="0"/>
              <w:spacing w:line="240" w:lineRule="auto"/>
              <w:ind w:left="0" w:right="0" w:firstLine="0"/>
            </w:pPr>
            <w:r>
              <w:rPr>
                <w:spacing w:val="-3"/>
              </w:rPr>
              <w:t>方案有描述上述内容，但缺少具体措施和细节描述，得</w:t>
            </w:r>
            <w:r>
              <w:rPr>
                <w:rFonts w:ascii="Times New Roman" w:hAnsi="Times New Roman" w:eastAsia="Times New Roman" w:cs="Times New Roman"/>
                <w:spacing w:val="-3"/>
              </w:rPr>
              <w:t>2</w:t>
            </w:r>
            <w:r>
              <w:rPr>
                <w:spacing w:val="-3"/>
              </w:rPr>
              <w:t>分；</w:t>
            </w:r>
            <w:r>
              <w:rPr>
                <w:spacing w:val="-2"/>
              </w:rPr>
              <w:t>方案阐述内容与采购需求有偏差或无针对性，得</w:t>
            </w:r>
            <w:r>
              <w:rPr>
                <w:rFonts w:ascii="Times New Roman" w:hAnsi="Times New Roman" w:eastAsia="Times New Roman" w:cs="Times New Roman"/>
                <w:spacing w:val="-2"/>
              </w:rPr>
              <w:t>1</w:t>
            </w:r>
            <w:r>
              <w:rPr>
                <w:spacing w:val="-2"/>
              </w:rPr>
              <w:t>分；</w:t>
            </w:r>
          </w:p>
          <w:p w14:paraId="0B061F15">
            <w:pPr>
              <w:pStyle w:val="253"/>
              <w:keepNext w:val="0"/>
              <w:keepLines w:val="0"/>
              <w:pageBreakBefore w:val="0"/>
              <w:wordWrap/>
              <w:overflowPunct/>
              <w:topLinePunct w:val="0"/>
              <w:bidi w:val="0"/>
              <w:spacing w:line="240" w:lineRule="auto"/>
              <w:ind w:left="0" w:leftChars="0" w:right="0" w:firstLine="0"/>
              <w:rPr>
                <w:b/>
                <w:bCs/>
                <w:spacing w:val="-3"/>
              </w:rPr>
            </w:pPr>
            <w:r>
              <w:rPr>
                <w:spacing w:val="-3"/>
              </w:rPr>
              <w:t>未提供，得</w:t>
            </w:r>
            <w:r>
              <w:rPr>
                <w:rFonts w:ascii="Times New Roman" w:hAnsi="Times New Roman" w:eastAsia="Times New Roman" w:cs="Times New Roman"/>
                <w:spacing w:val="-3"/>
              </w:rPr>
              <w:t>0</w:t>
            </w:r>
            <w:r>
              <w:rPr>
                <w:spacing w:val="-3"/>
              </w:rPr>
              <w:t>分。</w:t>
            </w:r>
          </w:p>
        </w:tc>
      </w:tr>
      <w:tr w14:paraId="2313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4CA165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restart"/>
            <w:vAlign w:val="top"/>
          </w:tcPr>
          <w:p w14:paraId="77C5D7F3">
            <w:pPr>
              <w:keepNext w:val="0"/>
              <w:keepLines w:val="0"/>
              <w:pageBreakBefore w:val="0"/>
              <w:wordWrap/>
              <w:overflowPunct/>
              <w:topLinePunct w:val="0"/>
              <w:bidi w:val="0"/>
              <w:spacing w:line="240" w:lineRule="auto"/>
              <w:ind w:left="0" w:right="0" w:firstLine="0"/>
              <w:rPr>
                <w:rFonts w:ascii="Arial"/>
                <w:sz w:val="21"/>
              </w:rPr>
            </w:pPr>
          </w:p>
          <w:p w14:paraId="1856A06B">
            <w:pPr>
              <w:keepNext w:val="0"/>
              <w:keepLines w:val="0"/>
              <w:pageBreakBefore w:val="0"/>
              <w:wordWrap/>
              <w:overflowPunct/>
              <w:topLinePunct w:val="0"/>
              <w:bidi w:val="0"/>
              <w:spacing w:line="240" w:lineRule="auto"/>
              <w:ind w:left="0" w:right="0" w:firstLine="0"/>
              <w:rPr>
                <w:rFonts w:ascii="Arial"/>
                <w:sz w:val="21"/>
              </w:rPr>
            </w:pPr>
          </w:p>
          <w:p w14:paraId="220129C7">
            <w:pPr>
              <w:keepNext w:val="0"/>
              <w:keepLines w:val="0"/>
              <w:pageBreakBefore w:val="0"/>
              <w:wordWrap/>
              <w:overflowPunct/>
              <w:topLinePunct w:val="0"/>
              <w:bidi w:val="0"/>
              <w:spacing w:line="240" w:lineRule="auto"/>
              <w:ind w:left="0" w:right="0" w:firstLine="0"/>
              <w:rPr>
                <w:rFonts w:ascii="Arial"/>
                <w:sz w:val="21"/>
              </w:rPr>
            </w:pPr>
          </w:p>
          <w:p w14:paraId="3BB9CEB3">
            <w:pPr>
              <w:keepNext w:val="0"/>
              <w:keepLines w:val="0"/>
              <w:pageBreakBefore w:val="0"/>
              <w:wordWrap/>
              <w:overflowPunct/>
              <w:topLinePunct w:val="0"/>
              <w:bidi w:val="0"/>
              <w:spacing w:line="240" w:lineRule="auto"/>
              <w:ind w:left="0" w:right="0" w:firstLine="0"/>
              <w:rPr>
                <w:rFonts w:ascii="Arial"/>
                <w:sz w:val="21"/>
              </w:rPr>
            </w:pPr>
          </w:p>
          <w:p w14:paraId="14683EF3">
            <w:pPr>
              <w:keepNext w:val="0"/>
              <w:keepLines w:val="0"/>
              <w:pageBreakBefore w:val="0"/>
              <w:wordWrap/>
              <w:overflowPunct/>
              <w:topLinePunct w:val="0"/>
              <w:bidi w:val="0"/>
              <w:spacing w:line="240" w:lineRule="auto"/>
              <w:ind w:left="0" w:right="0" w:firstLine="0"/>
              <w:rPr>
                <w:rFonts w:ascii="Arial"/>
                <w:sz w:val="21"/>
              </w:rPr>
            </w:pPr>
          </w:p>
          <w:p w14:paraId="22F9CAA4">
            <w:pPr>
              <w:keepNext w:val="0"/>
              <w:keepLines w:val="0"/>
              <w:pageBreakBefore w:val="0"/>
              <w:wordWrap/>
              <w:overflowPunct/>
              <w:topLinePunct w:val="0"/>
              <w:bidi w:val="0"/>
              <w:spacing w:line="240" w:lineRule="auto"/>
              <w:ind w:left="0" w:right="0" w:firstLine="0"/>
              <w:rPr>
                <w:rFonts w:ascii="Arial"/>
                <w:sz w:val="21"/>
              </w:rPr>
            </w:pPr>
          </w:p>
          <w:p w14:paraId="1C058408">
            <w:pPr>
              <w:pStyle w:val="253"/>
              <w:keepNext w:val="0"/>
              <w:keepLines w:val="0"/>
              <w:pageBreakBefore w:val="0"/>
              <w:wordWrap/>
              <w:overflowPunct/>
              <w:topLinePunct w:val="0"/>
              <w:bidi w:val="0"/>
              <w:spacing w:line="240" w:lineRule="auto"/>
              <w:ind w:left="0" w:leftChars="0" w:right="0" w:rightChars="0" w:firstLine="0" w:firstLineChars="0"/>
              <w:rPr>
                <w:vertAlign w:val="baseline"/>
              </w:rPr>
            </w:pPr>
            <w:r>
              <w:rPr>
                <w:spacing w:val="-3"/>
              </w:rPr>
              <w:t>保障方案</w:t>
            </w:r>
            <w:r>
              <w:rPr>
                <w:spacing w:val="-11"/>
              </w:rPr>
              <w:t>（</w:t>
            </w:r>
            <w:r>
              <w:rPr>
                <w:rFonts w:ascii="Times New Roman" w:hAnsi="Times New Roman" w:eastAsia="Times New Roman" w:cs="Times New Roman"/>
                <w:spacing w:val="-11"/>
              </w:rPr>
              <w:t>20</w:t>
            </w:r>
            <w:r>
              <w:rPr>
                <w:spacing w:val="-11"/>
              </w:rPr>
              <w:t>分）</w:t>
            </w:r>
          </w:p>
        </w:tc>
        <w:tc>
          <w:tcPr>
            <w:tcW w:w="6612" w:type="dxa"/>
            <w:vAlign w:val="top"/>
          </w:tcPr>
          <w:p w14:paraId="256AC674">
            <w:pPr>
              <w:pStyle w:val="253"/>
              <w:keepNext w:val="0"/>
              <w:keepLines w:val="0"/>
              <w:pageBreakBefore w:val="0"/>
              <w:wordWrap/>
              <w:overflowPunct/>
              <w:topLinePunct w:val="0"/>
              <w:bidi w:val="0"/>
              <w:spacing w:line="240" w:lineRule="auto"/>
              <w:ind w:left="0" w:right="0" w:firstLine="0"/>
            </w:pPr>
            <w:r>
              <w:rPr>
                <w:spacing w:val="-2"/>
              </w:rPr>
              <w:t>①质量保障措施</w:t>
            </w:r>
          </w:p>
          <w:p w14:paraId="565B2ED3">
            <w:pPr>
              <w:pStyle w:val="253"/>
              <w:keepNext w:val="0"/>
              <w:keepLines w:val="0"/>
              <w:pageBreakBefore w:val="0"/>
              <w:wordWrap/>
              <w:overflowPunct/>
              <w:topLinePunct w:val="0"/>
              <w:bidi w:val="0"/>
              <w:spacing w:line="240" w:lineRule="auto"/>
              <w:ind w:left="0" w:right="0" w:firstLine="0"/>
            </w:pPr>
            <w:r>
              <w:rPr>
                <w:spacing w:val="-1"/>
              </w:rPr>
              <w:t>措施方案内容全面、合理，针对性强，得</w:t>
            </w:r>
            <w:r>
              <w:rPr>
                <w:rFonts w:ascii="Times New Roman" w:hAnsi="Times New Roman" w:eastAsia="Times New Roman" w:cs="Times New Roman"/>
                <w:spacing w:val="-1"/>
              </w:rPr>
              <w:t>5</w:t>
            </w:r>
            <w:r>
              <w:rPr>
                <w:spacing w:val="-1"/>
              </w:rPr>
              <w:t>分；</w:t>
            </w:r>
          </w:p>
          <w:p w14:paraId="7E406BC7">
            <w:pPr>
              <w:pStyle w:val="253"/>
              <w:keepNext w:val="0"/>
              <w:keepLines w:val="0"/>
              <w:pageBreakBefore w:val="0"/>
              <w:wordWrap/>
              <w:overflowPunct/>
              <w:topLinePunct w:val="0"/>
              <w:bidi w:val="0"/>
              <w:spacing w:line="240" w:lineRule="auto"/>
              <w:ind w:left="0" w:right="0" w:firstLine="0"/>
            </w:pPr>
            <w:r>
              <w:rPr>
                <w:spacing w:val="-7"/>
              </w:rPr>
              <w:t>措施方案内容描述简单，缺少具体措施和细节描述，针对性一般，</w:t>
            </w:r>
            <w:r>
              <w:rPr>
                <w:spacing w:val="-9"/>
              </w:rPr>
              <w:t>得</w:t>
            </w:r>
            <w:r>
              <w:rPr>
                <w:rFonts w:ascii="Times New Roman" w:hAnsi="Times New Roman" w:eastAsia="Times New Roman" w:cs="Times New Roman"/>
                <w:spacing w:val="-9"/>
              </w:rPr>
              <w:t>3</w:t>
            </w:r>
            <w:r>
              <w:rPr>
                <w:spacing w:val="-9"/>
              </w:rPr>
              <w:t>分；</w:t>
            </w:r>
          </w:p>
          <w:p w14:paraId="23CF5D67">
            <w:pPr>
              <w:pStyle w:val="253"/>
              <w:keepNext w:val="0"/>
              <w:keepLines w:val="0"/>
              <w:pageBreakBefore w:val="0"/>
              <w:wordWrap/>
              <w:overflowPunct/>
              <w:topLinePunct w:val="0"/>
              <w:bidi w:val="0"/>
              <w:spacing w:line="240" w:lineRule="auto"/>
              <w:ind w:left="0" w:right="0" w:firstLine="0"/>
            </w:pPr>
            <w:r>
              <w:rPr>
                <w:spacing w:val="-2"/>
              </w:rPr>
              <w:t>措施方案内容存在部分缺失，针对性差，得</w:t>
            </w:r>
            <w:r>
              <w:rPr>
                <w:rFonts w:ascii="Times New Roman" w:hAnsi="Times New Roman" w:eastAsia="Times New Roman" w:cs="Times New Roman"/>
                <w:spacing w:val="-2"/>
              </w:rPr>
              <w:t>1</w:t>
            </w:r>
            <w:r>
              <w:rPr>
                <w:spacing w:val="-2"/>
              </w:rPr>
              <w:t>分；</w:t>
            </w:r>
          </w:p>
          <w:p w14:paraId="247908E0">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68F1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62EBE0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4CC8CA06">
            <w:pPr>
              <w:keepNext w:val="0"/>
              <w:keepLines w:val="0"/>
              <w:pageBreakBefore w:val="0"/>
              <w:wordWrap/>
              <w:overflowPunct/>
              <w:topLinePunct w:val="0"/>
              <w:bidi w:val="0"/>
              <w:spacing w:line="240" w:lineRule="auto"/>
              <w:ind w:left="0" w:right="0" w:firstLine="0"/>
              <w:rPr>
                <w:vertAlign w:val="baseline"/>
              </w:rPr>
            </w:pPr>
          </w:p>
        </w:tc>
        <w:tc>
          <w:tcPr>
            <w:tcW w:w="6612" w:type="dxa"/>
            <w:vAlign w:val="top"/>
          </w:tcPr>
          <w:p w14:paraId="6191343B">
            <w:pPr>
              <w:pStyle w:val="253"/>
              <w:keepNext w:val="0"/>
              <w:keepLines w:val="0"/>
              <w:pageBreakBefore w:val="0"/>
              <w:wordWrap/>
              <w:overflowPunct/>
              <w:topLinePunct w:val="0"/>
              <w:bidi w:val="0"/>
              <w:spacing w:line="240" w:lineRule="auto"/>
              <w:ind w:left="0" w:right="0" w:firstLine="0"/>
            </w:pPr>
            <w:r>
              <w:rPr>
                <w:spacing w:val="-2"/>
              </w:rPr>
              <w:t>②安全管理措施</w:t>
            </w:r>
          </w:p>
          <w:p w14:paraId="2B5C143F">
            <w:pPr>
              <w:pStyle w:val="253"/>
              <w:keepNext w:val="0"/>
              <w:keepLines w:val="0"/>
              <w:pageBreakBefore w:val="0"/>
              <w:wordWrap/>
              <w:overflowPunct/>
              <w:topLinePunct w:val="0"/>
              <w:bidi w:val="0"/>
              <w:spacing w:line="240" w:lineRule="auto"/>
              <w:ind w:left="0" w:right="0" w:firstLine="0"/>
            </w:pPr>
            <w:r>
              <w:rPr>
                <w:spacing w:val="-1"/>
              </w:rPr>
              <w:t>措施方案内容全面、合理，针对性强，得</w:t>
            </w:r>
            <w:r>
              <w:rPr>
                <w:rFonts w:ascii="Times New Roman" w:hAnsi="Times New Roman" w:eastAsia="Times New Roman" w:cs="Times New Roman"/>
                <w:spacing w:val="-1"/>
              </w:rPr>
              <w:t>5</w:t>
            </w:r>
            <w:r>
              <w:rPr>
                <w:spacing w:val="-1"/>
              </w:rPr>
              <w:t>分；</w:t>
            </w:r>
          </w:p>
          <w:p w14:paraId="619D163F">
            <w:pPr>
              <w:pStyle w:val="253"/>
              <w:keepNext w:val="0"/>
              <w:keepLines w:val="0"/>
              <w:pageBreakBefore w:val="0"/>
              <w:wordWrap/>
              <w:overflowPunct/>
              <w:topLinePunct w:val="0"/>
              <w:bidi w:val="0"/>
              <w:spacing w:line="240" w:lineRule="auto"/>
              <w:ind w:left="0" w:right="0" w:firstLine="0"/>
            </w:pPr>
            <w:r>
              <w:rPr>
                <w:spacing w:val="-7"/>
              </w:rPr>
              <w:t>措施方案内容描述简单，缺少具体措施和细节描述，针对性一般，</w:t>
            </w:r>
            <w:r>
              <w:rPr>
                <w:spacing w:val="-9"/>
              </w:rPr>
              <w:t>得</w:t>
            </w:r>
            <w:r>
              <w:rPr>
                <w:rFonts w:ascii="Times New Roman" w:hAnsi="Times New Roman" w:eastAsia="Times New Roman" w:cs="Times New Roman"/>
                <w:spacing w:val="-9"/>
              </w:rPr>
              <w:t>3</w:t>
            </w:r>
            <w:r>
              <w:rPr>
                <w:spacing w:val="-9"/>
              </w:rPr>
              <w:t>分；</w:t>
            </w:r>
          </w:p>
          <w:p w14:paraId="11963040">
            <w:pPr>
              <w:pStyle w:val="253"/>
              <w:keepNext w:val="0"/>
              <w:keepLines w:val="0"/>
              <w:pageBreakBefore w:val="0"/>
              <w:wordWrap/>
              <w:overflowPunct/>
              <w:topLinePunct w:val="0"/>
              <w:bidi w:val="0"/>
              <w:spacing w:line="240" w:lineRule="auto"/>
              <w:ind w:left="0" w:right="0" w:firstLine="0"/>
            </w:pPr>
            <w:r>
              <w:rPr>
                <w:spacing w:val="-2"/>
              </w:rPr>
              <w:t>措施方案内容存在部分缺失，针对性差，得</w:t>
            </w:r>
            <w:r>
              <w:rPr>
                <w:rFonts w:ascii="Times New Roman" w:hAnsi="Times New Roman" w:eastAsia="Times New Roman" w:cs="Times New Roman"/>
                <w:spacing w:val="-2"/>
              </w:rPr>
              <w:t>1</w:t>
            </w:r>
            <w:r>
              <w:rPr>
                <w:spacing w:val="-2"/>
              </w:rPr>
              <w:t>分；</w:t>
            </w:r>
          </w:p>
          <w:p w14:paraId="0B815E92">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1612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5302DC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4E2B2FDA">
            <w:pPr>
              <w:keepNext w:val="0"/>
              <w:keepLines w:val="0"/>
              <w:pageBreakBefore w:val="0"/>
              <w:wordWrap/>
              <w:overflowPunct/>
              <w:topLinePunct w:val="0"/>
              <w:bidi w:val="0"/>
              <w:spacing w:line="240" w:lineRule="auto"/>
              <w:ind w:left="0" w:right="0" w:firstLine="0"/>
              <w:rPr>
                <w:vertAlign w:val="baseline"/>
              </w:rPr>
            </w:pPr>
          </w:p>
        </w:tc>
        <w:tc>
          <w:tcPr>
            <w:tcW w:w="6612" w:type="dxa"/>
            <w:vAlign w:val="top"/>
          </w:tcPr>
          <w:p w14:paraId="4FBDA967">
            <w:pPr>
              <w:pStyle w:val="253"/>
              <w:keepNext w:val="0"/>
              <w:keepLines w:val="0"/>
              <w:pageBreakBefore w:val="0"/>
              <w:wordWrap/>
              <w:overflowPunct/>
              <w:topLinePunct w:val="0"/>
              <w:bidi w:val="0"/>
              <w:spacing w:line="240" w:lineRule="auto"/>
              <w:ind w:left="0" w:right="0" w:firstLine="0"/>
            </w:pPr>
            <w:r>
              <w:rPr>
                <w:spacing w:val="-2"/>
              </w:rPr>
              <w:t>③应急预案</w:t>
            </w:r>
          </w:p>
          <w:p w14:paraId="0D6DE2EF">
            <w:pPr>
              <w:pStyle w:val="253"/>
              <w:keepNext w:val="0"/>
              <w:keepLines w:val="0"/>
              <w:pageBreakBefore w:val="0"/>
              <w:wordWrap/>
              <w:overflowPunct/>
              <w:topLinePunct w:val="0"/>
              <w:bidi w:val="0"/>
              <w:spacing w:line="240" w:lineRule="auto"/>
              <w:ind w:left="0" w:right="0" w:firstLine="0"/>
            </w:pPr>
            <w:r>
              <w:rPr>
                <w:spacing w:val="-1"/>
              </w:rPr>
              <w:t>措施方案内容全面、合理，针对性强，得</w:t>
            </w:r>
            <w:r>
              <w:rPr>
                <w:rFonts w:ascii="Times New Roman" w:hAnsi="Times New Roman" w:eastAsia="Times New Roman" w:cs="Times New Roman"/>
                <w:spacing w:val="-1"/>
              </w:rPr>
              <w:t>5</w:t>
            </w:r>
            <w:r>
              <w:rPr>
                <w:spacing w:val="-1"/>
              </w:rPr>
              <w:t>分；</w:t>
            </w:r>
          </w:p>
          <w:p w14:paraId="08F15771">
            <w:pPr>
              <w:pStyle w:val="253"/>
              <w:keepNext w:val="0"/>
              <w:keepLines w:val="0"/>
              <w:pageBreakBefore w:val="0"/>
              <w:wordWrap/>
              <w:overflowPunct/>
              <w:topLinePunct w:val="0"/>
              <w:bidi w:val="0"/>
              <w:spacing w:line="240" w:lineRule="auto"/>
              <w:ind w:left="0" w:right="0" w:firstLine="0"/>
            </w:pPr>
            <w:r>
              <w:rPr>
                <w:spacing w:val="-7"/>
              </w:rPr>
              <w:t>措施方案内容描述简单，缺少具体措施和细节描述，针对性一般，</w:t>
            </w:r>
            <w:r>
              <w:rPr>
                <w:spacing w:val="-9"/>
              </w:rPr>
              <w:t>得</w:t>
            </w:r>
            <w:r>
              <w:rPr>
                <w:rFonts w:ascii="Times New Roman" w:hAnsi="Times New Roman" w:eastAsia="Times New Roman" w:cs="Times New Roman"/>
                <w:spacing w:val="-9"/>
              </w:rPr>
              <w:t>3</w:t>
            </w:r>
            <w:r>
              <w:rPr>
                <w:spacing w:val="-9"/>
              </w:rPr>
              <w:t>分；</w:t>
            </w:r>
          </w:p>
          <w:p w14:paraId="05F46935">
            <w:pPr>
              <w:pStyle w:val="253"/>
              <w:keepNext w:val="0"/>
              <w:keepLines w:val="0"/>
              <w:pageBreakBefore w:val="0"/>
              <w:wordWrap/>
              <w:overflowPunct/>
              <w:topLinePunct w:val="0"/>
              <w:bidi w:val="0"/>
              <w:spacing w:line="240" w:lineRule="auto"/>
              <w:ind w:left="0" w:right="0" w:firstLine="0"/>
            </w:pPr>
            <w:r>
              <w:rPr>
                <w:spacing w:val="-2"/>
              </w:rPr>
              <w:t>措施方案内容存在部分缺失，针对性差，得</w:t>
            </w:r>
            <w:r>
              <w:rPr>
                <w:rFonts w:ascii="Times New Roman" w:hAnsi="Times New Roman" w:eastAsia="Times New Roman" w:cs="Times New Roman"/>
                <w:spacing w:val="-2"/>
              </w:rPr>
              <w:t>1</w:t>
            </w:r>
            <w:r>
              <w:rPr>
                <w:spacing w:val="-2"/>
              </w:rPr>
              <w:t>分；</w:t>
            </w:r>
          </w:p>
          <w:p w14:paraId="1BDDFDE2">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4FA4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71D670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323A47CE">
            <w:pPr>
              <w:keepNext w:val="0"/>
              <w:keepLines w:val="0"/>
              <w:pageBreakBefore w:val="0"/>
              <w:wordWrap/>
              <w:overflowPunct/>
              <w:topLinePunct w:val="0"/>
              <w:bidi w:val="0"/>
              <w:spacing w:line="240" w:lineRule="auto"/>
              <w:ind w:left="0" w:right="0" w:firstLine="0"/>
              <w:rPr>
                <w:vertAlign w:val="baseline"/>
              </w:rPr>
            </w:pPr>
          </w:p>
        </w:tc>
        <w:tc>
          <w:tcPr>
            <w:tcW w:w="6612" w:type="dxa"/>
            <w:vAlign w:val="top"/>
          </w:tcPr>
          <w:p w14:paraId="427FCAB6">
            <w:pPr>
              <w:pStyle w:val="253"/>
              <w:keepNext w:val="0"/>
              <w:keepLines w:val="0"/>
              <w:pageBreakBefore w:val="0"/>
              <w:wordWrap/>
              <w:overflowPunct/>
              <w:topLinePunct w:val="0"/>
              <w:bidi w:val="0"/>
              <w:spacing w:line="240" w:lineRule="auto"/>
              <w:ind w:left="0" w:right="0" w:firstLine="0"/>
            </w:pPr>
            <w:r>
              <w:rPr>
                <w:spacing w:val="-1"/>
              </w:rPr>
              <w:t>④各项管理规章制度</w:t>
            </w:r>
          </w:p>
          <w:p w14:paraId="655CD9C8">
            <w:pPr>
              <w:pStyle w:val="253"/>
              <w:keepNext w:val="0"/>
              <w:keepLines w:val="0"/>
              <w:pageBreakBefore w:val="0"/>
              <w:wordWrap/>
              <w:overflowPunct/>
              <w:topLinePunct w:val="0"/>
              <w:bidi w:val="0"/>
              <w:spacing w:line="240" w:lineRule="auto"/>
              <w:ind w:left="0" w:right="0" w:firstLine="0"/>
            </w:pPr>
            <w:r>
              <w:rPr>
                <w:spacing w:val="-4"/>
              </w:rPr>
              <w:t>内容全面（能够提供包括健全的管理制度、日常管理制度和考核</w:t>
            </w:r>
            <w:r>
              <w:rPr>
                <w:spacing w:val="-1"/>
              </w:rPr>
              <w:t>办法、培训制度、保密制度等）、合理，针对性强，得</w:t>
            </w:r>
            <w:r>
              <w:rPr>
                <w:rFonts w:ascii="Times New Roman" w:hAnsi="Times New Roman" w:eastAsia="Times New Roman" w:cs="Times New Roman"/>
                <w:spacing w:val="-1"/>
              </w:rPr>
              <w:t>5</w:t>
            </w:r>
            <w:r>
              <w:rPr>
                <w:spacing w:val="-1"/>
              </w:rPr>
              <w:t>分；</w:t>
            </w:r>
          </w:p>
          <w:p w14:paraId="098EBF9F">
            <w:pPr>
              <w:pStyle w:val="253"/>
              <w:keepNext w:val="0"/>
              <w:keepLines w:val="0"/>
              <w:pageBreakBefore w:val="0"/>
              <w:wordWrap/>
              <w:overflowPunct/>
              <w:topLinePunct w:val="0"/>
              <w:bidi w:val="0"/>
              <w:spacing w:line="240" w:lineRule="auto"/>
              <w:ind w:left="0" w:right="0" w:firstLine="0"/>
            </w:pPr>
            <w:r>
              <w:rPr>
                <w:spacing w:val="-8"/>
              </w:rPr>
              <w:t>内容描述简单，缺少具体措施和细节描述，针对性一般，得</w:t>
            </w:r>
            <w:r>
              <w:rPr>
                <w:rFonts w:ascii="Times New Roman" w:hAnsi="Times New Roman" w:eastAsia="Times New Roman" w:cs="Times New Roman"/>
                <w:spacing w:val="-8"/>
              </w:rPr>
              <w:t>3</w:t>
            </w:r>
            <w:r>
              <w:rPr>
                <w:spacing w:val="-8"/>
              </w:rPr>
              <w:t>分；</w:t>
            </w:r>
            <w:r>
              <w:rPr>
                <w:spacing w:val="-2"/>
              </w:rPr>
              <w:t>方案内容存在部分缺失，针对性差，得</w:t>
            </w:r>
            <w:r>
              <w:rPr>
                <w:rFonts w:ascii="Times New Roman" w:hAnsi="Times New Roman" w:eastAsia="Times New Roman" w:cs="Times New Roman"/>
                <w:spacing w:val="-2"/>
              </w:rPr>
              <w:t>1</w:t>
            </w:r>
            <w:r>
              <w:rPr>
                <w:spacing w:val="-2"/>
              </w:rPr>
              <w:t>分；</w:t>
            </w:r>
          </w:p>
          <w:p w14:paraId="6499CBDA">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6192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198A6D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restart"/>
            <w:vAlign w:val="top"/>
          </w:tcPr>
          <w:p w14:paraId="789AADB2">
            <w:pPr>
              <w:keepNext w:val="0"/>
              <w:keepLines w:val="0"/>
              <w:pageBreakBefore w:val="0"/>
              <w:wordWrap/>
              <w:overflowPunct/>
              <w:topLinePunct w:val="0"/>
              <w:bidi w:val="0"/>
              <w:spacing w:line="240" w:lineRule="auto"/>
              <w:ind w:left="0" w:right="0" w:firstLine="0"/>
              <w:rPr>
                <w:rFonts w:ascii="Arial"/>
                <w:sz w:val="21"/>
              </w:rPr>
            </w:pPr>
          </w:p>
          <w:p w14:paraId="4FB6AC41">
            <w:pPr>
              <w:keepNext w:val="0"/>
              <w:keepLines w:val="0"/>
              <w:pageBreakBefore w:val="0"/>
              <w:wordWrap/>
              <w:overflowPunct/>
              <w:topLinePunct w:val="0"/>
              <w:bidi w:val="0"/>
              <w:spacing w:line="240" w:lineRule="auto"/>
              <w:ind w:left="0" w:right="0" w:firstLine="0"/>
              <w:rPr>
                <w:rFonts w:ascii="Arial"/>
                <w:sz w:val="21"/>
              </w:rPr>
            </w:pPr>
          </w:p>
          <w:p w14:paraId="2690DC15">
            <w:pPr>
              <w:keepNext w:val="0"/>
              <w:keepLines w:val="0"/>
              <w:pageBreakBefore w:val="0"/>
              <w:wordWrap/>
              <w:overflowPunct/>
              <w:topLinePunct w:val="0"/>
              <w:bidi w:val="0"/>
              <w:spacing w:line="240" w:lineRule="auto"/>
              <w:ind w:left="0" w:right="0" w:firstLine="0"/>
              <w:rPr>
                <w:rFonts w:ascii="Arial"/>
                <w:sz w:val="21"/>
              </w:rPr>
            </w:pPr>
          </w:p>
          <w:p w14:paraId="47CB2D5D">
            <w:pPr>
              <w:keepNext w:val="0"/>
              <w:keepLines w:val="0"/>
              <w:pageBreakBefore w:val="0"/>
              <w:wordWrap/>
              <w:overflowPunct/>
              <w:topLinePunct w:val="0"/>
              <w:bidi w:val="0"/>
              <w:spacing w:line="240" w:lineRule="auto"/>
              <w:ind w:left="0" w:right="0" w:firstLine="0"/>
              <w:rPr>
                <w:rFonts w:ascii="Arial"/>
                <w:sz w:val="21"/>
              </w:rPr>
            </w:pPr>
          </w:p>
          <w:p w14:paraId="0C3FC7AE">
            <w:pPr>
              <w:keepNext w:val="0"/>
              <w:keepLines w:val="0"/>
              <w:pageBreakBefore w:val="0"/>
              <w:wordWrap/>
              <w:overflowPunct/>
              <w:topLinePunct w:val="0"/>
              <w:bidi w:val="0"/>
              <w:spacing w:line="240" w:lineRule="auto"/>
              <w:ind w:left="0" w:right="0" w:firstLine="0"/>
              <w:rPr>
                <w:rFonts w:ascii="Arial"/>
                <w:sz w:val="21"/>
              </w:rPr>
            </w:pPr>
          </w:p>
          <w:p w14:paraId="15FCD69E">
            <w:pPr>
              <w:keepNext w:val="0"/>
              <w:keepLines w:val="0"/>
              <w:pageBreakBefore w:val="0"/>
              <w:wordWrap/>
              <w:overflowPunct/>
              <w:topLinePunct w:val="0"/>
              <w:bidi w:val="0"/>
              <w:spacing w:line="240" w:lineRule="auto"/>
              <w:ind w:left="0" w:right="0" w:firstLine="0"/>
              <w:rPr>
                <w:rFonts w:ascii="Arial"/>
                <w:sz w:val="21"/>
              </w:rPr>
            </w:pPr>
          </w:p>
          <w:p w14:paraId="3CC2B0E3">
            <w:pPr>
              <w:keepNext w:val="0"/>
              <w:keepLines w:val="0"/>
              <w:pageBreakBefore w:val="0"/>
              <w:wordWrap/>
              <w:overflowPunct/>
              <w:topLinePunct w:val="0"/>
              <w:bidi w:val="0"/>
              <w:spacing w:line="240" w:lineRule="auto"/>
              <w:ind w:left="0" w:right="0" w:firstLine="0"/>
              <w:rPr>
                <w:rFonts w:ascii="Arial"/>
                <w:sz w:val="21"/>
              </w:rPr>
            </w:pPr>
          </w:p>
          <w:p w14:paraId="216F0C33">
            <w:pPr>
              <w:keepNext w:val="0"/>
              <w:keepLines w:val="0"/>
              <w:pageBreakBefore w:val="0"/>
              <w:wordWrap/>
              <w:overflowPunct/>
              <w:topLinePunct w:val="0"/>
              <w:bidi w:val="0"/>
              <w:spacing w:line="240" w:lineRule="auto"/>
              <w:ind w:left="0" w:right="0" w:firstLine="0"/>
              <w:rPr>
                <w:rFonts w:ascii="Arial"/>
                <w:sz w:val="21"/>
              </w:rPr>
            </w:pPr>
          </w:p>
          <w:p w14:paraId="476AB003">
            <w:pPr>
              <w:keepNext w:val="0"/>
              <w:keepLines w:val="0"/>
              <w:pageBreakBefore w:val="0"/>
              <w:wordWrap/>
              <w:overflowPunct/>
              <w:topLinePunct w:val="0"/>
              <w:bidi w:val="0"/>
              <w:spacing w:line="240" w:lineRule="auto"/>
              <w:ind w:left="0" w:right="0" w:firstLine="0"/>
              <w:rPr>
                <w:rFonts w:ascii="Arial"/>
                <w:sz w:val="21"/>
              </w:rPr>
            </w:pPr>
          </w:p>
          <w:p w14:paraId="45A20A3C">
            <w:pPr>
              <w:keepNext w:val="0"/>
              <w:keepLines w:val="0"/>
              <w:pageBreakBefore w:val="0"/>
              <w:wordWrap/>
              <w:overflowPunct/>
              <w:topLinePunct w:val="0"/>
              <w:bidi w:val="0"/>
              <w:spacing w:line="240" w:lineRule="auto"/>
              <w:ind w:left="0" w:right="0" w:firstLine="0"/>
              <w:rPr>
                <w:rFonts w:ascii="Arial"/>
                <w:sz w:val="21"/>
              </w:rPr>
            </w:pPr>
          </w:p>
          <w:p w14:paraId="7BA7C087">
            <w:pPr>
              <w:keepNext w:val="0"/>
              <w:keepLines w:val="0"/>
              <w:pageBreakBefore w:val="0"/>
              <w:wordWrap/>
              <w:overflowPunct/>
              <w:topLinePunct w:val="0"/>
              <w:bidi w:val="0"/>
              <w:spacing w:line="240" w:lineRule="auto"/>
              <w:ind w:left="0" w:right="0" w:firstLine="0"/>
              <w:rPr>
                <w:rFonts w:ascii="Arial"/>
                <w:sz w:val="21"/>
              </w:rPr>
            </w:pPr>
          </w:p>
          <w:p w14:paraId="03B3D7A8">
            <w:pPr>
              <w:keepNext w:val="0"/>
              <w:keepLines w:val="0"/>
              <w:pageBreakBefore w:val="0"/>
              <w:wordWrap/>
              <w:overflowPunct/>
              <w:topLinePunct w:val="0"/>
              <w:bidi w:val="0"/>
              <w:spacing w:line="240" w:lineRule="auto"/>
              <w:ind w:left="0" w:right="0" w:firstLine="0"/>
              <w:rPr>
                <w:rFonts w:ascii="Arial"/>
                <w:sz w:val="21"/>
              </w:rPr>
            </w:pPr>
          </w:p>
          <w:p w14:paraId="0F302E9C">
            <w:pPr>
              <w:keepNext w:val="0"/>
              <w:keepLines w:val="0"/>
              <w:pageBreakBefore w:val="0"/>
              <w:wordWrap/>
              <w:overflowPunct/>
              <w:topLinePunct w:val="0"/>
              <w:bidi w:val="0"/>
              <w:spacing w:line="240" w:lineRule="auto"/>
              <w:ind w:left="0" w:right="0" w:firstLine="0"/>
              <w:rPr>
                <w:rFonts w:ascii="Arial"/>
                <w:sz w:val="21"/>
              </w:rPr>
            </w:pPr>
          </w:p>
          <w:p w14:paraId="6DC29763">
            <w:pPr>
              <w:keepNext w:val="0"/>
              <w:keepLines w:val="0"/>
              <w:pageBreakBefore w:val="0"/>
              <w:wordWrap/>
              <w:overflowPunct/>
              <w:topLinePunct w:val="0"/>
              <w:bidi w:val="0"/>
              <w:spacing w:line="240" w:lineRule="auto"/>
              <w:ind w:left="0" w:right="0" w:firstLine="0"/>
              <w:rPr>
                <w:rFonts w:ascii="Arial"/>
                <w:sz w:val="21"/>
              </w:rPr>
            </w:pPr>
          </w:p>
          <w:p w14:paraId="6DA4DF03">
            <w:pPr>
              <w:keepNext w:val="0"/>
              <w:keepLines w:val="0"/>
              <w:pageBreakBefore w:val="0"/>
              <w:wordWrap/>
              <w:overflowPunct/>
              <w:topLinePunct w:val="0"/>
              <w:bidi w:val="0"/>
              <w:spacing w:line="240" w:lineRule="auto"/>
              <w:ind w:left="0" w:right="0" w:firstLine="0"/>
              <w:rPr>
                <w:rFonts w:ascii="Arial"/>
                <w:sz w:val="21"/>
              </w:rPr>
            </w:pPr>
          </w:p>
          <w:p w14:paraId="39A29D99">
            <w:pPr>
              <w:pStyle w:val="253"/>
              <w:keepNext w:val="0"/>
              <w:keepLines w:val="0"/>
              <w:pageBreakBefore w:val="0"/>
              <w:wordWrap/>
              <w:overflowPunct/>
              <w:topLinePunct w:val="0"/>
              <w:bidi w:val="0"/>
              <w:spacing w:line="240" w:lineRule="auto"/>
              <w:ind w:left="0" w:right="0" w:firstLine="0"/>
            </w:pPr>
            <w:r>
              <w:rPr>
                <w:spacing w:val="-3"/>
              </w:rPr>
              <w:t>本项目人</w:t>
            </w:r>
          </w:p>
          <w:p w14:paraId="7F0DC7DF">
            <w:pPr>
              <w:pStyle w:val="253"/>
              <w:keepNext w:val="0"/>
              <w:keepLines w:val="0"/>
              <w:pageBreakBefore w:val="0"/>
              <w:wordWrap/>
              <w:overflowPunct/>
              <w:topLinePunct w:val="0"/>
              <w:bidi w:val="0"/>
              <w:spacing w:line="240" w:lineRule="auto"/>
              <w:ind w:left="0" w:right="0" w:firstLine="0"/>
            </w:pPr>
            <w:r>
              <w:rPr>
                <w:spacing w:val="-7"/>
              </w:rPr>
              <w:t>员配备</w:t>
            </w:r>
          </w:p>
          <w:p w14:paraId="67331CF3">
            <w:pPr>
              <w:pStyle w:val="253"/>
              <w:keepNext w:val="0"/>
              <w:keepLines w:val="0"/>
              <w:pageBreakBefore w:val="0"/>
              <w:wordWrap/>
              <w:overflowPunct/>
              <w:topLinePunct w:val="0"/>
              <w:bidi w:val="0"/>
              <w:spacing w:line="240" w:lineRule="auto"/>
              <w:ind w:left="0" w:leftChars="0" w:right="0" w:firstLine="0"/>
              <w:rPr>
                <w:vertAlign w:val="baseline"/>
              </w:rPr>
            </w:pPr>
            <w:r>
              <w:rPr>
                <w:spacing w:val="-7"/>
              </w:rPr>
              <w:t>（</w:t>
            </w:r>
            <w:r>
              <w:rPr>
                <w:rFonts w:ascii="Times New Roman" w:hAnsi="Times New Roman" w:eastAsia="Times New Roman" w:cs="Times New Roman"/>
                <w:spacing w:val="-7"/>
              </w:rPr>
              <w:t>10</w:t>
            </w:r>
            <w:r>
              <w:rPr>
                <w:spacing w:val="-7"/>
              </w:rPr>
              <w:t>分）</w:t>
            </w:r>
          </w:p>
        </w:tc>
        <w:tc>
          <w:tcPr>
            <w:tcW w:w="6612" w:type="dxa"/>
            <w:vAlign w:val="top"/>
          </w:tcPr>
          <w:p w14:paraId="1F53FF48">
            <w:pPr>
              <w:pStyle w:val="253"/>
              <w:keepNext w:val="0"/>
              <w:keepLines w:val="0"/>
              <w:pageBreakBefore w:val="0"/>
              <w:wordWrap/>
              <w:overflowPunct/>
              <w:topLinePunct w:val="0"/>
              <w:bidi w:val="0"/>
              <w:spacing w:line="240" w:lineRule="auto"/>
              <w:ind w:left="0" w:right="0" w:firstLine="0"/>
            </w:pPr>
            <w:r>
              <w:rPr>
                <w:b/>
                <w:bCs/>
                <w:spacing w:val="-3"/>
              </w:rPr>
              <w:t>配备团队人员不少于</w:t>
            </w:r>
            <w:r>
              <w:rPr>
                <w:rFonts w:ascii="Times New Roman" w:hAnsi="Times New Roman" w:eastAsia="Times New Roman" w:cs="Times New Roman"/>
                <w:b/>
                <w:bCs/>
                <w:spacing w:val="-3"/>
              </w:rPr>
              <w:t>26</w:t>
            </w:r>
            <w:r>
              <w:rPr>
                <w:b/>
                <w:bCs/>
                <w:spacing w:val="-3"/>
              </w:rPr>
              <w:t>人，其中项目经理</w:t>
            </w:r>
            <w:r>
              <w:rPr>
                <w:rFonts w:ascii="Times New Roman" w:hAnsi="Times New Roman" w:eastAsia="Times New Roman" w:cs="Times New Roman"/>
                <w:b/>
                <w:bCs/>
                <w:spacing w:val="-3"/>
              </w:rPr>
              <w:t>1</w:t>
            </w:r>
            <w:r>
              <w:rPr>
                <w:b/>
                <w:bCs/>
                <w:spacing w:val="-3"/>
              </w:rPr>
              <w:t>人；会服、文印、</w:t>
            </w:r>
          </w:p>
          <w:p w14:paraId="12C746BB">
            <w:pPr>
              <w:pStyle w:val="253"/>
              <w:keepNext w:val="0"/>
              <w:keepLines w:val="0"/>
              <w:pageBreakBefore w:val="0"/>
              <w:wordWrap/>
              <w:overflowPunct/>
              <w:topLinePunct w:val="0"/>
              <w:bidi w:val="0"/>
              <w:spacing w:line="240" w:lineRule="auto"/>
              <w:ind w:left="0" w:leftChars="0" w:right="0" w:rightChars="0" w:firstLine="0" w:firstLineChars="0"/>
              <w:rPr>
                <w:spacing w:val="-3"/>
              </w:rPr>
            </w:pPr>
            <w:r>
              <w:rPr>
                <w:b/>
                <w:bCs/>
                <w:spacing w:val="-4"/>
              </w:rPr>
              <w:t>文员、图书管理员共不少于</w:t>
            </w:r>
            <w:r>
              <w:rPr>
                <w:rFonts w:ascii="Times New Roman" w:hAnsi="Times New Roman" w:eastAsia="Times New Roman" w:cs="Times New Roman"/>
                <w:b/>
                <w:bCs/>
                <w:spacing w:val="-4"/>
              </w:rPr>
              <w:t>4</w:t>
            </w:r>
            <w:r>
              <w:rPr>
                <w:b/>
                <w:bCs/>
                <w:spacing w:val="-4"/>
              </w:rPr>
              <w:t>人、设备运营主管不少于</w:t>
            </w:r>
            <w:r>
              <w:rPr>
                <w:rFonts w:ascii="Times New Roman" w:hAnsi="Times New Roman" w:eastAsia="Times New Roman" w:cs="Times New Roman"/>
                <w:b/>
                <w:bCs/>
                <w:spacing w:val="-4"/>
              </w:rPr>
              <w:t>1</w:t>
            </w:r>
            <w:r>
              <w:rPr>
                <w:b/>
                <w:bCs/>
                <w:spacing w:val="-4"/>
              </w:rPr>
              <w:t>人、环</w:t>
            </w:r>
            <w:r>
              <w:rPr>
                <w:b/>
                <w:bCs/>
                <w:spacing w:val="-2"/>
              </w:rPr>
              <w:t>境维护主管不少于</w:t>
            </w:r>
            <w:r>
              <w:rPr>
                <w:rFonts w:ascii="Times New Roman" w:hAnsi="Times New Roman" w:eastAsia="Times New Roman" w:cs="Times New Roman"/>
                <w:b/>
                <w:bCs/>
                <w:spacing w:val="-2"/>
              </w:rPr>
              <w:t>1</w:t>
            </w:r>
            <w:r>
              <w:rPr>
                <w:b/>
                <w:bCs/>
                <w:spacing w:val="-2"/>
              </w:rPr>
              <w:t>人，设备运营维修工不少于</w:t>
            </w:r>
            <w:r>
              <w:rPr>
                <w:rFonts w:ascii="Times New Roman" w:hAnsi="Times New Roman" w:eastAsia="Times New Roman" w:cs="Times New Roman"/>
                <w:b/>
                <w:bCs/>
                <w:spacing w:val="-2"/>
              </w:rPr>
              <w:t>3</w:t>
            </w:r>
            <w:r>
              <w:rPr>
                <w:b/>
                <w:bCs/>
                <w:spacing w:val="-2"/>
              </w:rPr>
              <w:t>人；保洁员不少于</w:t>
            </w:r>
            <w:r>
              <w:rPr>
                <w:rFonts w:ascii="Times New Roman" w:hAnsi="Times New Roman" w:eastAsia="Times New Roman" w:cs="Times New Roman"/>
                <w:b/>
                <w:bCs/>
                <w:spacing w:val="-2"/>
              </w:rPr>
              <w:t>7</w:t>
            </w:r>
            <w:r>
              <w:rPr>
                <w:b/>
                <w:bCs/>
                <w:spacing w:val="-2"/>
              </w:rPr>
              <w:t>人，外围保洁员不少于</w:t>
            </w:r>
            <w:r>
              <w:rPr>
                <w:rFonts w:ascii="Times New Roman" w:hAnsi="Times New Roman" w:eastAsia="Times New Roman" w:cs="Times New Roman"/>
                <w:b/>
                <w:bCs/>
                <w:spacing w:val="-2"/>
              </w:rPr>
              <w:t>1</w:t>
            </w:r>
            <w:r>
              <w:rPr>
                <w:b/>
                <w:bCs/>
                <w:spacing w:val="-2"/>
              </w:rPr>
              <w:t>人，绿化技工不少于</w:t>
            </w:r>
            <w:r>
              <w:rPr>
                <w:rFonts w:ascii="Times New Roman" w:hAnsi="Times New Roman" w:eastAsia="Times New Roman" w:cs="Times New Roman"/>
                <w:b/>
                <w:bCs/>
                <w:spacing w:val="-2"/>
              </w:rPr>
              <w:t>1</w:t>
            </w:r>
            <w:r>
              <w:rPr>
                <w:b/>
                <w:bCs/>
                <w:spacing w:val="-3"/>
              </w:rPr>
              <w:t>人；热力</w:t>
            </w:r>
            <w:r>
              <w:rPr>
                <w:b/>
                <w:bCs/>
                <w:spacing w:val="-1"/>
              </w:rPr>
              <w:t>站人员不少于</w:t>
            </w:r>
            <w:r>
              <w:rPr>
                <w:rFonts w:ascii="Times New Roman" w:hAnsi="Times New Roman" w:eastAsia="Times New Roman" w:cs="Times New Roman"/>
                <w:b/>
                <w:bCs/>
                <w:spacing w:val="-1"/>
              </w:rPr>
              <w:t>2</w:t>
            </w:r>
            <w:r>
              <w:rPr>
                <w:b/>
                <w:bCs/>
                <w:spacing w:val="-1"/>
              </w:rPr>
              <w:t>人；中控室人员不少于</w:t>
            </w:r>
            <w:r>
              <w:rPr>
                <w:rFonts w:ascii="Times New Roman" w:hAnsi="Times New Roman" w:eastAsia="Times New Roman" w:cs="Times New Roman"/>
                <w:b/>
                <w:bCs/>
                <w:spacing w:val="-1"/>
              </w:rPr>
              <w:t>5</w:t>
            </w:r>
            <w:r>
              <w:rPr>
                <w:b/>
                <w:bCs/>
                <w:spacing w:val="-2"/>
              </w:rPr>
              <w:t>人，不满足上述要求则</w:t>
            </w:r>
            <w:r>
              <w:rPr>
                <w:rFonts w:ascii="Times New Roman" w:hAnsi="Times New Roman" w:eastAsia="Times New Roman" w:cs="Times New Roman"/>
                <w:b/>
                <w:bCs/>
                <w:spacing w:val="1"/>
              </w:rPr>
              <w:t>“</w:t>
            </w:r>
            <w:r>
              <w:rPr>
                <w:b/>
                <w:bCs/>
                <w:spacing w:val="1"/>
              </w:rPr>
              <w:t>本项目人员配备</w:t>
            </w:r>
            <w:r>
              <w:rPr>
                <w:rFonts w:ascii="Times New Roman" w:hAnsi="Times New Roman" w:eastAsia="Times New Roman" w:cs="Times New Roman"/>
                <w:b/>
                <w:bCs/>
                <w:spacing w:val="1"/>
              </w:rPr>
              <w:t>”</w:t>
            </w:r>
            <w:r>
              <w:rPr>
                <w:b/>
                <w:bCs/>
                <w:spacing w:val="1"/>
              </w:rPr>
              <w:t>整体不得分。</w:t>
            </w:r>
          </w:p>
        </w:tc>
      </w:tr>
      <w:tr w14:paraId="700E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0302D0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07A41268">
            <w:pPr>
              <w:keepNext w:val="0"/>
              <w:keepLines w:val="0"/>
              <w:pageBreakBefore w:val="0"/>
              <w:wordWrap/>
              <w:overflowPunct/>
              <w:topLinePunct w:val="0"/>
              <w:bidi w:val="0"/>
              <w:spacing w:line="240" w:lineRule="auto"/>
              <w:ind w:left="0" w:right="0" w:firstLine="0"/>
              <w:rPr>
                <w:vertAlign w:val="baseline"/>
              </w:rPr>
            </w:pPr>
          </w:p>
        </w:tc>
        <w:tc>
          <w:tcPr>
            <w:tcW w:w="6612" w:type="dxa"/>
            <w:vAlign w:val="top"/>
          </w:tcPr>
          <w:p w14:paraId="416DC4F3">
            <w:pPr>
              <w:pStyle w:val="253"/>
              <w:keepNext w:val="0"/>
              <w:keepLines w:val="0"/>
              <w:pageBreakBefore w:val="0"/>
              <w:wordWrap/>
              <w:overflowPunct/>
              <w:topLinePunct w:val="0"/>
              <w:bidi w:val="0"/>
              <w:spacing w:line="240" w:lineRule="auto"/>
              <w:ind w:left="0" w:right="0" w:firstLine="0"/>
            </w:pPr>
            <w:r>
              <w:t>供应商需提供项目人员配置情况表，内容包含</w:t>
            </w:r>
            <w:r>
              <w:rPr>
                <w:b/>
                <w:bCs/>
              </w:rPr>
              <w:t>项目经理、会服、</w:t>
            </w:r>
            <w:r>
              <w:rPr>
                <w:b/>
                <w:bCs/>
                <w:spacing w:val="-3"/>
              </w:rPr>
              <w:t>文印、文员、图书管理员、设备运营主管、环境维</w:t>
            </w:r>
            <w:r>
              <w:rPr>
                <w:b/>
                <w:bCs/>
                <w:spacing w:val="-4"/>
              </w:rPr>
              <w:t>护主管、设备</w:t>
            </w:r>
            <w:r>
              <w:rPr>
                <w:b/>
                <w:bCs/>
                <w:spacing w:val="-3"/>
              </w:rPr>
              <w:t>运营维修工、保洁员、外围保洁员、绿化技工、热力站</w:t>
            </w:r>
            <w:r>
              <w:rPr>
                <w:b/>
                <w:bCs/>
                <w:spacing w:val="-4"/>
              </w:rPr>
              <w:t>人员、中</w:t>
            </w:r>
            <w:r>
              <w:rPr>
                <w:b/>
                <w:bCs/>
                <w:spacing w:val="-7"/>
              </w:rPr>
              <w:t>控室人员</w:t>
            </w:r>
            <w:r>
              <w:rPr>
                <w:spacing w:val="-7"/>
              </w:rPr>
              <w:t>（如涉及高压电、管道、电梯管理、有限空间监督管理、</w:t>
            </w:r>
            <w:r>
              <w:rPr>
                <w:spacing w:val="-1"/>
              </w:rPr>
              <w:t>设备维修等方面的人员需具有相关专业技术操作资格）。根据供应商提供的人员配置进行综合判定：</w:t>
            </w:r>
          </w:p>
          <w:p w14:paraId="142FEC6C">
            <w:pPr>
              <w:pStyle w:val="253"/>
              <w:keepNext w:val="0"/>
              <w:keepLines w:val="0"/>
              <w:pageBreakBefore w:val="0"/>
              <w:wordWrap/>
              <w:overflowPunct/>
              <w:topLinePunct w:val="0"/>
              <w:bidi w:val="0"/>
              <w:spacing w:line="240" w:lineRule="auto"/>
              <w:ind w:left="0" w:right="0" w:firstLine="0"/>
            </w:pPr>
            <w:r>
              <w:rPr>
                <w:spacing w:val="-1"/>
              </w:rPr>
              <w:t>拟配备人员能较好的满足招标需求，且各专业人员均提供了职业</w:t>
            </w:r>
            <w:r>
              <w:rPr>
                <w:spacing w:val="-2"/>
              </w:rPr>
              <w:t>资格证书，相关工作经验丰富，得</w:t>
            </w:r>
            <w:r>
              <w:rPr>
                <w:rFonts w:ascii="Times New Roman" w:hAnsi="Times New Roman" w:eastAsia="Times New Roman" w:cs="Times New Roman"/>
                <w:spacing w:val="-2"/>
              </w:rPr>
              <w:t>7</w:t>
            </w:r>
            <w:r>
              <w:rPr>
                <w:spacing w:val="-2"/>
              </w:rPr>
              <w:t>分；</w:t>
            </w:r>
          </w:p>
          <w:p w14:paraId="2403520A">
            <w:pPr>
              <w:pStyle w:val="253"/>
              <w:keepNext w:val="0"/>
              <w:keepLines w:val="0"/>
              <w:pageBreakBefore w:val="0"/>
              <w:wordWrap/>
              <w:overflowPunct/>
              <w:topLinePunct w:val="0"/>
              <w:bidi w:val="0"/>
              <w:spacing w:line="240" w:lineRule="auto"/>
              <w:ind w:left="0" w:right="0" w:firstLine="0"/>
            </w:pPr>
            <w:r>
              <w:rPr>
                <w:spacing w:val="-1"/>
              </w:rPr>
              <w:t>基本满足招标需求，且各专业人员持有的资格证书不够齐全，但</w:t>
            </w:r>
            <w:r>
              <w:rPr>
                <w:spacing w:val="-2"/>
              </w:rPr>
              <w:t>具有一定的相关工作经验，得</w:t>
            </w:r>
            <w:r>
              <w:rPr>
                <w:rFonts w:ascii="Times New Roman" w:hAnsi="Times New Roman" w:eastAsia="Times New Roman" w:cs="Times New Roman"/>
                <w:spacing w:val="-2"/>
              </w:rPr>
              <w:t>5</w:t>
            </w:r>
            <w:r>
              <w:rPr>
                <w:spacing w:val="-2"/>
              </w:rPr>
              <w:t>分；</w:t>
            </w:r>
          </w:p>
          <w:p w14:paraId="0CA0CFCC">
            <w:pPr>
              <w:pStyle w:val="253"/>
              <w:keepNext w:val="0"/>
              <w:keepLines w:val="0"/>
              <w:pageBreakBefore w:val="0"/>
              <w:wordWrap/>
              <w:overflowPunct/>
              <w:topLinePunct w:val="0"/>
              <w:bidi w:val="0"/>
              <w:spacing w:line="240" w:lineRule="auto"/>
              <w:ind w:left="0" w:right="0" w:firstLine="0"/>
            </w:pPr>
            <w:r>
              <w:rPr>
                <w:spacing w:val="-1"/>
              </w:rPr>
              <w:t>配备情况与招标需求相差较大，且各专业人员持有的资格证书欠缺较多，或相关工作经验有所欠缺，得</w:t>
            </w:r>
            <w:r>
              <w:rPr>
                <w:rFonts w:ascii="Times New Roman" w:hAnsi="Times New Roman" w:eastAsia="Times New Roman" w:cs="Times New Roman"/>
                <w:spacing w:val="-1"/>
              </w:rPr>
              <w:t>3</w:t>
            </w:r>
            <w:r>
              <w:rPr>
                <w:spacing w:val="-1"/>
              </w:rPr>
              <w:t>分；</w:t>
            </w:r>
          </w:p>
          <w:p w14:paraId="2256AEF9">
            <w:pPr>
              <w:pStyle w:val="253"/>
              <w:keepNext w:val="0"/>
              <w:keepLines w:val="0"/>
              <w:pageBreakBefore w:val="0"/>
              <w:wordWrap/>
              <w:overflowPunct/>
              <w:topLinePunct w:val="0"/>
              <w:bidi w:val="0"/>
              <w:spacing w:line="240" w:lineRule="auto"/>
              <w:ind w:left="0" w:right="0" w:firstLine="0"/>
            </w:pPr>
            <w:r>
              <w:rPr>
                <w:spacing w:val="-2"/>
              </w:rPr>
              <w:t>未提供人员资格证书或人员无相关经验，得</w:t>
            </w:r>
            <w:r>
              <w:rPr>
                <w:rFonts w:ascii="Times New Roman" w:hAnsi="Times New Roman" w:eastAsia="Times New Roman" w:cs="Times New Roman"/>
                <w:spacing w:val="-2"/>
              </w:rPr>
              <w:t>1</w:t>
            </w:r>
            <w:r>
              <w:rPr>
                <w:spacing w:val="-2"/>
              </w:rPr>
              <w:t>分；</w:t>
            </w:r>
          </w:p>
          <w:p w14:paraId="55DDB38D">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7F72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vAlign w:val="top"/>
          </w:tcPr>
          <w:p w14:paraId="7C15D1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vertAlign w:val="baseline"/>
              </w:rPr>
            </w:pPr>
          </w:p>
        </w:tc>
        <w:tc>
          <w:tcPr>
            <w:tcW w:w="1330" w:type="dxa"/>
            <w:vMerge w:val="continue"/>
            <w:vAlign w:val="top"/>
          </w:tcPr>
          <w:p w14:paraId="11DDD74B">
            <w:pPr>
              <w:keepNext w:val="0"/>
              <w:keepLines w:val="0"/>
              <w:pageBreakBefore w:val="0"/>
              <w:wordWrap/>
              <w:overflowPunct/>
              <w:topLinePunct w:val="0"/>
              <w:bidi w:val="0"/>
              <w:spacing w:line="240" w:lineRule="auto"/>
              <w:ind w:left="0" w:right="0" w:firstLine="0"/>
              <w:rPr>
                <w:vertAlign w:val="baseline"/>
              </w:rPr>
            </w:pPr>
          </w:p>
        </w:tc>
        <w:tc>
          <w:tcPr>
            <w:tcW w:w="6612" w:type="dxa"/>
            <w:vAlign w:val="top"/>
          </w:tcPr>
          <w:p w14:paraId="62419209">
            <w:pPr>
              <w:pStyle w:val="253"/>
              <w:keepNext w:val="0"/>
              <w:keepLines w:val="0"/>
              <w:pageBreakBefore w:val="0"/>
              <w:wordWrap/>
              <w:overflowPunct/>
              <w:topLinePunct w:val="0"/>
              <w:bidi w:val="0"/>
              <w:spacing w:line="240" w:lineRule="auto"/>
              <w:ind w:left="0" w:right="0" w:firstLine="0"/>
            </w:pPr>
            <w:r>
              <w:rPr>
                <w:spacing w:val="-2"/>
              </w:rPr>
              <w:t>人员保障方案：</w:t>
            </w:r>
          </w:p>
          <w:p w14:paraId="72A295E9">
            <w:pPr>
              <w:pStyle w:val="253"/>
              <w:keepNext w:val="0"/>
              <w:keepLines w:val="0"/>
              <w:pageBreakBefore w:val="0"/>
              <w:wordWrap/>
              <w:overflowPunct/>
              <w:topLinePunct w:val="0"/>
              <w:bidi w:val="0"/>
              <w:spacing w:line="240" w:lineRule="auto"/>
              <w:ind w:left="0" w:right="0" w:firstLine="0"/>
            </w:pPr>
            <w:r>
              <w:rPr>
                <w:spacing w:val="-1"/>
              </w:rPr>
              <w:t>方案内容完整详尽，包含了服务人员不满足采购人要求时或自动离岗后的人员替换和保障方案，可行性强得</w:t>
            </w:r>
            <w:r>
              <w:rPr>
                <w:rFonts w:ascii="Times New Roman" w:hAnsi="Times New Roman" w:eastAsia="Times New Roman" w:cs="Times New Roman"/>
                <w:spacing w:val="-1"/>
              </w:rPr>
              <w:t>3</w:t>
            </w:r>
            <w:r>
              <w:rPr>
                <w:spacing w:val="-2"/>
              </w:rPr>
              <w:t>分；</w:t>
            </w:r>
          </w:p>
          <w:p w14:paraId="1372614C">
            <w:pPr>
              <w:pStyle w:val="253"/>
              <w:keepNext w:val="0"/>
              <w:keepLines w:val="0"/>
              <w:pageBreakBefore w:val="0"/>
              <w:wordWrap/>
              <w:overflowPunct/>
              <w:topLinePunct w:val="0"/>
              <w:bidi w:val="0"/>
              <w:spacing w:line="240" w:lineRule="auto"/>
              <w:ind w:left="0" w:right="0" w:firstLine="0"/>
            </w:pPr>
            <w:r>
              <w:rPr>
                <w:spacing w:val="-1"/>
              </w:rPr>
              <w:t>方案较全面，包含了服务人员不满足采购人要求时或自动离岗后的人员替换和保障方案，但缺少具体措施和细节描述，得</w:t>
            </w:r>
            <w:r>
              <w:rPr>
                <w:rFonts w:ascii="Times New Roman" w:hAnsi="Times New Roman" w:eastAsia="Times New Roman" w:cs="Times New Roman"/>
                <w:spacing w:val="-1"/>
              </w:rPr>
              <w:t>2</w:t>
            </w:r>
            <w:r>
              <w:rPr>
                <w:spacing w:val="-1"/>
              </w:rPr>
              <w:t>分；</w:t>
            </w:r>
            <w:r>
              <w:rPr>
                <w:spacing w:val="-3"/>
              </w:rPr>
              <w:t>方案不全面、有缺失，适用性差得</w:t>
            </w:r>
            <w:r>
              <w:rPr>
                <w:rFonts w:ascii="Times New Roman" w:hAnsi="Times New Roman" w:eastAsia="Times New Roman" w:cs="Times New Roman"/>
                <w:spacing w:val="-3"/>
              </w:rPr>
              <w:t>1</w:t>
            </w:r>
            <w:r>
              <w:rPr>
                <w:spacing w:val="-3"/>
              </w:rPr>
              <w:t>分；</w:t>
            </w:r>
          </w:p>
          <w:p w14:paraId="1C413985">
            <w:pPr>
              <w:pStyle w:val="253"/>
              <w:keepNext w:val="0"/>
              <w:keepLines w:val="0"/>
              <w:pageBreakBefore w:val="0"/>
              <w:wordWrap/>
              <w:overflowPunct/>
              <w:topLinePunct w:val="0"/>
              <w:bidi w:val="0"/>
              <w:spacing w:line="240" w:lineRule="auto"/>
              <w:ind w:left="0" w:leftChars="0" w:right="0" w:firstLine="0"/>
              <w:rPr>
                <w:spacing w:val="-3"/>
              </w:rPr>
            </w:pPr>
            <w:r>
              <w:rPr>
                <w:spacing w:val="-3"/>
              </w:rPr>
              <w:t>未提供得</w:t>
            </w:r>
            <w:r>
              <w:rPr>
                <w:rFonts w:ascii="Times New Roman" w:hAnsi="Times New Roman" w:eastAsia="Times New Roman" w:cs="Times New Roman"/>
                <w:spacing w:val="-3"/>
              </w:rPr>
              <w:t>0</w:t>
            </w:r>
            <w:r>
              <w:rPr>
                <w:spacing w:val="-3"/>
              </w:rPr>
              <w:t>分。</w:t>
            </w:r>
          </w:p>
        </w:tc>
      </w:tr>
      <w:tr w14:paraId="3629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1" w:type="dxa"/>
            <w:gridSpan w:val="3"/>
            <w:vAlign w:val="top"/>
          </w:tcPr>
          <w:p w14:paraId="1F859918">
            <w:pPr>
              <w:pStyle w:val="253"/>
              <w:keepNext w:val="0"/>
              <w:keepLines w:val="0"/>
              <w:pageBreakBefore w:val="0"/>
              <w:wordWrap/>
              <w:overflowPunct/>
              <w:topLinePunct w:val="0"/>
              <w:bidi w:val="0"/>
              <w:spacing w:line="240" w:lineRule="auto"/>
              <w:ind w:left="0" w:leftChars="0" w:right="0" w:firstLine="0"/>
              <w:jc w:val="center"/>
              <w:rPr>
                <w:spacing w:val="-3"/>
              </w:rPr>
            </w:pPr>
            <w:r>
              <w:rPr>
                <w:spacing w:val="-2"/>
              </w:rPr>
              <w:t>合计：</w:t>
            </w:r>
            <w:r>
              <w:rPr>
                <w:rFonts w:ascii="Times New Roman" w:hAnsi="Times New Roman" w:eastAsia="Times New Roman" w:cs="Times New Roman"/>
                <w:spacing w:val="-2"/>
              </w:rPr>
              <w:t>100</w:t>
            </w:r>
            <w:r>
              <w:rPr>
                <w:spacing w:val="-2"/>
              </w:rPr>
              <w:t>分</w:t>
            </w:r>
          </w:p>
        </w:tc>
      </w:tr>
    </w:tbl>
    <w:p w14:paraId="5A6551C8">
      <w:pPr>
        <w:rPr>
          <w:rFonts w:eastAsiaTheme="minorEastAsia"/>
          <w:b/>
          <w:spacing w:val="0"/>
          <w:sz w:val="36"/>
          <w:szCs w:val="36"/>
          <w:highlight w:val="none"/>
        </w:rPr>
      </w:pPr>
    </w:p>
    <w:p w14:paraId="5CCBE11B">
      <w:pPr>
        <w:rPr>
          <w:rFonts w:eastAsiaTheme="minorEastAsia"/>
          <w:b/>
          <w:spacing w:val="0"/>
          <w:sz w:val="36"/>
          <w:szCs w:val="36"/>
          <w:highlight w:val="none"/>
        </w:rPr>
      </w:pPr>
      <w:r>
        <w:rPr>
          <w:rFonts w:eastAsiaTheme="minorEastAsia"/>
          <w:b/>
          <w:spacing w:val="0"/>
          <w:sz w:val="36"/>
          <w:szCs w:val="36"/>
          <w:highlight w:val="none"/>
        </w:rPr>
        <w:br w:type="page"/>
      </w:r>
    </w:p>
    <w:p w14:paraId="55EB11BD">
      <w:pPr>
        <w:spacing w:line="360" w:lineRule="auto"/>
        <w:jc w:val="center"/>
        <w:outlineLvl w:val="0"/>
        <w:rPr>
          <w:rFonts w:eastAsiaTheme="minorEastAsia"/>
          <w:b/>
          <w:spacing w:val="0"/>
          <w:sz w:val="36"/>
          <w:szCs w:val="36"/>
          <w:highlight w:val="none"/>
        </w:rPr>
      </w:pPr>
      <w:bookmarkStart w:id="672" w:name="_Toc13331"/>
      <w:r>
        <w:rPr>
          <w:rFonts w:eastAsiaTheme="minorEastAsia"/>
          <w:b/>
          <w:spacing w:val="0"/>
          <w:sz w:val="36"/>
          <w:szCs w:val="36"/>
          <w:highlight w:val="none"/>
        </w:rPr>
        <w:t>第四章   采购需求</w:t>
      </w:r>
      <w:bookmarkEnd w:id="671"/>
      <w:bookmarkEnd w:id="672"/>
    </w:p>
    <w:p w14:paraId="73D3B590">
      <w:pPr>
        <w:keepNext w:val="0"/>
        <w:keepLines w:val="0"/>
        <w:pageBreakBefore w:val="0"/>
        <w:widowControl/>
        <w:kinsoku w:val="0"/>
        <w:wordWrap/>
        <w:overflowPunct/>
        <w:topLinePunct w:val="0"/>
        <w:autoSpaceDE w:val="0"/>
        <w:autoSpaceDN w:val="0"/>
        <w:bidi w:val="0"/>
        <w:adjustRightInd w:val="0"/>
        <w:snapToGrid w:val="0"/>
        <w:spacing w:before="258" w:line="360" w:lineRule="auto"/>
        <w:ind w:left="13"/>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一、项目背景或简况</w:t>
      </w:r>
    </w:p>
    <w:p w14:paraId="2001C7E9">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2" w:right="119" w:firstLine="483"/>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w:t>
      </w:r>
      <w:r>
        <w:rPr>
          <w:rFonts w:hint="eastAsia" w:ascii="宋体" w:hAnsi="宋体" w:eastAsia="宋体" w:cs="宋体"/>
          <w:b/>
          <w:bCs/>
          <w:color w:val="auto"/>
          <w:spacing w:val="-31"/>
          <w:sz w:val="24"/>
          <w:szCs w:val="24"/>
        </w:rPr>
        <w:t xml:space="preserve"> </w:t>
      </w:r>
      <w:r>
        <w:rPr>
          <w:rFonts w:hint="eastAsia" w:ascii="宋体" w:hAnsi="宋体" w:eastAsia="宋体" w:cs="宋体"/>
          <w:b/>
          <w:bCs/>
          <w:color w:val="auto"/>
          <w:spacing w:val="-5"/>
          <w:sz w:val="24"/>
          <w:szCs w:val="24"/>
        </w:rPr>
        <w:t>、北京市第二中学朝阳学校位于朝阳区姚家园西里</w:t>
      </w:r>
      <w:r>
        <w:rPr>
          <w:rFonts w:hint="eastAsia" w:ascii="宋体" w:hAnsi="宋体" w:eastAsia="宋体" w:cs="宋体"/>
          <w:color w:val="auto"/>
          <w:spacing w:val="-49"/>
          <w:sz w:val="24"/>
          <w:szCs w:val="24"/>
        </w:rPr>
        <w:t xml:space="preserve"> </w:t>
      </w:r>
      <w:r>
        <w:rPr>
          <w:rFonts w:hint="eastAsia" w:ascii="宋体" w:hAnsi="宋体" w:eastAsia="宋体" w:cs="宋体"/>
          <w:b/>
          <w:bCs/>
          <w:color w:val="auto"/>
          <w:spacing w:val="-5"/>
          <w:sz w:val="24"/>
          <w:szCs w:val="24"/>
        </w:rPr>
        <w:t>6号，</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5"/>
          <w:sz w:val="24"/>
          <w:szCs w:val="24"/>
        </w:rPr>
        <w:t>占地面积</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5"/>
          <w:sz w:val="24"/>
          <w:szCs w:val="24"/>
        </w:rPr>
        <w:t>34862.52m</w:t>
      </w:r>
      <w:r>
        <w:rPr>
          <w:rFonts w:hint="eastAsia" w:ascii="宋体" w:hAnsi="宋体" w:eastAsia="宋体" w:cs="宋体"/>
          <w:color w:val="auto"/>
          <w:spacing w:val="-5"/>
          <w:position w:val="7"/>
          <w:sz w:val="15"/>
          <w:szCs w:val="15"/>
        </w:rPr>
        <w:t>2</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建筑面积</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70494.97m</w:t>
      </w:r>
      <w:r>
        <w:rPr>
          <w:rFonts w:hint="eastAsia" w:ascii="宋体" w:hAnsi="宋体" w:eastAsia="宋体" w:cs="宋体"/>
          <w:color w:val="auto"/>
          <w:spacing w:val="-1"/>
          <w:position w:val="8"/>
          <w:sz w:val="15"/>
          <w:szCs w:val="15"/>
        </w:rPr>
        <w:t>2</w:t>
      </w:r>
      <w:r>
        <w:rPr>
          <w:rFonts w:hint="eastAsia" w:ascii="宋体" w:hAnsi="宋体" w:eastAsia="宋体" w:cs="宋体"/>
          <w:color w:val="auto"/>
          <w:spacing w:val="-20"/>
          <w:position w:val="8"/>
          <w:sz w:val="15"/>
          <w:szCs w:val="15"/>
        </w:rPr>
        <w:t xml:space="preserve"> </w:t>
      </w:r>
      <w:r>
        <w:rPr>
          <w:rFonts w:hint="eastAsia" w:ascii="宋体" w:hAnsi="宋体" w:eastAsia="宋体" w:cs="宋体"/>
          <w:color w:val="auto"/>
          <w:spacing w:val="-1"/>
          <w:position w:val="11"/>
          <w:sz w:val="12"/>
          <w:szCs w:val="12"/>
        </w:rPr>
        <w:t>。</w:t>
      </w:r>
      <w:r>
        <w:rPr>
          <w:rFonts w:hint="eastAsia" w:ascii="宋体" w:hAnsi="宋体" w:eastAsia="宋体" w:cs="宋体"/>
          <w:color w:val="auto"/>
          <w:spacing w:val="-1"/>
          <w:sz w:val="24"/>
          <w:szCs w:val="24"/>
        </w:rPr>
        <w:t>始建于</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2016 年。2018 年正式</w:t>
      </w:r>
      <w:r>
        <w:rPr>
          <w:rFonts w:hint="eastAsia" w:ascii="宋体" w:hAnsi="宋体" w:eastAsia="宋体" w:cs="宋体"/>
          <w:color w:val="auto"/>
          <w:spacing w:val="-2"/>
          <w:sz w:val="24"/>
          <w:szCs w:val="24"/>
        </w:rPr>
        <w:t>投入使用。</w:t>
      </w:r>
    </w:p>
    <w:p w14:paraId="07A644A0">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6"/>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2</w:t>
      </w:r>
      <w:r>
        <w:rPr>
          <w:rFonts w:hint="eastAsia" w:ascii="宋体" w:hAnsi="宋体" w:eastAsia="宋体" w:cs="宋体"/>
          <w:b/>
          <w:bCs/>
          <w:color w:val="auto"/>
          <w:spacing w:val="-34"/>
          <w:sz w:val="24"/>
          <w:szCs w:val="24"/>
        </w:rPr>
        <w:t xml:space="preserve"> </w:t>
      </w:r>
      <w:r>
        <w:rPr>
          <w:rFonts w:hint="eastAsia" w:ascii="宋体" w:hAnsi="宋体" w:eastAsia="宋体" w:cs="宋体"/>
          <w:b/>
          <w:bCs/>
          <w:color w:val="auto"/>
          <w:spacing w:val="-2"/>
          <w:sz w:val="24"/>
          <w:szCs w:val="24"/>
        </w:rPr>
        <w:t>、建筑设施</w:t>
      </w:r>
      <w:r>
        <w:rPr>
          <w:rFonts w:hint="eastAsia" w:ascii="宋体" w:hAnsi="宋体" w:eastAsia="宋体" w:cs="宋体"/>
          <w:color w:val="auto"/>
          <w:spacing w:val="-2"/>
          <w:sz w:val="24"/>
          <w:szCs w:val="24"/>
        </w:rPr>
        <w:t>如下：办公楼（地上最高</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5 层，</w:t>
      </w:r>
      <w:r>
        <w:rPr>
          <w:rFonts w:hint="eastAsia" w:ascii="宋体" w:hAnsi="宋体" w:eastAsia="宋体" w:cs="宋体"/>
          <w:color w:val="auto"/>
          <w:spacing w:val="-3"/>
          <w:sz w:val="24"/>
          <w:szCs w:val="24"/>
        </w:rPr>
        <w:t>地下</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 层）</w:t>
      </w:r>
    </w:p>
    <w:p w14:paraId="33DD5380">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4"/>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w:t>
      </w:r>
      <w:r>
        <w:rPr>
          <w:rFonts w:hint="eastAsia" w:ascii="宋体" w:hAnsi="宋体" w:eastAsia="宋体" w:cs="宋体"/>
          <w:b/>
          <w:bCs/>
          <w:color w:val="auto"/>
          <w:spacing w:val="-34"/>
          <w:sz w:val="24"/>
          <w:szCs w:val="24"/>
        </w:rPr>
        <w:t xml:space="preserve"> </w:t>
      </w:r>
      <w:r>
        <w:rPr>
          <w:rFonts w:hint="eastAsia" w:ascii="宋体" w:hAnsi="宋体" w:eastAsia="宋体" w:cs="宋体"/>
          <w:b/>
          <w:bCs/>
          <w:color w:val="auto"/>
          <w:spacing w:val="-2"/>
          <w:sz w:val="24"/>
          <w:szCs w:val="24"/>
        </w:rPr>
        <w:t>、配套设施</w:t>
      </w:r>
      <w:r>
        <w:rPr>
          <w:rFonts w:hint="eastAsia" w:ascii="宋体" w:hAnsi="宋体" w:eastAsia="宋体" w:cs="宋体"/>
          <w:color w:val="auto"/>
          <w:spacing w:val="-2"/>
          <w:sz w:val="24"/>
          <w:szCs w:val="24"/>
        </w:rPr>
        <w:t>如下：高压配电室</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3 处；高压分界室</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处；制冷</w:t>
      </w:r>
      <w:r>
        <w:rPr>
          <w:rFonts w:hint="eastAsia" w:ascii="宋体" w:hAnsi="宋体" w:eastAsia="宋体" w:cs="宋体"/>
          <w:color w:val="auto"/>
          <w:spacing w:val="-3"/>
          <w:sz w:val="24"/>
          <w:szCs w:val="24"/>
        </w:rPr>
        <w:t>机组</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3"/>
          <w:sz w:val="24"/>
          <w:szCs w:val="24"/>
        </w:rPr>
        <w:t>处；空调机组</w:t>
      </w:r>
    </w:p>
    <w:p w14:paraId="469B2ABA">
      <w:pPr>
        <w:keepNext w:val="0"/>
        <w:keepLines w:val="0"/>
        <w:pageBreakBefore w:val="0"/>
        <w:widowControl/>
        <w:kinsoku w:val="0"/>
        <w:wordWrap/>
        <w:overflowPunct/>
        <w:topLinePunct w:val="0"/>
        <w:autoSpaceDE w:val="0"/>
        <w:autoSpaceDN w:val="0"/>
        <w:bidi w:val="0"/>
        <w:adjustRightInd w:val="0"/>
        <w:snapToGrid w:val="0"/>
        <w:spacing w:before="183" w:line="36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30</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处；冷却系统</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5"/>
          <w:sz w:val="24"/>
          <w:szCs w:val="24"/>
        </w:rPr>
        <w:t>处；进排风系统</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5"/>
          <w:sz w:val="24"/>
          <w:szCs w:val="24"/>
        </w:rPr>
        <w:t>4</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5"/>
          <w:sz w:val="24"/>
          <w:szCs w:val="24"/>
        </w:rPr>
        <w:t>处；排烟系统</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12</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处；化粪池</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6"/>
          <w:sz w:val="24"/>
          <w:szCs w:val="24"/>
        </w:rPr>
        <w:t>处；热力站</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6"/>
          <w:sz w:val="24"/>
          <w:szCs w:val="24"/>
        </w:rPr>
        <w:t>处；</w:t>
      </w:r>
      <w:r>
        <w:rPr>
          <w:rFonts w:hint="eastAsia" w:ascii="宋体" w:hAnsi="宋体" w:eastAsia="宋体" w:cs="宋体"/>
          <w:color w:val="auto"/>
          <w:spacing w:val="-5"/>
          <w:sz w:val="24"/>
          <w:szCs w:val="24"/>
        </w:rPr>
        <w:t>消防水泵房</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处；消防稳压泵房</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处；消防(安防)中控</w:t>
      </w:r>
      <w:r>
        <w:rPr>
          <w:rFonts w:hint="eastAsia" w:ascii="宋体" w:hAnsi="宋体" w:eastAsia="宋体" w:cs="宋体"/>
          <w:color w:val="auto"/>
          <w:spacing w:val="-6"/>
          <w:sz w:val="24"/>
          <w:szCs w:val="24"/>
        </w:rPr>
        <w:t>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6"/>
          <w:sz w:val="24"/>
          <w:szCs w:val="24"/>
        </w:rPr>
        <w:t>处；</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6"/>
          <w:sz w:val="24"/>
          <w:szCs w:val="24"/>
        </w:rPr>
        <w:t>自来水泵房</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6"/>
          <w:sz w:val="24"/>
          <w:szCs w:val="24"/>
        </w:rPr>
        <w:t>处；中水</w:t>
      </w:r>
      <w:r>
        <w:rPr>
          <w:rFonts w:hint="eastAsia" w:ascii="宋体" w:hAnsi="宋体" w:eastAsia="宋体" w:cs="宋体"/>
          <w:color w:val="auto"/>
          <w:spacing w:val="-7"/>
          <w:sz w:val="24"/>
          <w:szCs w:val="24"/>
        </w:rPr>
        <w:t>泵房</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7"/>
          <w:sz w:val="24"/>
          <w:szCs w:val="24"/>
        </w:rPr>
        <w:t>处；污水泵房</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7"/>
          <w:sz w:val="24"/>
          <w:szCs w:val="24"/>
        </w:rPr>
        <w:t>50</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7"/>
          <w:sz w:val="24"/>
          <w:szCs w:val="24"/>
        </w:rPr>
        <w:t>处；电梯</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7"/>
          <w:sz w:val="24"/>
          <w:szCs w:val="24"/>
        </w:rPr>
        <w:t>6 部；强电竖井</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7"/>
          <w:sz w:val="24"/>
          <w:szCs w:val="24"/>
        </w:rPr>
        <w:t>30</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7"/>
          <w:sz w:val="24"/>
          <w:szCs w:val="24"/>
        </w:rPr>
        <w:t>处、弱电竖井</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7"/>
          <w:sz w:val="24"/>
          <w:szCs w:val="24"/>
        </w:rPr>
        <w:t>30</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7"/>
          <w:sz w:val="24"/>
          <w:szCs w:val="24"/>
        </w:rPr>
        <w:t>处、茶歇室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处；</w:t>
      </w:r>
      <w:r>
        <w:rPr>
          <w:rFonts w:hint="eastAsia" w:ascii="宋体" w:hAnsi="宋体" w:eastAsia="宋体" w:cs="宋体"/>
          <w:color w:val="auto"/>
          <w:spacing w:val="-6"/>
          <w:sz w:val="24"/>
          <w:szCs w:val="24"/>
        </w:rPr>
        <w:t>贵宾室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6"/>
          <w:sz w:val="24"/>
          <w:szCs w:val="24"/>
        </w:rPr>
        <w:t>处；会议室</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6"/>
          <w:sz w:val="24"/>
          <w:szCs w:val="24"/>
        </w:rPr>
        <w:t>4</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6"/>
          <w:sz w:val="24"/>
          <w:szCs w:val="24"/>
        </w:rPr>
        <w:t>处。</w:t>
      </w:r>
    </w:p>
    <w:p w14:paraId="263E629D">
      <w:pPr>
        <w:keepNext w:val="0"/>
        <w:keepLines w:val="0"/>
        <w:pageBreakBefore w:val="0"/>
        <w:widowControl/>
        <w:kinsoku w:val="0"/>
        <w:wordWrap/>
        <w:overflowPunct/>
        <w:topLinePunct w:val="0"/>
        <w:autoSpaceDE w:val="0"/>
        <w:autoSpaceDN w:val="0"/>
        <w:bidi w:val="0"/>
        <w:adjustRightInd w:val="0"/>
        <w:snapToGrid w:val="0"/>
        <w:spacing w:before="7" w:line="360" w:lineRule="auto"/>
        <w:ind w:left="13"/>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二、物业服务内容及人员</w:t>
      </w:r>
    </w:p>
    <w:p w14:paraId="3FAC5B27">
      <w:pPr>
        <w:keepNext w:val="0"/>
        <w:keepLines w:val="0"/>
        <w:pageBreakBefore w:val="0"/>
        <w:widowControl/>
        <w:kinsoku w:val="0"/>
        <w:wordWrap/>
        <w:overflowPunct/>
        <w:topLinePunct w:val="0"/>
        <w:autoSpaceDE w:val="0"/>
        <w:autoSpaceDN w:val="0"/>
        <w:bidi w:val="0"/>
        <w:adjustRightInd w:val="0"/>
        <w:snapToGrid w:val="0"/>
        <w:spacing w:before="182" w:line="360" w:lineRule="auto"/>
        <w:ind w:left="9" w:right="58" w:firstLine="48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物业服务机构负责从物业项目管理、公用设备运管</w:t>
      </w:r>
      <w:r>
        <w:rPr>
          <w:rFonts w:hint="eastAsia" w:ascii="宋体" w:hAnsi="宋体" w:eastAsia="宋体" w:cs="宋体"/>
          <w:b/>
          <w:bCs/>
          <w:color w:val="auto"/>
          <w:spacing w:val="-3"/>
          <w:sz w:val="24"/>
          <w:szCs w:val="24"/>
        </w:rPr>
        <w:t>（详见附件：设施设备清单）</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环境维护养护、会议接待服务及维修保障管理等方面提供物业优质服务。保证物业全天</w:t>
      </w:r>
      <w:r>
        <w:rPr>
          <w:rFonts w:hint="eastAsia" w:ascii="宋体" w:hAnsi="宋体" w:eastAsia="宋体" w:cs="宋体"/>
          <w:color w:val="auto"/>
          <w:spacing w:val="-1"/>
          <w:sz w:val="24"/>
          <w:szCs w:val="24"/>
        </w:rPr>
        <w:t>候服务的同时，要确保临时性及紧急任务的随时保障。</w:t>
      </w:r>
    </w:p>
    <w:p w14:paraId="0C7CFDE5">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在岗服务人员年龄不得大于</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3"/>
          <w:sz w:val="24"/>
          <w:szCs w:val="24"/>
        </w:rPr>
        <w:t>60</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3"/>
          <w:sz w:val="24"/>
          <w:szCs w:val="24"/>
        </w:rPr>
        <w:t>岁。</w:t>
      </w:r>
    </w:p>
    <w:p w14:paraId="3D1A09F3">
      <w:pPr>
        <w:keepNext w:val="0"/>
        <w:keepLines w:val="0"/>
        <w:pageBreakBefore w:val="0"/>
        <w:widowControl/>
        <w:kinsoku w:val="0"/>
        <w:wordWrap/>
        <w:overflowPunct/>
        <w:topLinePunct w:val="0"/>
        <w:autoSpaceDE w:val="0"/>
        <w:autoSpaceDN w:val="0"/>
        <w:bidi w:val="0"/>
        <w:adjustRightInd w:val="0"/>
        <w:snapToGrid w:val="0"/>
        <w:spacing w:before="181" w:line="360" w:lineRule="auto"/>
        <w:ind w:left="9"/>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三、服务内容及服务标准要求</w:t>
      </w:r>
    </w:p>
    <w:p w14:paraId="520BB1BA">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4"/>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具体内容和要求包括但不限于如下：</w:t>
      </w:r>
    </w:p>
    <w:p w14:paraId="3C0828E7">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96"/>
        <w:textAlignment w:val="baseline"/>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34"/>
          <w:sz w:val="24"/>
          <w:szCs w:val="24"/>
        </w:rPr>
        <w:t xml:space="preserve"> </w:t>
      </w:r>
      <w:r>
        <w:rPr>
          <w:rFonts w:hint="eastAsia" w:ascii="宋体" w:hAnsi="宋体" w:eastAsia="宋体" w:cs="宋体"/>
          <w:b/>
          <w:bCs/>
          <w:color w:val="auto"/>
          <w:spacing w:val="-7"/>
          <w:sz w:val="24"/>
          <w:szCs w:val="24"/>
        </w:rPr>
        <w:t>、物业项目管理</w:t>
      </w:r>
    </w:p>
    <w:p w14:paraId="155D022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（1）</w:t>
      </w:r>
      <w:r>
        <w:rPr>
          <w:rFonts w:hint="eastAsia" w:ascii="宋体" w:hAnsi="宋体" w:eastAsia="宋体" w:cs="宋体"/>
          <w:color w:val="auto"/>
          <w:spacing w:val="-1"/>
          <w:sz w:val="24"/>
          <w:szCs w:val="24"/>
        </w:rPr>
        <w:t>制订物业管理服务工作计划，并组织实施，定期进行采购人满意度调查。</w:t>
      </w:r>
    </w:p>
    <w:p w14:paraId="692D5D68">
      <w:pPr>
        <w:keepNext w:val="0"/>
        <w:keepLines w:val="0"/>
        <w:pageBreakBefore w:val="0"/>
        <w:widowControl/>
        <w:kinsoku w:val="0"/>
        <w:wordWrap/>
        <w:overflowPunct/>
        <w:topLinePunct w:val="0"/>
        <w:autoSpaceDE w:val="0"/>
        <w:autoSpaceDN w:val="0"/>
        <w:bidi w:val="0"/>
        <w:adjustRightInd w:val="0"/>
        <w:snapToGrid w:val="0"/>
        <w:spacing w:before="184"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（2）</w:t>
      </w:r>
      <w:r>
        <w:rPr>
          <w:rFonts w:hint="eastAsia" w:ascii="宋体" w:hAnsi="宋体" w:eastAsia="宋体" w:cs="宋体"/>
          <w:color w:val="auto"/>
          <w:spacing w:val="-1"/>
          <w:sz w:val="24"/>
          <w:szCs w:val="24"/>
        </w:rPr>
        <w:t>项目日常工作安排、管理，人员管理与岗位培</w:t>
      </w:r>
      <w:r>
        <w:rPr>
          <w:rFonts w:hint="eastAsia" w:ascii="宋体" w:hAnsi="宋体" w:eastAsia="宋体" w:cs="宋体"/>
          <w:color w:val="auto"/>
          <w:spacing w:val="-2"/>
          <w:sz w:val="24"/>
          <w:szCs w:val="24"/>
        </w:rPr>
        <w:t>训。</w:t>
      </w:r>
    </w:p>
    <w:p w14:paraId="27A28661">
      <w:pPr>
        <w:keepNext w:val="0"/>
        <w:keepLines w:val="0"/>
        <w:pageBreakBefore w:val="0"/>
        <w:widowControl/>
        <w:kinsoku w:val="0"/>
        <w:wordWrap/>
        <w:overflowPunct/>
        <w:topLinePunct w:val="0"/>
        <w:autoSpaceDE w:val="0"/>
        <w:autoSpaceDN w:val="0"/>
        <w:bidi w:val="0"/>
        <w:adjustRightInd w:val="0"/>
        <w:snapToGrid w:val="0"/>
        <w:spacing w:before="180"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（3）</w:t>
      </w:r>
      <w:r>
        <w:rPr>
          <w:rFonts w:hint="eastAsia" w:ascii="宋体" w:hAnsi="宋体" w:eastAsia="宋体" w:cs="宋体"/>
          <w:color w:val="auto"/>
          <w:spacing w:val="-1"/>
          <w:sz w:val="24"/>
          <w:szCs w:val="24"/>
        </w:rPr>
        <w:t>与采购人日常工作沟通，协助采购人后勤工作，配合采购人重大活动服务。</w:t>
      </w:r>
    </w:p>
    <w:p w14:paraId="473EF09E">
      <w:pPr>
        <w:keepNext w:val="0"/>
        <w:keepLines w:val="0"/>
        <w:pageBreakBefore w:val="0"/>
        <w:widowControl/>
        <w:kinsoku w:val="0"/>
        <w:wordWrap/>
        <w:overflowPunct/>
        <w:topLinePunct w:val="0"/>
        <w:autoSpaceDE w:val="0"/>
        <w:autoSpaceDN w:val="0"/>
        <w:bidi w:val="0"/>
        <w:adjustRightInd w:val="0"/>
        <w:snapToGrid w:val="0"/>
        <w:spacing w:before="182" w:line="360" w:lineRule="auto"/>
        <w:ind w:left="8" w:right="61" w:firstLine="493"/>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（4）</w:t>
      </w:r>
      <w:r>
        <w:rPr>
          <w:rFonts w:hint="eastAsia" w:ascii="宋体" w:hAnsi="宋体" w:eastAsia="宋体" w:cs="宋体"/>
          <w:color w:val="auto"/>
          <w:spacing w:val="1"/>
          <w:sz w:val="24"/>
          <w:szCs w:val="24"/>
        </w:rPr>
        <w:t>安排专人接听报修电话、下发派工单，接待采购人老师投诉；维修工作的回</w:t>
      </w:r>
      <w:r>
        <w:rPr>
          <w:rFonts w:hint="eastAsia" w:ascii="宋体" w:hAnsi="宋体" w:eastAsia="宋体" w:cs="宋体"/>
          <w:color w:val="auto"/>
          <w:spacing w:val="-4"/>
          <w:sz w:val="24"/>
          <w:szCs w:val="24"/>
        </w:rPr>
        <w:t>访。</w:t>
      </w:r>
    </w:p>
    <w:p w14:paraId="1F7486AC">
      <w:pPr>
        <w:keepNext w:val="0"/>
        <w:keepLines w:val="0"/>
        <w:pageBreakBefore w:val="0"/>
        <w:widowControl/>
        <w:kinsoku w:val="0"/>
        <w:wordWrap/>
        <w:overflowPunct/>
        <w:topLinePunct w:val="0"/>
        <w:autoSpaceDE w:val="0"/>
        <w:autoSpaceDN w:val="0"/>
        <w:bidi w:val="0"/>
        <w:adjustRightInd w:val="0"/>
        <w:snapToGrid w:val="0"/>
        <w:spacing w:before="178" w:line="360" w:lineRule="auto"/>
        <w:ind w:left="9" w:right="59" w:firstLine="491"/>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（5）</w:t>
      </w:r>
      <w:r>
        <w:rPr>
          <w:rFonts w:hint="eastAsia" w:ascii="宋体" w:hAnsi="宋体" w:eastAsia="宋体" w:cs="宋体"/>
          <w:color w:val="auto"/>
          <w:spacing w:val="1"/>
          <w:sz w:val="24"/>
          <w:szCs w:val="24"/>
        </w:rPr>
        <w:t>档案管理工作按标准分类成册，资料齐全完整、记录更新及时，物业服务资</w:t>
      </w:r>
      <w:r>
        <w:rPr>
          <w:rFonts w:hint="eastAsia" w:ascii="宋体" w:hAnsi="宋体" w:eastAsia="宋体" w:cs="宋体"/>
          <w:color w:val="auto"/>
          <w:spacing w:val="-1"/>
          <w:sz w:val="24"/>
          <w:szCs w:val="24"/>
        </w:rPr>
        <w:t>料的存档与管理专人负责。</w:t>
      </w:r>
    </w:p>
    <w:p w14:paraId="0DD9CFBA">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4" w:right="58" w:firstLine="486"/>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（6）</w:t>
      </w:r>
      <w:r>
        <w:rPr>
          <w:rFonts w:hint="eastAsia" w:ascii="宋体" w:hAnsi="宋体" w:eastAsia="宋体" w:cs="宋体"/>
          <w:color w:val="auto"/>
          <w:spacing w:val="1"/>
          <w:sz w:val="24"/>
          <w:szCs w:val="24"/>
        </w:rPr>
        <w:t>配合采购人联络当地物业服务范围内各职能部门相关工作沟通，协助采购人</w:t>
      </w:r>
      <w:r>
        <w:rPr>
          <w:rFonts w:hint="eastAsia" w:ascii="宋体" w:hAnsi="宋体" w:eastAsia="宋体" w:cs="宋体"/>
          <w:color w:val="auto"/>
          <w:spacing w:val="-1"/>
          <w:sz w:val="24"/>
          <w:szCs w:val="24"/>
        </w:rPr>
        <w:t>办理物业服务范围内职能部门的材料递交、汇报、处理工作。</w:t>
      </w:r>
    </w:p>
    <w:p w14:paraId="616A01E6">
      <w:pPr>
        <w:keepNext w:val="0"/>
        <w:keepLines w:val="0"/>
        <w:pageBreakBefore w:val="0"/>
        <w:widowControl/>
        <w:kinsoku w:val="0"/>
        <w:wordWrap/>
        <w:overflowPunct/>
        <w:topLinePunct w:val="0"/>
        <w:autoSpaceDE w:val="0"/>
        <w:autoSpaceDN w:val="0"/>
        <w:bidi w:val="0"/>
        <w:adjustRightInd w:val="0"/>
        <w:snapToGrid w:val="0"/>
        <w:spacing w:before="183"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（7）</w:t>
      </w:r>
      <w:r>
        <w:rPr>
          <w:rFonts w:hint="eastAsia" w:ascii="宋体" w:hAnsi="宋体" w:eastAsia="宋体" w:cs="宋体"/>
          <w:color w:val="auto"/>
          <w:spacing w:val="-1"/>
          <w:sz w:val="24"/>
          <w:szCs w:val="24"/>
        </w:rPr>
        <w:t>配合采购人联络和监督各专业单位维保工作及安全隐患排除与整改工作。</w:t>
      </w:r>
    </w:p>
    <w:p w14:paraId="01C582E3">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（8）</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日常维修服务，提供</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24</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小时报修，15</w:t>
      </w:r>
      <w:r>
        <w:rPr>
          <w:rFonts w:hint="eastAsia" w:ascii="宋体" w:hAnsi="宋体" w:eastAsia="宋体" w:cs="宋体"/>
          <w:color w:val="auto"/>
          <w:spacing w:val="-4"/>
          <w:sz w:val="24"/>
          <w:szCs w:val="24"/>
        </w:rPr>
        <w:t xml:space="preserve"> 分钟内予以响应。</w:t>
      </w:r>
    </w:p>
    <w:p w14:paraId="3B875A6A">
      <w:pPr>
        <w:keepNext w:val="0"/>
        <w:keepLines w:val="0"/>
        <w:pageBreakBefore w:val="0"/>
        <w:widowControl/>
        <w:kinsoku w:val="0"/>
        <w:wordWrap/>
        <w:overflowPunct/>
        <w:topLinePunct w:val="0"/>
        <w:autoSpaceDE w:val="0"/>
        <w:autoSpaceDN w:val="0"/>
        <w:bidi w:val="0"/>
        <w:adjustRightInd w:val="0"/>
        <w:snapToGrid w:val="0"/>
        <w:spacing w:before="285"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（9）设备设施：物业项目管理所需的办公</w:t>
      </w:r>
      <w:r>
        <w:rPr>
          <w:rFonts w:hint="eastAsia" w:ascii="宋体" w:hAnsi="宋体" w:eastAsia="宋体" w:cs="宋体"/>
          <w:b/>
          <w:bCs/>
          <w:color w:val="auto"/>
          <w:spacing w:val="-3"/>
          <w:sz w:val="24"/>
          <w:szCs w:val="24"/>
        </w:rPr>
        <w:t>设备由供应商自行准备。</w:t>
      </w:r>
    </w:p>
    <w:p w14:paraId="65144536">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6"/>
        <w:textAlignment w:val="baseline"/>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2</w:t>
      </w:r>
      <w:r>
        <w:rPr>
          <w:rFonts w:hint="eastAsia" w:ascii="宋体" w:hAnsi="宋体" w:eastAsia="宋体" w:cs="宋体"/>
          <w:b/>
          <w:bCs/>
          <w:color w:val="auto"/>
          <w:spacing w:val="-29"/>
          <w:sz w:val="24"/>
          <w:szCs w:val="24"/>
        </w:rPr>
        <w:t xml:space="preserve"> </w:t>
      </w:r>
      <w:r>
        <w:rPr>
          <w:rFonts w:hint="eastAsia" w:ascii="宋体" w:hAnsi="宋体" w:eastAsia="宋体" w:cs="宋体"/>
          <w:b/>
          <w:bCs/>
          <w:color w:val="auto"/>
          <w:spacing w:val="-8"/>
          <w:sz w:val="24"/>
          <w:szCs w:val="24"/>
        </w:rPr>
        <w:t>、设备运管</w:t>
      </w:r>
    </w:p>
    <w:p w14:paraId="0AAE016B">
      <w:pPr>
        <w:keepNext w:val="0"/>
        <w:keepLines w:val="0"/>
        <w:pageBreakBefore w:val="0"/>
        <w:widowControl/>
        <w:kinsoku w:val="0"/>
        <w:wordWrap/>
        <w:overflowPunct/>
        <w:topLinePunct w:val="0"/>
        <w:autoSpaceDE w:val="0"/>
        <w:autoSpaceDN w:val="0"/>
        <w:bidi w:val="0"/>
        <w:adjustRightInd w:val="0"/>
        <w:snapToGrid w:val="0"/>
        <w:spacing w:before="183"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（一）房屋日常检查与维护</w:t>
      </w:r>
    </w:p>
    <w:p w14:paraId="4AA3C38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范围：所有建筑物和构筑物</w:t>
      </w:r>
    </w:p>
    <w:p w14:paraId="5EB2ABBD">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内容和标准：</w:t>
      </w:r>
    </w:p>
    <w:p w14:paraId="2F7CC0AC">
      <w:pPr>
        <w:keepNext w:val="0"/>
        <w:keepLines w:val="0"/>
        <w:pageBreakBefore w:val="0"/>
        <w:widowControl/>
        <w:kinsoku w:val="0"/>
        <w:wordWrap/>
        <w:overflowPunct/>
        <w:topLinePunct w:val="0"/>
        <w:autoSpaceDE w:val="0"/>
        <w:autoSpaceDN w:val="0"/>
        <w:bidi w:val="0"/>
        <w:adjustRightInd w:val="0"/>
        <w:snapToGrid w:val="0"/>
        <w:spacing w:before="184" w:line="360" w:lineRule="auto"/>
        <w:jc w:val="right"/>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2.1  建立房屋及共用设施设备的基础档案。运行、检查、维修养护记录应每月归档。</w:t>
      </w:r>
    </w:p>
    <w:p w14:paraId="00B79902">
      <w:pPr>
        <w:keepNext w:val="0"/>
        <w:keepLines w:val="0"/>
        <w:pageBreakBefore w:val="0"/>
        <w:widowControl/>
        <w:kinsoku w:val="0"/>
        <w:wordWrap/>
        <w:overflowPunct/>
        <w:topLinePunct w:val="0"/>
        <w:autoSpaceDE w:val="0"/>
        <w:autoSpaceDN w:val="0"/>
        <w:bidi w:val="0"/>
        <w:adjustRightInd w:val="0"/>
        <w:snapToGrid w:val="0"/>
        <w:spacing w:before="179" w:line="360" w:lineRule="auto"/>
        <w:ind w:left="9" w:right="82" w:firstLine="4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  确保园区内建筑物和构筑物的正常使用与完好。未经采购人批准，不得对建筑</w:t>
      </w:r>
      <w:r>
        <w:rPr>
          <w:rFonts w:hint="eastAsia" w:ascii="宋体" w:hAnsi="宋体" w:eastAsia="宋体" w:cs="宋体"/>
          <w:color w:val="auto"/>
          <w:spacing w:val="-1"/>
          <w:sz w:val="24"/>
          <w:szCs w:val="24"/>
        </w:rPr>
        <w:t>物和构筑物的结构、设施等进行改动。</w:t>
      </w:r>
    </w:p>
    <w:p w14:paraId="03D2B91E">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8" w:right="82" w:firstLine="467"/>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2.3  房屋结构：每季度检查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次梁、板、柱等结构构件，外观出现变形、开裂</w:t>
      </w:r>
      <w:r>
        <w:rPr>
          <w:rFonts w:hint="eastAsia" w:ascii="宋体" w:hAnsi="宋体" w:eastAsia="宋体" w:cs="宋体"/>
          <w:color w:val="auto"/>
          <w:spacing w:val="-2"/>
          <w:sz w:val="24"/>
          <w:szCs w:val="24"/>
        </w:rPr>
        <w:t>等现</w:t>
      </w:r>
      <w:r>
        <w:rPr>
          <w:rFonts w:hint="eastAsia" w:ascii="宋体" w:hAnsi="宋体" w:eastAsia="宋体" w:cs="宋体"/>
          <w:color w:val="auto"/>
          <w:spacing w:val="-1"/>
          <w:sz w:val="24"/>
          <w:szCs w:val="24"/>
        </w:rPr>
        <w:t>象时，及时书面上报采购人并采取安全措施。组织实施房屋使用安全情况评估检查。</w:t>
      </w:r>
    </w:p>
    <w:p w14:paraId="6814990D">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2.4  建筑部件：发现问题及时通知质保</w:t>
      </w:r>
      <w:r>
        <w:rPr>
          <w:rFonts w:hint="eastAsia" w:ascii="宋体" w:hAnsi="宋体" w:eastAsia="宋体" w:cs="宋体"/>
          <w:color w:val="auto"/>
          <w:spacing w:val="-1"/>
          <w:sz w:val="24"/>
          <w:szCs w:val="24"/>
        </w:rPr>
        <w:t>单位进行维修。</w:t>
      </w:r>
    </w:p>
    <w:p w14:paraId="1C214D3E">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right="272"/>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每季度检查</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次外墙贴饰面或抹灰、屋檐、阳台、雨罩、空调室外机支撑构件等每月巡查</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次共用部位的门、窗、玻璃、天花板、闭门器、门锁、把手等。</w:t>
      </w:r>
    </w:p>
    <w:p w14:paraId="7067C6CF">
      <w:pPr>
        <w:keepNext w:val="0"/>
        <w:keepLines w:val="0"/>
        <w:pageBreakBefore w:val="0"/>
        <w:widowControl/>
        <w:kinsoku w:val="0"/>
        <w:wordWrap/>
        <w:overflowPunct/>
        <w:topLinePunct w:val="0"/>
        <w:autoSpaceDE w:val="0"/>
        <w:autoSpaceDN w:val="0"/>
        <w:bidi w:val="0"/>
        <w:adjustRightInd w:val="0"/>
        <w:snapToGrid w:val="0"/>
        <w:spacing w:before="1"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每季度检查</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次共用部位的室内地面、墙面、天棚；室外屋面、散水等。</w:t>
      </w:r>
    </w:p>
    <w:p w14:paraId="2B9C37E6">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每年防汛前和强降雨后检查屋面防水和雨落管等。</w:t>
      </w:r>
    </w:p>
    <w:p w14:paraId="7A9882D0">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pacing w:val="-5"/>
          <w:sz w:val="24"/>
          <w:szCs w:val="24"/>
        </w:rPr>
        <w:t>2.5</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附属构筑物</w:t>
      </w:r>
    </w:p>
    <w:p w14:paraId="0C1A4F81">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每月巡查</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次道路、场地、阶梯及扶手、侧石、管井、沟渠等。</w:t>
      </w:r>
    </w:p>
    <w:p w14:paraId="0C541643">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每季度检查</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次雨、污水管井等。</w:t>
      </w:r>
    </w:p>
    <w:p w14:paraId="7797D0E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每月巡查</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次大门、围墙、围栏等。</w:t>
      </w:r>
    </w:p>
    <w:p w14:paraId="525A6044">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每月巡查</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次休闲椅、凉亭、景观小品等。</w:t>
      </w:r>
    </w:p>
    <w:p w14:paraId="3B45A92C">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每年检测</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次防雷装置。</w:t>
      </w:r>
    </w:p>
    <w:p w14:paraId="48C7D624">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0" w:right="80" w:firstLine="4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每月</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次、汛期</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次清理下沉庭院、露天平台</w:t>
      </w:r>
      <w:r>
        <w:rPr>
          <w:rFonts w:hint="eastAsia" w:ascii="宋体" w:hAnsi="宋体" w:eastAsia="宋体" w:cs="宋体"/>
          <w:color w:val="auto"/>
          <w:spacing w:val="-4"/>
          <w:sz w:val="24"/>
          <w:szCs w:val="24"/>
        </w:rPr>
        <w:t>和园区内管井杂物，疏通屋面雨水口</w:t>
      </w:r>
      <w:r>
        <w:rPr>
          <w:rFonts w:hint="eastAsia" w:ascii="宋体" w:hAnsi="宋体" w:eastAsia="宋体" w:cs="宋体"/>
          <w:color w:val="auto"/>
          <w:spacing w:val="-1"/>
          <w:sz w:val="24"/>
          <w:szCs w:val="24"/>
        </w:rPr>
        <w:t>和雨落，清扫屋面和雨棚。</w:t>
      </w:r>
    </w:p>
    <w:p w14:paraId="5C53C3ED">
      <w:pPr>
        <w:keepNext w:val="0"/>
        <w:keepLines w:val="0"/>
        <w:pageBreakBefore w:val="0"/>
        <w:widowControl/>
        <w:kinsoku w:val="0"/>
        <w:wordWrap/>
        <w:overflowPunct/>
        <w:topLinePunct w:val="0"/>
        <w:autoSpaceDE w:val="0"/>
        <w:autoSpaceDN w:val="0"/>
        <w:bidi w:val="0"/>
        <w:adjustRightInd w:val="0"/>
        <w:snapToGrid w:val="0"/>
        <w:spacing w:before="1" w:line="360" w:lineRule="auto"/>
        <w:ind w:left="49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雷电、强降水、大风、沙尘暴等极端天气前后进行检查并落实防范措施。</w:t>
      </w:r>
    </w:p>
    <w:p w14:paraId="522F7466">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2.6</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3"/>
          <w:sz w:val="24"/>
          <w:szCs w:val="24"/>
        </w:rPr>
        <w:t>公用设备机房</w:t>
      </w:r>
    </w:p>
    <w:p w14:paraId="19B8BD7E">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每月清洁</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次，室内无杂物。</w:t>
      </w:r>
    </w:p>
    <w:p w14:paraId="0642C96E">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3"/>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设置挡鼠板、鼠药盒或粘鼠板。</w:t>
      </w:r>
    </w:p>
    <w:p w14:paraId="36292314">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在明显易取位置配备消防器材，每月检查</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次消防器材，确保完好有效。</w:t>
      </w:r>
    </w:p>
    <w:p w14:paraId="43052026">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3"/>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设施设备标志、标牌齐全。</w:t>
      </w:r>
    </w:p>
    <w:p w14:paraId="23B8FEF4">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8"/>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在显著位置张贴或悬挂相关制度、证书。</w:t>
      </w:r>
    </w:p>
    <w:p w14:paraId="31240E4F">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交接班记录、工作日志、设备运行情况、设备台账等齐全、完整。</w:t>
      </w:r>
    </w:p>
    <w:p w14:paraId="6B9E3CD0">
      <w:pPr>
        <w:keepNext w:val="0"/>
        <w:keepLines w:val="0"/>
        <w:pageBreakBefore w:val="0"/>
        <w:widowControl/>
        <w:kinsoku w:val="0"/>
        <w:wordWrap/>
        <w:overflowPunct/>
        <w:topLinePunct w:val="0"/>
        <w:autoSpaceDE w:val="0"/>
        <w:autoSpaceDN w:val="0"/>
        <w:bidi w:val="0"/>
        <w:adjustRightInd w:val="0"/>
        <w:snapToGrid w:val="0"/>
        <w:spacing w:before="180" w:line="360" w:lineRule="auto"/>
        <w:ind w:left="9" w:right="80" w:firstLine="487"/>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公用设施设备运行中发现的故障及检查中发现的问题，以书面形式报告采购人。特</w:t>
      </w:r>
      <w:r>
        <w:rPr>
          <w:rFonts w:hint="eastAsia" w:ascii="宋体" w:hAnsi="宋体" w:eastAsia="宋体" w:cs="宋体"/>
          <w:color w:val="auto"/>
          <w:spacing w:val="-1"/>
          <w:sz w:val="24"/>
          <w:szCs w:val="24"/>
        </w:rPr>
        <w:t>种设备按照有关规定运行、维修养护和定期检测。</w:t>
      </w:r>
    </w:p>
    <w:p w14:paraId="44D96EED">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2.7  负责楼宇的入室水电暖维修。</w:t>
      </w:r>
    </w:p>
    <w:p w14:paraId="3A1AA7EE">
      <w:pPr>
        <w:keepNext w:val="0"/>
        <w:keepLines w:val="0"/>
        <w:pageBreakBefore w:val="0"/>
        <w:widowControl/>
        <w:kinsoku w:val="0"/>
        <w:wordWrap/>
        <w:overflowPunct/>
        <w:topLinePunct w:val="0"/>
        <w:autoSpaceDE w:val="0"/>
        <w:autoSpaceDN w:val="0"/>
        <w:bidi w:val="0"/>
        <w:adjustRightInd w:val="0"/>
        <w:snapToGrid w:val="0"/>
        <w:spacing w:before="179"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2.8  负责园区内临时搬运、布置及其他采购人安</w:t>
      </w:r>
      <w:r>
        <w:rPr>
          <w:rFonts w:hint="eastAsia" w:ascii="宋体" w:hAnsi="宋体" w:eastAsia="宋体" w:cs="宋体"/>
          <w:color w:val="auto"/>
          <w:spacing w:val="-1"/>
          <w:sz w:val="24"/>
          <w:szCs w:val="24"/>
        </w:rPr>
        <w:t>排的应急服务。</w:t>
      </w:r>
    </w:p>
    <w:p w14:paraId="67EFCE48">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4"/>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  设备设施：房屋日常检查与维护所需设备设施由</w:t>
      </w:r>
      <w:r>
        <w:rPr>
          <w:rFonts w:hint="eastAsia" w:ascii="宋体" w:hAnsi="宋体" w:eastAsia="宋体" w:cs="宋体"/>
          <w:b/>
          <w:bCs/>
          <w:color w:val="auto"/>
          <w:spacing w:val="-2"/>
          <w:sz w:val="24"/>
          <w:szCs w:val="24"/>
          <w:lang w:val="en-US" w:eastAsia="zh-CN"/>
        </w:rPr>
        <w:t>采购人</w:t>
      </w:r>
      <w:r>
        <w:rPr>
          <w:rFonts w:hint="eastAsia" w:ascii="宋体" w:hAnsi="宋体" w:eastAsia="宋体" w:cs="宋体"/>
          <w:b/>
          <w:bCs/>
          <w:color w:val="auto"/>
          <w:spacing w:val="-2"/>
          <w:sz w:val="24"/>
          <w:szCs w:val="24"/>
        </w:rPr>
        <w:t>自行准备。</w:t>
      </w:r>
    </w:p>
    <w:p w14:paraId="7DD8D5CD">
      <w:pPr>
        <w:keepNext w:val="0"/>
        <w:keepLines w:val="0"/>
        <w:pageBreakBefore w:val="0"/>
        <w:widowControl/>
        <w:kinsoku w:val="0"/>
        <w:wordWrap/>
        <w:overflowPunct/>
        <w:topLinePunct w:val="0"/>
        <w:autoSpaceDE w:val="0"/>
        <w:autoSpaceDN w:val="0"/>
        <w:bidi w:val="0"/>
        <w:adjustRightInd w:val="0"/>
        <w:snapToGrid w:val="0"/>
        <w:spacing w:before="182"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（二）电力系统(高低压)日常运行维护及管理</w:t>
      </w:r>
    </w:p>
    <w:p w14:paraId="0285626F">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范围：高压配电室</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3 个，每层楼均有低压配电箱，详见设备设</w:t>
      </w:r>
      <w:r>
        <w:rPr>
          <w:rFonts w:hint="eastAsia" w:ascii="宋体" w:hAnsi="宋体" w:eastAsia="宋体" w:cs="宋体"/>
          <w:color w:val="auto"/>
          <w:spacing w:val="-2"/>
          <w:sz w:val="24"/>
          <w:szCs w:val="24"/>
        </w:rPr>
        <w:t>施清单。</w:t>
      </w:r>
    </w:p>
    <w:p w14:paraId="046DCF4A">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内容和标准：</w:t>
      </w:r>
    </w:p>
    <w:p w14:paraId="3A5F7271">
      <w:pPr>
        <w:keepNext w:val="0"/>
        <w:keepLines w:val="0"/>
        <w:pageBreakBefore w:val="0"/>
        <w:widowControl/>
        <w:kinsoku w:val="0"/>
        <w:wordWrap/>
        <w:overflowPunct/>
        <w:topLinePunct w:val="0"/>
        <w:autoSpaceDE w:val="0"/>
        <w:autoSpaceDN w:val="0"/>
        <w:bidi w:val="0"/>
        <w:adjustRightInd w:val="0"/>
        <w:snapToGrid w:val="0"/>
        <w:spacing w:before="183" w:line="360" w:lineRule="auto"/>
        <w:ind w:left="13" w:right="82" w:firstLine="47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  负责园区内高压配电室配电设备设施监视、维护，保证配电变电输电的正常运</w:t>
      </w:r>
      <w:r>
        <w:rPr>
          <w:rFonts w:hint="eastAsia" w:ascii="宋体" w:hAnsi="宋体" w:eastAsia="宋体" w:cs="宋体"/>
          <w:color w:val="auto"/>
          <w:spacing w:val="-7"/>
          <w:sz w:val="24"/>
          <w:szCs w:val="24"/>
        </w:rPr>
        <w:t>行。</w:t>
      </w:r>
    </w:p>
    <w:p w14:paraId="7875B3CA">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3" w:right="80" w:firstLine="47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  严格执行行业操作规程及各种规章制度，加强日常管理，确保安全生产。做好</w:t>
      </w:r>
      <w:r>
        <w:rPr>
          <w:rFonts w:hint="eastAsia" w:ascii="宋体" w:hAnsi="宋体" w:eastAsia="宋体" w:cs="宋体"/>
          <w:color w:val="auto"/>
          <w:spacing w:val="-1"/>
          <w:sz w:val="24"/>
          <w:szCs w:val="24"/>
        </w:rPr>
        <w:t>设备设施巡视、检查、清扫、安全用电及环境卫生工作。</w:t>
      </w:r>
    </w:p>
    <w:p w14:paraId="7155A299">
      <w:pPr>
        <w:keepNext w:val="0"/>
        <w:keepLines w:val="0"/>
        <w:pageBreakBefore w:val="0"/>
        <w:widowControl/>
        <w:kinsoku w:val="0"/>
        <w:wordWrap/>
        <w:overflowPunct/>
        <w:topLinePunct w:val="0"/>
        <w:autoSpaceDE w:val="0"/>
        <w:autoSpaceDN w:val="0"/>
        <w:bidi w:val="0"/>
        <w:adjustRightInd w:val="0"/>
        <w:snapToGrid w:val="0"/>
        <w:spacing w:before="184" w:line="360" w:lineRule="auto"/>
        <w:ind w:left="9" w:right="80" w:firstLine="4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2.3  按交接班要求检查变配电设备，认真填写交接记录；巡视检查变配电设备，保</w:t>
      </w:r>
      <w:r>
        <w:rPr>
          <w:rFonts w:hint="eastAsia" w:ascii="宋体" w:hAnsi="宋体" w:eastAsia="宋体" w:cs="宋体"/>
          <w:color w:val="auto"/>
          <w:spacing w:val="-2"/>
          <w:sz w:val="24"/>
          <w:szCs w:val="24"/>
        </w:rPr>
        <w:t>证正常供电，填写运行记录，要求</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24</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小时有人值守。</w:t>
      </w:r>
    </w:p>
    <w:p w14:paraId="6A304E66">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2.4  配电室人员必须</w:t>
      </w:r>
      <w:r>
        <w:rPr>
          <w:rFonts w:hint="eastAsia" w:ascii="宋体" w:hAnsi="宋体" w:eastAsia="宋体" w:cs="宋体"/>
          <w:b/>
          <w:bCs/>
          <w:color w:val="auto"/>
          <w:spacing w:val="-2"/>
          <w:sz w:val="24"/>
          <w:szCs w:val="24"/>
        </w:rPr>
        <w:t>持证上岗</w:t>
      </w:r>
      <w:r>
        <w:rPr>
          <w:rFonts w:hint="eastAsia" w:ascii="宋体" w:hAnsi="宋体" w:eastAsia="宋体" w:cs="宋体"/>
          <w:color w:val="auto"/>
          <w:spacing w:val="-2"/>
          <w:sz w:val="24"/>
          <w:szCs w:val="24"/>
        </w:rPr>
        <w:t>，24</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2"/>
          <w:sz w:val="24"/>
          <w:szCs w:val="24"/>
        </w:rPr>
        <w:t>小时值班。</w:t>
      </w:r>
    </w:p>
    <w:p w14:paraId="73C1DF9F">
      <w:pPr>
        <w:keepNext w:val="0"/>
        <w:keepLines w:val="0"/>
        <w:pageBreakBefore w:val="0"/>
        <w:widowControl/>
        <w:kinsoku w:val="0"/>
        <w:wordWrap/>
        <w:overflowPunct/>
        <w:topLinePunct w:val="0"/>
        <w:autoSpaceDE w:val="0"/>
        <w:autoSpaceDN w:val="0"/>
        <w:bidi w:val="0"/>
        <w:adjustRightInd w:val="0"/>
        <w:snapToGrid w:val="0"/>
        <w:spacing w:before="183" w:line="360" w:lineRule="auto"/>
        <w:ind w:left="13" w:right="80" w:firstLine="47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2.5  根据上级的通知停、供电，没有特殊原因，不得私自停、供电，停、供电需提</w:t>
      </w:r>
      <w:r>
        <w:rPr>
          <w:rFonts w:hint="eastAsia" w:ascii="宋体" w:hAnsi="宋体" w:eastAsia="宋体" w:cs="宋体"/>
          <w:color w:val="auto"/>
          <w:spacing w:val="-4"/>
          <w:sz w:val="24"/>
          <w:szCs w:val="24"/>
        </w:rPr>
        <w:t>前公告。</w:t>
      </w:r>
    </w:p>
    <w:p w14:paraId="6E93DE23">
      <w:pPr>
        <w:keepNext w:val="0"/>
        <w:keepLines w:val="0"/>
        <w:pageBreakBefore w:val="0"/>
        <w:widowControl/>
        <w:kinsoku w:val="0"/>
        <w:wordWrap/>
        <w:overflowPunct/>
        <w:topLinePunct w:val="0"/>
        <w:autoSpaceDE w:val="0"/>
        <w:autoSpaceDN w:val="0"/>
        <w:bidi w:val="0"/>
        <w:adjustRightInd w:val="0"/>
        <w:snapToGrid w:val="0"/>
        <w:spacing w:before="182" w:line="360" w:lineRule="auto"/>
        <w:ind w:left="33" w:right="80" w:firstLine="45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2.6  定时检查照明供电线路、设备，确保重点区域照明。根据实际情况，开启和关</w:t>
      </w:r>
      <w:r>
        <w:rPr>
          <w:rFonts w:hint="eastAsia" w:ascii="宋体" w:hAnsi="宋体" w:eastAsia="宋体" w:cs="宋体"/>
          <w:color w:val="auto"/>
          <w:spacing w:val="-3"/>
          <w:sz w:val="24"/>
          <w:szCs w:val="24"/>
        </w:rPr>
        <w:t>闭智能照明系统。巡视周期如下：</w:t>
      </w:r>
    </w:p>
    <w:p w14:paraId="332937FF">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楼内照明：每周巡视</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3</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6"/>
          <w:sz w:val="24"/>
          <w:szCs w:val="24"/>
        </w:rPr>
        <w:t>次，一般故障</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50"/>
          <w:w w:val="101"/>
          <w:sz w:val="24"/>
          <w:szCs w:val="24"/>
        </w:rPr>
        <w:t xml:space="preserve"> </w:t>
      </w:r>
      <w:r>
        <w:rPr>
          <w:rFonts w:hint="eastAsia" w:ascii="宋体" w:hAnsi="宋体" w:eastAsia="宋体" w:cs="宋体"/>
          <w:color w:val="auto"/>
          <w:spacing w:val="-6"/>
          <w:sz w:val="24"/>
          <w:szCs w:val="24"/>
        </w:rPr>
        <w:t>日内修复；复杂故障</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6"/>
          <w:sz w:val="24"/>
          <w:szCs w:val="24"/>
        </w:rPr>
        <w:t>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6"/>
          <w:sz w:val="24"/>
          <w:szCs w:val="24"/>
        </w:rPr>
        <w:t>日内修复。</w:t>
      </w:r>
    </w:p>
    <w:p w14:paraId="073F5533">
      <w:pPr>
        <w:keepNext w:val="0"/>
        <w:keepLines w:val="0"/>
        <w:pageBreakBefore w:val="0"/>
        <w:widowControl/>
        <w:kinsoku w:val="0"/>
        <w:wordWrap/>
        <w:overflowPunct/>
        <w:topLinePunct w:val="0"/>
        <w:autoSpaceDE w:val="0"/>
        <w:autoSpaceDN w:val="0"/>
        <w:bidi w:val="0"/>
        <w:adjustRightInd w:val="0"/>
        <w:snapToGrid w:val="0"/>
        <w:spacing w:before="181" w:line="360" w:lineRule="auto"/>
        <w:ind w:left="28" w:right="80" w:firstLine="460"/>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楼外照明：每周巡视</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6"/>
          <w:sz w:val="24"/>
          <w:szCs w:val="24"/>
        </w:rPr>
        <w:t>次，一般故障</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50"/>
          <w:w w:val="101"/>
          <w:sz w:val="24"/>
          <w:szCs w:val="24"/>
        </w:rPr>
        <w:t xml:space="preserve"> </w:t>
      </w:r>
      <w:r>
        <w:rPr>
          <w:rFonts w:hint="eastAsia" w:ascii="宋体" w:hAnsi="宋体" w:eastAsia="宋体" w:cs="宋体"/>
          <w:color w:val="auto"/>
          <w:spacing w:val="-6"/>
          <w:sz w:val="24"/>
          <w:szCs w:val="24"/>
        </w:rPr>
        <w:t>日内修复；复杂故障</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 周内修复；每月调整1</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6"/>
          <w:sz w:val="24"/>
          <w:szCs w:val="24"/>
        </w:rPr>
        <w:t>次时间控制器。</w:t>
      </w:r>
    </w:p>
    <w:p w14:paraId="27690903">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应急照明：每日巡视</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次，发现故障，即时修复。</w:t>
      </w:r>
    </w:p>
    <w:p w14:paraId="53A6D8D8">
      <w:pPr>
        <w:keepNext w:val="0"/>
        <w:keepLines w:val="0"/>
        <w:pageBreakBefore w:val="0"/>
        <w:widowControl/>
        <w:kinsoku w:val="0"/>
        <w:wordWrap/>
        <w:overflowPunct/>
        <w:topLinePunct w:val="0"/>
        <w:autoSpaceDE w:val="0"/>
        <w:autoSpaceDN w:val="0"/>
        <w:bidi w:val="0"/>
        <w:adjustRightInd w:val="0"/>
        <w:snapToGrid w:val="0"/>
        <w:spacing w:before="183" w:line="360" w:lineRule="auto"/>
        <w:ind w:left="9" w:right="71" w:firstLine="4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低压柜：每日巡视</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次设备运行状况；每年养护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次，养护内容包括</w:t>
      </w:r>
      <w:r>
        <w:rPr>
          <w:rFonts w:hint="eastAsia" w:ascii="宋体" w:hAnsi="宋体" w:eastAsia="宋体" w:cs="宋体"/>
          <w:color w:val="auto"/>
          <w:spacing w:val="-4"/>
          <w:sz w:val="24"/>
          <w:szCs w:val="24"/>
        </w:rPr>
        <w:t>紧固、检测、清扫；每年检查</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次电气安全。</w:t>
      </w:r>
    </w:p>
    <w:p w14:paraId="10E4D0B0">
      <w:pPr>
        <w:keepNext w:val="0"/>
        <w:keepLines w:val="0"/>
        <w:pageBreakBefore w:val="0"/>
        <w:widowControl/>
        <w:kinsoku w:val="0"/>
        <w:wordWrap/>
        <w:overflowPunct/>
        <w:topLinePunct w:val="0"/>
        <w:autoSpaceDE w:val="0"/>
        <w:autoSpaceDN w:val="0"/>
        <w:bidi w:val="0"/>
        <w:adjustRightInd w:val="0"/>
        <w:snapToGrid w:val="0"/>
        <w:spacing w:line="360" w:lineRule="auto"/>
        <w:ind w:left="9" w:right="80" w:firstLine="479"/>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低压配电箱和低压线路：每月巡视</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次设备运行状况；每年养护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4"/>
          <w:sz w:val="24"/>
          <w:szCs w:val="24"/>
        </w:rPr>
        <w:t>次，养护内</w:t>
      </w:r>
      <w:r>
        <w:rPr>
          <w:rFonts w:hint="eastAsia" w:ascii="宋体" w:hAnsi="宋体" w:eastAsia="宋体" w:cs="宋体"/>
          <w:color w:val="auto"/>
          <w:spacing w:val="-5"/>
          <w:sz w:val="24"/>
          <w:szCs w:val="24"/>
        </w:rPr>
        <w:t>容包</w:t>
      </w:r>
      <w:r>
        <w:rPr>
          <w:rFonts w:hint="eastAsia" w:ascii="宋体" w:hAnsi="宋体" w:eastAsia="宋体" w:cs="宋体"/>
          <w:color w:val="auto"/>
          <w:spacing w:val="-1"/>
          <w:sz w:val="24"/>
          <w:szCs w:val="24"/>
        </w:rPr>
        <w:t>括紧固、检测、清扫。</w:t>
      </w:r>
    </w:p>
    <w:p w14:paraId="6C44A0B4">
      <w:pPr>
        <w:keepNext w:val="0"/>
        <w:keepLines w:val="0"/>
        <w:pageBreakBefore w:val="0"/>
        <w:widowControl/>
        <w:kinsoku w:val="0"/>
        <w:wordWrap/>
        <w:overflowPunct/>
        <w:topLinePunct w:val="0"/>
        <w:autoSpaceDE w:val="0"/>
        <w:autoSpaceDN w:val="0"/>
        <w:bidi w:val="0"/>
        <w:adjustRightInd w:val="0"/>
        <w:snapToGrid w:val="0"/>
        <w:spacing w:before="2" w:line="360" w:lineRule="auto"/>
        <w:ind w:left="11" w:firstLine="477"/>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8"/>
          <w:sz w:val="24"/>
          <w:szCs w:val="24"/>
        </w:rPr>
        <w:t>控制柜：每</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8"/>
          <w:sz w:val="24"/>
          <w:szCs w:val="24"/>
        </w:rPr>
        <w:t>2 周巡视</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8"/>
          <w:sz w:val="24"/>
          <w:szCs w:val="24"/>
        </w:rPr>
        <w:t>次设备运行状况；每年养护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次，养护内容包</w:t>
      </w:r>
      <w:r>
        <w:rPr>
          <w:rFonts w:hint="eastAsia" w:ascii="宋体" w:hAnsi="宋体" w:eastAsia="宋体" w:cs="宋体"/>
          <w:color w:val="auto"/>
          <w:spacing w:val="-9"/>
          <w:sz w:val="24"/>
          <w:szCs w:val="24"/>
        </w:rPr>
        <w:t>括紧固、检测、</w:t>
      </w:r>
      <w:r>
        <w:rPr>
          <w:rFonts w:hint="eastAsia" w:ascii="宋体" w:hAnsi="宋体" w:eastAsia="宋体" w:cs="宋体"/>
          <w:color w:val="auto"/>
          <w:spacing w:val="-2"/>
          <w:sz w:val="24"/>
          <w:szCs w:val="24"/>
        </w:rPr>
        <w:t>调试、清扫。</w:t>
      </w:r>
    </w:p>
    <w:p w14:paraId="52C77B48">
      <w:pPr>
        <w:keepNext w:val="0"/>
        <w:keepLines w:val="0"/>
        <w:pageBreakBefore w:val="0"/>
        <w:widowControl/>
        <w:kinsoku w:val="0"/>
        <w:wordWrap/>
        <w:overflowPunct/>
        <w:topLinePunct w:val="0"/>
        <w:autoSpaceDE w:val="0"/>
        <w:autoSpaceDN w:val="0"/>
        <w:bidi w:val="0"/>
        <w:adjustRightInd w:val="0"/>
        <w:snapToGrid w:val="0"/>
        <w:spacing w:before="2" w:line="360" w:lineRule="auto"/>
        <w:ind w:left="11" w:firstLine="477"/>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配电室、楼层配电间：防小动物措施完备；穿墙线槽周边封堵严密；锁具完好；电</w:t>
      </w:r>
      <w:r>
        <w:rPr>
          <w:rFonts w:hint="eastAsia" w:ascii="宋体" w:hAnsi="宋体" w:eastAsia="宋体" w:cs="宋体"/>
          <w:color w:val="auto"/>
          <w:spacing w:val="-1"/>
          <w:sz w:val="24"/>
          <w:szCs w:val="24"/>
        </w:rPr>
        <w:t>缆进出线和开关标志准确。</w:t>
      </w:r>
    </w:p>
    <w:p w14:paraId="2B826813">
      <w:pPr>
        <w:keepNext w:val="0"/>
        <w:keepLines w:val="0"/>
        <w:pageBreakBefore w:val="0"/>
        <w:widowControl/>
        <w:kinsoku w:val="0"/>
        <w:wordWrap/>
        <w:overflowPunct/>
        <w:topLinePunct w:val="0"/>
        <w:autoSpaceDE w:val="0"/>
        <w:autoSpaceDN w:val="0"/>
        <w:bidi w:val="0"/>
        <w:adjustRightInd w:val="0"/>
        <w:snapToGrid w:val="0"/>
        <w:spacing w:line="360" w:lineRule="auto"/>
        <w:ind w:left="11" w:right="82" w:firstLine="472"/>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3.设备设施：电力系统（高低压）日常运行维护及管理所需</w:t>
      </w:r>
      <w:r>
        <w:rPr>
          <w:rFonts w:hint="eastAsia" w:ascii="宋体" w:hAnsi="宋体" w:eastAsia="宋体" w:cs="宋体"/>
          <w:b/>
          <w:bCs/>
          <w:color w:val="auto"/>
          <w:spacing w:val="-3"/>
          <w:sz w:val="24"/>
          <w:szCs w:val="24"/>
        </w:rPr>
        <w:t>设备设施由</w:t>
      </w:r>
      <w:r>
        <w:rPr>
          <w:rFonts w:hint="eastAsia" w:ascii="宋体" w:hAnsi="宋体" w:eastAsia="宋体" w:cs="宋体"/>
          <w:b/>
          <w:bCs/>
          <w:color w:val="auto"/>
          <w:spacing w:val="-3"/>
          <w:sz w:val="24"/>
          <w:szCs w:val="24"/>
          <w:lang w:val="en-US" w:eastAsia="zh-CN"/>
        </w:rPr>
        <w:t>采购人</w:t>
      </w:r>
      <w:r>
        <w:rPr>
          <w:rFonts w:hint="eastAsia" w:ascii="宋体" w:hAnsi="宋体" w:eastAsia="宋体" w:cs="宋体"/>
          <w:b/>
          <w:bCs/>
          <w:color w:val="auto"/>
          <w:spacing w:val="-3"/>
          <w:sz w:val="24"/>
          <w:szCs w:val="24"/>
        </w:rPr>
        <w:t>自行</w:t>
      </w:r>
      <w:r>
        <w:rPr>
          <w:rFonts w:hint="eastAsia" w:ascii="宋体" w:hAnsi="宋体" w:eastAsia="宋体" w:cs="宋体"/>
          <w:b/>
          <w:bCs/>
          <w:color w:val="auto"/>
          <w:spacing w:val="-7"/>
          <w:sz w:val="24"/>
          <w:szCs w:val="24"/>
        </w:rPr>
        <w:t>准备。</w:t>
      </w:r>
    </w:p>
    <w:p w14:paraId="2EB2DDD2">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（三）热力系统(热力站)日常运行维护及管理</w:t>
      </w:r>
    </w:p>
    <w:p w14:paraId="1FB84909">
      <w:pPr>
        <w:keepNext w:val="0"/>
        <w:keepLines w:val="0"/>
        <w:pageBreakBefore w:val="0"/>
        <w:widowControl/>
        <w:kinsoku w:val="0"/>
        <w:wordWrap/>
        <w:overflowPunct/>
        <w:topLinePunct w:val="0"/>
        <w:autoSpaceDE w:val="0"/>
        <w:autoSpaceDN w:val="0"/>
        <w:bidi w:val="0"/>
        <w:adjustRightInd w:val="0"/>
        <w:snapToGrid w:val="0"/>
        <w:spacing w:before="191"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范围：校内热力站系统，设备设施见附件。</w:t>
      </w:r>
    </w:p>
    <w:p w14:paraId="09EF660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20"/>
          <w:w w:val="101"/>
          <w:sz w:val="24"/>
          <w:szCs w:val="24"/>
        </w:rPr>
        <w:t xml:space="preserve">  </w:t>
      </w:r>
      <w:r>
        <w:rPr>
          <w:rFonts w:hint="eastAsia" w:ascii="宋体" w:hAnsi="宋体" w:eastAsia="宋体" w:cs="宋体"/>
          <w:color w:val="auto"/>
          <w:spacing w:val="-8"/>
          <w:sz w:val="24"/>
          <w:szCs w:val="24"/>
        </w:rPr>
        <w:t>内容和标准</w:t>
      </w:r>
    </w:p>
    <w:p w14:paraId="3BCB280B">
      <w:pPr>
        <w:keepNext w:val="0"/>
        <w:keepLines w:val="0"/>
        <w:pageBreakBefore w:val="0"/>
        <w:widowControl/>
        <w:kinsoku w:val="0"/>
        <w:wordWrap/>
        <w:overflowPunct/>
        <w:topLinePunct w:val="0"/>
        <w:autoSpaceDE w:val="0"/>
        <w:autoSpaceDN w:val="0"/>
        <w:bidi w:val="0"/>
        <w:adjustRightInd w:val="0"/>
        <w:snapToGrid w:val="0"/>
        <w:spacing w:before="184" w:line="360" w:lineRule="auto"/>
        <w:ind w:left="9" w:right="82" w:firstLine="4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  负责热力站系统的监视、维护，确保校区内热力站系统的正常使用，为园区提</w:t>
      </w:r>
      <w:r>
        <w:rPr>
          <w:rFonts w:hint="eastAsia" w:ascii="宋体" w:hAnsi="宋体" w:eastAsia="宋体" w:cs="宋体"/>
          <w:color w:val="auto"/>
          <w:spacing w:val="1"/>
          <w:sz w:val="24"/>
          <w:szCs w:val="24"/>
        </w:rPr>
        <w:t>供冬季供暖及全年每日24</w:t>
      </w:r>
      <w:r>
        <w:rPr>
          <w:rFonts w:hint="eastAsia" w:ascii="宋体" w:hAnsi="宋体" w:eastAsia="宋体" w:cs="宋体"/>
          <w:color w:val="auto"/>
          <w:spacing w:val="28"/>
          <w:w w:val="101"/>
          <w:sz w:val="24"/>
          <w:szCs w:val="24"/>
        </w:rPr>
        <w:t xml:space="preserve"> </w:t>
      </w:r>
      <w:r>
        <w:rPr>
          <w:rFonts w:hint="eastAsia" w:ascii="宋体" w:hAnsi="宋体" w:eastAsia="宋体" w:cs="宋体"/>
          <w:color w:val="auto"/>
          <w:spacing w:val="1"/>
          <w:sz w:val="24"/>
          <w:szCs w:val="24"/>
        </w:rPr>
        <w:t>小时生活热水供应；</w:t>
      </w:r>
    </w:p>
    <w:p w14:paraId="445B60ED">
      <w:pPr>
        <w:keepNext w:val="0"/>
        <w:keepLines w:val="0"/>
        <w:pageBreakBefore w:val="0"/>
        <w:widowControl/>
        <w:kinsoku w:val="0"/>
        <w:wordWrap/>
        <w:overflowPunct/>
        <w:topLinePunct w:val="0"/>
        <w:autoSpaceDE w:val="0"/>
        <w:autoSpaceDN w:val="0"/>
        <w:bidi w:val="0"/>
        <w:adjustRightInd w:val="0"/>
        <w:snapToGrid w:val="0"/>
        <w:spacing w:before="184" w:line="360" w:lineRule="auto"/>
        <w:ind w:left="9"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2.2  严格执行各种规章制度，加强日常管理，确保安全。做好设备设施巡视、检查、</w:t>
      </w:r>
      <w:r>
        <w:rPr>
          <w:rFonts w:hint="eastAsia" w:ascii="宋体" w:hAnsi="宋体" w:eastAsia="宋体" w:cs="宋体"/>
          <w:color w:val="auto"/>
          <w:spacing w:val="-1"/>
          <w:sz w:val="24"/>
          <w:szCs w:val="24"/>
        </w:rPr>
        <w:t>清扫及环境卫生工作。</w:t>
      </w:r>
    </w:p>
    <w:p w14:paraId="3B3E8144">
      <w:pPr>
        <w:keepNext w:val="0"/>
        <w:keepLines w:val="0"/>
        <w:pageBreakBefore w:val="0"/>
        <w:widowControl/>
        <w:kinsoku w:val="0"/>
        <w:wordWrap/>
        <w:overflowPunct/>
        <w:topLinePunct w:val="0"/>
        <w:autoSpaceDE w:val="0"/>
        <w:autoSpaceDN w:val="0"/>
        <w:bidi w:val="0"/>
        <w:adjustRightInd w:val="0"/>
        <w:snapToGrid w:val="0"/>
        <w:spacing w:before="182" w:line="360" w:lineRule="auto"/>
        <w:ind w:left="9" w:right="80" w:firstLine="4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2.3  按交接班要求检查设备设施，认真填写交接记录；按时巡视检查设备设施，保</w:t>
      </w:r>
      <w:r>
        <w:rPr>
          <w:rFonts w:hint="eastAsia" w:ascii="宋体" w:hAnsi="宋体" w:eastAsia="宋体" w:cs="宋体"/>
          <w:color w:val="auto"/>
          <w:spacing w:val="-1"/>
          <w:sz w:val="24"/>
          <w:szCs w:val="24"/>
        </w:rPr>
        <w:t>证正常运行，填写运行记录。</w:t>
      </w:r>
    </w:p>
    <w:p w14:paraId="2EFC1018">
      <w:pPr>
        <w:keepNext w:val="0"/>
        <w:keepLines w:val="0"/>
        <w:pageBreakBefore w:val="0"/>
        <w:widowControl/>
        <w:kinsoku w:val="0"/>
        <w:wordWrap/>
        <w:overflowPunct/>
        <w:topLinePunct w:val="0"/>
        <w:autoSpaceDE w:val="0"/>
        <w:autoSpaceDN w:val="0"/>
        <w:bidi w:val="0"/>
        <w:adjustRightInd w:val="0"/>
        <w:snapToGrid w:val="0"/>
        <w:spacing w:before="183" w:line="360" w:lineRule="auto"/>
        <w:ind w:left="9" w:right="80" w:firstLine="4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2.4  每天对运行的锅炉系统进行检查、清除积尘等工作。故障急修及时，维修人员</w:t>
      </w:r>
      <w:r>
        <w:rPr>
          <w:rFonts w:hint="eastAsia" w:ascii="宋体" w:hAnsi="宋体" w:eastAsia="宋体" w:cs="宋体"/>
          <w:color w:val="auto"/>
          <w:spacing w:val="-1"/>
          <w:sz w:val="24"/>
          <w:szCs w:val="24"/>
        </w:rPr>
        <w:t>应及时进行维修并上报采购人。</w:t>
      </w:r>
    </w:p>
    <w:p w14:paraId="25A9F6A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2.5  热力站值班人员必须执证上岗，要求全年每日24</w:t>
      </w:r>
      <w:r>
        <w:rPr>
          <w:rFonts w:hint="eastAsia" w:ascii="宋体" w:hAnsi="宋体" w:eastAsia="宋体" w:cs="宋体"/>
          <w:color w:val="auto"/>
          <w:spacing w:val="19"/>
          <w:w w:val="101"/>
          <w:sz w:val="24"/>
          <w:szCs w:val="24"/>
        </w:rPr>
        <w:t xml:space="preserve"> </w:t>
      </w:r>
      <w:r>
        <w:rPr>
          <w:rFonts w:hint="eastAsia" w:ascii="宋体" w:hAnsi="宋体" w:eastAsia="宋体" w:cs="宋体"/>
          <w:color w:val="auto"/>
          <w:spacing w:val="1"/>
          <w:sz w:val="24"/>
          <w:szCs w:val="24"/>
        </w:rPr>
        <w:t>小时值班运行。</w:t>
      </w:r>
    </w:p>
    <w:p w14:paraId="6D190EB9">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2.6  热力站系统日常运行及管理所需设备设施由</w:t>
      </w:r>
      <w:r>
        <w:rPr>
          <w:rFonts w:hint="eastAsia" w:ascii="宋体" w:hAnsi="宋体" w:eastAsia="宋体" w:cs="宋体"/>
          <w:color w:val="auto"/>
          <w:sz w:val="24"/>
          <w:szCs w:val="24"/>
          <w:lang w:val="en-US" w:eastAsia="zh-CN"/>
        </w:rPr>
        <w:t>采购人</w:t>
      </w:r>
      <w:r>
        <w:rPr>
          <w:rFonts w:hint="eastAsia" w:ascii="宋体" w:hAnsi="宋体" w:eastAsia="宋体" w:cs="宋体"/>
          <w:color w:val="auto"/>
          <w:spacing w:val="-1"/>
          <w:sz w:val="24"/>
          <w:szCs w:val="24"/>
        </w:rPr>
        <w:t>自行准备。</w:t>
      </w:r>
    </w:p>
    <w:p w14:paraId="0463770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（四）给排水系统(含水泵房)日常运行维护及管理</w:t>
      </w:r>
    </w:p>
    <w:p w14:paraId="1825611B">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4"/>
          <w:w w:val="101"/>
          <w:sz w:val="24"/>
          <w:szCs w:val="24"/>
        </w:rPr>
        <w:t xml:space="preserve"> </w:t>
      </w:r>
      <w:r>
        <w:rPr>
          <w:rFonts w:hint="eastAsia" w:ascii="宋体" w:hAnsi="宋体" w:eastAsia="宋体" w:cs="宋体"/>
          <w:color w:val="auto"/>
          <w:spacing w:val="-2"/>
          <w:sz w:val="24"/>
          <w:szCs w:val="24"/>
        </w:rPr>
        <w:t>范围：给排水系统（含水泵房）和园区各楼宇内配套设备。</w:t>
      </w:r>
    </w:p>
    <w:p w14:paraId="4A6D2F49">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r>
        <w:rPr>
          <w:rFonts w:hint="eastAsia" w:ascii="宋体" w:hAnsi="宋体" w:eastAsia="宋体" w:cs="宋体"/>
          <w:color w:val="auto"/>
          <w:spacing w:val="42"/>
          <w:w w:val="101"/>
          <w:sz w:val="24"/>
          <w:szCs w:val="24"/>
        </w:rPr>
        <w:t xml:space="preserve"> </w:t>
      </w:r>
      <w:r>
        <w:rPr>
          <w:rFonts w:hint="eastAsia" w:ascii="宋体" w:hAnsi="宋体" w:eastAsia="宋体" w:cs="宋体"/>
          <w:color w:val="auto"/>
          <w:spacing w:val="-7"/>
          <w:sz w:val="24"/>
          <w:szCs w:val="24"/>
        </w:rPr>
        <w:t>内容和标准：</w:t>
      </w:r>
    </w:p>
    <w:p w14:paraId="1C851001">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2.1</w:t>
      </w:r>
      <w:r>
        <w:rPr>
          <w:rFonts w:hint="eastAsia" w:ascii="宋体" w:hAnsi="宋体" w:eastAsia="宋体" w:cs="宋体"/>
          <w:color w:val="auto"/>
          <w:spacing w:val="24"/>
          <w:w w:val="101"/>
          <w:sz w:val="24"/>
          <w:szCs w:val="24"/>
        </w:rPr>
        <w:t xml:space="preserve"> </w:t>
      </w:r>
      <w:r>
        <w:rPr>
          <w:rFonts w:hint="eastAsia" w:ascii="宋体" w:hAnsi="宋体" w:eastAsia="宋体" w:cs="宋体"/>
          <w:color w:val="auto"/>
          <w:spacing w:val="-1"/>
          <w:sz w:val="24"/>
          <w:szCs w:val="24"/>
        </w:rPr>
        <w:t>负责给排水系统设施监视、维护，保证给排水设备的正常运行。</w:t>
      </w:r>
    </w:p>
    <w:p w14:paraId="684523D8">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0" w:right="80" w:firstLine="47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  严格执行各种规章制度，加强日常管理，确保安全生产。认真填写巡视检查记</w:t>
      </w:r>
      <w:r>
        <w:rPr>
          <w:rFonts w:hint="eastAsia" w:ascii="宋体" w:hAnsi="宋体" w:eastAsia="宋体" w:cs="宋体"/>
          <w:color w:val="auto"/>
          <w:spacing w:val="-6"/>
          <w:sz w:val="24"/>
          <w:szCs w:val="24"/>
        </w:rPr>
        <w:t>录。</w:t>
      </w:r>
    </w:p>
    <w:p w14:paraId="6525760B">
      <w:pPr>
        <w:keepNext w:val="0"/>
        <w:keepLines w:val="0"/>
        <w:pageBreakBefore w:val="0"/>
        <w:widowControl/>
        <w:kinsoku w:val="0"/>
        <w:wordWrap/>
        <w:overflowPunct/>
        <w:topLinePunct w:val="0"/>
        <w:autoSpaceDE w:val="0"/>
        <w:autoSpaceDN w:val="0"/>
        <w:bidi w:val="0"/>
        <w:adjustRightInd w:val="0"/>
        <w:snapToGrid w:val="0"/>
        <w:spacing w:before="178"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2.3  按照消防规程定期排查、疏通管道系统。</w:t>
      </w:r>
    </w:p>
    <w:p w14:paraId="7E68FAF1">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2.4  每日巡视</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1"/>
          <w:sz w:val="24"/>
          <w:szCs w:val="24"/>
        </w:rPr>
        <w:t>次水箱间、水泵房，检查设备运行状况。</w:t>
      </w:r>
    </w:p>
    <w:p w14:paraId="76F8427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2.5  每季度切换</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次备用水泵。</w:t>
      </w:r>
    </w:p>
    <w:p w14:paraId="27817FE8">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2.6  每年检查</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2"/>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次水泵润滑情况，补充或更换润滑剂；每年养护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2"/>
          <w:sz w:val="24"/>
          <w:szCs w:val="24"/>
        </w:rPr>
        <w:t>次水泵。</w:t>
      </w:r>
    </w:p>
    <w:p w14:paraId="30B1110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2" w:right="80" w:firstLine="47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2.7  每年对供水管道、阀门等进行除锈、刷漆，每年入冬前对暴露管道进行防冻处</w:t>
      </w:r>
      <w:r>
        <w:rPr>
          <w:rFonts w:hint="eastAsia" w:ascii="宋体" w:hAnsi="宋体" w:eastAsia="宋体" w:cs="宋体"/>
          <w:color w:val="auto"/>
          <w:spacing w:val="-7"/>
          <w:sz w:val="24"/>
          <w:szCs w:val="24"/>
        </w:rPr>
        <w:t>理。</w:t>
      </w:r>
    </w:p>
    <w:p w14:paraId="2A69A74D">
      <w:pPr>
        <w:keepNext w:val="0"/>
        <w:keepLines w:val="0"/>
        <w:pageBreakBefore w:val="0"/>
        <w:widowControl/>
        <w:kinsoku w:val="0"/>
        <w:wordWrap/>
        <w:overflowPunct/>
        <w:topLinePunct w:val="0"/>
        <w:autoSpaceDE w:val="0"/>
        <w:autoSpaceDN w:val="0"/>
        <w:bidi w:val="0"/>
        <w:adjustRightInd w:val="0"/>
        <w:snapToGrid w:val="0"/>
        <w:spacing w:before="167"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2.8 水箱、蓄水池盖板应保持完好并加锁，钥匙由专人保</w:t>
      </w:r>
      <w:r>
        <w:rPr>
          <w:rFonts w:hint="eastAsia" w:ascii="宋体" w:hAnsi="宋体" w:eastAsia="宋体" w:cs="宋体"/>
          <w:color w:val="auto"/>
          <w:spacing w:val="1"/>
          <w:sz w:val="24"/>
          <w:szCs w:val="24"/>
        </w:rPr>
        <w:t>管；溢流管口、透气口应</w:t>
      </w:r>
      <w:r>
        <w:rPr>
          <w:rFonts w:hint="eastAsia" w:ascii="宋体" w:hAnsi="宋体" w:eastAsia="宋体" w:cs="宋体"/>
          <w:color w:val="auto"/>
          <w:spacing w:val="-2"/>
          <w:sz w:val="24"/>
          <w:szCs w:val="24"/>
        </w:rPr>
        <w:t>安装金属防护网并保持完好。</w:t>
      </w:r>
    </w:p>
    <w:p w14:paraId="19F98280">
      <w:pPr>
        <w:keepNext w:val="0"/>
        <w:keepLines w:val="0"/>
        <w:pageBreakBefore w:val="0"/>
        <w:widowControl/>
        <w:kinsoku w:val="0"/>
        <w:wordWrap/>
        <w:overflowPunct/>
        <w:topLinePunct w:val="0"/>
        <w:autoSpaceDE w:val="0"/>
        <w:autoSpaceDN w:val="0"/>
        <w:bidi w:val="0"/>
        <w:adjustRightInd w:val="0"/>
        <w:snapToGrid w:val="0"/>
        <w:spacing w:before="179" w:line="360" w:lineRule="auto"/>
        <w:ind w:left="10" w:firstLine="474"/>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2.9  排水设施：每年上汛前对雨、污水井、屋面雨水口等设施进行检查，组织清理、</w:t>
      </w:r>
      <w:r>
        <w:rPr>
          <w:rFonts w:hint="eastAsia" w:ascii="宋体" w:hAnsi="宋体" w:eastAsia="宋体" w:cs="宋体"/>
          <w:color w:val="auto"/>
          <w:spacing w:val="-1"/>
          <w:sz w:val="24"/>
          <w:szCs w:val="24"/>
        </w:rPr>
        <w:t>疏通。每次降雨前后对主要排水口、管井进行检查。</w:t>
      </w:r>
    </w:p>
    <w:p w14:paraId="440E4FDD">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0" w:right="82" w:firstLine="47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2.10  污水泵：汛期每日巡视</w:t>
      </w:r>
      <w:r>
        <w:rPr>
          <w:rFonts w:hint="eastAsia" w:ascii="宋体" w:hAnsi="宋体" w:eastAsia="宋体" w:cs="宋体"/>
          <w:color w:val="auto"/>
          <w:spacing w:val="-53"/>
          <w:sz w:val="24"/>
          <w:szCs w:val="24"/>
        </w:rPr>
        <w:t xml:space="preserve"> </w:t>
      </w:r>
      <w:r>
        <w:rPr>
          <w:rFonts w:hint="eastAsia" w:ascii="宋体" w:hAnsi="宋体" w:eastAsia="宋体" w:cs="宋体"/>
          <w:color w:val="auto"/>
          <w:sz w:val="24"/>
          <w:szCs w:val="24"/>
        </w:rPr>
        <w:t>2</w:t>
      </w:r>
      <w:r>
        <w:rPr>
          <w:rFonts w:hint="eastAsia" w:ascii="宋体" w:hAnsi="宋体" w:eastAsia="宋体" w:cs="宋体"/>
          <w:color w:val="auto"/>
          <w:spacing w:val="18"/>
          <w:sz w:val="24"/>
          <w:szCs w:val="24"/>
        </w:rPr>
        <w:t xml:space="preserve"> </w:t>
      </w:r>
      <w:r>
        <w:rPr>
          <w:rFonts w:hint="eastAsia" w:ascii="宋体" w:hAnsi="宋体" w:eastAsia="宋体" w:cs="宋体"/>
          <w:color w:val="auto"/>
          <w:sz w:val="24"/>
          <w:szCs w:val="24"/>
        </w:rPr>
        <w:t>次，平时每周巡视</w:t>
      </w:r>
      <w:r>
        <w:rPr>
          <w:rFonts w:hint="eastAsia" w:ascii="宋体" w:hAnsi="宋体" w:eastAsia="宋体" w:cs="宋体"/>
          <w:color w:val="auto"/>
          <w:spacing w:val="33"/>
          <w:sz w:val="24"/>
          <w:szCs w:val="24"/>
        </w:rPr>
        <w:t xml:space="preserve"> </w:t>
      </w:r>
      <w:r>
        <w:rPr>
          <w:rFonts w:hint="eastAsia" w:ascii="宋体" w:hAnsi="宋体" w:eastAsia="宋体" w:cs="宋体"/>
          <w:color w:val="auto"/>
          <w:sz w:val="24"/>
          <w:szCs w:val="24"/>
        </w:rPr>
        <w:t>1  次，检查设备运行状态；每</w:t>
      </w:r>
      <w:r>
        <w:rPr>
          <w:rFonts w:hint="eastAsia" w:ascii="宋体" w:hAnsi="宋体" w:eastAsia="宋体" w:cs="宋体"/>
          <w:color w:val="auto"/>
          <w:spacing w:val="-55"/>
          <w:sz w:val="24"/>
          <w:szCs w:val="24"/>
        </w:rPr>
        <w:t xml:space="preserve"> </w:t>
      </w:r>
      <w:r>
        <w:rPr>
          <w:rFonts w:hint="eastAsia" w:ascii="宋体" w:hAnsi="宋体" w:eastAsia="宋体" w:cs="宋体"/>
          <w:color w:val="auto"/>
          <w:sz w:val="24"/>
          <w:szCs w:val="24"/>
        </w:rPr>
        <w:t>2</w:t>
      </w:r>
      <w:r>
        <w:rPr>
          <w:rFonts w:hint="eastAsia" w:ascii="宋体" w:hAnsi="宋体" w:eastAsia="宋体" w:cs="宋体"/>
          <w:color w:val="auto"/>
          <w:spacing w:val="-5"/>
          <w:sz w:val="24"/>
          <w:szCs w:val="24"/>
        </w:rPr>
        <w:t>周进行</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次手动启动测试；每季度养护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w:t>
      </w:r>
    </w:p>
    <w:p w14:paraId="2E833598">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2.11  生活水泵房专职人员必须持有健康证。</w:t>
      </w:r>
    </w:p>
    <w:p w14:paraId="19A72495">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3" w:right="80" w:firstLine="471"/>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12 根据上级的通知停、供水，没有特殊原因，不得私自停、供水，停</w:t>
      </w:r>
      <w:r>
        <w:rPr>
          <w:rFonts w:hint="eastAsia" w:ascii="宋体" w:hAnsi="宋体" w:eastAsia="宋体" w:cs="宋体"/>
          <w:color w:val="auto"/>
          <w:spacing w:val="-3"/>
          <w:sz w:val="24"/>
          <w:szCs w:val="24"/>
        </w:rPr>
        <w:t>、供水需提</w:t>
      </w:r>
      <w:r>
        <w:rPr>
          <w:rFonts w:hint="eastAsia" w:ascii="宋体" w:hAnsi="宋体" w:eastAsia="宋体" w:cs="宋体"/>
          <w:color w:val="auto"/>
          <w:spacing w:val="-4"/>
          <w:sz w:val="24"/>
          <w:szCs w:val="24"/>
        </w:rPr>
        <w:t>前公告。</w:t>
      </w:r>
    </w:p>
    <w:p w14:paraId="1EF4064E">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3" w:right="82" w:firstLine="470"/>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3.设备设施：给排水系统(含水泵房)日常运行维护及管理所需设备设施由</w:t>
      </w:r>
      <w:r>
        <w:rPr>
          <w:rFonts w:hint="eastAsia" w:ascii="宋体" w:hAnsi="宋体" w:eastAsia="宋体" w:cs="宋体"/>
          <w:b/>
          <w:bCs/>
          <w:color w:val="auto"/>
          <w:sz w:val="24"/>
          <w:szCs w:val="24"/>
          <w:lang w:val="en-US" w:eastAsia="zh-CN"/>
        </w:rPr>
        <w:t>采购人</w:t>
      </w:r>
      <w:r>
        <w:rPr>
          <w:rFonts w:hint="eastAsia" w:ascii="宋体" w:hAnsi="宋体" w:eastAsia="宋体" w:cs="宋体"/>
          <w:b/>
          <w:bCs/>
          <w:color w:val="auto"/>
          <w:sz w:val="24"/>
          <w:szCs w:val="24"/>
        </w:rPr>
        <w:t>自</w:t>
      </w:r>
      <w:r>
        <w:rPr>
          <w:rFonts w:hint="eastAsia" w:ascii="宋体" w:hAnsi="宋体" w:eastAsia="宋体" w:cs="宋体"/>
          <w:b/>
          <w:bCs/>
          <w:color w:val="auto"/>
          <w:spacing w:val="-2"/>
          <w:sz w:val="24"/>
          <w:szCs w:val="24"/>
        </w:rPr>
        <w:t>行准备</w:t>
      </w:r>
      <w:r>
        <w:rPr>
          <w:rFonts w:hint="eastAsia" w:ascii="宋体" w:hAnsi="宋体" w:eastAsia="宋体" w:cs="宋体"/>
          <w:b/>
          <w:bCs/>
          <w:color w:val="auto"/>
          <w:spacing w:val="-3"/>
          <w:sz w:val="24"/>
          <w:szCs w:val="24"/>
        </w:rPr>
        <w:t>。</w:t>
      </w:r>
    </w:p>
    <w:p w14:paraId="0D8D34CE">
      <w:pPr>
        <w:keepNext w:val="0"/>
        <w:keepLines w:val="0"/>
        <w:pageBreakBefore w:val="0"/>
        <w:widowControl/>
        <w:kinsoku w:val="0"/>
        <w:wordWrap/>
        <w:overflowPunct/>
        <w:topLinePunct w:val="0"/>
        <w:autoSpaceDE w:val="0"/>
        <w:autoSpaceDN w:val="0"/>
        <w:bidi w:val="0"/>
        <w:adjustRightInd w:val="0"/>
        <w:snapToGrid w:val="0"/>
        <w:spacing w:before="16"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（五）空调系统日常运行维护及管理</w:t>
      </w:r>
    </w:p>
    <w:p w14:paraId="598DFC4C">
      <w:pPr>
        <w:keepNext w:val="0"/>
        <w:keepLines w:val="0"/>
        <w:pageBreakBefore w:val="0"/>
        <w:widowControl/>
        <w:kinsoku w:val="0"/>
        <w:wordWrap/>
        <w:overflowPunct/>
        <w:topLinePunct w:val="0"/>
        <w:autoSpaceDE w:val="0"/>
        <w:autoSpaceDN w:val="0"/>
        <w:bidi w:val="0"/>
        <w:adjustRightInd w:val="0"/>
        <w:snapToGrid w:val="0"/>
        <w:spacing w:before="184"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1  范围：园区内中央空凋</w:t>
      </w:r>
    </w:p>
    <w:p w14:paraId="678BBD04">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20"/>
          <w:w w:val="101"/>
          <w:sz w:val="24"/>
          <w:szCs w:val="24"/>
        </w:rPr>
        <w:t xml:space="preserve">  </w:t>
      </w:r>
      <w:r>
        <w:rPr>
          <w:rFonts w:hint="eastAsia" w:ascii="宋体" w:hAnsi="宋体" w:eastAsia="宋体" w:cs="宋体"/>
          <w:color w:val="auto"/>
          <w:spacing w:val="-8"/>
          <w:sz w:val="24"/>
          <w:szCs w:val="24"/>
        </w:rPr>
        <w:t>内容和标准</w:t>
      </w:r>
    </w:p>
    <w:p w14:paraId="66A676F4">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2.1  建立空调运行管理制度，表格记录填写完整。</w:t>
      </w:r>
    </w:p>
    <w:p w14:paraId="7D8EB369">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  制定节能措施，每月对能源消耗进</w:t>
      </w:r>
      <w:r>
        <w:rPr>
          <w:rFonts w:hint="eastAsia" w:ascii="宋体" w:hAnsi="宋体" w:eastAsia="宋体" w:cs="宋体"/>
          <w:color w:val="auto"/>
          <w:spacing w:val="-1"/>
          <w:sz w:val="24"/>
          <w:szCs w:val="24"/>
        </w:rPr>
        <w:t>行统计、分析。</w:t>
      </w:r>
    </w:p>
    <w:p w14:paraId="6F27E7DB">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0" w:firstLine="474"/>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2.3  保证空调、通排风等系统安全运行和正常使用。每年在供冷前后检查空调机组、</w:t>
      </w:r>
      <w:r>
        <w:rPr>
          <w:rFonts w:hint="eastAsia" w:ascii="宋体" w:hAnsi="宋体" w:eastAsia="宋体" w:cs="宋体"/>
          <w:color w:val="auto"/>
          <w:sz w:val="24"/>
          <w:szCs w:val="24"/>
        </w:rPr>
        <w:t>新风机组、循环水泵、冷却塔、风机、风机盘管、水处理等设施设备进行系统性检查，</w:t>
      </w:r>
      <w:r>
        <w:rPr>
          <w:rFonts w:hint="eastAsia" w:ascii="宋体" w:hAnsi="宋体" w:eastAsia="宋体" w:cs="宋体"/>
          <w:color w:val="auto"/>
          <w:spacing w:val="-1"/>
          <w:sz w:val="24"/>
          <w:szCs w:val="24"/>
        </w:rPr>
        <w:t>保证设备、设施处于良好状态。</w:t>
      </w:r>
    </w:p>
    <w:p w14:paraId="1344F255">
      <w:pPr>
        <w:keepNext w:val="0"/>
        <w:keepLines w:val="0"/>
        <w:pageBreakBefore w:val="0"/>
        <w:widowControl/>
        <w:kinsoku w:val="0"/>
        <w:wordWrap/>
        <w:overflowPunct/>
        <w:topLinePunct w:val="0"/>
        <w:autoSpaceDE w:val="0"/>
        <w:autoSpaceDN w:val="0"/>
        <w:bidi w:val="0"/>
        <w:adjustRightInd w:val="0"/>
        <w:snapToGrid w:val="0"/>
        <w:spacing w:before="180" w:line="360" w:lineRule="auto"/>
        <w:ind w:left="9" w:right="82"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2.4  按规定时间供应冷气、新风，温度适宜。运行期间每日巡视</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次空调系统，保证室内温度符合相关规定。</w:t>
      </w:r>
    </w:p>
    <w:p w14:paraId="59D84A3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2.5  软水处理设备日常检查维护，及时添加药剂。</w:t>
      </w:r>
    </w:p>
    <w:p w14:paraId="2A1B377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2.6  每年</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次进行专业水质化验，2</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2"/>
          <w:sz w:val="24"/>
          <w:szCs w:val="24"/>
        </w:rPr>
        <w:t>次水箱清洗。</w:t>
      </w:r>
    </w:p>
    <w:p w14:paraId="54A28F98">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2.7  每年检查</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次管道、阀门并除锈。</w:t>
      </w:r>
    </w:p>
    <w:p w14:paraId="13047587">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2.8  每年检验</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2"/>
          <w:sz w:val="24"/>
          <w:szCs w:val="24"/>
        </w:rPr>
        <w:t>次压力容器、仪表及冷却塔噪声。</w:t>
      </w:r>
    </w:p>
    <w:p w14:paraId="21722B99">
      <w:pPr>
        <w:keepNext w:val="0"/>
        <w:keepLines w:val="0"/>
        <w:pageBreakBefore w:val="0"/>
        <w:widowControl/>
        <w:kinsoku w:val="0"/>
        <w:wordWrap/>
        <w:overflowPunct/>
        <w:topLinePunct w:val="0"/>
        <w:autoSpaceDE w:val="0"/>
        <w:autoSpaceDN w:val="0"/>
        <w:bidi w:val="0"/>
        <w:adjustRightInd w:val="0"/>
        <w:snapToGrid w:val="0"/>
        <w:spacing w:before="183" w:line="360" w:lineRule="auto"/>
        <w:jc w:val="right"/>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2.9  每年清洗消毒</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次新风机、空气处理机滤网、表冷器、箱体、风机盘管滤网等。</w:t>
      </w:r>
    </w:p>
    <w:p w14:paraId="5B4176E4">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2.10  每年对空调系统进行</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2"/>
          <w:sz w:val="24"/>
          <w:szCs w:val="24"/>
        </w:rPr>
        <w:t>次整体性维修养护。</w:t>
      </w:r>
    </w:p>
    <w:p w14:paraId="4C9EC58C">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2.11  设备出现故障时，一般性维修不过夜。</w:t>
      </w:r>
    </w:p>
    <w:p w14:paraId="2810BD6D">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2.12  协助设备厂家做好空调系统的专业</w:t>
      </w:r>
      <w:r>
        <w:rPr>
          <w:rFonts w:hint="eastAsia" w:ascii="宋体" w:hAnsi="宋体" w:eastAsia="宋体" w:cs="宋体"/>
          <w:color w:val="auto"/>
          <w:spacing w:val="-1"/>
          <w:sz w:val="24"/>
          <w:szCs w:val="24"/>
        </w:rPr>
        <w:t>维护保养工作。</w:t>
      </w:r>
    </w:p>
    <w:p w14:paraId="14412BD0">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pacing w:val="-1"/>
          <w:sz w:val="24"/>
          <w:szCs w:val="24"/>
        </w:rPr>
      </w:pPr>
      <w:r>
        <w:rPr>
          <w:rFonts w:hint="eastAsia" w:ascii="宋体" w:hAnsi="宋体" w:eastAsia="宋体" w:cs="宋体"/>
          <w:color w:val="auto"/>
          <w:sz w:val="24"/>
          <w:szCs w:val="24"/>
        </w:rPr>
        <w:t>2.13  空调系统日常运行及管理所需设备设施由</w:t>
      </w:r>
      <w:r>
        <w:rPr>
          <w:rFonts w:hint="eastAsia" w:ascii="宋体" w:hAnsi="宋体" w:eastAsia="宋体" w:cs="宋体"/>
          <w:color w:val="auto"/>
          <w:sz w:val="24"/>
          <w:szCs w:val="24"/>
          <w:lang w:val="en-US" w:eastAsia="zh-CN"/>
        </w:rPr>
        <w:t>采购人</w:t>
      </w:r>
      <w:r>
        <w:rPr>
          <w:rFonts w:hint="eastAsia" w:ascii="宋体" w:hAnsi="宋体" w:eastAsia="宋体" w:cs="宋体"/>
          <w:color w:val="auto"/>
          <w:spacing w:val="-1"/>
          <w:sz w:val="24"/>
          <w:szCs w:val="24"/>
        </w:rPr>
        <w:t>自行准备。</w:t>
      </w:r>
    </w:p>
    <w:p w14:paraId="34C1364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3.设备设施：空调系统日常运行维护及管理所需耗材，</w:t>
      </w:r>
      <w:r>
        <w:rPr>
          <w:rFonts w:hint="eastAsia" w:ascii="宋体" w:hAnsi="宋体" w:eastAsia="宋体" w:cs="宋体"/>
          <w:b/>
          <w:bCs/>
          <w:color w:val="auto"/>
          <w:sz w:val="24"/>
          <w:szCs w:val="24"/>
        </w:rPr>
        <w:t>由</w:t>
      </w:r>
      <w:r>
        <w:rPr>
          <w:rFonts w:hint="eastAsia" w:ascii="宋体" w:hAnsi="宋体" w:eastAsia="宋体" w:cs="宋体"/>
          <w:b/>
          <w:bCs/>
          <w:color w:val="auto"/>
          <w:sz w:val="24"/>
          <w:szCs w:val="24"/>
          <w:lang w:val="en-US" w:eastAsia="zh-CN"/>
        </w:rPr>
        <w:t>采购人</w:t>
      </w:r>
      <w:r>
        <w:rPr>
          <w:rFonts w:hint="eastAsia" w:ascii="宋体" w:hAnsi="宋体" w:eastAsia="宋体" w:cs="宋体"/>
          <w:b/>
          <w:bCs/>
          <w:color w:val="auto"/>
          <w:sz w:val="24"/>
          <w:szCs w:val="24"/>
        </w:rPr>
        <w:t>自</w:t>
      </w:r>
      <w:r>
        <w:rPr>
          <w:rFonts w:hint="eastAsia" w:ascii="宋体" w:hAnsi="宋体" w:eastAsia="宋体" w:cs="宋体"/>
          <w:b/>
          <w:bCs/>
          <w:color w:val="auto"/>
          <w:spacing w:val="-2"/>
          <w:sz w:val="24"/>
          <w:szCs w:val="24"/>
        </w:rPr>
        <w:t>行准备</w:t>
      </w:r>
      <w:r>
        <w:rPr>
          <w:rFonts w:hint="eastAsia" w:ascii="宋体" w:hAnsi="宋体" w:eastAsia="宋体" w:cs="宋体"/>
          <w:b/>
          <w:bCs/>
          <w:color w:val="auto"/>
          <w:spacing w:val="-3"/>
          <w:sz w:val="24"/>
          <w:szCs w:val="24"/>
        </w:rPr>
        <w:t>。</w:t>
      </w:r>
    </w:p>
    <w:p w14:paraId="102AE2CA">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（六）电梯日常运行维护及管理</w:t>
      </w:r>
    </w:p>
    <w:p w14:paraId="69C70A97">
      <w:pPr>
        <w:keepNext w:val="0"/>
        <w:keepLines w:val="0"/>
        <w:pageBreakBefore w:val="0"/>
        <w:widowControl/>
        <w:kinsoku w:val="0"/>
        <w:wordWrap/>
        <w:overflowPunct/>
        <w:topLinePunct w:val="0"/>
        <w:autoSpaceDE w:val="0"/>
        <w:autoSpaceDN w:val="0"/>
        <w:bidi w:val="0"/>
        <w:adjustRightInd w:val="0"/>
        <w:snapToGrid w:val="0"/>
        <w:spacing w:before="182"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1  范围：所有电梯设备。</w:t>
      </w:r>
    </w:p>
    <w:p w14:paraId="541BB3DA">
      <w:pPr>
        <w:keepNext w:val="0"/>
        <w:keepLines w:val="0"/>
        <w:pageBreakBefore w:val="0"/>
        <w:widowControl/>
        <w:kinsoku w:val="0"/>
        <w:wordWrap/>
        <w:overflowPunct/>
        <w:topLinePunct w:val="0"/>
        <w:autoSpaceDE w:val="0"/>
        <w:autoSpaceDN w:val="0"/>
        <w:bidi w:val="0"/>
        <w:adjustRightInd w:val="0"/>
        <w:snapToGrid w:val="0"/>
        <w:spacing w:before="179"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内容和标准：</w:t>
      </w:r>
    </w:p>
    <w:p w14:paraId="6ABCEBEA">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8" w:right="188" w:firstLine="467"/>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2.1</w:t>
      </w:r>
      <w:r>
        <w:rPr>
          <w:rFonts w:hint="eastAsia" w:ascii="宋体" w:hAnsi="宋体" w:eastAsia="宋体" w:cs="宋体"/>
          <w:color w:val="auto"/>
          <w:spacing w:val="28"/>
          <w:w w:val="101"/>
          <w:sz w:val="24"/>
          <w:szCs w:val="24"/>
        </w:rPr>
        <w:t xml:space="preserve"> </w:t>
      </w:r>
      <w:r>
        <w:rPr>
          <w:rFonts w:hint="eastAsia" w:ascii="宋体" w:hAnsi="宋体" w:eastAsia="宋体" w:cs="宋体"/>
          <w:color w:val="auto"/>
          <w:spacing w:val="1"/>
          <w:sz w:val="24"/>
          <w:szCs w:val="24"/>
        </w:rPr>
        <w:t>负责电梯设备设施巡视检查，保证电梯设备设施的正常运行。严格执行各种规</w:t>
      </w:r>
      <w:r>
        <w:rPr>
          <w:rFonts w:hint="eastAsia" w:ascii="宋体" w:hAnsi="宋体" w:eastAsia="宋体" w:cs="宋体"/>
          <w:color w:val="auto"/>
          <w:spacing w:val="-1"/>
          <w:sz w:val="24"/>
          <w:szCs w:val="24"/>
        </w:rPr>
        <w:t>章制度，加强日常管理，确保电梯安全运行。</w:t>
      </w:r>
    </w:p>
    <w:p w14:paraId="037CA334">
      <w:pPr>
        <w:keepNext w:val="0"/>
        <w:keepLines w:val="0"/>
        <w:pageBreakBefore w:val="0"/>
        <w:widowControl/>
        <w:kinsoku w:val="0"/>
        <w:wordWrap/>
        <w:overflowPunct/>
        <w:topLinePunct w:val="0"/>
        <w:autoSpaceDE w:val="0"/>
        <w:autoSpaceDN w:val="0"/>
        <w:bidi w:val="0"/>
        <w:adjustRightInd w:val="0"/>
        <w:snapToGrid w:val="0"/>
        <w:spacing w:before="185" w:line="360" w:lineRule="auto"/>
        <w:ind w:left="14" w:right="190" w:firstLine="47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2.2</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2"/>
          <w:sz w:val="24"/>
          <w:szCs w:val="24"/>
        </w:rPr>
        <w:t>电梯在投入使用前或者投入使用后 30   日内，应向</w:t>
      </w:r>
      <w:r>
        <w:rPr>
          <w:rFonts w:hint="eastAsia" w:ascii="宋体" w:hAnsi="宋体" w:eastAsia="宋体" w:cs="宋体"/>
          <w:color w:val="auto"/>
          <w:spacing w:val="-3"/>
          <w:sz w:val="24"/>
          <w:szCs w:val="24"/>
        </w:rPr>
        <w:t>相关行政主管部门办理使用</w:t>
      </w:r>
      <w:r>
        <w:rPr>
          <w:rFonts w:hint="eastAsia" w:ascii="宋体" w:hAnsi="宋体" w:eastAsia="宋体" w:cs="宋体"/>
          <w:color w:val="auto"/>
          <w:spacing w:val="-1"/>
          <w:sz w:val="24"/>
          <w:szCs w:val="24"/>
        </w:rPr>
        <w:t>登记。登记标志应置于或附着于电梯的显著位置。</w:t>
      </w:r>
    </w:p>
    <w:p w14:paraId="03540C8D">
      <w:pPr>
        <w:keepNext w:val="0"/>
        <w:keepLines w:val="0"/>
        <w:pageBreakBefore w:val="0"/>
        <w:widowControl/>
        <w:kinsoku w:val="0"/>
        <w:wordWrap/>
        <w:overflowPunct/>
        <w:topLinePunct w:val="0"/>
        <w:autoSpaceDE w:val="0"/>
        <w:autoSpaceDN w:val="0"/>
        <w:bidi w:val="0"/>
        <w:adjustRightInd w:val="0"/>
        <w:snapToGrid w:val="0"/>
        <w:spacing w:before="183" w:line="360" w:lineRule="auto"/>
        <w:ind w:left="8" w:right="190" w:firstLine="476"/>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2.3  在电梯安全检验合格有效期届满前</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1 个月，应向电梯检验检测机构提出定期检</w:t>
      </w:r>
      <w:r>
        <w:rPr>
          <w:rFonts w:hint="eastAsia" w:ascii="宋体" w:hAnsi="宋体" w:eastAsia="宋体" w:cs="宋体"/>
          <w:color w:val="auto"/>
          <w:spacing w:val="-3"/>
          <w:sz w:val="24"/>
          <w:szCs w:val="24"/>
        </w:rPr>
        <w:t>验申请。</w:t>
      </w:r>
    </w:p>
    <w:p w14:paraId="4EBC2EB2">
      <w:pPr>
        <w:keepNext w:val="0"/>
        <w:keepLines w:val="0"/>
        <w:pageBreakBefore w:val="0"/>
        <w:widowControl/>
        <w:kinsoku w:val="0"/>
        <w:wordWrap/>
        <w:overflowPunct/>
        <w:topLinePunct w:val="0"/>
        <w:autoSpaceDE w:val="0"/>
        <w:autoSpaceDN w:val="0"/>
        <w:bidi w:val="0"/>
        <w:adjustRightInd w:val="0"/>
        <w:snapToGrid w:val="0"/>
        <w:spacing w:before="185" w:line="360" w:lineRule="auto"/>
        <w:ind w:left="10" w:right="188" w:firstLine="474"/>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2.4 </w:t>
      </w:r>
      <w:r>
        <w:rPr>
          <w:rFonts w:hint="eastAsia" w:ascii="宋体" w:hAnsi="宋体" w:eastAsia="宋体" w:cs="宋体"/>
          <w:color w:val="auto"/>
          <w:spacing w:val="-2"/>
          <w:sz w:val="24"/>
          <w:szCs w:val="24"/>
        </w:rPr>
        <w:t>协助维保单位至少每月1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2"/>
          <w:sz w:val="24"/>
          <w:szCs w:val="24"/>
        </w:rPr>
        <w:t>次对电梯进行专业维护保养。</w:t>
      </w:r>
    </w:p>
    <w:p w14:paraId="09181FB5">
      <w:pPr>
        <w:keepNext w:val="0"/>
        <w:keepLines w:val="0"/>
        <w:pageBreakBefore w:val="0"/>
        <w:widowControl/>
        <w:kinsoku w:val="0"/>
        <w:wordWrap/>
        <w:overflowPunct/>
        <w:topLinePunct w:val="0"/>
        <w:autoSpaceDE w:val="0"/>
        <w:autoSpaceDN w:val="0"/>
        <w:bidi w:val="0"/>
        <w:adjustRightInd w:val="0"/>
        <w:snapToGrid w:val="0"/>
        <w:spacing w:before="183" w:line="360" w:lineRule="auto"/>
        <w:jc w:val="right"/>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rPr>
        <w:t xml:space="preserve">  对专项服务企业的维保工作及专项服务企业定期检修计划的落实情</w:t>
      </w:r>
      <w:r>
        <w:rPr>
          <w:rFonts w:hint="eastAsia" w:ascii="宋体" w:hAnsi="宋体" w:eastAsia="宋体" w:cs="宋体"/>
          <w:color w:val="auto"/>
          <w:spacing w:val="-2"/>
          <w:sz w:val="24"/>
          <w:szCs w:val="24"/>
        </w:rPr>
        <w:t>况进行监督。</w:t>
      </w:r>
    </w:p>
    <w:p w14:paraId="30DE42DF">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0" w:right="188" w:firstLine="47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1"/>
          <w:sz w:val="24"/>
          <w:szCs w:val="24"/>
          <w:lang w:val="en-US"/>
        </w:rPr>
        <w:t>6</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日常维护保养和定期检查中发现的问题应及时排除；电梯的</w:t>
      </w:r>
      <w:r>
        <w:rPr>
          <w:rFonts w:hint="eastAsia" w:ascii="宋体" w:hAnsi="宋体" w:eastAsia="宋体" w:cs="宋体"/>
          <w:color w:val="auto"/>
          <w:spacing w:val="-2"/>
          <w:sz w:val="24"/>
          <w:szCs w:val="24"/>
        </w:rPr>
        <w:t>安全附件、安全保</w:t>
      </w:r>
      <w:r>
        <w:rPr>
          <w:rFonts w:hint="eastAsia" w:ascii="宋体" w:hAnsi="宋体" w:eastAsia="宋体" w:cs="宋体"/>
          <w:color w:val="auto"/>
          <w:spacing w:val="-1"/>
          <w:sz w:val="24"/>
          <w:szCs w:val="24"/>
        </w:rPr>
        <w:t>护装置、测量调控装置及有关附属仪器仪表应每年进行校验、检修。</w:t>
      </w:r>
    </w:p>
    <w:p w14:paraId="08FEEFA7">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1"/>
          <w:sz w:val="24"/>
          <w:szCs w:val="24"/>
          <w:lang w:val="en-US"/>
        </w:rPr>
        <w:t>7</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1"/>
          <w:sz w:val="24"/>
          <w:szCs w:val="24"/>
        </w:rPr>
        <w:t>发生故障时及时协助电梯专业维保维修人员工作，并在</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15 分钟内赶到现场。</w:t>
      </w:r>
    </w:p>
    <w:p w14:paraId="56418819">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2" w:right="188" w:firstLine="47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8</w:t>
      </w:r>
      <w:r>
        <w:rPr>
          <w:rFonts w:hint="eastAsia" w:ascii="宋体" w:hAnsi="宋体" w:eastAsia="宋体" w:cs="宋体"/>
          <w:color w:val="auto"/>
          <w:sz w:val="24"/>
          <w:szCs w:val="24"/>
        </w:rPr>
        <w:t xml:space="preserve">  制定电梯应急救援预案并定期演练。发生电梯困人或其它重大事件时，应立即</w:t>
      </w:r>
      <w:r>
        <w:rPr>
          <w:rFonts w:hint="eastAsia" w:ascii="宋体" w:hAnsi="宋体" w:eastAsia="宋体" w:cs="宋体"/>
          <w:color w:val="auto"/>
          <w:spacing w:val="-1"/>
          <w:sz w:val="24"/>
          <w:szCs w:val="24"/>
        </w:rPr>
        <w:t>启动事故应急预案，组织救援，并及时向相关行政主管部门报告。物业服务人员应在</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5分钟内到达现场，专业维修人员应在</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
          <w:sz w:val="24"/>
          <w:szCs w:val="24"/>
        </w:rPr>
        <w:t>30 分钟内到达现场。</w:t>
      </w:r>
    </w:p>
    <w:p w14:paraId="76C46B07">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84"/>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3.设备设施：电梯日常运行维护所需设备设施由采购人自行准备。</w:t>
      </w:r>
    </w:p>
    <w:p w14:paraId="148BEC40">
      <w:pPr>
        <w:keepNext w:val="0"/>
        <w:keepLines w:val="0"/>
        <w:pageBreakBefore w:val="0"/>
        <w:widowControl/>
        <w:kinsoku w:val="0"/>
        <w:wordWrap/>
        <w:overflowPunct/>
        <w:topLinePunct w:val="0"/>
        <w:autoSpaceDE w:val="0"/>
        <w:autoSpaceDN w:val="0"/>
        <w:bidi w:val="0"/>
        <w:adjustRightInd w:val="0"/>
        <w:snapToGrid w:val="0"/>
        <w:spacing w:before="184"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（七）弱电系统日常运行维护及管理</w:t>
      </w:r>
    </w:p>
    <w:p w14:paraId="51D4CE9E">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范围：网络、广播、电话、消防、安防</w:t>
      </w:r>
      <w:r>
        <w:rPr>
          <w:rFonts w:hint="eastAsia" w:ascii="宋体" w:hAnsi="宋体" w:eastAsia="宋体" w:cs="宋体"/>
          <w:color w:val="auto"/>
          <w:spacing w:val="-2"/>
          <w:sz w:val="24"/>
          <w:szCs w:val="24"/>
        </w:rPr>
        <w:t>系统及设施</w:t>
      </w:r>
    </w:p>
    <w:p w14:paraId="0111434B">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内容和标准：</w:t>
      </w:r>
    </w:p>
    <w:p w14:paraId="08CDED76">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2.1  负责制定并执行网络、广播、电话、消防报警、闭路监控管理制度和应急措施。</w:t>
      </w:r>
    </w:p>
    <w:p w14:paraId="39F2D92D">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4" w:right="188" w:firstLine="47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  消防报警系统运行正常，设备灵敏可靠；一般性故障立即排除；暂时不能处理</w:t>
      </w:r>
      <w:r>
        <w:rPr>
          <w:rFonts w:hint="eastAsia" w:ascii="宋体" w:hAnsi="宋体" w:eastAsia="宋体" w:cs="宋体"/>
          <w:color w:val="auto"/>
          <w:spacing w:val="-2"/>
          <w:sz w:val="24"/>
          <w:szCs w:val="24"/>
        </w:rPr>
        <w:t>的能采取应急措施，及时通知质保单位及时维修，并跟踪异常情况排除。协助园区督促消防维保单位做好日常消防维保工作，配合园区完成消防安全相关检查，完成消防安全隐患整改、相关部门的材料递交与汇报以及协助处理物业服务范围内消防行政处罚等工</w:t>
      </w:r>
      <w:r>
        <w:rPr>
          <w:rFonts w:hint="eastAsia" w:ascii="宋体" w:hAnsi="宋体" w:eastAsia="宋体" w:cs="宋体"/>
          <w:color w:val="auto"/>
          <w:spacing w:val="-1"/>
          <w:sz w:val="24"/>
          <w:szCs w:val="24"/>
        </w:rPr>
        <w:t>作。协助采购人每年一次进行消检电检和灭火器检测。</w:t>
      </w:r>
    </w:p>
    <w:p w14:paraId="1375E182">
      <w:pPr>
        <w:keepNext w:val="0"/>
        <w:keepLines w:val="0"/>
        <w:pageBreakBefore w:val="0"/>
        <w:widowControl/>
        <w:kinsoku w:val="0"/>
        <w:wordWrap/>
        <w:overflowPunct/>
        <w:topLinePunct w:val="0"/>
        <w:autoSpaceDE w:val="0"/>
        <w:autoSpaceDN w:val="0"/>
        <w:bidi w:val="0"/>
        <w:adjustRightInd w:val="0"/>
        <w:snapToGrid w:val="0"/>
        <w:spacing w:before="180" w:line="360" w:lineRule="auto"/>
        <w:ind w:left="9" w:right="80"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2.3  火灾自动报警系统的巡查：火灾报警控制器、联动控制设备每日巡查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次</w:t>
      </w:r>
      <w:r>
        <w:rPr>
          <w:rFonts w:hint="eastAsia" w:ascii="宋体" w:hAnsi="宋体" w:eastAsia="宋体" w:cs="宋体"/>
          <w:color w:val="auto"/>
          <w:spacing w:val="-2"/>
          <w:sz w:val="24"/>
          <w:szCs w:val="24"/>
        </w:rPr>
        <w:t>设备</w:t>
      </w:r>
      <w:r>
        <w:rPr>
          <w:rFonts w:hint="eastAsia" w:ascii="宋体" w:hAnsi="宋体" w:eastAsia="宋体" w:cs="宋体"/>
          <w:color w:val="auto"/>
          <w:sz w:val="24"/>
          <w:szCs w:val="24"/>
        </w:rPr>
        <w:t>运行情况，保证</w:t>
      </w:r>
      <w:r>
        <w:rPr>
          <w:rFonts w:hint="eastAsia" w:ascii="宋体" w:hAnsi="宋体" w:eastAsia="宋体" w:cs="宋体"/>
          <w:color w:val="auto"/>
          <w:spacing w:val="-53"/>
          <w:sz w:val="24"/>
          <w:szCs w:val="24"/>
        </w:rPr>
        <w:t xml:space="preserve"> </w:t>
      </w:r>
      <w:r>
        <w:rPr>
          <w:rFonts w:hint="eastAsia" w:ascii="宋体" w:hAnsi="宋体" w:eastAsia="宋体" w:cs="宋体"/>
          <w:color w:val="auto"/>
          <w:sz w:val="24"/>
          <w:szCs w:val="24"/>
        </w:rPr>
        <w:t>24</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z w:val="24"/>
          <w:szCs w:val="24"/>
        </w:rPr>
        <w:t>小时连续正常运行；每月检查测试</w:t>
      </w:r>
      <w:r>
        <w:rPr>
          <w:rFonts w:hint="eastAsia" w:ascii="宋体" w:hAnsi="宋体" w:eastAsia="宋体" w:cs="宋体"/>
          <w:color w:val="auto"/>
          <w:spacing w:val="-30"/>
          <w:sz w:val="24"/>
          <w:szCs w:val="24"/>
        </w:rPr>
        <w:t xml:space="preserve"> </w:t>
      </w:r>
      <w:r>
        <w:rPr>
          <w:rFonts w:hint="eastAsia" w:ascii="宋体" w:hAnsi="宋体" w:eastAsia="宋体" w:cs="宋体"/>
          <w:color w:val="auto"/>
          <w:sz w:val="24"/>
          <w:szCs w:val="24"/>
        </w:rPr>
        <w:t>1</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z w:val="24"/>
          <w:szCs w:val="24"/>
        </w:rPr>
        <w:t>次报</w:t>
      </w:r>
      <w:r>
        <w:rPr>
          <w:rFonts w:hint="eastAsia" w:ascii="宋体" w:hAnsi="宋体" w:eastAsia="宋体" w:cs="宋体"/>
          <w:color w:val="auto"/>
          <w:spacing w:val="-1"/>
          <w:sz w:val="24"/>
          <w:szCs w:val="24"/>
        </w:rPr>
        <w:t>警控制器、联动控制设备</w:t>
      </w:r>
      <w:r>
        <w:rPr>
          <w:rFonts w:hint="eastAsia" w:ascii="宋体" w:hAnsi="宋体" w:eastAsia="宋体" w:cs="宋体"/>
          <w:color w:val="auto"/>
          <w:spacing w:val="-4"/>
          <w:sz w:val="24"/>
          <w:szCs w:val="24"/>
        </w:rPr>
        <w:t>的报警、联动控制、显示、打印等功能；每年机柜内部除尘</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次。每月抽查测试</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次火</w:t>
      </w:r>
      <w:r>
        <w:rPr>
          <w:rFonts w:hint="eastAsia" w:ascii="宋体" w:hAnsi="宋体" w:eastAsia="宋体" w:cs="宋体"/>
          <w:color w:val="auto"/>
          <w:spacing w:val="-2"/>
          <w:sz w:val="24"/>
          <w:szCs w:val="24"/>
        </w:rPr>
        <w:t>灾报警探测器、手动报警按钮、警报装置的报警、警报功能；探测器投入运行</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2 年后，</w:t>
      </w:r>
      <w:r>
        <w:rPr>
          <w:rFonts w:hint="eastAsia" w:ascii="宋体" w:hAnsi="宋体" w:eastAsia="宋体" w:cs="宋体"/>
          <w:color w:val="auto"/>
          <w:spacing w:val="-4"/>
          <w:sz w:val="24"/>
          <w:szCs w:val="24"/>
        </w:rPr>
        <w:t>每</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3 年由专业清洗单位清洗</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次。每月检测切换</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次主、备电源；每季度备用电源、蓄</w:t>
      </w:r>
      <w:r>
        <w:rPr>
          <w:rFonts w:hint="eastAsia" w:ascii="宋体" w:hAnsi="宋体" w:eastAsia="宋体" w:cs="宋体"/>
          <w:color w:val="auto"/>
          <w:spacing w:val="-6"/>
          <w:sz w:val="24"/>
          <w:szCs w:val="24"/>
        </w:rPr>
        <w:t>电池充放电试验</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6"/>
          <w:sz w:val="24"/>
          <w:szCs w:val="24"/>
        </w:rPr>
        <w:t>次。</w:t>
      </w:r>
    </w:p>
    <w:p w14:paraId="0AA52958">
      <w:pPr>
        <w:keepNext w:val="0"/>
        <w:keepLines w:val="0"/>
        <w:pageBreakBefore w:val="0"/>
        <w:widowControl/>
        <w:kinsoku w:val="0"/>
        <w:wordWrap/>
        <w:overflowPunct/>
        <w:topLinePunct w:val="0"/>
        <w:autoSpaceDE w:val="0"/>
        <w:autoSpaceDN w:val="0"/>
        <w:bidi w:val="0"/>
        <w:adjustRightInd w:val="0"/>
        <w:snapToGrid w:val="0"/>
        <w:spacing w:before="183" w:line="360" w:lineRule="auto"/>
        <w:ind w:left="8" w:firstLine="476"/>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2.4  消防广播系统的巡查：每月检查测试</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次消防专用电话、重要场所的对讲电话、</w:t>
      </w:r>
      <w:r>
        <w:rPr>
          <w:rFonts w:hint="eastAsia" w:ascii="宋体" w:hAnsi="宋体" w:eastAsia="宋体" w:cs="宋体"/>
          <w:color w:val="auto"/>
          <w:spacing w:val="-2"/>
          <w:sz w:val="24"/>
          <w:szCs w:val="24"/>
        </w:rPr>
        <w:t>对讲电话主机、播音设备、扩音器、扬声器的联动、强制切换功能，并测试音量；每年</w:t>
      </w:r>
      <w:r>
        <w:rPr>
          <w:rFonts w:hint="eastAsia" w:ascii="宋体" w:hAnsi="宋体" w:eastAsia="宋体" w:cs="宋体"/>
          <w:color w:val="auto"/>
          <w:spacing w:val="-4"/>
          <w:sz w:val="24"/>
          <w:szCs w:val="24"/>
        </w:rPr>
        <w:t>机柜内部除尘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次；每年机柜内的设备内部除尘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5"/>
          <w:sz w:val="24"/>
          <w:szCs w:val="24"/>
        </w:rPr>
        <w:t>次。</w:t>
      </w:r>
    </w:p>
    <w:p w14:paraId="15888704">
      <w:pPr>
        <w:keepNext w:val="0"/>
        <w:keepLines w:val="0"/>
        <w:pageBreakBefore w:val="0"/>
        <w:widowControl/>
        <w:kinsoku w:val="0"/>
        <w:wordWrap/>
        <w:overflowPunct/>
        <w:topLinePunct w:val="0"/>
        <w:autoSpaceDE w:val="0"/>
        <w:autoSpaceDN w:val="0"/>
        <w:bidi w:val="0"/>
        <w:adjustRightInd w:val="0"/>
        <w:snapToGrid w:val="0"/>
        <w:spacing w:before="183" w:line="360" w:lineRule="auto"/>
        <w:ind w:left="8" w:firstLine="476"/>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2.5  防排烟系统的巡查：每月检查测试</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次防排烟风机、排烟阀的联动功能，</w:t>
      </w:r>
      <w:r>
        <w:rPr>
          <w:rFonts w:hint="eastAsia" w:ascii="宋体" w:hAnsi="宋体" w:eastAsia="宋体" w:cs="宋体"/>
          <w:color w:val="auto"/>
          <w:spacing w:val="-2"/>
          <w:sz w:val="24"/>
          <w:szCs w:val="24"/>
        </w:rPr>
        <w:t>核对</w:t>
      </w:r>
      <w:r>
        <w:rPr>
          <w:rFonts w:hint="eastAsia" w:ascii="宋体" w:hAnsi="宋体" w:eastAsia="宋体" w:cs="宋体"/>
          <w:color w:val="auto"/>
          <w:spacing w:val="-7"/>
          <w:sz w:val="24"/>
          <w:szCs w:val="24"/>
        </w:rPr>
        <w:t>风速；每年养护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7"/>
          <w:sz w:val="24"/>
          <w:szCs w:val="24"/>
        </w:rPr>
        <w:t>次防排烟风机、电源控制柜、风口、排烟阀等。防</w:t>
      </w:r>
      <w:r>
        <w:rPr>
          <w:rFonts w:hint="eastAsia" w:ascii="宋体" w:hAnsi="宋体" w:eastAsia="宋体" w:cs="宋体"/>
          <w:color w:val="auto"/>
          <w:spacing w:val="-8"/>
          <w:sz w:val="24"/>
          <w:szCs w:val="24"/>
        </w:rPr>
        <w:t>火分隔设施的巡查：</w:t>
      </w:r>
      <w:r>
        <w:rPr>
          <w:rFonts w:hint="eastAsia" w:ascii="宋体" w:hAnsi="宋体" w:eastAsia="宋体" w:cs="宋体"/>
          <w:color w:val="auto"/>
          <w:spacing w:val="-3"/>
          <w:sz w:val="24"/>
          <w:szCs w:val="24"/>
        </w:rPr>
        <w:t>每月抽查测试</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次防火门的启闭功能、防火卷帘的手动和自动控制功能、电动防火阀的联动关闭功能；每年在防火卷帘门的电机转动、齿轮链条传动部位补充</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次润滑油，电控箱内部除尘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次；每年维修养护</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次防火门附件，在门的转动部位补充</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4"/>
          <w:sz w:val="24"/>
          <w:szCs w:val="24"/>
        </w:rPr>
        <w:t>次润滑油。</w:t>
      </w:r>
    </w:p>
    <w:p w14:paraId="01A5E258">
      <w:pPr>
        <w:keepNext w:val="0"/>
        <w:keepLines w:val="0"/>
        <w:pageBreakBefore w:val="0"/>
        <w:widowControl/>
        <w:kinsoku w:val="0"/>
        <w:wordWrap/>
        <w:overflowPunct/>
        <w:topLinePunct w:val="0"/>
        <w:autoSpaceDE w:val="0"/>
        <w:autoSpaceDN w:val="0"/>
        <w:bidi w:val="0"/>
        <w:adjustRightInd w:val="0"/>
        <w:snapToGrid w:val="0"/>
        <w:spacing w:before="182" w:line="360" w:lineRule="auto"/>
        <w:ind w:left="9" w:right="18"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2.6</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灭火系统的巡查：消防泵、喷淋泵每月盘车</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1"/>
          <w:sz w:val="24"/>
          <w:szCs w:val="24"/>
        </w:rPr>
        <w:t>次，每</w:t>
      </w:r>
      <w:r>
        <w:rPr>
          <w:rFonts w:hint="eastAsia" w:ascii="宋体" w:hAnsi="宋体" w:eastAsia="宋体" w:cs="宋体"/>
          <w:color w:val="auto"/>
          <w:spacing w:val="-2"/>
          <w:sz w:val="24"/>
          <w:szCs w:val="24"/>
        </w:rPr>
        <w:t>半年检查</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2"/>
          <w:sz w:val="24"/>
          <w:szCs w:val="24"/>
        </w:rPr>
        <w:t>次润滑情况；</w:t>
      </w:r>
      <w:r>
        <w:rPr>
          <w:rFonts w:hint="eastAsia" w:ascii="宋体" w:hAnsi="宋体" w:eastAsia="宋体" w:cs="宋体"/>
          <w:color w:val="auto"/>
          <w:spacing w:val="-8"/>
          <w:sz w:val="24"/>
          <w:szCs w:val="24"/>
        </w:rPr>
        <w:t>每年养护</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次室内、外消火栓。应急照明、疏散指示标志：</w:t>
      </w:r>
      <w:r>
        <w:rPr>
          <w:rFonts w:hint="eastAsia" w:ascii="宋体" w:hAnsi="宋体" w:eastAsia="宋体" w:cs="宋体"/>
          <w:color w:val="auto"/>
          <w:spacing w:val="-9"/>
          <w:sz w:val="24"/>
          <w:szCs w:val="24"/>
        </w:rPr>
        <w:t>每月测试切断正常供电</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次，</w:t>
      </w:r>
      <w:r>
        <w:rPr>
          <w:rFonts w:hint="eastAsia" w:ascii="宋体" w:hAnsi="宋体" w:eastAsia="宋体" w:cs="宋体"/>
          <w:color w:val="auto"/>
          <w:spacing w:val="-4"/>
          <w:sz w:val="24"/>
          <w:szCs w:val="24"/>
        </w:rPr>
        <w:t>测量</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次照度和供电时间。消防电梯：每月检查测试</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次按钮迫降和联动控制功能，轿箱内消防电话。灭火器：每日巡查</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次灭火器数量、位置情况，每月检查核对</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次灭火</w:t>
      </w:r>
      <w:r>
        <w:rPr>
          <w:rFonts w:hint="eastAsia" w:ascii="宋体" w:hAnsi="宋体" w:eastAsia="宋体" w:cs="宋体"/>
          <w:color w:val="auto"/>
          <w:spacing w:val="-1"/>
          <w:sz w:val="24"/>
          <w:szCs w:val="24"/>
        </w:rPr>
        <w:t>器选型、压力和有效期，保证处于完好状态。</w:t>
      </w:r>
    </w:p>
    <w:p w14:paraId="73FA1384">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1" w:right="80" w:firstLine="473"/>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2.7  安防监控报警系统运行正常，设备灵敏可靠；一般性故障立即排除；暂时不能</w:t>
      </w:r>
      <w:r>
        <w:rPr>
          <w:rFonts w:hint="eastAsia" w:ascii="宋体" w:hAnsi="宋体" w:eastAsia="宋体" w:cs="宋体"/>
          <w:color w:val="auto"/>
          <w:spacing w:val="-2"/>
          <w:sz w:val="24"/>
          <w:szCs w:val="24"/>
        </w:rPr>
        <w:t>处理的能采取应急措施，及时通知质保单位及时维修，并跟踪异常情况排除。协助学校督促安防维保单位做好日常安防维保工作，配合园区完成安防安全相关检查，完成安防安全隐患整改、相关部门的材料递交与汇报以及协助处理物业服务范围内安防行政处罚</w:t>
      </w:r>
      <w:r>
        <w:rPr>
          <w:rFonts w:hint="eastAsia" w:ascii="宋体" w:hAnsi="宋体" w:eastAsia="宋体" w:cs="宋体"/>
          <w:color w:val="auto"/>
          <w:spacing w:val="-3"/>
          <w:sz w:val="24"/>
          <w:szCs w:val="24"/>
        </w:rPr>
        <w:t>等工作。</w:t>
      </w:r>
    </w:p>
    <w:p w14:paraId="48EEB1DA">
      <w:pPr>
        <w:keepNext w:val="0"/>
        <w:keepLines w:val="0"/>
        <w:pageBreakBefore w:val="0"/>
        <w:widowControl/>
        <w:kinsoku w:val="0"/>
        <w:wordWrap/>
        <w:overflowPunct/>
        <w:topLinePunct w:val="0"/>
        <w:autoSpaceDE w:val="0"/>
        <w:autoSpaceDN w:val="0"/>
        <w:bidi w:val="0"/>
        <w:adjustRightInd w:val="0"/>
        <w:snapToGrid w:val="0"/>
        <w:spacing w:before="180" w:line="360" w:lineRule="auto"/>
        <w:ind w:left="9"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2.8  报警控制管理主机：每日巡查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6"/>
          <w:sz w:val="24"/>
          <w:szCs w:val="24"/>
        </w:rPr>
        <w:t>次，检查设备运行状态；每</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6"/>
          <w:sz w:val="24"/>
          <w:szCs w:val="24"/>
        </w:rPr>
        <w:t>2 周表面清洁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6"/>
          <w:sz w:val="24"/>
          <w:szCs w:val="24"/>
        </w:rPr>
        <w:t>次；</w:t>
      </w:r>
      <w:r>
        <w:rPr>
          <w:rFonts w:hint="eastAsia" w:ascii="宋体" w:hAnsi="宋体" w:eastAsia="宋体" w:cs="宋体"/>
          <w:color w:val="auto"/>
          <w:spacing w:val="-9"/>
          <w:sz w:val="24"/>
          <w:szCs w:val="24"/>
        </w:rPr>
        <w:t>每半年内部除尘</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次。网络控制箱：每半年检查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9"/>
          <w:sz w:val="24"/>
          <w:szCs w:val="24"/>
        </w:rPr>
        <w:t>次外观、接线；每季度表面清洁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次；</w:t>
      </w:r>
      <w:r>
        <w:rPr>
          <w:rFonts w:hint="eastAsia" w:ascii="宋体" w:hAnsi="宋体" w:eastAsia="宋体" w:cs="宋体"/>
          <w:color w:val="auto"/>
          <w:spacing w:val="-8"/>
          <w:sz w:val="24"/>
          <w:szCs w:val="24"/>
        </w:rPr>
        <w:t>每半年内部除尘</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8"/>
          <w:sz w:val="24"/>
          <w:szCs w:val="24"/>
        </w:rPr>
        <w:t>次。红外对射探测器：每季度检查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次接线、探测范围、防水状况等；</w:t>
      </w:r>
      <w:r>
        <w:rPr>
          <w:rFonts w:hint="eastAsia" w:ascii="宋体" w:hAnsi="宋体" w:eastAsia="宋体" w:cs="宋体"/>
          <w:color w:val="auto"/>
          <w:spacing w:val="-3"/>
          <w:sz w:val="24"/>
          <w:szCs w:val="24"/>
        </w:rPr>
        <w:t>每季度表面清洁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次；每半年内部除尘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次。图像采集设备：每周检查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次监视画</w:t>
      </w:r>
      <w:r>
        <w:rPr>
          <w:rFonts w:hint="eastAsia" w:ascii="宋体" w:hAnsi="宋体" w:eastAsia="宋体" w:cs="宋体"/>
          <w:color w:val="auto"/>
          <w:spacing w:val="-4"/>
          <w:sz w:val="24"/>
          <w:szCs w:val="24"/>
        </w:rPr>
        <w:t>面、</w:t>
      </w:r>
      <w:r>
        <w:rPr>
          <w:rFonts w:hint="eastAsia" w:ascii="宋体" w:hAnsi="宋体" w:eastAsia="宋体" w:cs="宋体"/>
          <w:color w:val="auto"/>
          <w:spacing w:val="-9"/>
          <w:sz w:val="24"/>
          <w:szCs w:val="24"/>
        </w:rPr>
        <w:t>录像功能；每</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9"/>
          <w:sz w:val="24"/>
          <w:szCs w:val="24"/>
        </w:rPr>
        <w:t>2 周表面清洁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次；每半年内部除尘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9"/>
          <w:sz w:val="24"/>
          <w:szCs w:val="24"/>
        </w:rPr>
        <w:t>次。摄像机：每季度检查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9"/>
          <w:sz w:val="24"/>
          <w:szCs w:val="24"/>
        </w:rPr>
        <w:t>次聚焦、</w:t>
      </w:r>
      <w:r>
        <w:rPr>
          <w:rFonts w:hint="eastAsia" w:ascii="宋体" w:hAnsi="宋体" w:eastAsia="宋体" w:cs="宋体"/>
          <w:color w:val="auto"/>
          <w:spacing w:val="-3"/>
          <w:sz w:val="24"/>
          <w:szCs w:val="24"/>
        </w:rPr>
        <w:t>红外夜视、接线、防水状况等，进行相应的调试；每季度镜头表面清洁</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次；每年防护</w:t>
      </w:r>
      <w:r>
        <w:rPr>
          <w:rFonts w:hint="eastAsia" w:ascii="宋体" w:hAnsi="宋体" w:eastAsia="宋体" w:cs="宋体"/>
          <w:color w:val="auto"/>
          <w:spacing w:val="-4"/>
          <w:sz w:val="24"/>
          <w:szCs w:val="24"/>
        </w:rPr>
        <w:t>罩内部除尘</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4"/>
          <w:sz w:val="24"/>
          <w:szCs w:val="24"/>
        </w:rPr>
        <w:t>次。解码器：每半年检查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4"/>
          <w:sz w:val="24"/>
          <w:szCs w:val="24"/>
        </w:rPr>
        <w:t>次防雨罩、接线等，进行相应的调试；每半年</w:t>
      </w:r>
      <w:r>
        <w:rPr>
          <w:rFonts w:hint="eastAsia" w:ascii="宋体" w:hAnsi="宋体" w:eastAsia="宋体" w:cs="宋体"/>
          <w:color w:val="auto"/>
          <w:spacing w:val="-5"/>
          <w:sz w:val="24"/>
          <w:szCs w:val="24"/>
        </w:rPr>
        <w:t>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次；每年内部除尘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次。云台：每半年检查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5"/>
          <w:sz w:val="24"/>
          <w:szCs w:val="24"/>
        </w:rPr>
        <w:t>次运转、接线，进行清晰度调校；每半年表面清洁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次；每年转动部位上润滑油</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次。巡更点：每月检查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5"/>
          <w:sz w:val="24"/>
          <w:szCs w:val="24"/>
        </w:rPr>
        <w:t>次外观；</w:t>
      </w:r>
      <w:r>
        <w:rPr>
          <w:rFonts w:hint="eastAsia" w:ascii="宋体" w:hAnsi="宋体" w:eastAsia="宋体" w:cs="宋体"/>
          <w:color w:val="auto"/>
          <w:spacing w:val="-3"/>
          <w:sz w:val="24"/>
          <w:szCs w:val="24"/>
        </w:rPr>
        <w:t>每月表面清洁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次；每日存储巡更记录。读卡器：每月检查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次外观；每月表面清洁</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2"/>
          <w:sz w:val="24"/>
          <w:szCs w:val="24"/>
        </w:rPr>
        <w:t>次，查看防水状况。电磁锁门锁：每</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2"/>
          <w:sz w:val="24"/>
          <w:szCs w:val="24"/>
        </w:rPr>
        <w:t>2</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2"/>
          <w:sz w:val="24"/>
          <w:szCs w:val="24"/>
        </w:rPr>
        <w:t>月检查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2"/>
          <w:sz w:val="24"/>
          <w:szCs w:val="24"/>
        </w:rPr>
        <w:t>次吸力、外观、接线。出门按钮</w:t>
      </w:r>
      <w:r>
        <w:rPr>
          <w:rFonts w:hint="eastAsia" w:ascii="宋体" w:hAnsi="宋体" w:eastAsia="宋体" w:cs="宋体"/>
          <w:color w:val="auto"/>
          <w:spacing w:val="-3"/>
          <w:sz w:val="24"/>
          <w:szCs w:val="24"/>
        </w:rPr>
        <w:t>：每</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2月检查</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次开锁功能、接线。安防监控系统日常运行及管理所需设备设施由物业方自行准备。</w:t>
      </w:r>
    </w:p>
    <w:p w14:paraId="6726ADA2">
      <w:pPr>
        <w:keepNext w:val="0"/>
        <w:keepLines w:val="0"/>
        <w:pageBreakBefore w:val="0"/>
        <w:widowControl/>
        <w:kinsoku w:val="0"/>
        <w:wordWrap/>
        <w:overflowPunct/>
        <w:topLinePunct w:val="0"/>
        <w:autoSpaceDE w:val="0"/>
        <w:autoSpaceDN w:val="0"/>
        <w:bidi w:val="0"/>
        <w:adjustRightInd w:val="0"/>
        <w:snapToGrid w:val="0"/>
        <w:spacing w:before="1" w:line="360" w:lineRule="auto"/>
        <w:ind w:left="9" w:right="80" w:firstLine="475"/>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2.9  网络、广播、电话系统，保障系统运行正常，设备灵敏可靠；一般性故障立即</w:t>
      </w:r>
      <w:r>
        <w:rPr>
          <w:rFonts w:hint="eastAsia" w:ascii="宋体" w:hAnsi="宋体" w:eastAsia="宋体" w:cs="宋体"/>
          <w:color w:val="auto"/>
          <w:spacing w:val="-2"/>
          <w:sz w:val="24"/>
          <w:szCs w:val="24"/>
        </w:rPr>
        <w:t>排除；暂时不能处理的能采取应急措施，及时通知质保单位及时维修，并跟踪异常情况</w:t>
      </w:r>
      <w:r>
        <w:rPr>
          <w:rFonts w:hint="eastAsia" w:ascii="宋体" w:hAnsi="宋体" w:eastAsia="宋体" w:cs="宋体"/>
          <w:color w:val="auto"/>
          <w:spacing w:val="-4"/>
          <w:sz w:val="24"/>
          <w:szCs w:val="24"/>
        </w:rPr>
        <w:t>排除。</w:t>
      </w:r>
    </w:p>
    <w:p w14:paraId="00B7FAC6">
      <w:pPr>
        <w:keepNext w:val="0"/>
        <w:keepLines w:val="0"/>
        <w:pageBreakBefore w:val="0"/>
        <w:widowControl/>
        <w:kinsoku w:val="0"/>
        <w:wordWrap/>
        <w:overflowPunct/>
        <w:topLinePunct w:val="0"/>
        <w:autoSpaceDE w:val="0"/>
        <w:autoSpaceDN w:val="0"/>
        <w:bidi w:val="0"/>
        <w:adjustRightInd w:val="0"/>
        <w:snapToGrid w:val="0"/>
        <w:spacing w:line="360" w:lineRule="auto"/>
        <w:ind w:left="10" w:right="82" w:firstLine="473"/>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3.设备设施：弱电系统日常运行维护及管理所需设备设施</w:t>
      </w:r>
      <w:r>
        <w:rPr>
          <w:rFonts w:hint="eastAsia" w:ascii="宋体" w:hAnsi="宋体" w:eastAsia="宋体" w:cs="宋体"/>
          <w:b/>
          <w:bCs/>
          <w:color w:val="auto"/>
          <w:spacing w:val="-2"/>
          <w:sz w:val="24"/>
          <w:szCs w:val="24"/>
          <w:lang w:eastAsia="zh-CN"/>
        </w:rPr>
        <w:t>、</w:t>
      </w:r>
      <w:r>
        <w:rPr>
          <w:rFonts w:hint="eastAsia" w:ascii="宋体" w:hAnsi="宋体" w:eastAsia="宋体" w:cs="宋体"/>
          <w:b/>
          <w:bCs/>
          <w:color w:val="auto"/>
          <w:spacing w:val="-3"/>
          <w:sz w:val="24"/>
          <w:szCs w:val="24"/>
        </w:rPr>
        <w:t>耗材，如线槽、网线等费用由采购人负责。</w:t>
      </w:r>
    </w:p>
    <w:p w14:paraId="70677D6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44"/>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3.环境维护养护</w:t>
      </w:r>
    </w:p>
    <w:p w14:paraId="5A0C61CB">
      <w:pPr>
        <w:keepNext w:val="0"/>
        <w:keepLines w:val="0"/>
        <w:pageBreakBefore w:val="0"/>
        <w:widowControl/>
        <w:kinsoku w:val="0"/>
        <w:wordWrap/>
        <w:overflowPunct/>
        <w:topLinePunct w:val="0"/>
        <w:autoSpaceDE w:val="0"/>
        <w:autoSpaceDN w:val="0"/>
        <w:bidi w:val="0"/>
        <w:adjustRightInd w:val="0"/>
        <w:snapToGrid w:val="0"/>
        <w:spacing w:before="183"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（一）保洁工作（含专业虫害消杀、其他垃圾清运消纳）</w:t>
      </w:r>
    </w:p>
    <w:p w14:paraId="49E2B58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8" w:right="120" w:firstLine="49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范围：所有楼宇全部公共区域保洁（除餐厅</w:t>
      </w:r>
      <w:r>
        <w:rPr>
          <w:rFonts w:hint="eastAsia" w:ascii="宋体" w:hAnsi="宋体" w:eastAsia="宋体" w:cs="宋体"/>
          <w:color w:val="auto"/>
          <w:spacing w:val="-41"/>
          <w:sz w:val="24"/>
          <w:szCs w:val="24"/>
        </w:rPr>
        <w:t>），</w:t>
      </w:r>
      <w:r>
        <w:rPr>
          <w:rFonts w:hint="eastAsia" w:ascii="宋体" w:hAnsi="宋体" w:eastAsia="宋体" w:cs="宋体"/>
          <w:color w:val="auto"/>
          <w:spacing w:val="-1"/>
          <w:sz w:val="24"/>
          <w:szCs w:val="24"/>
        </w:rPr>
        <w:t>园区公共区域及体育场、外围、</w:t>
      </w:r>
      <w:r>
        <w:rPr>
          <w:rFonts w:hint="eastAsia" w:ascii="宋体" w:hAnsi="宋体" w:eastAsia="宋体" w:cs="宋体"/>
          <w:color w:val="auto"/>
          <w:spacing w:val="-2"/>
          <w:sz w:val="24"/>
          <w:szCs w:val="24"/>
        </w:rPr>
        <w:t>道路保洁。</w:t>
      </w:r>
    </w:p>
    <w:p w14:paraId="7A10D99C">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工作时间：按每工作日</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7:00-17:00 计。</w:t>
      </w:r>
    </w:p>
    <w:p w14:paraId="29A41217">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3</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7"/>
          <w:sz w:val="24"/>
          <w:szCs w:val="24"/>
        </w:rPr>
        <w:t>内容和标准：</w:t>
      </w:r>
    </w:p>
    <w:p w14:paraId="653B38B0">
      <w:pPr>
        <w:keepNext w:val="0"/>
        <w:keepLines w:val="0"/>
        <w:pageBreakBefore w:val="0"/>
        <w:widowControl/>
        <w:kinsoku w:val="0"/>
        <w:wordWrap/>
        <w:overflowPunct/>
        <w:topLinePunct w:val="0"/>
        <w:autoSpaceDE w:val="0"/>
        <w:autoSpaceDN w:val="0"/>
        <w:bidi w:val="0"/>
        <w:adjustRightInd w:val="0"/>
        <w:snapToGrid w:val="0"/>
        <w:spacing w:before="182" w:line="360" w:lineRule="auto"/>
        <w:ind w:left="9" w:firstLine="48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3.1  建立环境卫生管理制度并落实，做好记录。每日检查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次清洁质量，做好</w:t>
      </w:r>
      <w:r>
        <w:rPr>
          <w:rFonts w:hint="eastAsia" w:ascii="宋体" w:hAnsi="宋体" w:eastAsia="宋体" w:cs="宋体"/>
          <w:color w:val="auto"/>
          <w:spacing w:val="-6"/>
          <w:sz w:val="24"/>
          <w:szCs w:val="24"/>
        </w:rPr>
        <w:t>记录。</w:t>
      </w:r>
      <w:r>
        <w:rPr>
          <w:rFonts w:hint="eastAsia" w:ascii="宋体" w:hAnsi="宋体" w:eastAsia="宋体" w:cs="宋体"/>
          <w:color w:val="auto"/>
          <w:spacing w:val="-3"/>
          <w:sz w:val="24"/>
          <w:szCs w:val="24"/>
        </w:rPr>
        <w:t>每月全面检查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次清洁质量，做好记录。</w:t>
      </w:r>
    </w:p>
    <w:p w14:paraId="104B466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8" w:right="18" w:firstLine="48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3.2  根据北京市生活垃圾管理条例，对园区的生活垃圾，及时清运；对非生活</w:t>
      </w:r>
      <w:r>
        <w:rPr>
          <w:rFonts w:hint="eastAsia" w:ascii="宋体" w:hAnsi="宋体" w:eastAsia="宋体" w:cs="宋体"/>
          <w:color w:val="auto"/>
          <w:spacing w:val="-1"/>
          <w:sz w:val="24"/>
          <w:szCs w:val="24"/>
        </w:rPr>
        <w:t>垃圾</w:t>
      </w:r>
      <w:r>
        <w:rPr>
          <w:rFonts w:hint="eastAsia" w:ascii="宋体" w:hAnsi="宋体" w:eastAsia="宋体" w:cs="宋体"/>
          <w:color w:val="auto"/>
          <w:spacing w:val="-2"/>
          <w:sz w:val="24"/>
          <w:szCs w:val="24"/>
        </w:rPr>
        <w:t>进行日常管理。生活垃圾分类收集，配置密闭式垃圾收集容器，有分类标志。每</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2 周至</w:t>
      </w:r>
      <w:r>
        <w:rPr>
          <w:rFonts w:hint="eastAsia" w:ascii="宋体" w:hAnsi="宋体" w:eastAsia="宋体" w:cs="宋体"/>
          <w:color w:val="auto"/>
          <w:spacing w:val="-5"/>
          <w:sz w:val="24"/>
          <w:szCs w:val="24"/>
        </w:rPr>
        <w:t>少清洗</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次垃圾收集容器。蝇、蚊孳生季节每日喷洒</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5"/>
          <w:sz w:val="24"/>
          <w:szCs w:val="24"/>
        </w:rPr>
        <w:t>次杀虫药。每日清运</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5"/>
          <w:sz w:val="24"/>
          <w:szCs w:val="24"/>
        </w:rPr>
        <w:t>次生活垃</w:t>
      </w:r>
      <w:r>
        <w:rPr>
          <w:rFonts w:hint="eastAsia" w:ascii="宋体" w:hAnsi="宋体" w:eastAsia="宋体" w:cs="宋体"/>
          <w:color w:val="auto"/>
          <w:spacing w:val="-6"/>
          <w:sz w:val="24"/>
          <w:szCs w:val="24"/>
        </w:rPr>
        <w:t>圾到指定的垃圾消纳场所，不得乱堆乱倒。清运后垃圾桶及时冲刷，无异味、无粘附物，</w:t>
      </w:r>
      <w:r>
        <w:rPr>
          <w:rFonts w:hint="eastAsia" w:ascii="宋体" w:hAnsi="宋体" w:eastAsia="宋体" w:cs="宋体"/>
          <w:color w:val="auto"/>
          <w:spacing w:val="-5"/>
          <w:sz w:val="24"/>
          <w:szCs w:val="24"/>
        </w:rPr>
        <w:t>每日</w:t>
      </w:r>
      <w:r>
        <w:rPr>
          <w:rFonts w:hint="eastAsia" w:ascii="宋体" w:hAnsi="宋体" w:eastAsia="宋体" w:cs="宋体"/>
          <w:b/>
          <w:bCs/>
          <w:color w:val="auto"/>
          <w:spacing w:val="-5"/>
          <w:sz w:val="24"/>
          <w:szCs w:val="24"/>
        </w:rPr>
        <w:t>消毒</w:t>
      </w:r>
      <w:r>
        <w:rPr>
          <w:rFonts w:hint="eastAsia" w:ascii="宋体" w:hAnsi="宋体" w:eastAsia="宋体" w:cs="宋体"/>
          <w:color w:val="auto"/>
          <w:spacing w:val="-5"/>
          <w:sz w:val="24"/>
          <w:szCs w:val="24"/>
        </w:rPr>
        <w:t>。</w:t>
      </w:r>
      <w:r>
        <w:rPr>
          <w:rFonts w:hint="eastAsia" w:ascii="宋体" w:hAnsi="宋体" w:eastAsia="宋体" w:cs="宋体"/>
          <w:b/>
          <w:bCs/>
          <w:color w:val="auto"/>
          <w:spacing w:val="-5"/>
          <w:sz w:val="24"/>
          <w:szCs w:val="24"/>
        </w:rPr>
        <w:t>（日常消毒剂等费用</w:t>
      </w:r>
      <w:r>
        <w:rPr>
          <w:rFonts w:hint="eastAsia" w:ascii="宋体" w:hAnsi="宋体" w:eastAsia="宋体" w:cs="宋体"/>
          <w:b/>
          <w:bCs/>
          <w:color w:val="auto"/>
          <w:spacing w:val="-5"/>
          <w:sz w:val="24"/>
          <w:szCs w:val="24"/>
          <w:lang w:val="en-US" w:eastAsia="zh-CN"/>
        </w:rPr>
        <w:t>采购人提供</w:t>
      </w:r>
      <w:r>
        <w:rPr>
          <w:rFonts w:hint="eastAsia" w:ascii="宋体" w:hAnsi="宋体" w:eastAsia="宋体" w:cs="宋体"/>
          <w:b/>
          <w:bCs/>
          <w:color w:val="auto"/>
          <w:spacing w:val="-5"/>
          <w:sz w:val="24"/>
          <w:szCs w:val="24"/>
        </w:rPr>
        <w:t>）</w:t>
      </w:r>
      <w:r>
        <w:rPr>
          <w:rFonts w:hint="eastAsia" w:ascii="宋体" w:hAnsi="宋体" w:eastAsia="宋体" w:cs="宋体"/>
          <w:color w:val="auto"/>
          <w:spacing w:val="-6"/>
          <w:sz w:val="24"/>
          <w:szCs w:val="24"/>
        </w:rPr>
        <w:t>垃圾清运车外观整洁。</w:t>
      </w:r>
    </w:p>
    <w:p w14:paraId="5A922333">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3.3  楼内/室内保洁标准：</w:t>
      </w:r>
    </w:p>
    <w:p w14:paraId="711DBD05">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楼道、楼梯、大厅、楼梯扶手、栏杆干净整洁、</w:t>
      </w:r>
      <w:r>
        <w:rPr>
          <w:rFonts w:hint="eastAsia" w:ascii="宋体" w:hAnsi="宋体" w:eastAsia="宋体" w:cs="宋体"/>
          <w:color w:val="auto"/>
          <w:spacing w:val="-1"/>
          <w:sz w:val="24"/>
          <w:szCs w:val="24"/>
        </w:rPr>
        <w:t>光洁、无灰尘、污迹；</w:t>
      </w:r>
    </w:p>
    <w:p w14:paraId="19E52D53">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9"/>
        <w:textAlignment w:val="baseline"/>
        <w:rPr>
          <w:rFonts w:hint="eastAsia" w:ascii="宋体" w:hAnsi="宋体" w:eastAsia="宋体" w:cs="宋体"/>
          <w:color w:val="auto"/>
          <w:spacing w:val="-1"/>
          <w:sz w:val="24"/>
          <w:szCs w:val="24"/>
        </w:rPr>
      </w:pPr>
      <w:r>
        <w:rPr>
          <w:rFonts w:hint="eastAsia" w:ascii="宋体" w:hAnsi="宋体" w:eastAsia="宋体" w:cs="宋体"/>
          <w:color w:val="auto"/>
          <w:sz w:val="24"/>
          <w:szCs w:val="24"/>
        </w:rPr>
        <w:t>地面无污垢、痰迹、纸屑、烟头；大理石地面有</w:t>
      </w:r>
      <w:r>
        <w:rPr>
          <w:rFonts w:hint="eastAsia" w:ascii="宋体" w:hAnsi="宋体" w:eastAsia="宋体" w:cs="宋体"/>
          <w:color w:val="auto"/>
          <w:spacing w:val="-1"/>
          <w:sz w:val="24"/>
          <w:szCs w:val="24"/>
        </w:rPr>
        <w:t>光泽，地毯洁净无污渍；</w:t>
      </w:r>
    </w:p>
    <w:p w14:paraId="304E9813">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大理石墙面用纸巾擦拭无灰尘，喷涂墙无污迹；消防栓无污渍；</w:t>
      </w:r>
    </w:p>
    <w:p w14:paraId="0EAFB0EA">
      <w:pPr>
        <w:keepNext w:val="0"/>
        <w:keepLines w:val="0"/>
        <w:pageBreakBefore w:val="0"/>
        <w:widowControl/>
        <w:kinsoku w:val="0"/>
        <w:wordWrap/>
        <w:overflowPunct/>
        <w:topLinePunct w:val="0"/>
        <w:autoSpaceDE w:val="0"/>
        <w:autoSpaceDN w:val="0"/>
        <w:bidi w:val="0"/>
        <w:adjustRightInd w:val="0"/>
        <w:snapToGrid w:val="0"/>
        <w:spacing w:before="179" w:line="360" w:lineRule="auto"/>
        <w:ind w:left="49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天花板、天棚、灯具、出风口目视无灰尘、无蜘蛛网；</w:t>
      </w:r>
    </w:p>
    <w:p w14:paraId="571244D5">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3"/>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玻璃门窗明亮，无明显污迹；窗台无灰尘，窗帘挂放整齐；</w:t>
      </w:r>
    </w:p>
    <w:p w14:paraId="5D568C75">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right="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三米以下公共区域门窗、玻璃、镜子、桌椅保持</w:t>
      </w:r>
      <w:r>
        <w:rPr>
          <w:rFonts w:hint="eastAsia" w:ascii="宋体" w:hAnsi="宋体" w:eastAsia="宋体" w:cs="宋体"/>
          <w:color w:val="auto"/>
          <w:spacing w:val="-2"/>
          <w:sz w:val="24"/>
          <w:szCs w:val="24"/>
        </w:rPr>
        <w:t>洁净光亮，无污迹，水迹、裂痕。</w:t>
      </w:r>
      <w:r>
        <w:rPr>
          <w:rFonts w:hint="eastAsia" w:ascii="宋体" w:hAnsi="宋体" w:eastAsia="宋体" w:cs="宋体"/>
          <w:color w:val="auto"/>
          <w:spacing w:val="-1"/>
          <w:sz w:val="24"/>
          <w:szCs w:val="24"/>
        </w:rPr>
        <w:t>保洁工具与保洁用品要统一放在指定地点，保证公共区域整洁；</w:t>
      </w:r>
    </w:p>
    <w:p w14:paraId="4F9278F5">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会议室：室内设施设备每天保洁清扫</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w:t>
      </w:r>
    </w:p>
    <w:p w14:paraId="23FD286D">
      <w:pPr>
        <w:keepNext w:val="0"/>
        <w:keepLines w:val="0"/>
        <w:pageBreakBefore w:val="0"/>
        <w:widowControl/>
        <w:kinsoku w:val="0"/>
        <w:wordWrap/>
        <w:overflowPunct/>
        <w:topLinePunct w:val="0"/>
        <w:autoSpaceDE w:val="0"/>
        <w:autoSpaceDN w:val="0"/>
        <w:bidi w:val="0"/>
        <w:adjustRightInd w:val="0"/>
        <w:snapToGrid w:val="0"/>
        <w:spacing w:before="182" w:line="360" w:lineRule="auto"/>
        <w:ind w:left="9" w:right="99" w:firstLine="479"/>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楼梯扶手、栏杆、窗台每日擦抹。窗户沟槽、玻璃内面、防火门、消防栓、指示牌</w:t>
      </w:r>
      <w:r>
        <w:rPr>
          <w:rFonts w:hint="eastAsia" w:ascii="宋体" w:hAnsi="宋体" w:eastAsia="宋体" w:cs="宋体"/>
          <w:color w:val="auto"/>
          <w:spacing w:val="-3"/>
          <w:sz w:val="24"/>
          <w:szCs w:val="24"/>
        </w:rPr>
        <w:t>等公共设施每周擦抹</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次，无积尘。公共灯具每半年除尘</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w:t>
      </w:r>
      <w:r>
        <w:rPr>
          <w:rFonts w:hint="eastAsia" w:ascii="宋体" w:hAnsi="宋体" w:eastAsia="宋体" w:cs="宋体"/>
          <w:color w:val="auto"/>
          <w:spacing w:val="-4"/>
          <w:sz w:val="24"/>
          <w:szCs w:val="24"/>
        </w:rPr>
        <w:t>大堂每日清洁，门厅玻璃每日擦拭。电梯轿箱每日擦拭并巡视，</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4"/>
          <w:sz w:val="24"/>
          <w:szCs w:val="24"/>
        </w:rPr>
        <w:t>目视无污迹。楼项天台、屋顶每</w:t>
      </w:r>
      <w:r>
        <w:rPr>
          <w:rFonts w:hint="eastAsia" w:ascii="宋体" w:hAnsi="宋体" w:eastAsia="宋体" w:cs="宋体"/>
          <w:color w:val="auto"/>
          <w:spacing w:val="-5"/>
          <w:sz w:val="24"/>
          <w:szCs w:val="24"/>
        </w:rPr>
        <w:t>月清扫</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5"/>
          <w:sz w:val="24"/>
          <w:szCs w:val="24"/>
        </w:rPr>
        <w:t>次，</w:t>
      </w:r>
      <w:r>
        <w:rPr>
          <w:rFonts w:hint="eastAsia" w:ascii="宋体" w:hAnsi="宋体" w:eastAsia="宋体" w:cs="宋体"/>
          <w:color w:val="auto"/>
          <w:spacing w:val="-3"/>
          <w:sz w:val="24"/>
          <w:szCs w:val="24"/>
        </w:rPr>
        <w:t>无垃圾杂物。雨蓬、门头等每季清洁</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w:t>
      </w:r>
    </w:p>
    <w:p w14:paraId="3FD927E9">
      <w:pPr>
        <w:keepNext w:val="0"/>
        <w:keepLines w:val="0"/>
        <w:pageBreakBefore w:val="0"/>
        <w:widowControl/>
        <w:kinsoku w:val="0"/>
        <w:wordWrap/>
        <w:overflowPunct/>
        <w:topLinePunct w:val="0"/>
        <w:autoSpaceDE w:val="0"/>
        <w:autoSpaceDN w:val="0"/>
        <w:bidi w:val="0"/>
        <w:adjustRightInd w:val="0"/>
        <w:snapToGrid w:val="0"/>
        <w:spacing w:line="360" w:lineRule="auto"/>
        <w:ind w:left="9" w:firstLine="481"/>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垃圾分类管理，垃圾桶分类标识清晰、外观整洁，垃圾桶内套用垃圾袋，垃圾箱（桶）</w:t>
      </w:r>
      <w:r>
        <w:rPr>
          <w:rFonts w:hint="eastAsia" w:ascii="宋体" w:hAnsi="宋体" w:eastAsia="宋体" w:cs="宋体"/>
          <w:color w:val="auto"/>
          <w:spacing w:val="-2"/>
          <w:sz w:val="24"/>
          <w:szCs w:val="24"/>
        </w:rPr>
        <w:t>每天清掏及擦拭</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2"/>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次。垃圾筒内垃圾不超过</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2"/>
          <w:sz w:val="24"/>
          <w:szCs w:val="24"/>
        </w:rPr>
        <w:t>2/3</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2"/>
          <w:sz w:val="24"/>
          <w:szCs w:val="24"/>
        </w:rPr>
        <w:t>，并摆放整齐，外观干净。</w:t>
      </w:r>
    </w:p>
    <w:p w14:paraId="765E4A2D">
      <w:pPr>
        <w:keepNext w:val="0"/>
        <w:keepLines w:val="0"/>
        <w:pageBreakBefore w:val="0"/>
        <w:widowControl/>
        <w:kinsoku w:val="0"/>
        <w:wordWrap/>
        <w:overflowPunct/>
        <w:topLinePunct w:val="0"/>
        <w:autoSpaceDE w:val="0"/>
        <w:autoSpaceDN w:val="0"/>
        <w:bidi w:val="0"/>
        <w:adjustRightInd w:val="0"/>
        <w:snapToGrid w:val="0"/>
        <w:spacing w:before="1"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3.4  开水间保洁标准：</w:t>
      </w:r>
    </w:p>
    <w:p w14:paraId="0052923E">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每日定时进行环境保洁，保持墙面干净，地面清洁、无积水。</w:t>
      </w:r>
    </w:p>
    <w:p w14:paraId="0D0032CF">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每日定时洗刷水槽，清理地漏，保持水槽干净，排水通畅。</w:t>
      </w:r>
    </w:p>
    <w:p w14:paraId="583063EA">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每日定时清洁供水设备，保持设备表面清洁。</w:t>
      </w:r>
    </w:p>
    <w:p w14:paraId="1FD946FB">
      <w:pPr>
        <w:keepNext w:val="0"/>
        <w:keepLines w:val="0"/>
        <w:pageBreakBefore w:val="0"/>
        <w:widowControl/>
        <w:kinsoku w:val="0"/>
        <w:wordWrap/>
        <w:overflowPunct/>
        <w:topLinePunct w:val="0"/>
        <w:autoSpaceDE w:val="0"/>
        <w:autoSpaceDN w:val="0"/>
        <w:bidi w:val="0"/>
        <w:adjustRightInd w:val="0"/>
        <w:snapToGrid w:val="0"/>
        <w:spacing w:before="185"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每日进行环境保洁，保持地面清洁、无积水。</w:t>
      </w:r>
    </w:p>
    <w:p w14:paraId="5E269108">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3.5.公共卫生间保洁标准：</w:t>
      </w:r>
    </w:p>
    <w:p w14:paraId="318CFE2C">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厕所整洁，壁净地净，厕所内投放卫生除味用品，无异味、臭味；</w:t>
      </w:r>
    </w:p>
    <w:p w14:paraId="3804DADF">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地面无烟头、污迹、积水、纸屑、果皮，垃圾篓在指定位置；</w:t>
      </w:r>
    </w:p>
    <w:p w14:paraId="554E63E4">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7"/>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下水管道通畅、无粪便溢出，无积垢、无堵塞现象；</w:t>
      </w:r>
    </w:p>
    <w:p w14:paraId="40055EE4">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9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天花、墙角、灯具目视无灰尘、蜘蛛网；</w:t>
      </w:r>
    </w:p>
    <w:p w14:paraId="7487F022">
      <w:pPr>
        <w:keepNext w:val="0"/>
        <w:keepLines w:val="0"/>
        <w:pageBreakBefore w:val="0"/>
        <w:widowControl/>
        <w:kinsoku w:val="0"/>
        <w:wordWrap/>
        <w:overflowPunct/>
        <w:topLinePunct w:val="0"/>
        <w:autoSpaceDE w:val="0"/>
        <w:autoSpaceDN w:val="0"/>
        <w:bidi w:val="0"/>
        <w:adjustRightInd w:val="0"/>
        <w:snapToGrid w:val="0"/>
        <w:spacing w:before="184" w:line="360" w:lineRule="auto"/>
        <w:ind w:left="9" w:right="99" w:firstLine="52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目视墙壁干净，便器洁净无黄渍。厕坑、镜面无污点；洗手台面无油渍；纸篓随时</w:t>
      </w:r>
      <w:r>
        <w:rPr>
          <w:rFonts w:hint="eastAsia" w:ascii="宋体" w:hAnsi="宋体" w:eastAsia="宋体" w:cs="宋体"/>
          <w:color w:val="auto"/>
          <w:spacing w:val="-4"/>
          <w:sz w:val="24"/>
          <w:szCs w:val="24"/>
        </w:rPr>
        <w:t>清理；</w:t>
      </w:r>
    </w:p>
    <w:p w14:paraId="5F9D0BAD">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清洁作业时应摆放明显提示标识牌；</w:t>
      </w:r>
    </w:p>
    <w:p w14:paraId="0CFD58C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3.6  室外/道路保洁标准：</w:t>
      </w:r>
    </w:p>
    <w:p w14:paraId="5F026B37">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7"/>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公共区域的卫生保洁每天不低于</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次。保持</w:t>
      </w:r>
      <w:r>
        <w:rPr>
          <w:rFonts w:hint="eastAsia" w:ascii="宋体" w:hAnsi="宋体" w:eastAsia="宋体" w:cs="宋体"/>
          <w:color w:val="auto"/>
          <w:spacing w:val="-2"/>
          <w:sz w:val="24"/>
          <w:szCs w:val="24"/>
        </w:rPr>
        <w:t>无果皮、废纸等杂物；</w:t>
      </w:r>
    </w:p>
    <w:p w14:paraId="7C1B25FF">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0" w:right="99" w:firstLine="48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大门口以及主要通道</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30</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㎡内果皮、纸屑、烟头等垃圾杂物不能超过</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3 个；外围、</w:t>
      </w:r>
      <w:r>
        <w:rPr>
          <w:rFonts w:hint="eastAsia" w:ascii="宋体" w:hAnsi="宋体" w:eastAsia="宋体" w:cs="宋体"/>
          <w:color w:val="auto"/>
          <w:spacing w:val="-3"/>
          <w:sz w:val="24"/>
          <w:szCs w:val="24"/>
        </w:rPr>
        <w:t>绿化带通道以及围墙周边</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3"/>
          <w:sz w:val="24"/>
          <w:szCs w:val="24"/>
        </w:rPr>
        <w:t>50</w:t>
      </w:r>
      <w:r>
        <w:rPr>
          <w:rFonts w:hint="eastAsia" w:ascii="宋体" w:hAnsi="宋体" w:eastAsia="宋体" w:cs="宋体"/>
          <w:color w:val="auto"/>
          <w:spacing w:val="20"/>
          <w:w w:val="101"/>
          <w:sz w:val="24"/>
          <w:szCs w:val="24"/>
        </w:rPr>
        <w:t xml:space="preserve"> </w:t>
      </w:r>
      <w:r>
        <w:rPr>
          <w:rFonts w:hint="eastAsia" w:ascii="宋体" w:hAnsi="宋体" w:eastAsia="宋体" w:cs="宋体"/>
          <w:color w:val="auto"/>
          <w:spacing w:val="-3"/>
          <w:sz w:val="24"/>
          <w:szCs w:val="24"/>
        </w:rPr>
        <w:t>㎡内落叶、垃圾杂物不能超过</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10 个；外围设置垃圾桶，垃</w:t>
      </w:r>
      <w:r>
        <w:rPr>
          <w:rFonts w:hint="eastAsia" w:ascii="宋体" w:hAnsi="宋体" w:eastAsia="宋体" w:cs="宋体"/>
          <w:color w:val="auto"/>
          <w:spacing w:val="-2"/>
          <w:sz w:val="24"/>
          <w:szCs w:val="24"/>
        </w:rPr>
        <w:t>圾达垃圾桶</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2"/>
          <w:sz w:val="24"/>
          <w:szCs w:val="24"/>
        </w:rPr>
        <w:t>2/3</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2"/>
          <w:sz w:val="24"/>
          <w:szCs w:val="24"/>
        </w:rPr>
        <w:t>时，应即时更换垃圾袋；</w:t>
      </w:r>
    </w:p>
    <w:p w14:paraId="4ED2C722">
      <w:pPr>
        <w:keepNext w:val="0"/>
        <w:keepLines w:val="0"/>
        <w:pageBreakBefore w:val="0"/>
        <w:widowControl/>
        <w:kinsoku w:val="0"/>
        <w:wordWrap/>
        <w:overflowPunct/>
        <w:topLinePunct w:val="0"/>
        <w:autoSpaceDE w:val="0"/>
        <w:autoSpaceDN w:val="0"/>
        <w:bidi w:val="0"/>
        <w:adjustRightInd w:val="0"/>
        <w:snapToGrid w:val="0"/>
        <w:spacing w:before="286" w:line="360" w:lineRule="auto"/>
        <w:ind w:left="13" w:firstLine="476"/>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墙面干净无污渍，清洗后见本色，清洗过程环保、无污染；玻璃面上无污渍、水渍、</w:t>
      </w:r>
      <w:r>
        <w:rPr>
          <w:rFonts w:hint="eastAsia" w:ascii="宋体" w:hAnsi="宋体" w:eastAsia="宋体" w:cs="宋体"/>
          <w:color w:val="auto"/>
          <w:spacing w:val="-2"/>
          <w:sz w:val="24"/>
          <w:szCs w:val="24"/>
        </w:rPr>
        <w:t>见本色，光亮；</w:t>
      </w:r>
    </w:p>
    <w:p w14:paraId="6F339B58">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在进行特别作业（如机械洗地打磨）时，应摆放明显提示牌；</w:t>
      </w:r>
    </w:p>
    <w:p w14:paraId="5B062076">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3.7 极端天气室外保洁</w:t>
      </w:r>
    </w:p>
    <w:p w14:paraId="704CAC5C">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4"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负责园区及周边雨季、雪季的清扫及道路畅通及院区周边的门前“三包”</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7"/>
          <w:sz w:val="24"/>
          <w:szCs w:val="24"/>
        </w:rPr>
        <w:t>（融雪剂、</w:t>
      </w:r>
      <w:r>
        <w:rPr>
          <w:rFonts w:hint="eastAsia" w:ascii="宋体" w:hAnsi="宋体" w:eastAsia="宋体" w:cs="宋体"/>
          <w:color w:val="auto"/>
          <w:spacing w:val="-2"/>
          <w:sz w:val="24"/>
          <w:szCs w:val="24"/>
        </w:rPr>
        <w:t>除雪铲等工具费用计入报价）</w:t>
      </w:r>
    </w:p>
    <w:p w14:paraId="49982A0B">
      <w:pPr>
        <w:keepNext w:val="0"/>
        <w:keepLines w:val="0"/>
        <w:pageBreakBefore w:val="0"/>
        <w:widowControl/>
        <w:kinsoku w:val="0"/>
        <w:wordWrap/>
        <w:overflowPunct/>
        <w:topLinePunct w:val="0"/>
        <w:autoSpaceDE w:val="0"/>
        <w:autoSpaceDN w:val="0"/>
        <w:bidi w:val="0"/>
        <w:adjustRightInd w:val="0"/>
        <w:snapToGrid w:val="0"/>
        <w:spacing w:line="360" w:lineRule="auto"/>
        <w:ind w:left="13" w:right="80" w:firstLine="48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雨雪天气时，保证路面不积水、少结冰。夜间降雪的，主要道路的冰雪在次日</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
          <w:sz w:val="24"/>
          <w:szCs w:val="24"/>
        </w:rPr>
        <w:t>8</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3"/>
          <w:sz w:val="24"/>
          <w:szCs w:val="24"/>
        </w:rPr>
        <w:t>点前清扫干净。</w:t>
      </w:r>
    </w:p>
    <w:p w14:paraId="4487F3F7">
      <w:pPr>
        <w:keepNext w:val="0"/>
        <w:keepLines w:val="0"/>
        <w:pageBreakBefore w:val="0"/>
        <w:widowControl/>
        <w:kinsoku w:val="0"/>
        <w:wordWrap/>
        <w:overflowPunct/>
        <w:topLinePunct w:val="0"/>
        <w:autoSpaceDE w:val="0"/>
        <w:autoSpaceDN w:val="0"/>
        <w:bidi w:val="0"/>
        <w:adjustRightInd w:val="0"/>
        <w:snapToGrid w:val="0"/>
        <w:spacing w:before="1" w:line="360" w:lineRule="auto"/>
        <w:ind w:left="10" w:right="80" w:firstLine="4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3.8  防疫消毒：依据《消毒技术规范》要求，做好清洁消毒工作，保持环境整洁卫</w:t>
      </w:r>
      <w:r>
        <w:rPr>
          <w:rFonts w:hint="eastAsia" w:ascii="宋体" w:hAnsi="宋体" w:eastAsia="宋体" w:cs="宋体"/>
          <w:color w:val="auto"/>
          <w:spacing w:val="-2"/>
          <w:sz w:val="24"/>
          <w:szCs w:val="24"/>
        </w:rPr>
        <w:t>生，每天早、中、晚三次定期消毒，并做好清洁消毒记录，如遇到流行传播疾病，防止</w:t>
      </w:r>
      <w:r>
        <w:rPr>
          <w:rFonts w:hint="eastAsia" w:ascii="宋体" w:hAnsi="宋体" w:eastAsia="宋体" w:cs="宋体"/>
          <w:color w:val="auto"/>
          <w:spacing w:val="-1"/>
          <w:sz w:val="24"/>
          <w:szCs w:val="24"/>
        </w:rPr>
        <w:t>疫情传播，按照采购人的整体部署执行。</w:t>
      </w:r>
    </w:p>
    <w:p w14:paraId="7151BE0C">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3.9  每半年检查</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次化粪池；组织安排清掏。</w:t>
      </w:r>
    </w:p>
    <w:p w14:paraId="16A2B923">
      <w:pPr>
        <w:keepNext w:val="0"/>
        <w:keepLines w:val="0"/>
        <w:pageBreakBefore w:val="0"/>
        <w:widowControl/>
        <w:kinsoku w:val="0"/>
        <w:wordWrap/>
        <w:overflowPunct/>
        <w:topLinePunct w:val="0"/>
        <w:autoSpaceDE w:val="0"/>
        <w:autoSpaceDN w:val="0"/>
        <w:bidi w:val="0"/>
        <w:adjustRightInd w:val="0"/>
        <w:snapToGrid w:val="0"/>
        <w:spacing w:before="180" w:line="360" w:lineRule="auto"/>
        <w:ind w:left="9" w:right="80" w:firstLine="480"/>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3"/>
          <w:sz w:val="24"/>
          <w:szCs w:val="24"/>
        </w:rPr>
        <w:t>3.10  有害生物预防和控制：每月对园区进行公共区域专业杀虫灭鼠工作，投放药物</w:t>
      </w:r>
      <w:r>
        <w:rPr>
          <w:rFonts w:hint="eastAsia" w:ascii="宋体" w:hAnsi="宋体" w:eastAsia="宋体" w:cs="宋体"/>
          <w:color w:val="auto"/>
          <w:spacing w:val="-1"/>
          <w:sz w:val="24"/>
          <w:szCs w:val="24"/>
        </w:rPr>
        <w:t>应预先告知，投药位置有明显标志。</w:t>
      </w:r>
    </w:p>
    <w:p w14:paraId="1D8FF807">
      <w:pPr>
        <w:keepNext w:val="0"/>
        <w:keepLines w:val="0"/>
        <w:pageBreakBefore w:val="0"/>
        <w:widowControl/>
        <w:kinsoku w:val="0"/>
        <w:wordWrap/>
        <w:overflowPunct/>
        <w:topLinePunct w:val="0"/>
        <w:autoSpaceDE w:val="0"/>
        <w:autoSpaceDN w:val="0"/>
        <w:bidi w:val="0"/>
        <w:adjustRightInd w:val="0"/>
        <w:snapToGrid w:val="0"/>
        <w:spacing w:before="180" w:line="360" w:lineRule="auto"/>
        <w:ind w:left="9" w:right="80" w:firstLine="480"/>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3.11</w:t>
      </w:r>
      <w:r>
        <w:rPr>
          <w:rFonts w:hint="eastAsia" w:ascii="宋体" w:hAnsi="宋体" w:eastAsia="宋体" w:cs="宋体"/>
          <w:b w:val="0"/>
          <w:bCs w:val="0"/>
          <w:color w:val="auto"/>
          <w:spacing w:val="-2"/>
          <w:sz w:val="24"/>
          <w:szCs w:val="24"/>
        </w:rPr>
        <w:t>环境维护养护</w:t>
      </w:r>
      <w:r>
        <w:rPr>
          <w:rFonts w:hint="eastAsia" w:ascii="宋体" w:hAnsi="宋体" w:eastAsia="宋体" w:cs="宋体"/>
          <w:color w:val="auto"/>
          <w:spacing w:val="-1"/>
          <w:sz w:val="24"/>
          <w:szCs w:val="24"/>
        </w:rPr>
        <w:t>所需设备设施所需耗材</w:t>
      </w:r>
      <w:r>
        <w:rPr>
          <w:rFonts w:hint="eastAsia" w:ascii="宋体" w:hAnsi="宋体" w:eastAsia="宋体" w:cs="宋体"/>
          <w:color w:val="auto"/>
          <w:spacing w:val="-1"/>
          <w:sz w:val="24"/>
          <w:szCs w:val="24"/>
          <w:lang w:val="en-US" w:eastAsia="zh-CN"/>
        </w:rPr>
        <w:t>等</w:t>
      </w:r>
      <w:r>
        <w:rPr>
          <w:rFonts w:hint="eastAsia" w:ascii="宋体" w:hAnsi="宋体" w:eastAsia="宋体" w:cs="宋体"/>
          <w:color w:val="auto"/>
          <w:spacing w:val="-1"/>
          <w:sz w:val="24"/>
          <w:szCs w:val="24"/>
        </w:rPr>
        <w:t>，由</w:t>
      </w:r>
      <w:r>
        <w:rPr>
          <w:rFonts w:hint="eastAsia" w:ascii="宋体" w:hAnsi="宋体" w:eastAsia="宋体" w:cs="宋体"/>
          <w:color w:val="auto"/>
          <w:spacing w:val="-1"/>
          <w:sz w:val="24"/>
          <w:szCs w:val="24"/>
          <w:lang w:val="en-US" w:eastAsia="zh-CN"/>
        </w:rPr>
        <w:t>采购人</w:t>
      </w:r>
      <w:r>
        <w:rPr>
          <w:rFonts w:hint="eastAsia" w:ascii="宋体" w:hAnsi="宋体" w:eastAsia="宋体" w:cs="宋体"/>
          <w:color w:val="auto"/>
          <w:spacing w:val="-1"/>
          <w:sz w:val="24"/>
          <w:szCs w:val="24"/>
        </w:rPr>
        <w:t>自行准备。</w:t>
      </w:r>
    </w:p>
    <w:p w14:paraId="5518865F">
      <w:pPr>
        <w:keepNext w:val="0"/>
        <w:keepLines w:val="0"/>
        <w:pageBreakBefore w:val="0"/>
        <w:widowControl/>
        <w:kinsoku w:val="0"/>
        <w:wordWrap/>
        <w:overflowPunct/>
        <w:topLinePunct w:val="0"/>
        <w:autoSpaceDE w:val="0"/>
        <w:autoSpaceDN w:val="0"/>
        <w:bidi w:val="0"/>
        <w:adjustRightInd w:val="0"/>
        <w:snapToGrid w:val="0"/>
        <w:spacing w:before="186"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（二）园区绿化养护</w:t>
      </w:r>
    </w:p>
    <w:p w14:paraId="4FF35E6A">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1.范围：园区公共绿地</w:t>
      </w:r>
    </w:p>
    <w:p w14:paraId="7298A41E">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2.绿化养护标准：</w:t>
      </w:r>
    </w:p>
    <w:p w14:paraId="214E70F1">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2.1.编制每季度绿化养护措施和工作计划。生长季节每月检查</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1"/>
          <w:sz w:val="24"/>
          <w:szCs w:val="24"/>
        </w:rPr>
        <w:t>次绿化工作。</w:t>
      </w:r>
    </w:p>
    <w:p w14:paraId="49BFC1C1">
      <w:pPr>
        <w:keepNext w:val="0"/>
        <w:keepLines w:val="0"/>
        <w:pageBreakBefore w:val="0"/>
        <w:widowControl/>
        <w:kinsoku w:val="0"/>
        <w:wordWrap/>
        <w:overflowPunct/>
        <w:topLinePunct w:val="0"/>
        <w:autoSpaceDE w:val="0"/>
        <w:autoSpaceDN w:val="0"/>
        <w:bidi w:val="0"/>
        <w:adjustRightInd w:val="0"/>
        <w:snapToGrid w:val="0"/>
        <w:spacing w:before="179" w:line="360" w:lineRule="auto"/>
        <w:ind w:left="11" w:right="18" w:firstLine="473"/>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2.2  乔木：植株生长正常，主枝基本完整，植株保存率高于</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1"/>
          <w:sz w:val="24"/>
          <w:szCs w:val="24"/>
        </w:rPr>
        <w:t>95%，年成活率高于</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1"/>
          <w:sz w:val="24"/>
          <w:szCs w:val="24"/>
        </w:rPr>
        <w:t>95%，</w:t>
      </w:r>
      <w:r>
        <w:rPr>
          <w:rFonts w:hint="eastAsia" w:ascii="宋体" w:hAnsi="宋体" w:eastAsia="宋体" w:cs="宋体"/>
          <w:color w:val="auto"/>
          <w:spacing w:val="-2"/>
          <w:sz w:val="24"/>
          <w:szCs w:val="24"/>
        </w:rPr>
        <w:t>生长季节叶片保存率高于</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85%。</w:t>
      </w:r>
    </w:p>
    <w:p w14:paraId="3CAA69CB">
      <w:pPr>
        <w:keepNext w:val="0"/>
        <w:keepLines w:val="0"/>
        <w:pageBreakBefore w:val="0"/>
        <w:widowControl/>
        <w:kinsoku w:val="0"/>
        <w:wordWrap/>
        <w:overflowPunct/>
        <w:topLinePunct w:val="0"/>
        <w:autoSpaceDE w:val="0"/>
        <w:autoSpaceDN w:val="0"/>
        <w:bidi w:val="0"/>
        <w:adjustRightInd w:val="0"/>
        <w:snapToGrid w:val="0"/>
        <w:spacing w:before="184" w:line="360" w:lineRule="auto"/>
        <w:jc w:val="right"/>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2.3  灌木、果树：植株生长正常，主枝</w:t>
      </w:r>
      <w:r>
        <w:rPr>
          <w:rFonts w:hint="eastAsia" w:ascii="宋体" w:hAnsi="宋体" w:eastAsia="宋体" w:cs="宋体"/>
          <w:color w:val="auto"/>
          <w:spacing w:val="-11"/>
          <w:sz w:val="24"/>
          <w:szCs w:val="24"/>
        </w:rPr>
        <w:t>完整，保存率在</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1"/>
          <w:sz w:val="24"/>
          <w:szCs w:val="24"/>
        </w:rPr>
        <w:t>95%以上，年成活率高于</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1"/>
          <w:sz w:val="24"/>
          <w:szCs w:val="24"/>
        </w:rPr>
        <w:t>95%。</w:t>
      </w:r>
    </w:p>
    <w:p w14:paraId="5795B685">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2.4  绿篱和色块：植株生长整齐，保</w:t>
      </w:r>
      <w:r>
        <w:rPr>
          <w:rFonts w:hint="eastAsia" w:ascii="宋体" w:hAnsi="宋体" w:eastAsia="宋体" w:cs="宋体"/>
          <w:color w:val="auto"/>
          <w:spacing w:val="-2"/>
          <w:sz w:val="24"/>
          <w:szCs w:val="24"/>
        </w:rPr>
        <w:t>存率高于</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95%</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，年成活率高于</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95%。</w:t>
      </w:r>
    </w:p>
    <w:p w14:paraId="5B26C2E6">
      <w:pPr>
        <w:keepNext w:val="0"/>
        <w:keepLines w:val="0"/>
        <w:pageBreakBefore w:val="0"/>
        <w:widowControl/>
        <w:kinsoku w:val="0"/>
        <w:wordWrap/>
        <w:overflowPunct/>
        <w:topLinePunct w:val="0"/>
        <w:autoSpaceDE w:val="0"/>
        <w:autoSpaceDN w:val="0"/>
        <w:bidi w:val="0"/>
        <w:adjustRightInd w:val="0"/>
        <w:snapToGrid w:val="0"/>
        <w:spacing w:before="183" w:line="360" w:lineRule="auto"/>
        <w:ind w:left="21" w:right="82" w:firstLine="46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2.5  地被和花坛植物：地被植物覆盖率高于</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95</w:t>
      </w:r>
      <w:r>
        <w:rPr>
          <w:rFonts w:hint="eastAsia" w:ascii="宋体" w:hAnsi="宋体" w:eastAsia="宋体" w:cs="宋体"/>
          <w:color w:val="auto"/>
          <w:sz w:val="24"/>
          <w:szCs w:val="24"/>
        </w:rPr>
        <w:t>%</w:t>
      </w:r>
      <w:r>
        <w:rPr>
          <w:rFonts w:hint="eastAsia" w:ascii="宋体" w:hAnsi="宋体" w:eastAsia="宋体" w:cs="宋体"/>
          <w:color w:val="auto"/>
          <w:spacing w:val="-27"/>
          <w:sz w:val="24"/>
          <w:szCs w:val="24"/>
        </w:rPr>
        <w:t xml:space="preserve"> </w:t>
      </w:r>
      <w:r>
        <w:rPr>
          <w:rFonts w:hint="eastAsia" w:ascii="宋体" w:hAnsi="宋体" w:eastAsia="宋体" w:cs="宋体"/>
          <w:color w:val="auto"/>
          <w:sz w:val="24"/>
          <w:szCs w:val="24"/>
        </w:rPr>
        <w:t>，花坛植物死亡率超过</w:t>
      </w:r>
      <w:r>
        <w:rPr>
          <w:rFonts w:hint="eastAsia" w:ascii="宋体" w:hAnsi="宋体" w:eastAsia="宋体" w:cs="宋体"/>
          <w:color w:val="auto"/>
          <w:spacing w:val="-46"/>
          <w:sz w:val="24"/>
          <w:szCs w:val="24"/>
        </w:rPr>
        <w:t xml:space="preserve"> </w:t>
      </w:r>
      <w:r>
        <w:rPr>
          <w:rFonts w:hint="eastAsia" w:ascii="宋体" w:hAnsi="宋体" w:eastAsia="宋体" w:cs="宋体"/>
          <w:color w:val="auto"/>
          <w:sz w:val="24"/>
          <w:szCs w:val="24"/>
        </w:rPr>
        <w:t>5%后能及</w:t>
      </w:r>
      <w:r>
        <w:rPr>
          <w:rFonts w:hint="eastAsia" w:ascii="宋体" w:hAnsi="宋体" w:eastAsia="宋体" w:cs="宋体"/>
          <w:color w:val="auto"/>
          <w:spacing w:val="-3"/>
          <w:sz w:val="24"/>
          <w:szCs w:val="24"/>
        </w:rPr>
        <w:t>时补栽或更换。</w:t>
      </w:r>
    </w:p>
    <w:p w14:paraId="505251F6">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2.5  草坪：草坪基本整齐，覆盖率高于</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95%。</w:t>
      </w:r>
    </w:p>
    <w:p w14:paraId="195E404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3.绿化养护内容</w:t>
      </w:r>
    </w:p>
    <w:p w14:paraId="639A97D1">
      <w:pPr>
        <w:keepNext w:val="0"/>
        <w:keepLines w:val="0"/>
        <w:pageBreakBefore w:val="0"/>
        <w:widowControl/>
        <w:kinsoku w:val="0"/>
        <w:wordWrap/>
        <w:overflowPunct/>
        <w:topLinePunct w:val="0"/>
        <w:autoSpaceDE w:val="0"/>
        <w:autoSpaceDN w:val="0"/>
        <w:bidi w:val="0"/>
        <w:adjustRightInd w:val="0"/>
        <w:snapToGrid w:val="0"/>
        <w:spacing w:before="185" w:line="360" w:lineRule="auto"/>
        <w:ind w:left="10" w:right="80" w:firstLine="4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  灌溉：有计划地进行浇灌，灌溉水下渗充足均匀，无明显旱涝情况发生；一般</w:t>
      </w:r>
      <w:r>
        <w:rPr>
          <w:rFonts w:hint="eastAsia" w:ascii="宋体" w:hAnsi="宋体" w:eastAsia="宋体" w:cs="宋体"/>
          <w:color w:val="auto"/>
          <w:spacing w:val="-1"/>
          <w:sz w:val="24"/>
          <w:szCs w:val="24"/>
        </w:rPr>
        <w:t>植物确保在萌芽前、4</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月、5</w:t>
      </w:r>
      <w:r>
        <w:rPr>
          <w:rFonts w:hint="eastAsia" w:ascii="宋体" w:hAnsi="宋体" w:eastAsia="宋体" w:cs="宋体"/>
          <w:color w:val="auto"/>
          <w:spacing w:val="17"/>
          <w:w w:val="101"/>
          <w:sz w:val="24"/>
          <w:szCs w:val="24"/>
        </w:rPr>
        <w:t xml:space="preserve"> </w:t>
      </w:r>
      <w:r>
        <w:rPr>
          <w:rFonts w:hint="eastAsia" w:ascii="宋体" w:hAnsi="宋体" w:eastAsia="宋体" w:cs="宋体"/>
          <w:color w:val="auto"/>
          <w:spacing w:val="-1"/>
          <w:sz w:val="24"/>
          <w:szCs w:val="24"/>
        </w:rPr>
        <w:t>月、秋季、入冬前浇水</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1"/>
          <w:sz w:val="24"/>
          <w:szCs w:val="24"/>
        </w:rPr>
        <w:t>次，冷季型草坪根据长势和土壤情况适当增加灌溉次数。</w:t>
      </w:r>
    </w:p>
    <w:p w14:paraId="76C09038">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3.2  施肥：根据植物生长情况施肥，乔木每</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2 年施肥</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
          <w:sz w:val="24"/>
          <w:szCs w:val="24"/>
        </w:rPr>
        <w:t>次至</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20"/>
          <w:w w:val="101"/>
          <w:sz w:val="24"/>
          <w:szCs w:val="24"/>
        </w:rPr>
        <w:t xml:space="preserve"> </w:t>
      </w:r>
      <w:r>
        <w:rPr>
          <w:rFonts w:hint="eastAsia" w:ascii="宋体" w:hAnsi="宋体" w:eastAsia="宋体" w:cs="宋体"/>
          <w:color w:val="auto"/>
          <w:spacing w:val="-1"/>
          <w:sz w:val="24"/>
          <w:szCs w:val="24"/>
        </w:rPr>
        <w:t>次；灌木每年施肥</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3"/>
          <w:sz w:val="24"/>
          <w:szCs w:val="24"/>
        </w:rPr>
        <w:t>次至</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次；地被和草坪植物每年施肥</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次至</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次；花坛植物根据生长情况进行追肥；尽</w:t>
      </w:r>
      <w:r>
        <w:rPr>
          <w:rFonts w:hint="eastAsia" w:ascii="宋体" w:hAnsi="宋体" w:eastAsia="宋体" w:cs="宋体"/>
          <w:color w:val="auto"/>
          <w:spacing w:val="-1"/>
          <w:sz w:val="24"/>
          <w:szCs w:val="24"/>
        </w:rPr>
        <w:t>量减少对化肥的依赖。</w:t>
      </w:r>
    </w:p>
    <w:p w14:paraId="67ED316A">
      <w:pPr>
        <w:keepNext w:val="0"/>
        <w:keepLines w:val="0"/>
        <w:pageBreakBefore w:val="0"/>
        <w:widowControl/>
        <w:kinsoku w:val="0"/>
        <w:wordWrap/>
        <w:overflowPunct/>
        <w:topLinePunct w:val="0"/>
        <w:autoSpaceDE w:val="0"/>
        <w:autoSpaceDN w:val="0"/>
        <w:bidi w:val="0"/>
        <w:adjustRightInd w:val="0"/>
        <w:snapToGrid w:val="0"/>
        <w:spacing w:before="1" w:line="360" w:lineRule="auto"/>
        <w:ind w:left="15" w:right="21" w:firstLine="474"/>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3.3  病虫害防治：根据病虫害发生规律，植物生长季每月至少检查</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5"/>
          <w:sz w:val="24"/>
          <w:szCs w:val="24"/>
        </w:rPr>
        <w:t>3</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5"/>
          <w:sz w:val="24"/>
          <w:szCs w:val="24"/>
        </w:rPr>
        <w:t>次</w:t>
      </w:r>
      <w:r>
        <w:rPr>
          <w:rFonts w:hint="eastAsia" w:ascii="宋体" w:hAnsi="宋体" w:eastAsia="宋体" w:cs="宋体"/>
          <w:color w:val="auto"/>
          <w:spacing w:val="-6"/>
          <w:sz w:val="24"/>
          <w:szCs w:val="24"/>
        </w:rPr>
        <w:t>病虫害情况；</w:t>
      </w:r>
      <w:r>
        <w:rPr>
          <w:rFonts w:hint="eastAsia" w:ascii="宋体" w:hAnsi="宋体" w:eastAsia="宋体" w:cs="宋体"/>
          <w:color w:val="auto"/>
          <w:spacing w:val="-1"/>
          <w:sz w:val="24"/>
          <w:szCs w:val="24"/>
        </w:rPr>
        <w:t>并根据检查结果防治病虫害，不因病虫害出现提前落叶、死亡现象。</w:t>
      </w:r>
    </w:p>
    <w:p w14:paraId="1A439F53">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0" w:right="80" w:firstLine="47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3.4  整形修剪：乔木每年冬季修剪</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18"/>
          <w:w w:val="101"/>
          <w:sz w:val="24"/>
          <w:szCs w:val="24"/>
        </w:rPr>
        <w:t xml:space="preserve"> </w:t>
      </w:r>
      <w:r>
        <w:rPr>
          <w:rFonts w:hint="eastAsia" w:ascii="宋体" w:hAnsi="宋体" w:eastAsia="宋体" w:cs="宋体"/>
          <w:color w:val="auto"/>
          <w:spacing w:val="-2"/>
          <w:sz w:val="24"/>
          <w:szCs w:val="24"/>
        </w:rPr>
        <w:t>次；灌木每年生长</w:t>
      </w:r>
      <w:r>
        <w:rPr>
          <w:rFonts w:hint="eastAsia" w:ascii="宋体" w:hAnsi="宋体" w:eastAsia="宋体" w:cs="宋体"/>
          <w:color w:val="auto"/>
          <w:spacing w:val="-3"/>
          <w:sz w:val="24"/>
          <w:szCs w:val="24"/>
        </w:rPr>
        <w:t>季节和冬季修剪</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次；绿篱和色块每年五一前、国庆节前、冬季修剪</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3"/>
          <w:sz w:val="24"/>
          <w:szCs w:val="24"/>
        </w:rPr>
        <w:t>1</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3"/>
          <w:sz w:val="24"/>
          <w:szCs w:val="24"/>
        </w:rPr>
        <w:t>次；冷季型草坪应根据长势生长季节每月修</w:t>
      </w:r>
      <w:r>
        <w:rPr>
          <w:rFonts w:hint="eastAsia" w:ascii="宋体" w:hAnsi="宋体" w:eastAsia="宋体" w:cs="宋体"/>
          <w:color w:val="auto"/>
          <w:spacing w:val="-8"/>
          <w:sz w:val="24"/>
          <w:szCs w:val="24"/>
        </w:rPr>
        <w:t>剪</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8"/>
          <w:sz w:val="24"/>
          <w:szCs w:val="24"/>
        </w:rPr>
        <w:t>次至</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次，全年至少修剪</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12</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次。</w:t>
      </w:r>
    </w:p>
    <w:p w14:paraId="3BAC904C">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0" w:right="82" w:firstLine="47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3.5  除草：每年全面除草</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1"/>
          <w:sz w:val="24"/>
          <w:szCs w:val="24"/>
        </w:rPr>
        <w:t>次，重点绿地增加除草次数；出现杂草的绿地面积不超</w:t>
      </w:r>
      <w:r>
        <w:rPr>
          <w:rFonts w:hint="eastAsia" w:ascii="宋体" w:hAnsi="宋体" w:eastAsia="宋体" w:cs="宋体"/>
          <w:color w:val="auto"/>
          <w:spacing w:val="-3"/>
          <w:sz w:val="24"/>
          <w:szCs w:val="24"/>
        </w:rPr>
        <w:t>过总绿地面积的</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3"/>
          <w:sz w:val="24"/>
          <w:szCs w:val="24"/>
        </w:rPr>
        <w:t>10%</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，季节性杂草能得到有效控制。</w:t>
      </w:r>
    </w:p>
    <w:p w14:paraId="52A3EFA7">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4" w:right="100" w:firstLine="462"/>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4.设备设施：园区绿化养护所需设备设施所需耗材，如肥料、</w:t>
      </w:r>
      <w:r>
        <w:rPr>
          <w:rFonts w:hint="eastAsia" w:ascii="宋体" w:hAnsi="宋体" w:eastAsia="宋体" w:cs="宋体"/>
          <w:b/>
          <w:bCs/>
          <w:color w:val="auto"/>
          <w:spacing w:val="-4"/>
          <w:sz w:val="24"/>
          <w:szCs w:val="24"/>
        </w:rPr>
        <w:t>除虫剂等由</w:t>
      </w:r>
      <w:r>
        <w:rPr>
          <w:rFonts w:hint="eastAsia" w:ascii="宋体" w:hAnsi="宋体" w:eastAsia="宋体" w:cs="宋体"/>
          <w:b/>
          <w:bCs/>
          <w:color w:val="auto"/>
          <w:spacing w:val="-4"/>
          <w:sz w:val="24"/>
          <w:szCs w:val="24"/>
          <w:lang w:val="en-US" w:eastAsia="zh-CN"/>
        </w:rPr>
        <w:t>采购人</w:t>
      </w:r>
      <w:r>
        <w:rPr>
          <w:rFonts w:hint="eastAsia" w:ascii="宋体" w:hAnsi="宋体" w:eastAsia="宋体" w:cs="宋体"/>
          <w:b/>
          <w:bCs/>
          <w:color w:val="auto"/>
          <w:spacing w:val="-4"/>
          <w:sz w:val="24"/>
          <w:szCs w:val="24"/>
        </w:rPr>
        <w:t>自行准备。</w:t>
      </w:r>
    </w:p>
    <w:p w14:paraId="567A1188">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（三）值班室日常使用及管理</w:t>
      </w:r>
    </w:p>
    <w:p w14:paraId="4A69F709">
      <w:pPr>
        <w:keepNext w:val="0"/>
        <w:keepLines w:val="0"/>
        <w:pageBreakBefore w:val="0"/>
        <w:widowControl/>
        <w:kinsoku w:val="0"/>
        <w:wordWrap/>
        <w:overflowPunct/>
        <w:topLinePunct w:val="0"/>
        <w:autoSpaceDE w:val="0"/>
        <w:autoSpaceDN w:val="0"/>
        <w:bidi w:val="0"/>
        <w:adjustRightInd w:val="0"/>
        <w:snapToGrid w:val="0"/>
        <w:spacing w:before="183"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1.范围：值班室</w:t>
      </w:r>
    </w:p>
    <w:p w14:paraId="09507988">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2.服务时间：每工作日</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8:00-17:00</w:t>
      </w:r>
    </w:p>
    <w:p w14:paraId="1405F701">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3.</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内容和标准</w:t>
      </w:r>
    </w:p>
    <w:p w14:paraId="1C9B0C51">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  负责值班室的日常使用和室内卫生清</w:t>
      </w:r>
      <w:r>
        <w:rPr>
          <w:rFonts w:hint="eastAsia" w:ascii="宋体" w:hAnsi="宋体" w:eastAsia="宋体" w:cs="宋体"/>
          <w:color w:val="auto"/>
          <w:spacing w:val="-1"/>
          <w:sz w:val="24"/>
          <w:szCs w:val="24"/>
        </w:rPr>
        <w:t>扫工作。确保卫生整洁。</w:t>
      </w:r>
    </w:p>
    <w:p w14:paraId="20A82736">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3.2  负责值班室电话、桌椅、照明维护工作。</w:t>
      </w:r>
    </w:p>
    <w:p w14:paraId="5A712726">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3.3  设备发生故障，及时汇报厂家维保。超出维保期的</w:t>
      </w:r>
      <w:r>
        <w:rPr>
          <w:rFonts w:hint="eastAsia" w:ascii="宋体" w:hAnsi="宋体" w:eastAsia="宋体" w:cs="宋体"/>
          <w:color w:val="auto"/>
          <w:spacing w:val="-1"/>
          <w:sz w:val="24"/>
          <w:szCs w:val="24"/>
        </w:rPr>
        <w:t>由采购人负责维修费用。</w:t>
      </w:r>
    </w:p>
    <w:p w14:paraId="2FD35FBB">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3.4  负责值班室的家具整理，空调设施，确保安全。</w:t>
      </w:r>
    </w:p>
    <w:p w14:paraId="760A64C3">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0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（五）会议服务及重大活动保障</w:t>
      </w:r>
    </w:p>
    <w:p w14:paraId="71ECAD76">
      <w:pPr>
        <w:keepNext w:val="0"/>
        <w:keepLines w:val="0"/>
        <w:pageBreakBefore w:val="0"/>
        <w:widowControl/>
        <w:kinsoku w:val="0"/>
        <w:wordWrap/>
        <w:overflowPunct/>
        <w:topLinePunct w:val="0"/>
        <w:autoSpaceDE w:val="0"/>
        <w:autoSpaceDN w:val="0"/>
        <w:bidi w:val="0"/>
        <w:adjustRightInd w:val="0"/>
        <w:snapToGrid w:val="0"/>
        <w:spacing w:before="183" w:line="360" w:lineRule="auto"/>
        <w:ind w:left="50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范围：采购人组织的全区会议以及重大活动</w:t>
      </w:r>
    </w:p>
    <w:p w14:paraId="29DBBF26">
      <w:pPr>
        <w:keepNext w:val="0"/>
        <w:keepLines w:val="0"/>
        <w:pageBreakBefore w:val="0"/>
        <w:widowControl/>
        <w:kinsoku w:val="0"/>
        <w:wordWrap/>
        <w:overflowPunct/>
        <w:topLinePunct w:val="0"/>
        <w:autoSpaceDE w:val="0"/>
        <w:autoSpaceDN w:val="0"/>
        <w:bidi w:val="0"/>
        <w:adjustRightInd w:val="0"/>
        <w:snapToGrid w:val="0"/>
        <w:spacing w:before="185" w:line="360" w:lineRule="auto"/>
        <w:ind w:left="485"/>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20"/>
          <w:w w:val="101"/>
          <w:sz w:val="24"/>
          <w:szCs w:val="24"/>
        </w:rPr>
        <w:t xml:space="preserve">  </w:t>
      </w:r>
      <w:r>
        <w:rPr>
          <w:rFonts w:hint="eastAsia" w:ascii="宋体" w:hAnsi="宋体" w:eastAsia="宋体" w:cs="宋体"/>
          <w:color w:val="auto"/>
          <w:spacing w:val="-8"/>
          <w:sz w:val="24"/>
          <w:szCs w:val="24"/>
        </w:rPr>
        <w:t>内容和标准</w:t>
      </w:r>
    </w:p>
    <w:p w14:paraId="7E9DD114">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2.7  负责配合采购人对来访人员的接待</w:t>
      </w:r>
      <w:r>
        <w:rPr>
          <w:rFonts w:hint="eastAsia" w:ascii="宋体" w:hAnsi="宋体" w:eastAsia="宋体" w:cs="宋体"/>
          <w:color w:val="auto"/>
          <w:spacing w:val="-1"/>
          <w:sz w:val="24"/>
          <w:szCs w:val="24"/>
        </w:rPr>
        <w:t>和引导等工作。</w:t>
      </w:r>
    </w:p>
    <w:p w14:paraId="21C75F37">
      <w:pPr>
        <w:pStyle w:val="1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p w14:paraId="2EED37B7">
      <w:pPr>
        <w:pStyle w:val="1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p w14:paraId="3549348B">
      <w:pPr>
        <w:keepNext w:val="0"/>
        <w:keepLines w:val="0"/>
        <w:pageBreakBefore w:val="0"/>
        <w:widowControl/>
        <w:kinsoku w:val="0"/>
        <w:wordWrap/>
        <w:overflowPunct/>
        <w:topLinePunct w:val="0"/>
        <w:autoSpaceDE w:val="0"/>
        <w:autoSpaceDN w:val="0"/>
        <w:bidi w:val="0"/>
        <w:adjustRightInd w:val="0"/>
        <w:snapToGrid w:val="0"/>
        <w:spacing w:before="78" w:line="360" w:lineRule="auto"/>
        <w:ind w:left="37"/>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四、服务质量考核要求</w:t>
      </w:r>
    </w:p>
    <w:p w14:paraId="15D63B02">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6" w:right="345" w:firstLine="496"/>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、物业服务单位应严格落实服务流程规范和服务工作标准，采购人每月依照《服务质量考核表》（附后）对物业服务保障工作进行考核，考核不合格（100 分满分，80</w:t>
      </w:r>
      <w:r>
        <w:rPr>
          <w:rFonts w:hint="eastAsia" w:ascii="宋体" w:hAnsi="宋体" w:eastAsia="宋体" w:cs="宋体"/>
          <w:color w:val="auto"/>
          <w:spacing w:val="1"/>
          <w:sz w:val="24"/>
          <w:szCs w:val="24"/>
        </w:rPr>
        <w:t>分以下不合格）采购人向其下达整改通知并验收达标（达到及格以上</w:t>
      </w:r>
      <w:r>
        <w:rPr>
          <w:rFonts w:hint="eastAsia" w:ascii="宋体" w:hAnsi="宋体" w:eastAsia="宋体" w:cs="宋体"/>
          <w:color w:val="auto"/>
          <w:spacing w:val="-52"/>
          <w:sz w:val="24"/>
          <w:szCs w:val="24"/>
        </w:rPr>
        <w:t>），</w:t>
      </w:r>
      <w:r>
        <w:rPr>
          <w:rFonts w:hint="eastAsia" w:ascii="宋体" w:hAnsi="宋体" w:eastAsia="宋体" w:cs="宋体"/>
          <w:color w:val="auto"/>
          <w:spacing w:val="1"/>
          <w:sz w:val="24"/>
          <w:szCs w:val="24"/>
        </w:rPr>
        <w:t>连续</w:t>
      </w:r>
      <w:r>
        <w:rPr>
          <w:rFonts w:hint="eastAsia" w:ascii="宋体" w:hAnsi="宋体" w:eastAsia="宋体" w:cs="宋体"/>
          <w:color w:val="auto"/>
          <w:spacing w:val="-49"/>
          <w:sz w:val="24"/>
          <w:szCs w:val="24"/>
        </w:rPr>
        <w:t xml:space="preserve"> </w:t>
      </w:r>
      <w:r>
        <w:rPr>
          <w:rFonts w:hint="eastAsia" w:ascii="宋体" w:hAnsi="宋体" w:eastAsia="宋体" w:cs="宋体"/>
          <w:color w:val="auto"/>
          <w:sz w:val="24"/>
          <w:szCs w:val="24"/>
        </w:rPr>
        <w:t>3 个月考</w:t>
      </w:r>
      <w:r>
        <w:rPr>
          <w:rFonts w:hint="eastAsia" w:ascii="宋体" w:hAnsi="宋体" w:eastAsia="宋体" w:cs="宋体"/>
          <w:color w:val="auto"/>
          <w:spacing w:val="-1"/>
          <w:sz w:val="24"/>
          <w:szCs w:val="24"/>
        </w:rPr>
        <w:t>核不合格时，可视情况解除与物业服务单位的服务合同关系；</w:t>
      </w:r>
    </w:p>
    <w:p w14:paraId="356D68C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6" w:right="345" w:firstLine="473"/>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、物业服务单位应严格落实安全管理规定，如发生在水、电、暖使用不当导致出</w:t>
      </w:r>
      <w:r>
        <w:rPr>
          <w:rFonts w:hint="eastAsia" w:ascii="宋体" w:hAnsi="宋体" w:eastAsia="宋体" w:cs="宋体"/>
          <w:color w:val="auto"/>
          <w:spacing w:val="-1"/>
          <w:sz w:val="24"/>
          <w:szCs w:val="24"/>
        </w:rPr>
        <w:t>现安全责任事故，采购人可视情况解除与服务机构的服务合同关系；</w:t>
      </w:r>
    </w:p>
    <w:p w14:paraId="75779310">
      <w:pPr>
        <w:keepNext w:val="0"/>
        <w:keepLines w:val="0"/>
        <w:pageBreakBefore w:val="0"/>
        <w:widowControl/>
        <w:kinsoku w:val="0"/>
        <w:wordWrap/>
        <w:overflowPunct/>
        <w:topLinePunct w:val="0"/>
        <w:autoSpaceDE w:val="0"/>
        <w:autoSpaceDN w:val="0"/>
        <w:bidi w:val="0"/>
        <w:adjustRightInd w:val="0"/>
        <w:snapToGrid w:val="0"/>
        <w:spacing w:before="179" w:line="360" w:lineRule="auto"/>
        <w:ind w:left="13" w:right="345" w:firstLine="48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、物业服务单位应做好各项设施设备日常运行及维护，环境卫生维护、</w:t>
      </w:r>
      <w:r>
        <w:rPr>
          <w:rFonts w:hint="eastAsia" w:ascii="宋体" w:hAnsi="宋体" w:eastAsia="宋体" w:cs="宋体"/>
          <w:color w:val="auto"/>
          <w:spacing w:val="-2"/>
          <w:sz w:val="24"/>
          <w:szCs w:val="24"/>
        </w:rPr>
        <w:t>应急处理等物业相关服务。如发生服务单位责任事故，造成恶劣影响的，可视</w:t>
      </w:r>
      <w:r>
        <w:rPr>
          <w:rFonts w:hint="eastAsia" w:ascii="宋体" w:hAnsi="宋体" w:eastAsia="宋体" w:cs="宋体"/>
          <w:color w:val="auto"/>
          <w:spacing w:val="-1"/>
          <w:sz w:val="24"/>
          <w:szCs w:val="24"/>
        </w:rPr>
        <w:t>情况解除与物业服务单位的服务合同关系。</w:t>
      </w:r>
    </w:p>
    <w:p w14:paraId="1D19E94B">
      <w:pPr>
        <w:keepNext w:val="0"/>
        <w:keepLines w:val="0"/>
        <w:pageBreakBefore w:val="0"/>
        <w:widowControl/>
        <w:kinsoku w:val="0"/>
        <w:wordWrap/>
        <w:overflowPunct/>
        <w:topLinePunct w:val="0"/>
        <w:autoSpaceDE w:val="0"/>
        <w:autoSpaceDN w:val="0"/>
        <w:bidi w:val="0"/>
        <w:adjustRightInd w:val="0"/>
        <w:snapToGrid w:val="0"/>
        <w:spacing w:before="183" w:line="360" w:lineRule="auto"/>
        <w:ind w:left="3705"/>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服务质量考核表</w:t>
      </w:r>
    </w:p>
    <w:p w14:paraId="49E393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tbl>
      <w:tblPr>
        <w:tblStyle w:val="251"/>
        <w:tblW w:w="941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6970"/>
        <w:gridCol w:w="624"/>
        <w:gridCol w:w="624"/>
        <w:gridCol w:w="628"/>
      </w:tblGrid>
      <w:tr w14:paraId="0EE4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571" w:type="dxa"/>
            <w:vMerge w:val="restart"/>
            <w:vAlign w:val="top"/>
          </w:tcPr>
          <w:p w14:paraId="3C6D3B33">
            <w:pPr>
              <w:pStyle w:val="253"/>
              <w:keepNext w:val="0"/>
              <w:keepLines w:val="0"/>
              <w:pageBreakBefore w:val="0"/>
              <w:widowControl/>
              <w:kinsoku w:val="0"/>
              <w:wordWrap/>
              <w:overflowPunct/>
              <w:topLinePunct w:val="0"/>
              <w:autoSpaceDE w:val="0"/>
              <w:autoSpaceDN w:val="0"/>
              <w:bidi w:val="0"/>
              <w:adjustRightInd w:val="0"/>
              <w:snapToGrid w:val="0"/>
              <w:spacing w:before="277" w:line="360" w:lineRule="auto"/>
              <w:ind w:left="55" w:right="42" w:hanging="3"/>
              <w:textAlignment w:val="baseline"/>
              <w:rPr>
                <w:rFonts w:hint="eastAsia" w:ascii="宋体" w:hAnsi="宋体" w:eastAsia="宋体" w:cs="宋体"/>
                <w:color w:val="auto"/>
              </w:rPr>
            </w:pPr>
            <w:r>
              <w:rPr>
                <w:rFonts w:hint="eastAsia" w:ascii="宋体" w:hAnsi="宋体" w:eastAsia="宋体" w:cs="宋体"/>
                <w:color w:val="auto"/>
                <w:spacing w:val="-5"/>
              </w:rPr>
              <w:t>服务</w:t>
            </w:r>
            <w:r>
              <w:rPr>
                <w:rFonts w:hint="eastAsia" w:ascii="宋体" w:hAnsi="宋体" w:eastAsia="宋体" w:cs="宋体"/>
                <w:color w:val="auto"/>
                <w:spacing w:val="-7"/>
              </w:rPr>
              <w:t>项目</w:t>
            </w:r>
          </w:p>
        </w:tc>
        <w:tc>
          <w:tcPr>
            <w:tcW w:w="6970" w:type="dxa"/>
            <w:vMerge w:val="restart"/>
            <w:vAlign w:val="top"/>
          </w:tcPr>
          <w:p w14:paraId="728946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70AD2259">
            <w:pPr>
              <w:pStyle w:val="253"/>
              <w:keepNext w:val="0"/>
              <w:keepLines w:val="0"/>
              <w:pageBreakBefore w:val="0"/>
              <w:widowControl/>
              <w:kinsoku w:val="0"/>
              <w:wordWrap/>
              <w:overflowPunct/>
              <w:topLinePunct w:val="0"/>
              <w:autoSpaceDE w:val="0"/>
              <w:autoSpaceDN w:val="0"/>
              <w:bidi w:val="0"/>
              <w:adjustRightInd w:val="0"/>
              <w:snapToGrid w:val="0"/>
              <w:spacing w:before="78" w:line="360" w:lineRule="auto"/>
              <w:ind w:left="2292"/>
              <w:textAlignment w:val="baseline"/>
              <w:rPr>
                <w:rFonts w:hint="eastAsia" w:ascii="宋体" w:hAnsi="宋体" w:eastAsia="宋体" w:cs="宋体"/>
                <w:color w:val="auto"/>
              </w:rPr>
            </w:pPr>
            <w:r>
              <w:rPr>
                <w:rFonts w:hint="eastAsia" w:ascii="宋体" w:hAnsi="宋体" w:eastAsia="宋体" w:cs="宋体"/>
                <w:color w:val="auto"/>
                <w:spacing w:val="-9"/>
              </w:rPr>
              <w:t>检</w:t>
            </w:r>
            <w:r>
              <w:rPr>
                <w:rFonts w:hint="eastAsia" w:ascii="宋体" w:hAnsi="宋体" w:eastAsia="宋体" w:cs="宋体"/>
                <w:color w:val="auto"/>
                <w:spacing w:val="3"/>
              </w:rPr>
              <w:t xml:space="preserve">    </w:t>
            </w:r>
            <w:r>
              <w:rPr>
                <w:rFonts w:hint="eastAsia" w:ascii="宋体" w:hAnsi="宋体" w:eastAsia="宋体" w:cs="宋体"/>
                <w:color w:val="auto"/>
                <w:spacing w:val="-9"/>
              </w:rPr>
              <w:t>查</w:t>
            </w:r>
            <w:r>
              <w:rPr>
                <w:rFonts w:hint="eastAsia" w:ascii="宋体" w:hAnsi="宋体" w:eastAsia="宋体" w:cs="宋体"/>
                <w:color w:val="auto"/>
                <w:spacing w:val="3"/>
              </w:rPr>
              <w:t xml:space="preserve">    </w:t>
            </w:r>
            <w:r>
              <w:rPr>
                <w:rFonts w:hint="eastAsia" w:ascii="宋体" w:hAnsi="宋体" w:eastAsia="宋体" w:cs="宋体"/>
                <w:color w:val="auto"/>
                <w:spacing w:val="-9"/>
              </w:rPr>
              <w:t>项</w:t>
            </w:r>
            <w:r>
              <w:rPr>
                <w:rFonts w:hint="eastAsia" w:ascii="宋体" w:hAnsi="宋体" w:eastAsia="宋体" w:cs="宋体"/>
                <w:color w:val="auto"/>
                <w:spacing w:val="14"/>
              </w:rPr>
              <w:t xml:space="preserve">    </w:t>
            </w:r>
            <w:r>
              <w:rPr>
                <w:rFonts w:hint="eastAsia" w:ascii="宋体" w:hAnsi="宋体" w:eastAsia="宋体" w:cs="宋体"/>
                <w:color w:val="auto"/>
                <w:spacing w:val="-9"/>
              </w:rPr>
              <w:t>目</w:t>
            </w:r>
          </w:p>
        </w:tc>
        <w:tc>
          <w:tcPr>
            <w:tcW w:w="1876" w:type="dxa"/>
            <w:gridSpan w:val="3"/>
            <w:vAlign w:val="top"/>
          </w:tcPr>
          <w:p w14:paraId="77FE613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237" w:right="235" w:firstLine="228"/>
              <w:textAlignment w:val="baseline"/>
              <w:rPr>
                <w:rFonts w:hint="eastAsia" w:ascii="宋体" w:hAnsi="宋体" w:eastAsia="宋体" w:cs="宋体"/>
                <w:color w:val="auto"/>
              </w:rPr>
            </w:pPr>
            <w:r>
              <w:rPr>
                <w:rFonts w:hint="eastAsia" w:ascii="宋体" w:hAnsi="宋体" w:eastAsia="宋体" w:cs="宋体"/>
                <w:color w:val="auto"/>
                <w:spacing w:val="-3"/>
              </w:rPr>
              <w:t>检查情况</w:t>
            </w:r>
            <w:r>
              <w:rPr>
                <w:rFonts w:hint="eastAsia" w:ascii="宋体" w:hAnsi="宋体" w:eastAsia="宋体" w:cs="宋体"/>
                <w:color w:val="auto"/>
                <w:spacing w:val="-8"/>
              </w:rPr>
              <w:t>（100</w:t>
            </w:r>
            <w:r>
              <w:rPr>
                <w:rFonts w:hint="eastAsia" w:ascii="宋体" w:hAnsi="宋体" w:eastAsia="宋体" w:cs="宋体"/>
                <w:color w:val="auto"/>
                <w:spacing w:val="6"/>
              </w:rPr>
              <w:t xml:space="preserve">  </w:t>
            </w:r>
            <w:r>
              <w:rPr>
                <w:rFonts w:hint="eastAsia" w:ascii="宋体" w:hAnsi="宋体" w:eastAsia="宋体" w:cs="宋体"/>
                <w:color w:val="auto"/>
                <w:spacing w:val="-8"/>
              </w:rPr>
              <w:t>分制）</w:t>
            </w:r>
          </w:p>
        </w:tc>
      </w:tr>
      <w:tr w14:paraId="223D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vAlign w:val="top"/>
          </w:tcPr>
          <w:p w14:paraId="365907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970" w:type="dxa"/>
            <w:vMerge w:val="continue"/>
            <w:vAlign w:val="top"/>
          </w:tcPr>
          <w:p w14:paraId="0E2A3B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4" w:type="dxa"/>
            <w:vAlign w:val="top"/>
          </w:tcPr>
          <w:p w14:paraId="08A4E623">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84"/>
              <w:textAlignment w:val="baseline"/>
              <w:rPr>
                <w:rFonts w:hint="eastAsia" w:ascii="宋体" w:hAnsi="宋体" w:eastAsia="宋体" w:cs="宋体"/>
                <w:color w:val="auto"/>
              </w:rPr>
            </w:pPr>
            <w:r>
              <w:rPr>
                <w:rFonts w:hint="eastAsia" w:ascii="宋体" w:hAnsi="宋体" w:eastAsia="宋体" w:cs="宋体"/>
                <w:color w:val="auto"/>
                <w:spacing w:val="-7"/>
              </w:rPr>
              <w:t>分值</w:t>
            </w:r>
          </w:p>
        </w:tc>
        <w:tc>
          <w:tcPr>
            <w:tcW w:w="624" w:type="dxa"/>
            <w:vAlign w:val="top"/>
          </w:tcPr>
          <w:p w14:paraId="5D649D73">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82"/>
              <w:textAlignment w:val="baseline"/>
              <w:rPr>
                <w:rFonts w:hint="eastAsia" w:ascii="宋体" w:hAnsi="宋体" w:eastAsia="宋体" w:cs="宋体"/>
                <w:color w:val="auto"/>
              </w:rPr>
            </w:pPr>
            <w:r>
              <w:rPr>
                <w:rFonts w:hint="eastAsia" w:ascii="宋体" w:hAnsi="宋体" w:eastAsia="宋体" w:cs="宋体"/>
                <w:color w:val="auto"/>
                <w:spacing w:val="-6"/>
              </w:rPr>
              <w:t>得分</w:t>
            </w:r>
          </w:p>
        </w:tc>
        <w:tc>
          <w:tcPr>
            <w:tcW w:w="628" w:type="dxa"/>
            <w:vAlign w:val="top"/>
          </w:tcPr>
          <w:p w14:paraId="539A78C5">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84"/>
              <w:textAlignment w:val="baseline"/>
              <w:rPr>
                <w:rFonts w:hint="eastAsia" w:ascii="宋体" w:hAnsi="宋体" w:eastAsia="宋体" w:cs="宋体"/>
                <w:color w:val="auto"/>
              </w:rPr>
            </w:pPr>
            <w:r>
              <w:rPr>
                <w:rFonts w:hint="eastAsia" w:ascii="宋体" w:hAnsi="宋体" w:eastAsia="宋体" w:cs="宋体"/>
                <w:color w:val="auto"/>
                <w:spacing w:val="-7"/>
              </w:rPr>
              <w:t>备注</w:t>
            </w:r>
          </w:p>
        </w:tc>
      </w:tr>
      <w:tr w14:paraId="5F12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571" w:type="dxa"/>
            <w:vMerge w:val="restart"/>
            <w:vAlign w:val="top"/>
          </w:tcPr>
          <w:p w14:paraId="5735608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r>
              <w:rPr>
                <w:rFonts w:hint="eastAsia" w:ascii="宋体" w:hAnsi="宋体" w:eastAsia="宋体" w:cs="宋体"/>
                <w:color w:val="auto"/>
                <w:spacing w:val="-1"/>
              </w:rPr>
              <w:t>服 务 组 织</w:t>
            </w:r>
          </w:p>
        </w:tc>
        <w:tc>
          <w:tcPr>
            <w:tcW w:w="6970" w:type="dxa"/>
            <w:vAlign w:val="top"/>
          </w:tcPr>
          <w:p w14:paraId="57EB9C0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物业服务管理各项制度健全、完善、落实，岗位责任制明确，职责是否完善。</w:t>
            </w:r>
          </w:p>
        </w:tc>
        <w:tc>
          <w:tcPr>
            <w:tcW w:w="624" w:type="dxa"/>
            <w:vAlign w:val="top"/>
          </w:tcPr>
          <w:p w14:paraId="016564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414F2333">
            <w:pPr>
              <w:keepNext w:val="0"/>
              <w:keepLines w:val="0"/>
              <w:pageBreakBefore w:val="0"/>
              <w:widowControl/>
              <w:kinsoku w:val="0"/>
              <w:wordWrap/>
              <w:overflowPunct/>
              <w:topLinePunct w:val="0"/>
              <w:autoSpaceDE w:val="0"/>
              <w:autoSpaceDN w:val="0"/>
              <w:bidi w:val="0"/>
              <w:adjustRightInd w:val="0"/>
              <w:snapToGrid w:val="0"/>
              <w:spacing w:before="6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57BD7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208C3C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56F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vAlign w:val="top"/>
          </w:tcPr>
          <w:p w14:paraId="5D439FEB">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221FC3C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人员在岗情况、上岗率符合合同要求</w:t>
            </w:r>
          </w:p>
        </w:tc>
        <w:tc>
          <w:tcPr>
            <w:tcW w:w="624" w:type="dxa"/>
            <w:vAlign w:val="top"/>
          </w:tcPr>
          <w:p w14:paraId="694967D9">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2957B4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3B68AD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5A4F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148A5863">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114DF597">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项目经理及主要管理人员相对稳定、调整时符合合同要求</w:t>
            </w:r>
          </w:p>
        </w:tc>
        <w:tc>
          <w:tcPr>
            <w:tcW w:w="624" w:type="dxa"/>
            <w:vAlign w:val="top"/>
          </w:tcPr>
          <w:p w14:paraId="739816C6">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F661F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3979B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B44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7D27308B">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770D1C8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人员仪容仪表是否符合规范；使用文明语言，服务主动热情</w:t>
            </w:r>
          </w:p>
        </w:tc>
        <w:tc>
          <w:tcPr>
            <w:tcW w:w="624" w:type="dxa"/>
            <w:vAlign w:val="top"/>
          </w:tcPr>
          <w:p w14:paraId="09156989">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57EAA3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43FF2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2C7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7C43A74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22B4F80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在岗人员是否存在与工作无关事务</w:t>
            </w:r>
          </w:p>
        </w:tc>
        <w:tc>
          <w:tcPr>
            <w:tcW w:w="624" w:type="dxa"/>
            <w:vAlign w:val="top"/>
          </w:tcPr>
          <w:p w14:paraId="7D2777ED">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75E23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7A810C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6704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5654CFA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3A70B26E">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特种作业人员(电工、锅炉工)持证上岗，证件有效，符合规定范围</w:t>
            </w:r>
          </w:p>
        </w:tc>
        <w:tc>
          <w:tcPr>
            <w:tcW w:w="624" w:type="dxa"/>
            <w:vAlign w:val="top"/>
          </w:tcPr>
          <w:p w14:paraId="0545A3DD">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7618BF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3225B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84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restart"/>
            <w:vAlign w:val="top"/>
          </w:tcPr>
          <w:p w14:paraId="5E60FBA7">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r>
              <w:rPr>
                <w:rFonts w:hint="eastAsia" w:ascii="宋体" w:hAnsi="宋体" w:eastAsia="宋体" w:cs="宋体"/>
                <w:color w:val="auto"/>
                <w:spacing w:val="-1"/>
              </w:rPr>
              <w:t>档 案 管</w:t>
            </w:r>
          </w:p>
          <w:p w14:paraId="47FB7DB0">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r>
              <w:rPr>
                <w:rFonts w:hint="eastAsia" w:ascii="宋体" w:hAnsi="宋体" w:eastAsia="宋体" w:cs="宋体"/>
                <w:color w:val="auto"/>
                <w:spacing w:val="-1"/>
              </w:rPr>
              <w:t>理</w:t>
            </w:r>
          </w:p>
        </w:tc>
        <w:tc>
          <w:tcPr>
            <w:tcW w:w="6970" w:type="dxa"/>
            <w:vAlign w:val="top"/>
          </w:tcPr>
          <w:p w14:paraId="54F6439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物业项目管理档案资料齐全、分类成册</w:t>
            </w:r>
          </w:p>
        </w:tc>
        <w:tc>
          <w:tcPr>
            <w:tcW w:w="624" w:type="dxa"/>
            <w:vAlign w:val="top"/>
          </w:tcPr>
          <w:p w14:paraId="3090CF61">
            <w:pPr>
              <w:keepNext w:val="0"/>
              <w:keepLines w:val="0"/>
              <w:pageBreakBefore w:val="0"/>
              <w:widowControl/>
              <w:kinsoku w:val="0"/>
              <w:wordWrap/>
              <w:overflowPunct/>
              <w:topLinePunct w:val="0"/>
              <w:autoSpaceDE w:val="0"/>
              <w:autoSpaceDN w:val="0"/>
              <w:bidi w:val="0"/>
              <w:adjustRightInd w:val="0"/>
              <w:snapToGrid w:val="0"/>
              <w:spacing w:before="87"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7BFD5B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7D56D3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1231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vAlign w:val="top"/>
          </w:tcPr>
          <w:p w14:paraId="33B2AC3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001D1AA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物业项目管理台帐、动态记录及时无误</w:t>
            </w:r>
          </w:p>
        </w:tc>
        <w:tc>
          <w:tcPr>
            <w:tcW w:w="624" w:type="dxa"/>
            <w:vAlign w:val="top"/>
          </w:tcPr>
          <w:p w14:paraId="2C8792CB">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78C8A2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1B2A6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0F7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71" w:type="dxa"/>
            <w:vMerge w:val="continue"/>
            <w:vAlign w:val="top"/>
          </w:tcPr>
          <w:p w14:paraId="7E673D1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43C2152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各项管理规章制度、岗位责任制、员工档案齐全、管理规范</w:t>
            </w:r>
          </w:p>
        </w:tc>
        <w:tc>
          <w:tcPr>
            <w:tcW w:w="624" w:type="dxa"/>
            <w:vAlign w:val="top"/>
          </w:tcPr>
          <w:p w14:paraId="3BFA932B">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08324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2AF217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F30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71" w:type="dxa"/>
            <w:vMerge w:val="continue"/>
            <w:vAlign w:val="top"/>
          </w:tcPr>
          <w:p w14:paraId="35EA969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1EBAE3C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安全应急预案制定规范、措施落实</w:t>
            </w:r>
          </w:p>
        </w:tc>
        <w:tc>
          <w:tcPr>
            <w:tcW w:w="624" w:type="dxa"/>
            <w:vAlign w:val="top"/>
          </w:tcPr>
          <w:p w14:paraId="4E52061F">
            <w:pPr>
              <w:keepNext w:val="0"/>
              <w:keepLines w:val="0"/>
              <w:pageBreakBefore w:val="0"/>
              <w:widowControl/>
              <w:kinsoku w:val="0"/>
              <w:wordWrap/>
              <w:overflowPunct/>
              <w:topLinePunct w:val="0"/>
              <w:autoSpaceDE w:val="0"/>
              <w:autoSpaceDN w:val="0"/>
              <w:bidi w:val="0"/>
              <w:adjustRightInd w:val="0"/>
              <w:snapToGrid w:val="0"/>
              <w:spacing w:before="91"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50A177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24149B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358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vAlign w:val="top"/>
          </w:tcPr>
          <w:p w14:paraId="431C85F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0115421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采购单位建议、报修、投诉记录完整准确</w:t>
            </w:r>
          </w:p>
        </w:tc>
        <w:tc>
          <w:tcPr>
            <w:tcW w:w="624" w:type="dxa"/>
            <w:vAlign w:val="top"/>
          </w:tcPr>
          <w:p w14:paraId="565FD825">
            <w:pPr>
              <w:keepNext w:val="0"/>
              <w:keepLines w:val="0"/>
              <w:pageBreakBefore w:val="0"/>
              <w:widowControl/>
              <w:kinsoku w:val="0"/>
              <w:wordWrap/>
              <w:overflowPunct/>
              <w:topLinePunct w:val="0"/>
              <w:autoSpaceDE w:val="0"/>
              <w:autoSpaceDN w:val="0"/>
              <w:bidi w:val="0"/>
              <w:adjustRightInd w:val="0"/>
              <w:snapToGrid w:val="0"/>
              <w:spacing w:before="85"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79B5F9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2AF802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621C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7B78733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40B88124">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日常及专项消毒记录（传染病预防、饮水机）</w:t>
            </w:r>
          </w:p>
        </w:tc>
        <w:tc>
          <w:tcPr>
            <w:tcW w:w="624" w:type="dxa"/>
            <w:vAlign w:val="top"/>
          </w:tcPr>
          <w:p w14:paraId="2172245B">
            <w:pPr>
              <w:keepNext w:val="0"/>
              <w:keepLines w:val="0"/>
              <w:pageBreakBefore w:val="0"/>
              <w:widowControl/>
              <w:kinsoku w:val="0"/>
              <w:wordWrap/>
              <w:overflowPunct/>
              <w:topLinePunct w:val="0"/>
              <w:autoSpaceDE w:val="0"/>
              <w:autoSpaceDN w:val="0"/>
              <w:bidi w:val="0"/>
              <w:adjustRightInd w:val="0"/>
              <w:snapToGrid w:val="0"/>
              <w:spacing w:before="87"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6B50F8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17B8E4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EA8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3EF3AAEA">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3201C22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设备设施（电梯、锅炉）检测记录，符合规定</w:t>
            </w:r>
          </w:p>
        </w:tc>
        <w:tc>
          <w:tcPr>
            <w:tcW w:w="624" w:type="dxa"/>
            <w:vAlign w:val="top"/>
          </w:tcPr>
          <w:p w14:paraId="58CEC768">
            <w:pPr>
              <w:keepNext w:val="0"/>
              <w:keepLines w:val="0"/>
              <w:pageBreakBefore w:val="0"/>
              <w:widowControl/>
              <w:kinsoku w:val="0"/>
              <w:wordWrap/>
              <w:overflowPunct/>
              <w:topLinePunct w:val="0"/>
              <w:autoSpaceDE w:val="0"/>
              <w:autoSpaceDN w:val="0"/>
              <w:bidi w:val="0"/>
              <w:adjustRightInd w:val="0"/>
              <w:snapToGrid w:val="0"/>
              <w:spacing w:before="87"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E3A6C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1181E1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14E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71" w:type="dxa"/>
            <w:vMerge w:val="continue"/>
            <w:vAlign w:val="top"/>
          </w:tcPr>
          <w:p w14:paraId="4FB26B87">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653A5EFE">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维修作业记录（水、电、热）</w:t>
            </w:r>
          </w:p>
        </w:tc>
        <w:tc>
          <w:tcPr>
            <w:tcW w:w="624" w:type="dxa"/>
            <w:vAlign w:val="top"/>
          </w:tcPr>
          <w:p w14:paraId="15D48382">
            <w:pPr>
              <w:keepNext w:val="0"/>
              <w:keepLines w:val="0"/>
              <w:pageBreakBefore w:val="0"/>
              <w:widowControl/>
              <w:kinsoku w:val="0"/>
              <w:wordWrap/>
              <w:overflowPunct/>
              <w:topLinePunct w:val="0"/>
              <w:autoSpaceDE w:val="0"/>
              <w:autoSpaceDN w:val="0"/>
              <w:bidi w:val="0"/>
              <w:adjustRightInd w:val="0"/>
              <w:snapToGrid w:val="0"/>
              <w:spacing w:before="85"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20638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73DAA8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AC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129BD21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673EB40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灭鼠、虫害消杀记录</w:t>
            </w:r>
          </w:p>
        </w:tc>
        <w:tc>
          <w:tcPr>
            <w:tcW w:w="624" w:type="dxa"/>
            <w:vAlign w:val="top"/>
          </w:tcPr>
          <w:p w14:paraId="3BACB335">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BBBD5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60E1C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586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23EF260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p>
        </w:tc>
        <w:tc>
          <w:tcPr>
            <w:tcW w:w="6970" w:type="dxa"/>
            <w:vAlign w:val="top"/>
          </w:tcPr>
          <w:p w14:paraId="7676E06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维修配件、清洁消耗品入出库记录</w:t>
            </w:r>
          </w:p>
        </w:tc>
        <w:tc>
          <w:tcPr>
            <w:tcW w:w="624" w:type="dxa"/>
            <w:vAlign w:val="top"/>
          </w:tcPr>
          <w:p w14:paraId="76E8DE6D">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48A0A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15A5BE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EC8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restart"/>
            <w:vAlign w:val="top"/>
          </w:tcPr>
          <w:p w14:paraId="74DDA563">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jc w:val="center"/>
              <w:textAlignment w:val="baseline"/>
              <w:rPr>
                <w:rFonts w:hint="eastAsia" w:ascii="宋体" w:hAnsi="宋体" w:eastAsia="宋体" w:cs="宋体"/>
                <w:color w:val="auto"/>
                <w:spacing w:val="-1"/>
              </w:rPr>
            </w:pPr>
            <w:r>
              <w:rPr>
                <w:rFonts w:hint="eastAsia" w:ascii="宋体" w:hAnsi="宋体" w:eastAsia="宋体" w:cs="宋体"/>
                <w:color w:val="auto"/>
                <w:spacing w:val="-1"/>
              </w:rPr>
              <w:t>服 务 内 容</w:t>
            </w:r>
          </w:p>
        </w:tc>
        <w:tc>
          <w:tcPr>
            <w:tcW w:w="6970" w:type="dxa"/>
            <w:vAlign w:val="top"/>
          </w:tcPr>
          <w:p w14:paraId="6F02C27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房屋设施、门、窗是否完好</w:t>
            </w:r>
          </w:p>
        </w:tc>
        <w:tc>
          <w:tcPr>
            <w:tcW w:w="624" w:type="dxa"/>
            <w:vAlign w:val="top"/>
          </w:tcPr>
          <w:p w14:paraId="6E7DE868">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FB34A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C0EF4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479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textDirection w:val="tbRlV"/>
            <w:vAlign w:val="top"/>
          </w:tcPr>
          <w:p w14:paraId="3AD799E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668FC03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电梯、空调、锅炉、太阳能运行正常、平稳使用</w:t>
            </w:r>
          </w:p>
        </w:tc>
        <w:tc>
          <w:tcPr>
            <w:tcW w:w="624" w:type="dxa"/>
            <w:vAlign w:val="top"/>
          </w:tcPr>
          <w:p w14:paraId="1303628D">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77911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319A0A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D29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20CBFA3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4514C2D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天台门上锁、雨水篦子有无残破，确保师生安全</w:t>
            </w:r>
          </w:p>
        </w:tc>
        <w:tc>
          <w:tcPr>
            <w:tcW w:w="624" w:type="dxa"/>
            <w:vAlign w:val="top"/>
          </w:tcPr>
          <w:p w14:paraId="7EDD8647">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7BECD9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5C326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ABB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577F0477">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4D33BBC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公共照明设施齐全、照明灯、指示灯无破损，使用正常</w:t>
            </w:r>
          </w:p>
        </w:tc>
        <w:tc>
          <w:tcPr>
            <w:tcW w:w="624" w:type="dxa"/>
            <w:vAlign w:val="top"/>
          </w:tcPr>
          <w:p w14:paraId="369B0B20">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3B8A3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700015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1F6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02663AA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35AF033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屋顶及设备设施完好，阀门无锈蚀、管道标识清晰</w:t>
            </w:r>
          </w:p>
        </w:tc>
        <w:tc>
          <w:tcPr>
            <w:tcW w:w="624" w:type="dxa"/>
            <w:vAlign w:val="top"/>
          </w:tcPr>
          <w:p w14:paraId="5A22F671">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248B5E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0B7F28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6A9D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textDirection w:val="tbRlV"/>
            <w:vAlign w:val="top"/>
          </w:tcPr>
          <w:p w14:paraId="481675D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0076EE3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屋顶地面完好无损、无积水、无垃圾</w:t>
            </w:r>
          </w:p>
        </w:tc>
        <w:tc>
          <w:tcPr>
            <w:tcW w:w="624" w:type="dxa"/>
            <w:vAlign w:val="top"/>
          </w:tcPr>
          <w:p w14:paraId="213FE643">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6C72BB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2798D7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4B0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2FF6427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65D90AC7">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水箱设施完好、标志标识明确、管理符合要求</w:t>
            </w:r>
          </w:p>
        </w:tc>
        <w:tc>
          <w:tcPr>
            <w:tcW w:w="624" w:type="dxa"/>
            <w:vAlign w:val="top"/>
          </w:tcPr>
          <w:p w14:paraId="4A8840A0">
            <w:pPr>
              <w:keepNext w:val="0"/>
              <w:keepLines w:val="0"/>
              <w:pageBreakBefore w:val="0"/>
              <w:widowControl/>
              <w:kinsoku w:val="0"/>
              <w:wordWrap/>
              <w:overflowPunct/>
              <w:topLinePunct w:val="0"/>
              <w:autoSpaceDE w:val="0"/>
              <w:autoSpaceDN w:val="0"/>
              <w:bidi w:val="0"/>
              <w:adjustRightInd w:val="0"/>
              <w:snapToGrid w:val="0"/>
              <w:spacing w:before="91"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BBD33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D0439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1F64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580D7EC0">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123F90C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防火门常闭、闭门器完好</w:t>
            </w:r>
          </w:p>
        </w:tc>
        <w:tc>
          <w:tcPr>
            <w:tcW w:w="624" w:type="dxa"/>
            <w:vAlign w:val="top"/>
          </w:tcPr>
          <w:p w14:paraId="76E4BDD6">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20E87B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1A188A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C24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7924FF4B">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5F8C87C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报修服务应答和维修响应及时有效，维修质量符合规范要求</w:t>
            </w:r>
          </w:p>
        </w:tc>
        <w:tc>
          <w:tcPr>
            <w:tcW w:w="624" w:type="dxa"/>
            <w:vAlign w:val="top"/>
          </w:tcPr>
          <w:p w14:paraId="79F8AD76">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06370B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AB412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B28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34DE690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1DBF24C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各保洁区域卫生干净整洁</w:t>
            </w:r>
          </w:p>
        </w:tc>
        <w:tc>
          <w:tcPr>
            <w:tcW w:w="624" w:type="dxa"/>
            <w:vAlign w:val="top"/>
          </w:tcPr>
          <w:p w14:paraId="3E393BEF">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7B18FD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59B4DC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0CF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3F1406E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376FE8B8">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消防栓门内清洁、消防设施齐备完好、记录完整准确</w:t>
            </w:r>
          </w:p>
        </w:tc>
        <w:tc>
          <w:tcPr>
            <w:tcW w:w="624" w:type="dxa"/>
            <w:vAlign w:val="top"/>
          </w:tcPr>
          <w:p w14:paraId="3003D760">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AA175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03AEB0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1DDE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6FA1A76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6ADED4F8">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消防、监控系统使用正常</w:t>
            </w:r>
          </w:p>
        </w:tc>
        <w:tc>
          <w:tcPr>
            <w:tcW w:w="624" w:type="dxa"/>
            <w:vAlign w:val="top"/>
          </w:tcPr>
          <w:p w14:paraId="0D6DE428">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8AC7B7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568E6B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0A4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77380F1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01555C1E">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地下室环境清洁、通风设备完好、安全通道使用正常</w:t>
            </w:r>
          </w:p>
        </w:tc>
        <w:tc>
          <w:tcPr>
            <w:tcW w:w="624" w:type="dxa"/>
            <w:vAlign w:val="top"/>
          </w:tcPr>
          <w:p w14:paraId="3E598289">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C9FA3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EDE05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77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textDirection w:val="tbRlV"/>
            <w:vAlign w:val="top"/>
          </w:tcPr>
          <w:p w14:paraId="0C8021B4">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5363B063">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排水系统使用正常、排水坑、污水井封闭良好、无安全隐患</w:t>
            </w:r>
          </w:p>
        </w:tc>
        <w:tc>
          <w:tcPr>
            <w:tcW w:w="624" w:type="dxa"/>
            <w:vAlign w:val="top"/>
          </w:tcPr>
          <w:p w14:paraId="05BE502A">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D8AF4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CEC25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FB4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55A9EC3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10C6492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定时消毒、开窗通风</w:t>
            </w:r>
          </w:p>
        </w:tc>
        <w:tc>
          <w:tcPr>
            <w:tcW w:w="624" w:type="dxa"/>
            <w:vAlign w:val="top"/>
          </w:tcPr>
          <w:p w14:paraId="5C47C4D7">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65EC8E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526CA0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208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0AF1350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7CBE067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卫生间清洁工具、用品摆放整齐，洗手液、擦手纸、卷纸及时更换</w:t>
            </w:r>
          </w:p>
        </w:tc>
        <w:tc>
          <w:tcPr>
            <w:tcW w:w="624" w:type="dxa"/>
            <w:vAlign w:val="top"/>
          </w:tcPr>
          <w:p w14:paraId="67A908AE">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032789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5D0637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5C2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6A095395">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287CE4D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园区环境干净整洁，道路、楼道等公共区域无纸屑、树叶等</w:t>
            </w:r>
          </w:p>
        </w:tc>
        <w:tc>
          <w:tcPr>
            <w:tcW w:w="624" w:type="dxa"/>
            <w:vAlign w:val="top"/>
          </w:tcPr>
          <w:p w14:paraId="4B1701C3">
            <w:pPr>
              <w:keepNext w:val="0"/>
              <w:keepLines w:val="0"/>
              <w:pageBreakBefore w:val="0"/>
              <w:widowControl/>
              <w:kinsoku w:val="0"/>
              <w:wordWrap/>
              <w:overflowPunct/>
              <w:topLinePunct w:val="0"/>
              <w:autoSpaceDE w:val="0"/>
              <w:autoSpaceDN w:val="0"/>
              <w:bidi w:val="0"/>
              <w:adjustRightInd w:val="0"/>
              <w:snapToGrid w:val="0"/>
              <w:spacing w:before="91"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DA2A0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18A5AC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9E8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40F6924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7C3136D3">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园区垃圾桶及时清倒、清洗，表面无污渍、无异味</w:t>
            </w:r>
          </w:p>
        </w:tc>
        <w:tc>
          <w:tcPr>
            <w:tcW w:w="624" w:type="dxa"/>
            <w:vAlign w:val="top"/>
          </w:tcPr>
          <w:p w14:paraId="212A3F60">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9AD38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5C523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6A4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3FE3B0F8">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3BC7384A">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按垃圾分类要求分拣、投放、清运</w:t>
            </w:r>
          </w:p>
        </w:tc>
        <w:tc>
          <w:tcPr>
            <w:tcW w:w="624" w:type="dxa"/>
            <w:vAlign w:val="top"/>
          </w:tcPr>
          <w:p w14:paraId="567CC10E">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7C196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0C47B5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67E5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5472536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66FBCD6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运动场馆公共设施及设备器材干净整洁，摆放整齐</w:t>
            </w:r>
          </w:p>
        </w:tc>
        <w:tc>
          <w:tcPr>
            <w:tcW w:w="624" w:type="dxa"/>
            <w:vAlign w:val="top"/>
          </w:tcPr>
          <w:p w14:paraId="67F1658A">
            <w:pPr>
              <w:keepNext w:val="0"/>
              <w:keepLines w:val="0"/>
              <w:pageBreakBefore w:val="0"/>
              <w:widowControl/>
              <w:kinsoku w:val="0"/>
              <w:wordWrap/>
              <w:overflowPunct/>
              <w:topLinePunct w:val="0"/>
              <w:autoSpaceDE w:val="0"/>
              <w:autoSpaceDN w:val="0"/>
              <w:bidi w:val="0"/>
              <w:adjustRightInd w:val="0"/>
              <w:snapToGrid w:val="0"/>
              <w:spacing w:before="90"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46793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0EFB95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815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textDirection w:val="tbRlV"/>
            <w:vAlign w:val="top"/>
          </w:tcPr>
          <w:p w14:paraId="20DD74A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140D8D4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运动场馆设施有无损坏、运行不良情况</w:t>
            </w:r>
          </w:p>
        </w:tc>
        <w:tc>
          <w:tcPr>
            <w:tcW w:w="624" w:type="dxa"/>
            <w:vAlign w:val="top"/>
          </w:tcPr>
          <w:p w14:paraId="48D1F1AA">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135CC8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D8A5D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520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571" w:type="dxa"/>
            <w:vMerge w:val="continue"/>
            <w:textDirection w:val="tbRlV"/>
            <w:vAlign w:val="top"/>
          </w:tcPr>
          <w:p w14:paraId="74FA045E">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13049DF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会议室用品摆放符合要求</w:t>
            </w:r>
          </w:p>
        </w:tc>
        <w:tc>
          <w:tcPr>
            <w:tcW w:w="624" w:type="dxa"/>
            <w:vAlign w:val="top"/>
          </w:tcPr>
          <w:p w14:paraId="7A1F98E2">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C7234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5BAF76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1869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4319F11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1892A97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绿化规格符合要求、合理美观</w:t>
            </w:r>
          </w:p>
        </w:tc>
        <w:tc>
          <w:tcPr>
            <w:tcW w:w="624" w:type="dxa"/>
            <w:vAlign w:val="top"/>
          </w:tcPr>
          <w:p w14:paraId="211362CA">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48F932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1957ED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53A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0B6E159A">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35A464AA">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绿植养护作业及时、规范无黄叶、无枯枝、无病害</w:t>
            </w:r>
          </w:p>
        </w:tc>
        <w:tc>
          <w:tcPr>
            <w:tcW w:w="624" w:type="dxa"/>
            <w:vAlign w:val="top"/>
          </w:tcPr>
          <w:p w14:paraId="335FD444">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30D525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0C6ED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95C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71" w:type="dxa"/>
            <w:vMerge w:val="continue"/>
            <w:vAlign w:val="top"/>
          </w:tcPr>
          <w:p w14:paraId="1F3FD061">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67596F9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绿植养护安全防范及节日租摆符合要求</w:t>
            </w:r>
          </w:p>
        </w:tc>
        <w:tc>
          <w:tcPr>
            <w:tcW w:w="624" w:type="dxa"/>
            <w:vAlign w:val="top"/>
          </w:tcPr>
          <w:p w14:paraId="3B307D82">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66D107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629A21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84F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582B524F">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2D421360">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安全管理制度、应急预案健全、定时组织培训及演练</w:t>
            </w:r>
          </w:p>
        </w:tc>
        <w:tc>
          <w:tcPr>
            <w:tcW w:w="624" w:type="dxa"/>
            <w:vAlign w:val="top"/>
          </w:tcPr>
          <w:p w14:paraId="222A07FA">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0C5606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37FEF4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4BB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4F69974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78398819">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突发应急事件处理反应及上报及时、处置有效</w:t>
            </w:r>
          </w:p>
        </w:tc>
        <w:tc>
          <w:tcPr>
            <w:tcW w:w="624" w:type="dxa"/>
            <w:vAlign w:val="top"/>
          </w:tcPr>
          <w:p w14:paraId="13817FC1">
            <w:pPr>
              <w:keepNext w:val="0"/>
              <w:keepLines w:val="0"/>
              <w:pageBreakBefore w:val="0"/>
              <w:widowControl/>
              <w:kinsoku w:val="0"/>
              <w:wordWrap/>
              <w:overflowPunct/>
              <w:topLinePunct w:val="0"/>
              <w:autoSpaceDE w:val="0"/>
              <w:autoSpaceDN w:val="0"/>
              <w:bidi w:val="0"/>
              <w:adjustRightInd w:val="0"/>
              <w:snapToGrid w:val="0"/>
              <w:spacing w:before="89"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0FE49A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49ABA3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006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71" w:type="dxa"/>
            <w:vMerge w:val="continue"/>
            <w:vAlign w:val="top"/>
          </w:tcPr>
          <w:p w14:paraId="6740140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p>
        </w:tc>
        <w:tc>
          <w:tcPr>
            <w:tcW w:w="6970" w:type="dxa"/>
            <w:vAlign w:val="top"/>
          </w:tcPr>
          <w:p w14:paraId="2FBAC18D">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3"/>
              <w:textAlignment w:val="baseline"/>
              <w:rPr>
                <w:rFonts w:hint="eastAsia" w:ascii="宋体" w:hAnsi="宋体" w:eastAsia="宋体" w:cs="宋体"/>
                <w:color w:val="auto"/>
                <w:spacing w:val="-1"/>
              </w:rPr>
            </w:pPr>
            <w:r>
              <w:rPr>
                <w:rFonts w:hint="eastAsia" w:ascii="宋体" w:hAnsi="宋体" w:eastAsia="宋体" w:cs="宋体"/>
                <w:color w:val="auto"/>
                <w:spacing w:val="-1"/>
              </w:rPr>
              <w:t>应急演练及处理记录详细齐全</w:t>
            </w:r>
          </w:p>
        </w:tc>
        <w:tc>
          <w:tcPr>
            <w:tcW w:w="624" w:type="dxa"/>
            <w:vAlign w:val="top"/>
          </w:tcPr>
          <w:p w14:paraId="73FCB088">
            <w:pPr>
              <w:keepNext w:val="0"/>
              <w:keepLines w:val="0"/>
              <w:pageBreakBefore w:val="0"/>
              <w:widowControl/>
              <w:kinsoku w:val="0"/>
              <w:wordWrap/>
              <w:overflowPunct/>
              <w:topLinePunct w:val="0"/>
              <w:autoSpaceDE w:val="0"/>
              <w:autoSpaceDN w:val="0"/>
              <w:bidi w:val="0"/>
              <w:adjustRightInd w:val="0"/>
              <w:snapToGrid w:val="0"/>
              <w:spacing w:before="87" w:line="360" w:lineRule="auto"/>
              <w:ind w:left="25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24" w:type="dxa"/>
            <w:vAlign w:val="top"/>
          </w:tcPr>
          <w:p w14:paraId="6FE028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628" w:type="dxa"/>
            <w:vAlign w:val="top"/>
          </w:tcPr>
          <w:p w14:paraId="2EB4AA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4C3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4" w:hRule="atLeast"/>
        </w:trPr>
        <w:tc>
          <w:tcPr>
            <w:tcW w:w="9417" w:type="dxa"/>
            <w:gridSpan w:val="5"/>
            <w:vAlign w:val="top"/>
          </w:tcPr>
          <w:p w14:paraId="2C279FC6">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13"/>
              <w:textAlignment w:val="baseline"/>
              <w:rPr>
                <w:rFonts w:hint="eastAsia" w:ascii="宋体" w:hAnsi="宋体" w:eastAsia="宋体" w:cs="宋体"/>
                <w:color w:val="auto"/>
              </w:rPr>
            </w:pPr>
            <w:r>
              <w:rPr>
                <w:rFonts w:hint="eastAsia" w:ascii="宋体" w:hAnsi="宋体" w:eastAsia="宋体" w:cs="宋体"/>
                <w:color w:val="auto"/>
                <w:spacing w:val="-1"/>
              </w:rPr>
              <w:t>近期有无投诉、处理结果及整改措施：</w:t>
            </w:r>
          </w:p>
          <w:p w14:paraId="6A5881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637718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326DD8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600FCD85">
            <w:pPr>
              <w:pStyle w:val="253"/>
              <w:keepNext w:val="0"/>
              <w:keepLines w:val="0"/>
              <w:pageBreakBefore w:val="0"/>
              <w:widowControl/>
              <w:kinsoku w:val="0"/>
              <w:wordWrap/>
              <w:overflowPunct/>
              <w:topLinePunct w:val="0"/>
              <w:autoSpaceDE w:val="0"/>
              <w:autoSpaceDN w:val="0"/>
              <w:bidi w:val="0"/>
              <w:adjustRightInd w:val="0"/>
              <w:snapToGrid w:val="0"/>
              <w:spacing w:before="78" w:line="360" w:lineRule="auto"/>
              <w:ind w:left="15"/>
              <w:textAlignment w:val="baseline"/>
              <w:rPr>
                <w:rFonts w:hint="eastAsia" w:ascii="宋体" w:hAnsi="宋体" w:eastAsia="宋体" w:cs="宋体"/>
                <w:color w:val="auto"/>
              </w:rPr>
            </w:pPr>
            <w:r>
              <w:rPr>
                <w:rFonts w:hint="eastAsia" w:ascii="宋体" w:hAnsi="宋体" w:eastAsia="宋体" w:cs="宋体"/>
                <w:color w:val="auto"/>
                <w:spacing w:val="-2"/>
              </w:rPr>
              <w:t>其他情况及意见：</w:t>
            </w:r>
          </w:p>
          <w:p w14:paraId="0F7CC0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1F131A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468650F6">
            <w:pPr>
              <w:pStyle w:val="253"/>
              <w:keepNext w:val="0"/>
              <w:keepLines w:val="0"/>
              <w:pageBreakBefore w:val="0"/>
              <w:widowControl/>
              <w:kinsoku w:val="0"/>
              <w:wordWrap/>
              <w:overflowPunct/>
              <w:topLinePunct w:val="0"/>
              <w:autoSpaceDE w:val="0"/>
              <w:autoSpaceDN w:val="0"/>
              <w:bidi w:val="0"/>
              <w:adjustRightInd w:val="0"/>
              <w:snapToGrid w:val="0"/>
              <w:spacing w:before="78" w:line="360" w:lineRule="auto"/>
              <w:jc w:val="right"/>
              <w:textAlignment w:val="baseline"/>
              <w:rPr>
                <w:rFonts w:hint="eastAsia" w:ascii="宋体" w:hAnsi="宋体" w:eastAsia="宋体" w:cs="宋体"/>
                <w:color w:val="auto"/>
              </w:rPr>
            </w:pPr>
            <w:r>
              <w:rPr>
                <w:rFonts w:hint="eastAsia" w:ascii="宋体" w:hAnsi="宋体" w:eastAsia="宋体" w:cs="宋体"/>
                <w:color w:val="auto"/>
                <w:spacing w:val="-6"/>
              </w:rPr>
              <w:t>检查人：              日期：                     .</w:t>
            </w:r>
          </w:p>
        </w:tc>
      </w:tr>
    </w:tbl>
    <w:p w14:paraId="218A85FE">
      <w:pPr>
        <w:pStyle w:val="1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p w14:paraId="4F2B5363">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五、其他要求</w:t>
      </w:r>
    </w:p>
    <w:p w14:paraId="4FD7E8F4">
      <w:pPr>
        <w:keepNext w:val="0"/>
        <w:keepLines w:val="0"/>
        <w:pageBreakBefore w:val="0"/>
        <w:widowControl/>
        <w:kinsoku w:val="0"/>
        <w:wordWrap/>
        <w:overflowPunct/>
        <w:topLinePunct w:val="0"/>
        <w:autoSpaceDE w:val="0"/>
        <w:autoSpaceDN w:val="0"/>
        <w:bidi w:val="0"/>
        <w:adjustRightInd w:val="0"/>
        <w:snapToGrid w:val="0"/>
        <w:spacing w:before="179" w:line="360" w:lineRule="auto"/>
        <w:ind w:left="266"/>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（一）项目服务团队要求</w:t>
      </w:r>
    </w:p>
    <w:p w14:paraId="0AA4139F">
      <w:pPr>
        <w:keepNext w:val="0"/>
        <w:keepLines w:val="0"/>
        <w:pageBreakBefore w:val="0"/>
        <w:widowControl/>
        <w:kinsoku w:val="0"/>
        <w:wordWrap/>
        <w:overflowPunct/>
        <w:topLinePunct w:val="0"/>
        <w:autoSpaceDE w:val="0"/>
        <w:autoSpaceDN w:val="0"/>
        <w:bidi w:val="0"/>
        <w:adjustRightInd w:val="0"/>
        <w:snapToGrid w:val="0"/>
        <w:spacing w:before="181" w:line="360" w:lineRule="auto"/>
        <w:ind w:left="15" w:right="345" w:firstLine="497"/>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rPr>
        <w:t>、项目团队应配备不少于</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lang w:val="en-US" w:eastAsia="zh-CN"/>
        </w:rPr>
        <w:t>25</w:t>
      </w:r>
      <w:r>
        <w:rPr>
          <w:rFonts w:hint="eastAsia" w:ascii="宋体" w:hAnsi="宋体" w:eastAsia="宋体" w:cs="宋体"/>
          <w:color w:val="auto"/>
          <w:spacing w:val="-3"/>
          <w:sz w:val="24"/>
          <w:szCs w:val="24"/>
        </w:rPr>
        <w:t xml:space="preserve"> 人的服务</w:t>
      </w:r>
      <w:r>
        <w:rPr>
          <w:rFonts w:hint="eastAsia" w:ascii="宋体" w:hAnsi="宋体" w:eastAsia="宋体" w:cs="宋体"/>
          <w:color w:val="auto"/>
          <w:spacing w:val="-4"/>
          <w:sz w:val="24"/>
          <w:szCs w:val="24"/>
        </w:rPr>
        <w:t>团队，其中项目经理</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4"/>
          <w:sz w:val="24"/>
          <w:szCs w:val="24"/>
        </w:rPr>
        <w:t>1 人；</w:t>
      </w:r>
      <w:r>
        <w:rPr>
          <w:rFonts w:hint="eastAsia" w:ascii="宋体" w:hAnsi="宋体" w:eastAsia="宋体" w:cs="宋体"/>
          <w:color w:val="auto"/>
          <w:spacing w:val="-3"/>
          <w:sz w:val="24"/>
          <w:szCs w:val="24"/>
        </w:rPr>
        <w:t>设备运营主管不少于</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 人、环境维护主管不少于</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 人，设备运营维修工不少于</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lang w:val="en-US" w:eastAsia="zh-CN"/>
        </w:rPr>
        <w:t>4</w:t>
      </w:r>
      <w:r>
        <w:rPr>
          <w:rFonts w:hint="eastAsia" w:ascii="宋体" w:hAnsi="宋体" w:eastAsia="宋体" w:cs="宋体"/>
          <w:color w:val="auto"/>
          <w:spacing w:val="-3"/>
          <w:sz w:val="24"/>
          <w:szCs w:val="24"/>
        </w:rPr>
        <w:t xml:space="preserve"> 人；保洁员不少于</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lang w:val="en-US" w:eastAsia="zh-CN"/>
        </w:rPr>
        <w:t>9</w:t>
      </w:r>
      <w:r>
        <w:rPr>
          <w:rFonts w:hint="eastAsia" w:ascii="宋体" w:hAnsi="宋体" w:eastAsia="宋体" w:cs="宋体"/>
          <w:color w:val="auto"/>
          <w:spacing w:val="-3"/>
          <w:sz w:val="24"/>
          <w:szCs w:val="24"/>
        </w:rPr>
        <w:t xml:space="preserve"> 人，外围保洁员不少于</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1 人，绿化技工不</w:t>
      </w:r>
      <w:r>
        <w:rPr>
          <w:rFonts w:hint="eastAsia" w:ascii="宋体" w:hAnsi="宋体" w:eastAsia="宋体" w:cs="宋体"/>
          <w:color w:val="auto"/>
          <w:spacing w:val="-2"/>
          <w:sz w:val="24"/>
          <w:szCs w:val="24"/>
        </w:rPr>
        <w:t>少于</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 人；热力站人员不少于</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2"/>
          <w:sz w:val="24"/>
          <w:szCs w:val="24"/>
        </w:rPr>
        <w:t>2 人；中</w:t>
      </w:r>
      <w:r>
        <w:rPr>
          <w:rFonts w:hint="eastAsia" w:ascii="宋体" w:hAnsi="宋体" w:eastAsia="宋体" w:cs="宋体"/>
          <w:color w:val="auto"/>
          <w:spacing w:val="-3"/>
          <w:sz w:val="24"/>
          <w:szCs w:val="24"/>
        </w:rPr>
        <w:t>控室人员不少于</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5 人；供应商应保证项目实施服</w:t>
      </w:r>
      <w:r>
        <w:rPr>
          <w:rFonts w:hint="eastAsia" w:ascii="宋体" w:hAnsi="宋体" w:eastAsia="宋体" w:cs="宋体"/>
          <w:color w:val="auto"/>
          <w:spacing w:val="-2"/>
          <w:sz w:val="24"/>
          <w:szCs w:val="24"/>
        </w:rPr>
        <w:t>务团队人员的充足和人员结构合理性，实施服务项目期间，应保证团队人员的稳定性，</w:t>
      </w:r>
      <w:r>
        <w:rPr>
          <w:rFonts w:hint="eastAsia" w:ascii="宋体" w:hAnsi="宋体" w:eastAsia="宋体" w:cs="宋体"/>
          <w:color w:val="auto"/>
          <w:sz w:val="24"/>
          <w:szCs w:val="24"/>
        </w:rPr>
        <w:t>人员均需身体健康，责任心强。项目负责人（经理）未经</w:t>
      </w:r>
      <w:r>
        <w:rPr>
          <w:rFonts w:hint="eastAsia" w:ascii="宋体" w:hAnsi="宋体" w:eastAsia="宋体" w:cs="宋体"/>
          <w:color w:val="auto"/>
          <w:spacing w:val="-1"/>
          <w:sz w:val="24"/>
          <w:szCs w:val="24"/>
        </w:rPr>
        <w:t>采购人同意不得随意调整。</w:t>
      </w:r>
    </w:p>
    <w:p w14:paraId="641D23F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14" w:right="347" w:firstLine="47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、根据采购人的物业服务的要求，项目团队成员应具有相关专业技术操作资</w:t>
      </w:r>
      <w:r>
        <w:rPr>
          <w:rFonts w:hint="eastAsia" w:ascii="宋体" w:hAnsi="宋体" w:eastAsia="宋体" w:cs="宋体"/>
          <w:color w:val="auto"/>
          <w:sz w:val="24"/>
          <w:szCs w:val="24"/>
        </w:rPr>
        <w:t>质及</w:t>
      </w:r>
      <w:r>
        <w:rPr>
          <w:rFonts w:hint="eastAsia" w:ascii="宋体" w:hAnsi="宋体" w:eastAsia="宋体" w:cs="宋体"/>
          <w:color w:val="auto"/>
          <w:spacing w:val="-1"/>
          <w:sz w:val="24"/>
          <w:szCs w:val="24"/>
        </w:rPr>
        <w:t>服务经验的工作人员，并保证本项目的工作时间。</w:t>
      </w:r>
    </w:p>
    <w:p w14:paraId="3E4598B2">
      <w:pPr>
        <w:keepNext w:val="0"/>
        <w:keepLines w:val="0"/>
        <w:pageBreakBefore w:val="0"/>
        <w:widowControl/>
        <w:kinsoku w:val="0"/>
        <w:wordWrap/>
        <w:overflowPunct/>
        <w:topLinePunct w:val="0"/>
        <w:autoSpaceDE w:val="0"/>
        <w:autoSpaceDN w:val="0"/>
        <w:bidi w:val="0"/>
        <w:adjustRightInd w:val="0"/>
        <w:snapToGrid w:val="0"/>
        <w:spacing w:before="182" w:line="360" w:lineRule="auto"/>
        <w:ind w:left="49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、项目团队负责人需具有类似项目管理经验，具备过硬的相关专业知识</w:t>
      </w:r>
      <w:r>
        <w:rPr>
          <w:rFonts w:hint="eastAsia" w:ascii="宋体" w:hAnsi="宋体" w:eastAsia="宋体" w:cs="宋体"/>
          <w:color w:val="auto"/>
          <w:sz w:val="24"/>
          <w:szCs w:val="24"/>
        </w:rPr>
        <w:t>，具有较</w:t>
      </w:r>
      <w:r>
        <w:rPr>
          <w:rFonts w:hint="eastAsia" w:ascii="宋体" w:hAnsi="宋体" w:eastAsia="宋体" w:cs="宋体"/>
          <w:color w:val="auto"/>
          <w:spacing w:val="-2"/>
          <w:sz w:val="24"/>
          <w:szCs w:val="24"/>
        </w:rPr>
        <w:t>强的质量管理管控、协调能力。项目负责人负责与采购人各工作部门和当地政府、各职能部门的相关工作沟通、日常工作组织、人员管理、现场协调等各项工作，具备优秀的</w:t>
      </w:r>
      <w:r>
        <w:rPr>
          <w:rFonts w:hint="eastAsia" w:ascii="宋体" w:hAnsi="宋体" w:eastAsia="宋体" w:cs="宋体"/>
          <w:color w:val="auto"/>
          <w:spacing w:val="-1"/>
          <w:sz w:val="24"/>
          <w:szCs w:val="24"/>
        </w:rPr>
        <w:t>计划、沟通和管理技巧，应保持相对固定。</w:t>
      </w:r>
    </w:p>
    <w:p w14:paraId="344C2255">
      <w:pPr>
        <w:keepNext w:val="0"/>
        <w:keepLines w:val="0"/>
        <w:pageBreakBefore w:val="0"/>
        <w:widowControl/>
        <w:kinsoku w:val="0"/>
        <w:wordWrap/>
        <w:overflowPunct/>
        <w:topLinePunct w:val="0"/>
        <w:autoSpaceDE w:val="0"/>
        <w:autoSpaceDN w:val="0"/>
        <w:bidi w:val="0"/>
        <w:adjustRightInd w:val="0"/>
        <w:snapToGrid w:val="0"/>
        <w:spacing w:before="1" w:line="360" w:lineRule="auto"/>
        <w:ind w:left="10" w:right="80" w:firstLine="473"/>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4</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4"/>
          <w:sz w:val="24"/>
          <w:szCs w:val="24"/>
        </w:rPr>
        <w:t>、设备主管、环维主管，各自具备过硬的相关专业知识、操作资</w:t>
      </w:r>
      <w:r>
        <w:rPr>
          <w:rFonts w:hint="eastAsia" w:ascii="宋体" w:hAnsi="宋体" w:eastAsia="宋体" w:cs="宋体"/>
          <w:color w:val="auto"/>
          <w:spacing w:val="-5"/>
          <w:sz w:val="24"/>
          <w:szCs w:val="24"/>
        </w:rPr>
        <w:t>质和</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5"/>
          <w:sz w:val="24"/>
          <w:szCs w:val="24"/>
        </w:rPr>
        <w:t>5</w:t>
      </w:r>
      <w:r>
        <w:rPr>
          <w:rFonts w:hint="eastAsia" w:ascii="宋体" w:hAnsi="宋体" w:eastAsia="宋体" w:cs="宋体"/>
          <w:color w:val="auto"/>
          <w:spacing w:val="-2"/>
          <w:sz w:val="24"/>
          <w:szCs w:val="24"/>
        </w:rPr>
        <w:t>年以上的管理工作经验，身体健康，工作认真积极，责任心强。设备主管需具有高压电</w:t>
      </w:r>
      <w:r>
        <w:rPr>
          <w:rFonts w:hint="eastAsia" w:ascii="宋体" w:hAnsi="宋体" w:eastAsia="宋体" w:cs="宋体"/>
          <w:color w:val="auto"/>
          <w:spacing w:val="-1"/>
          <w:sz w:val="24"/>
          <w:szCs w:val="24"/>
        </w:rPr>
        <w:t>工等方面专业技术资格。</w:t>
      </w:r>
    </w:p>
    <w:p w14:paraId="2CBE7552">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80" w:firstLine="486"/>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、设备运营人员应具有高压电、管道、电梯管理、有限空间监督管</w:t>
      </w:r>
      <w:r>
        <w:rPr>
          <w:rFonts w:hint="eastAsia" w:ascii="宋体" w:hAnsi="宋体" w:eastAsia="宋体" w:cs="宋体"/>
          <w:color w:val="auto"/>
          <w:sz w:val="24"/>
          <w:szCs w:val="24"/>
        </w:rPr>
        <w:t>理、设备维修</w:t>
      </w:r>
      <w:r>
        <w:rPr>
          <w:rFonts w:hint="eastAsia" w:ascii="宋体" w:hAnsi="宋体" w:eastAsia="宋体" w:cs="宋体"/>
          <w:color w:val="auto"/>
          <w:spacing w:val="-2"/>
          <w:sz w:val="24"/>
          <w:szCs w:val="24"/>
        </w:rPr>
        <w:t>等方面的专业技术操作资格和</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3 年以上的工作经验，至少</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 xml:space="preserve">1 </w:t>
      </w:r>
      <w:r>
        <w:rPr>
          <w:rFonts w:hint="eastAsia" w:ascii="宋体" w:hAnsi="宋体" w:eastAsia="宋体" w:cs="宋体"/>
          <w:color w:val="auto"/>
          <w:spacing w:val="-3"/>
          <w:sz w:val="24"/>
          <w:szCs w:val="24"/>
        </w:rPr>
        <w:t>人需具有高压电工证，至少</w:t>
      </w:r>
      <w:r>
        <w:rPr>
          <w:rFonts w:hint="eastAsia" w:ascii="宋体" w:hAnsi="宋体" w:eastAsia="宋体" w:cs="宋体"/>
          <w:color w:val="auto"/>
          <w:sz w:val="24"/>
          <w:szCs w:val="24"/>
        </w:rPr>
        <w:t>2 人有低压电工证、至少</w:t>
      </w:r>
      <w:r>
        <w:rPr>
          <w:rFonts w:hint="eastAsia" w:ascii="宋体" w:hAnsi="宋体" w:eastAsia="宋体" w:cs="宋体"/>
          <w:color w:val="auto"/>
          <w:spacing w:val="-27"/>
          <w:sz w:val="24"/>
          <w:szCs w:val="24"/>
        </w:rPr>
        <w:t xml:space="preserve"> </w:t>
      </w:r>
      <w:r>
        <w:rPr>
          <w:rFonts w:hint="eastAsia" w:ascii="宋体" w:hAnsi="宋体" w:eastAsia="宋体" w:cs="宋体"/>
          <w:color w:val="auto"/>
          <w:sz w:val="24"/>
          <w:szCs w:val="24"/>
        </w:rPr>
        <w:t>1 人有有限空间作业证、至少</w:t>
      </w:r>
      <w:r>
        <w:rPr>
          <w:rFonts w:hint="eastAsia" w:ascii="宋体" w:hAnsi="宋体" w:eastAsia="宋体" w:cs="宋体"/>
          <w:color w:val="auto"/>
          <w:spacing w:val="-30"/>
          <w:sz w:val="24"/>
          <w:szCs w:val="24"/>
        </w:rPr>
        <w:t xml:space="preserve"> </w:t>
      </w:r>
      <w:r>
        <w:rPr>
          <w:rFonts w:hint="eastAsia" w:ascii="宋体" w:hAnsi="宋体" w:eastAsia="宋体" w:cs="宋体"/>
          <w:color w:val="auto"/>
          <w:sz w:val="24"/>
          <w:szCs w:val="24"/>
        </w:rPr>
        <w:t>1 人有电梯管理员证、至少2 人</w:t>
      </w:r>
      <w:r>
        <w:rPr>
          <w:rFonts w:hint="eastAsia" w:ascii="宋体" w:hAnsi="宋体" w:eastAsia="宋体" w:cs="宋体"/>
          <w:color w:val="auto"/>
          <w:spacing w:val="-1"/>
          <w:sz w:val="24"/>
          <w:szCs w:val="24"/>
        </w:rPr>
        <w:t>有操作锅炉专业人员证书。锅炉、高压配电室</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24</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1"/>
          <w:sz w:val="24"/>
          <w:szCs w:val="24"/>
        </w:rPr>
        <w:t>小时值班公休日、节假日轮流值班。</w:t>
      </w:r>
    </w:p>
    <w:p w14:paraId="7EAE3750">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9" w:right="141" w:firstLine="46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
          <w:sz w:val="24"/>
          <w:szCs w:val="24"/>
        </w:rPr>
        <w:t>、保洁人员需具备</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2 年以上工作经验，熟练掌握保洁服务专业技能，身体健康，品德良好，训练有素，工作积极主动，公休日、节假日轮流值班保洁。</w:t>
      </w:r>
    </w:p>
    <w:p w14:paraId="66CC4FCF">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9" w:right="141" w:firstLine="45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7</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、绿化工需具备</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2 年以上管理经验，熟悉多种灌木、果树生长管理，吃苦耐劳，</w:t>
      </w:r>
      <w:r>
        <w:rPr>
          <w:rFonts w:hint="eastAsia" w:ascii="宋体" w:hAnsi="宋体" w:eastAsia="宋体" w:cs="宋体"/>
          <w:color w:val="auto"/>
          <w:spacing w:val="-3"/>
          <w:sz w:val="24"/>
          <w:szCs w:val="24"/>
        </w:rPr>
        <w:t>品德良好，身体健康。</w:t>
      </w:r>
    </w:p>
    <w:p w14:paraId="3792CE9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1"/>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（二）报价要求</w:t>
      </w:r>
    </w:p>
    <w:p w14:paraId="338F3CD8">
      <w:pPr>
        <w:keepNext w:val="0"/>
        <w:keepLines w:val="0"/>
        <w:pageBreakBefore w:val="0"/>
        <w:widowControl/>
        <w:kinsoku w:val="0"/>
        <w:wordWrap/>
        <w:overflowPunct/>
        <w:topLinePunct w:val="0"/>
        <w:autoSpaceDE w:val="0"/>
        <w:autoSpaceDN w:val="0"/>
        <w:bidi w:val="0"/>
        <w:adjustRightInd w:val="0"/>
        <w:snapToGrid w:val="0"/>
        <w:spacing w:before="184" w:line="360" w:lineRule="auto"/>
        <w:ind w:left="9" w:firstLine="478"/>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报价包含物业管理服务人员工资、各项社会保险、劳保福利、培训教育费、</w:t>
      </w:r>
      <w:r>
        <w:rPr>
          <w:rFonts w:hint="eastAsia" w:ascii="宋体" w:hAnsi="宋体" w:eastAsia="宋体" w:cs="宋体"/>
          <w:color w:val="auto"/>
          <w:spacing w:val="-2"/>
          <w:sz w:val="24"/>
          <w:szCs w:val="24"/>
        </w:rPr>
        <w:t>残疾人保障金、健康检测费、员工餐费、工服</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利润、税金等所有费用。</w:t>
      </w:r>
    </w:p>
    <w:p w14:paraId="1ADC2B0E">
      <w:pPr>
        <w:keepNext w:val="0"/>
        <w:keepLines w:val="0"/>
        <w:pageBreakBefore w:val="0"/>
        <w:widowControl/>
        <w:kinsoku w:val="0"/>
        <w:wordWrap/>
        <w:overflowPunct/>
        <w:topLinePunct w:val="0"/>
        <w:autoSpaceDE w:val="0"/>
        <w:autoSpaceDN w:val="0"/>
        <w:bidi w:val="0"/>
        <w:adjustRightInd w:val="0"/>
        <w:snapToGrid w:val="0"/>
        <w:spacing w:before="1" w:line="360" w:lineRule="auto"/>
        <w:ind w:left="13"/>
        <w:textAlignment w:val="baseline"/>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★（三）服务承诺（供应商未提供承诺的，为无效</w:t>
      </w:r>
      <w:r>
        <w:rPr>
          <w:rFonts w:hint="eastAsia" w:ascii="宋体" w:hAnsi="宋体" w:eastAsia="宋体" w:cs="宋体"/>
          <w:b/>
          <w:bCs/>
          <w:color w:val="auto"/>
          <w:spacing w:val="-6"/>
          <w:sz w:val="24"/>
          <w:szCs w:val="24"/>
        </w:rPr>
        <w:t>响应文件。）</w:t>
      </w:r>
    </w:p>
    <w:p w14:paraId="2BA82091">
      <w:pPr>
        <w:keepNext w:val="0"/>
        <w:keepLines w:val="0"/>
        <w:pageBreakBefore w:val="0"/>
        <w:widowControl/>
        <w:kinsoku w:val="0"/>
        <w:wordWrap/>
        <w:overflowPunct/>
        <w:topLinePunct w:val="0"/>
        <w:autoSpaceDE w:val="0"/>
        <w:autoSpaceDN w:val="0"/>
        <w:bidi w:val="0"/>
        <w:adjustRightInd w:val="0"/>
        <w:snapToGrid w:val="0"/>
        <w:spacing w:before="183" w:line="360" w:lineRule="auto"/>
        <w:ind w:left="23" w:right="80" w:firstLine="466"/>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必须在合同履行期内能确保上述人员根据采购人的要求随时提供服务。如遇临时性及紧急任务时，须加派人员保证服务质量。进行本项目服务时，不经采购人书面同意不得将本项目中内容分包给第三方服务。</w:t>
      </w:r>
    </w:p>
    <w:p w14:paraId="6DB4C8E8">
      <w:pPr>
        <w:keepNext w:val="0"/>
        <w:keepLines w:val="0"/>
        <w:pageBreakBefore w:val="0"/>
        <w:widowControl/>
        <w:kinsoku w:val="0"/>
        <w:wordWrap/>
        <w:overflowPunct/>
        <w:topLinePunct w:val="0"/>
        <w:autoSpaceDE w:val="0"/>
        <w:autoSpaceDN w:val="0"/>
        <w:bidi w:val="0"/>
        <w:adjustRightInd w:val="0"/>
        <w:snapToGrid w:val="0"/>
        <w:spacing w:line="360" w:lineRule="auto"/>
        <w:ind w:left="34" w:right="80" w:firstLine="45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供应商进场前须提供全部服务人员的健康检测报告，服务期间采购人统一要求时应</w:t>
      </w:r>
      <w:r>
        <w:rPr>
          <w:rFonts w:hint="eastAsia" w:ascii="宋体" w:hAnsi="宋体" w:eastAsia="宋体" w:cs="宋体"/>
          <w:color w:val="auto"/>
          <w:spacing w:val="-5"/>
          <w:sz w:val="24"/>
          <w:szCs w:val="24"/>
        </w:rPr>
        <w:t>向采购人提供。</w:t>
      </w:r>
    </w:p>
    <w:p w14:paraId="0C31E4A3">
      <w:pPr>
        <w:keepNext w:val="0"/>
        <w:keepLines w:val="0"/>
        <w:pageBreakBefore w:val="0"/>
        <w:widowControl/>
        <w:kinsoku w:val="0"/>
        <w:wordWrap/>
        <w:overflowPunct/>
        <w:topLinePunct w:val="0"/>
        <w:autoSpaceDE w:val="0"/>
        <w:autoSpaceDN w:val="0"/>
        <w:bidi w:val="0"/>
        <w:adjustRightInd w:val="0"/>
        <w:snapToGrid w:val="0"/>
        <w:spacing w:before="3" w:line="360" w:lineRule="auto"/>
        <w:ind w:left="8" w:right="80" w:firstLine="48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必须提供对本项目的保密承诺，保证对本项目服务过程中产生的各类技术文件、图像、影音、信息以及由采购人、当地政府和各职能部门有关单位提供的所有内部资料、技术文档和信息予以保密；未经采购人书面许可，供应商不得以任何形式向第三</w:t>
      </w:r>
      <w:r>
        <w:rPr>
          <w:rFonts w:hint="eastAsia" w:ascii="宋体" w:hAnsi="宋体" w:eastAsia="宋体" w:cs="宋体"/>
          <w:color w:val="auto"/>
          <w:spacing w:val="-1"/>
          <w:sz w:val="24"/>
          <w:szCs w:val="24"/>
        </w:rPr>
        <w:t>方透露本项目的任何内容。</w:t>
      </w:r>
    </w:p>
    <w:p w14:paraId="54025ADF">
      <w:pPr>
        <w:keepNext w:val="0"/>
        <w:keepLines w:val="0"/>
        <w:pageBreakBefore w:val="0"/>
        <w:widowControl/>
        <w:kinsoku w:val="0"/>
        <w:wordWrap/>
        <w:overflowPunct/>
        <w:topLinePunct w:val="0"/>
        <w:autoSpaceDE w:val="0"/>
        <w:autoSpaceDN w:val="0"/>
        <w:bidi w:val="0"/>
        <w:adjustRightInd w:val="0"/>
        <w:snapToGrid w:val="0"/>
        <w:spacing w:before="285" w:line="360" w:lineRule="auto"/>
        <w:ind w:left="17" w:right="2" w:firstLine="4"/>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（四）供应商需具有完善的保障方案（包括但不</w:t>
      </w:r>
      <w:r>
        <w:rPr>
          <w:rFonts w:hint="eastAsia" w:ascii="宋体" w:hAnsi="宋体" w:eastAsia="宋体" w:cs="宋体"/>
          <w:b/>
          <w:bCs/>
          <w:color w:val="auto"/>
          <w:spacing w:val="-5"/>
          <w:sz w:val="24"/>
          <w:szCs w:val="24"/>
        </w:rPr>
        <w:t>限于质量保障措施、安全管理措施、应</w:t>
      </w:r>
      <w:r>
        <w:rPr>
          <w:rFonts w:hint="eastAsia" w:ascii="宋体" w:hAnsi="宋体" w:eastAsia="宋体" w:cs="宋体"/>
          <w:b/>
          <w:bCs/>
          <w:color w:val="auto"/>
          <w:spacing w:val="-4"/>
          <w:sz w:val="24"/>
          <w:szCs w:val="24"/>
        </w:rPr>
        <w:t>急预案、各项管理规章制度等）</w:t>
      </w:r>
    </w:p>
    <w:p w14:paraId="510202BB">
      <w:pPr>
        <w:pStyle w:val="1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p w14:paraId="2BBC3EAF">
      <w:pPr>
        <w:keepNext w:val="0"/>
        <w:keepLines w:val="0"/>
        <w:pageBreakBefore w:val="0"/>
        <w:widowControl/>
        <w:kinsoku w:val="0"/>
        <w:wordWrap/>
        <w:overflowPunct/>
        <w:topLinePunct w:val="0"/>
        <w:autoSpaceDE w:val="0"/>
        <w:autoSpaceDN w:val="0"/>
        <w:bidi w:val="0"/>
        <w:adjustRightInd w:val="0"/>
        <w:snapToGrid w:val="0"/>
        <w:spacing w:before="78" w:line="360" w:lineRule="auto"/>
        <w:ind w:left="11"/>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六、附件——设备设施清单</w:t>
      </w:r>
    </w:p>
    <w:p w14:paraId="2BAC0CAF">
      <w:pPr>
        <w:keepNext w:val="0"/>
        <w:keepLines w:val="0"/>
        <w:pageBreakBefore w:val="0"/>
        <w:widowControl/>
        <w:kinsoku w:val="0"/>
        <w:wordWrap/>
        <w:overflowPunct/>
        <w:topLinePunct w:val="0"/>
        <w:autoSpaceDE w:val="0"/>
        <w:autoSpaceDN w:val="0"/>
        <w:bidi w:val="0"/>
        <w:adjustRightInd w:val="0"/>
        <w:snapToGrid w:val="0"/>
        <w:spacing w:before="303" w:line="360" w:lineRule="auto"/>
        <w:ind w:left="16"/>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1.变配电设备统计表</w:t>
      </w:r>
    </w:p>
    <w:p w14:paraId="2E2FE398">
      <w:pPr>
        <w:keepNext w:val="0"/>
        <w:keepLines w:val="0"/>
        <w:pageBreakBefore w:val="0"/>
        <w:widowControl/>
        <w:kinsoku w:val="0"/>
        <w:wordWrap/>
        <w:overflowPunct/>
        <w:topLinePunct w:val="0"/>
        <w:autoSpaceDE w:val="0"/>
        <w:autoSpaceDN w:val="0"/>
        <w:bidi w:val="0"/>
        <w:adjustRightInd w:val="0"/>
        <w:snapToGrid w:val="0"/>
        <w:spacing w:before="21" w:line="360" w:lineRule="auto"/>
        <w:textAlignment w:val="baseline"/>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6"/>
        <w:gridCol w:w="2188"/>
        <w:gridCol w:w="3650"/>
        <w:gridCol w:w="1167"/>
        <w:gridCol w:w="1171"/>
      </w:tblGrid>
      <w:tr w14:paraId="5AEA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33" w:type="pct"/>
            <w:tcBorders>
              <w:top w:val="single" w:color="000000" w:sz="6" w:space="0"/>
              <w:left w:val="single" w:color="000000" w:sz="6" w:space="0"/>
            </w:tcBorders>
            <w:vAlign w:val="top"/>
          </w:tcPr>
          <w:p w14:paraId="3AC4D393">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170"/>
              <w:textAlignment w:val="baseline"/>
              <w:rPr>
                <w:rFonts w:hint="eastAsia" w:ascii="宋体" w:hAnsi="宋体" w:eastAsia="宋体" w:cs="宋体"/>
                <w:color w:val="auto"/>
              </w:rPr>
            </w:pPr>
            <w:r>
              <w:rPr>
                <w:rFonts w:hint="eastAsia" w:ascii="宋体" w:hAnsi="宋体" w:eastAsia="宋体" w:cs="宋体"/>
                <w:color w:val="auto"/>
                <w:spacing w:val="-5"/>
              </w:rPr>
              <w:t>序号</w:t>
            </w:r>
          </w:p>
        </w:tc>
        <w:tc>
          <w:tcPr>
            <w:tcW w:w="1168" w:type="pct"/>
            <w:tcBorders>
              <w:top w:val="single" w:color="000000" w:sz="6" w:space="0"/>
            </w:tcBorders>
            <w:vAlign w:val="top"/>
          </w:tcPr>
          <w:p w14:paraId="2DB6BE01">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320"/>
              <w:textAlignment w:val="baseline"/>
              <w:rPr>
                <w:rFonts w:hint="eastAsia" w:ascii="宋体" w:hAnsi="宋体" w:eastAsia="宋体" w:cs="宋体"/>
                <w:color w:val="auto"/>
              </w:rPr>
            </w:pPr>
            <w:r>
              <w:rPr>
                <w:rFonts w:hint="eastAsia" w:ascii="宋体" w:hAnsi="宋体" w:eastAsia="宋体" w:cs="宋体"/>
                <w:color w:val="auto"/>
                <w:spacing w:val="-3"/>
              </w:rPr>
              <w:t>使用部位</w:t>
            </w:r>
          </w:p>
        </w:tc>
        <w:tc>
          <w:tcPr>
            <w:tcW w:w="1948" w:type="pct"/>
            <w:tcBorders>
              <w:top w:val="single" w:color="000000" w:sz="6" w:space="0"/>
            </w:tcBorders>
            <w:vAlign w:val="top"/>
          </w:tcPr>
          <w:p w14:paraId="0D1B1202">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1131"/>
              <w:textAlignment w:val="baseline"/>
              <w:rPr>
                <w:rFonts w:hint="eastAsia" w:ascii="宋体" w:hAnsi="宋体" w:eastAsia="宋体" w:cs="宋体"/>
                <w:color w:val="auto"/>
              </w:rPr>
            </w:pPr>
            <w:r>
              <w:rPr>
                <w:rFonts w:hint="eastAsia" w:ascii="宋体" w:hAnsi="宋体" w:eastAsia="宋体" w:cs="宋体"/>
                <w:color w:val="auto"/>
                <w:spacing w:val="-7"/>
              </w:rPr>
              <w:t>名称</w:t>
            </w:r>
          </w:p>
        </w:tc>
        <w:tc>
          <w:tcPr>
            <w:tcW w:w="623" w:type="pct"/>
            <w:tcBorders>
              <w:top w:val="single" w:color="000000" w:sz="6" w:space="0"/>
            </w:tcBorders>
            <w:vAlign w:val="top"/>
          </w:tcPr>
          <w:p w14:paraId="66D9D820">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169"/>
              <w:textAlignment w:val="baseline"/>
              <w:rPr>
                <w:rFonts w:hint="eastAsia" w:ascii="宋体" w:hAnsi="宋体" w:eastAsia="宋体" w:cs="宋体"/>
                <w:color w:val="auto"/>
              </w:rPr>
            </w:pPr>
            <w:r>
              <w:rPr>
                <w:rFonts w:hint="eastAsia" w:ascii="宋体" w:hAnsi="宋体" w:eastAsia="宋体" w:cs="宋体"/>
                <w:color w:val="auto"/>
                <w:spacing w:val="-6"/>
              </w:rPr>
              <w:t>单位</w:t>
            </w:r>
          </w:p>
        </w:tc>
        <w:tc>
          <w:tcPr>
            <w:tcW w:w="625" w:type="pct"/>
            <w:tcBorders>
              <w:top w:val="single" w:color="000000" w:sz="6" w:space="0"/>
            </w:tcBorders>
            <w:vAlign w:val="top"/>
          </w:tcPr>
          <w:p w14:paraId="315DA2EA">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170"/>
              <w:textAlignment w:val="baseline"/>
              <w:rPr>
                <w:rFonts w:hint="eastAsia" w:ascii="宋体" w:hAnsi="宋体" w:eastAsia="宋体" w:cs="宋体"/>
                <w:color w:val="auto"/>
              </w:rPr>
            </w:pPr>
            <w:r>
              <w:rPr>
                <w:rFonts w:hint="eastAsia" w:ascii="宋体" w:hAnsi="宋体" w:eastAsia="宋体" w:cs="宋体"/>
                <w:color w:val="auto"/>
                <w:spacing w:val="-6"/>
              </w:rPr>
              <w:t>数量</w:t>
            </w:r>
          </w:p>
        </w:tc>
      </w:tr>
      <w:tr w14:paraId="2B164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3" w:type="pct"/>
            <w:tcBorders>
              <w:left w:val="single" w:color="000000" w:sz="6" w:space="0"/>
            </w:tcBorders>
            <w:vAlign w:val="top"/>
          </w:tcPr>
          <w:p w14:paraId="2789D016">
            <w:pPr>
              <w:keepNext w:val="0"/>
              <w:keepLines w:val="0"/>
              <w:pageBreakBefore w:val="0"/>
              <w:widowControl/>
              <w:kinsoku w:val="0"/>
              <w:wordWrap/>
              <w:overflowPunct/>
              <w:topLinePunct w:val="0"/>
              <w:autoSpaceDE w:val="0"/>
              <w:autoSpaceDN w:val="0"/>
              <w:bidi w:val="0"/>
              <w:adjustRightInd w:val="0"/>
              <w:snapToGrid w:val="0"/>
              <w:spacing w:before="87" w:line="360" w:lineRule="auto"/>
              <w:ind w:left="36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8" w:type="pct"/>
            <w:vMerge w:val="restart"/>
            <w:tcBorders>
              <w:bottom w:val="nil"/>
            </w:tcBorders>
            <w:vAlign w:val="top"/>
          </w:tcPr>
          <w:p w14:paraId="2F8F9E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14D57E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2F59B9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p w14:paraId="6564CAE3">
            <w:pPr>
              <w:pStyle w:val="253"/>
              <w:keepNext w:val="0"/>
              <w:keepLines w:val="0"/>
              <w:pageBreakBefore w:val="0"/>
              <w:widowControl/>
              <w:kinsoku w:val="0"/>
              <w:wordWrap/>
              <w:overflowPunct/>
              <w:topLinePunct w:val="0"/>
              <w:autoSpaceDE w:val="0"/>
              <w:autoSpaceDN w:val="0"/>
              <w:bidi w:val="0"/>
              <w:adjustRightInd w:val="0"/>
              <w:snapToGrid w:val="0"/>
              <w:spacing w:before="78" w:line="360" w:lineRule="auto"/>
              <w:ind w:left="272"/>
              <w:textAlignment w:val="baseline"/>
              <w:rPr>
                <w:rFonts w:hint="eastAsia" w:ascii="宋体" w:hAnsi="宋体" w:eastAsia="宋体" w:cs="宋体"/>
                <w:color w:val="auto"/>
              </w:rPr>
            </w:pPr>
            <w:r>
              <w:rPr>
                <w:rFonts w:hint="eastAsia" w:ascii="宋体" w:hAnsi="宋体" w:eastAsia="宋体" w:cs="宋体"/>
                <w:color w:val="auto"/>
                <w:spacing w:val="-4"/>
              </w:rPr>
              <w:t>行政楼</w:t>
            </w:r>
            <w:r>
              <w:rPr>
                <w:rFonts w:hint="eastAsia" w:ascii="宋体" w:hAnsi="宋体" w:eastAsia="宋体" w:cs="宋体"/>
                <w:color w:val="auto"/>
                <w:spacing w:val="-55"/>
              </w:rPr>
              <w:t xml:space="preserve"> </w:t>
            </w:r>
            <w:r>
              <w:rPr>
                <w:rFonts w:hint="eastAsia" w:ascii="宋体" w:hAnsi="宋体" w:eastAsia="宋体" w:cs="宋体"/>
                <w:color w:val="auto"/>
                <w:spacing w:val="-4"/>
              </w:rPr>
              <w:t>B2</w:t>
            </w:r>
          </w:p>
        </w:tc>
        <w:tc>
          <w:tcPr>
            <w:tcW w:w="1948" w:type="pct"/>
            <w:vAlign w:val="top"/>
          </w:tcPr>
          <w:p w14:paraId="6DC9BC68">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775"/>
              <w:textAlignment w:val="baseline"/>
              <w:rPr>
                <w:rFonts w:hint="eastAsia" w:ascii="宋体" w:hAnsi="宋体" w:eastAsia="宋体" w:cs="宋体"/>
                <w:color w:val="auto"/>
              </w:rPr>
            </w:pPr>
            <w:r>
              <w:rPr>
                <w:rFonts w:hint="eastAsia" w:ascii="宋体" w:hAnsi="宋体" w:eastAsia="宋体" w:cs="宋体"/>
                <w:color w:val="auto"/>
                <w:spacing w:val="-4"/>
              </w:rPr>
              <w:t>高压开关柜</w:t>
            </w:r>
          </w:p>
        </w:tc>
        <w:tc>
          <w:tcPr>
            <w:tcW w:w="623" w:type="pct"/>
            <w:vAlign w:val="top"/>
          </w:tcPr>
          <w:p w14:paraId="76C93CEC">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305"/>
              <w:textAlignment w:val="baseline"/>
              <w:rPr>
                <w:rFonts w:hint="eastAsia" w:ascii="宋体" w:hAnsi="宋体" w:eastAsia="宋体" w:cs="宋体"/>
                <w:color w:val="auto"/>
              </w:rPr>
            </w:pPr>
            <w:r>
              <w:rPr>
                <w:rFonts w:hint="eastAsia" w:ascii="宋体" w:hAnsi="宋体" w:eastAsia="宋体" w:cs="宋体"/>
                <w:color w:val="auto"/>
              </w:rPr>
              <w:t>台</w:t>
            </w:r>
          </w:p>
        </w:tc>
        <w:tc>
          <w:tcPr>
            <w:tcW w:w="625" w:type="pct"/>
            <w:vAlign w:val="top"/>
          </w:tcPr>
          <w:p w14:paraId="7E8AE878">
            <w:pPr>
              <w:keepNext w:val="0"/>
              <w:keepLines w:val="0"/>
              <w:pageBreakBefore w:val="0"/>
              <w:widowControl/>
              <w:kinsoku w:val="0"/>
              <w:wordWrap/>
              <w:overflowPunct/>
              <w:topLinePunct w:val="0"/>
              <w:autoSpaceDE w:val="0"/>
              <w:autoSpaceDN w:val="0"/>
              <w:bidi w:val="0"/>
              <w:adjustRightInd w:val="0"/>
              <w:snapToGrid w:val="0"/>
              <w:spacing w:before="87" w:line="360" w:lineRule="auto"/>
              <w:ind w:left="353"/>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w:t>
            </w:r>
          </w:p>
        </w:tc>
      </w:tr>
      <w:tr w14:paraId="3DA63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3" w:type="pct"/>
            <w:tcBorders>
              <w:left w:val="single" w:color="000000" w:sz="6" w:space="0"/>
            </w:tcBorders>
            <w:vAlign w:val="top"/>
          </w:tcPr>
          <w:p w14:paraId="2711E8BC">
            <w:pPr>
              <w:keepNext w:val="0"/>
              <w:keepLines w:val="0"/>
              <w:pageBreakBefore w:val="0"/>
              <w:widowControl/>
              <w:kinsoku w:val="0"/>
              <w:wordWrap/>
              <w:overflowPunct/>
              <w:topLinePunct w:val="0"/>
              <w:autoSpaceDE w:val="0"/>
              <w:autoSpaceDN w:val="0"/>
              <w:bidi w:val="0"/>
              <w:adjustRightInd w:val="0"/>
              <w:snapToGrid w:val="0"/>
              <w:spacing w:before="86" w:line="360" w:lineRule="auto"/>
              <w:ind w:left="346"/>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68" w:type="pct"/>
            <w:vMerge w:val="continue"/>
            <w:tcBorders>
              <w:top w:val="nil"/>
              <w:bottom w:val="nil"/>
            </w:tcBorders>
            <w:vAlign w:val="top"/>
          </w:tcPr>
          <w:p w14:paraId="0C154E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1948" w:type="pct"/>
            <w:vAlign w:val="top"/>
          </w:tcPr>
          <w:p w14:paraId="7E6DD86B">
            <w:pPr>
              <w:pStyle w:val="253"/>
              <w:keepNext w:val="0"/>
              <w:keepLines w:val="0"/>
              <w:pageBreakBefore w:val="0"/>
              <w:widowControl/>
              <w:kinsoku w:val="0"/>
              <w:wordWrap/>
              <w:overflowPunct/>
              <w:topLinePunct w:val="0"/>
              <w:autoSpaceDE w:val="0"/>
              <w:autoSpaceDN w:val="0"/>
              <w:bidi w:val="0"/>
              <w:adjustRightInd w:val="0"/>
              <w:snapToGrid w:val="0"/>
              <w:spacing w:before="37" w:line="360" w:lineRule="auto"/>
              <w:ind w:left="767"/>
              <w:textAlignment w:val="baseline"/>
              <w:rPr>
                <w:rFonts w:hint="eastAsia" w:ascii="宋体" w:hAnsi="宋体" w:eastAsia="宋体" w:cs="宋体"/>
                <w:color w:val="auto"/>
              </w:rPr>
            </w:pPr>
            <w:r>
              <w:rPr>
                <w:rFonts w:hint="eastAsia" w:ascii="宋体" w:hAnsi="宋体" w:eastAsia="宋体" w:cs="宋体"/>
                <w:color w:val="auto"/>
                <w:spacing w:val="-2"/>
              </w:rPr>
              <w:t>低压开关柜</w:t>
            </w:r>
          </w:p>
        </w:tc>
        <w:tc>
          <w:tcPr>
            <w:tcW w:w="623" w:type="pct"/>
            <w:vAlign w:val="top"/>
          </w:tcPr>
          <w:p w14:paraId="37B6856E">
            <w:pPr>
              <w:pStyle w:val="253"/>
              <w:keepNext w:val="0"/>
              <w:keepLines w:val="0"/>
              <w:pageBreakBefore w:val="0"/>
              <w:widowControl/>
              <w:kinsoku w:val="0"/>
              <w:wordWrap/>
              <w:overflowPunct/>
              <w:topLinePunct w:val="0"/>
              <w:autoSpaceDE w:val="0"/>
              <w:autoSpaceDN w:val="0"/>
              <w:bidi w:val="0"/>
              <w:adjustRightInd w:val="0"/>
              <w:snapToGrid w:val="0"/>
              <w:spacing w:before="38" w:line="360" w:lineRule="auto"/>
              <w:ind w:left="305"/>
              <w:textAlignment w:val="baseline"/>
              <w:rPr>
                <w:rFonts w:hint="eastAsia" w:ascii="宋体" w:hAnsi="宋体" w:eastAsia="宋体" w:cs="宋体"/>
                <w:color w:val="auto"/>
              </w:rPr>
            </w:pPr>
            <w:r>
              <w:rPr>
                <w:rFonts w:hint="eastAsia" w:ascii="宋体" w:hAnsi="宋体" w:eastAsia="宋体" w:cs="宋体"/>
                <w:color w:val="auto"/>
              </w:rPr>
              <w:t>台</w:t>
            </w:r>
          </w:p>
        </w:tc>
        <w:tc>
          <w:tcPr>
            <w:tcW w:w="625" w:type="pct"/>
            <w:vAlign w:val="top"/>
          </w:tcPr>
          <w:p w14:paraId="3EEEFE54">
            <w:pPr>
              <w:keepNext w:val="0"/>
              <w:keepLines w:val="0"/>
              <w:pageBreakBefore w:val="0"/>
              <w:widowControl/>
              <w:kinsoku w:val="0"/>
              <w:wordWrap/>
              <w:overflowPunct/>
              <w:topLinePunct w:val="0"/>
              <w:autoSpaceDE w:val="0"/>
              <w:autoSpaceDN w:val="0"/>
              <w:bidi w:val="0"/>
              <w:adjustRightInd w:val="0"/>
              <w:snapToGrid w:val="0"/>
              <w:spacing w:before="86" w:line="360" w:lineRule="auto"/>
              <w:ind w:left="288"/>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36</w:t>
            </w:r>
          </w:p>
        </w:tc>
      </w:tr>
      <w:tr w14:paraId="328F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3" w:type="pct"/>
            <w:tcBorders>
              <w:left w:val="single" w:color="000000" w:sz="6" w:space="0"/>
            </w:tcBorders>
            <w:vAlign w:val="top"/>
          </w:tcPr>
          <w:p w14:paraId="2A3FD3AD">
            <w:pPr>
              <w:keepNext w:val="0"/>
              <w:keepLines w:val="0"/>
              <w:pageBreakBefore w:val="0"/>
              <w:widowControl/>
              <w:kinsoku w:val="0"/>
              <w:wordWrap/>
              <w:overflowPunct/>
              <w:topLinePunct w:val="0"/>
              <w:autoSpaceDE w:val="0"/>
              <w:autoSpaceDN w:val="0"/>
              <w:bidi w:val="0"/>
              <w:adjustRightInd w:val="0"/>
              <w:snapToGrid w:val="0"/>
              <w:spacing w:before="88" w:line="360" w:lineRule="auto"/>
              <w:ind w:left="35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68" w:type="pct"/>
            <w:vMerge w:val="continue"/>
            <w:tcBorders>
              <w:top w:val="nil"/>
              <w:bottom w:val="nil"/>
            </w:tcBorders>
            <w:vAlign w:val="top"/>
          </w:tcPr>
          <w:p w14:paraId="3CE18F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1948" w:type="pct"/>
            <w:vAlign w:val="top"/>
          </w:tcPr>
          <w:p w14:paraId="03E4DA05">
            <w:pPr>
              <w:pStyle w:val="253"/>
              <w:keepNext w:val="0"/>
              <w:keepLines w:val="0"/>
              <w:pageBreakBefore w:val="0"/>
              <w:widowControl/>
              <w:kinsoku w:val="0"/>
              <w:wordWrap/>
              <w:overflowPunct/>
              <w:topLinePunct w:val="0"/>
              <w:autoSpaceDE w:val="0"/>
              <w:autoSpaceDN w:val="0"/>
              <w:bidi w:val="0"/>
              <w:adjustRightInd w:val="0"/>
              <w:snapToGrid w:val="0"/>
              <w:spacing w:before="38" w:line="360" w:lineRule="auto"/>
              <w:ind w:left="767"/>
              <w:textAlignment w:val="baseline"/>
              <w:rPr>
                <w:rFonts w:hint="eastAsia" w:ascii="宋体" w:hAnsi="宋体" w:eastAsia="宋体" w:cs="宋体"/>
                <w:color w:val="auto"/>
              </w:rPr>
            </w:pPr>
            <w:r>
              <w:rPr>
                <w:rFonts w:hint="eastAsia" w:ascii="宋体" w:hAnsi="宋体" w:eastAsia="宋体" w:cs="宋体"/>
                <w:color w:val="auto"/>
                <w:spacing w:val="-2"/>
              </w:rPr>
              <w:t>干式变压器</w:t>
            </w:r>
          </w:p>
        </w:tc>
        <w:tc>
          <w:tcPr>
            <w:tcW w:w="623" w:type="pct"/>
            <w:vAlign w:val="top"/>
          </w:tcPr>
          <w:p w14:paraId="21363D19">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305"/>
              <w:textAlignment w:val="baseline"/>
              <w:rPr>
                <w:rFonts w:hint="eastAsia" w:ascii="宋体" w:hAnsi="宋体" w:eastAsia="宋体" w:cs="宋体"/>
                <w:color w:val="auto"/>
              </w:rPr>
            </w:pPr>
            <w:r>
              <w:rPr>
                <w:rFonts w:hint="eastAsia" w:ascii="宋体" w:hAnsi="宋体" w:eastAsia="宋体" w:cs="宋体"/>
                <w:color w:val="auto"/>
              </w:rPr>
              <w:t>台</w:t>
            </w:r>
          </w:p>
        </w:tc>
        <w:tc>
          <w:tcPr>
            <w:tcW w:w="625" w:type="pct"/>
            <w:vAlign w:val="top"/>
          </w:tcPr>
          <w:p w14:paraId="7EB5FD13">
            <w:pPr>
              <w:keepNext w:val="0"/>
              <w:keepLines w:val="0"/>
              <w:pageBreakBefore w:val="0"/>
              <w:widowControl/>
              <w:kinsoku w:val="0"/>
              <w:wordWrap/>
              <w:overflowPunct/>
              <w:topLinePunct w:val="0"/>
              <w:autoSpaceDE w:val="0"/>
              <w:autoSpaceDN w:val="0"/>
              <w:bidi w:val="0"/>
              <w:adjustRightInd w:val="0"/>
              <w:snapToGrid w:val="0"/>
              <w:spacing w:before="88" w:line="360" w:lineRule="auto"/>
              <w:ind w:left="34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070E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33" w:type="pct"/>
            <w:tcBorders>
              <w:left w:val="single" w:color="000000" w:sz="6" w:space="0"/>
            </w:tcBorders>
            <w:vAlign w:val="top"/>
          </w:tcPr>
          <w:p w14:paraId="2710952F">
            <w:pPr>
              <w:keepNext w:val="0"/>
              <w:keepLines w:val="0"/>
              <w:pageBreakBefore w:val="0"/>
              <w:widowControl/>
              <w:kinsoku w:val="0"/>
              <w:wordWrap/>
              <w:overflowPunct/>
              <w:topLinePunct w:val="0"/>
              <w:autoSpaceDE w:val="0"/>
              <w:autoSpaceDN w:val="0"/>
              <w:bidi w:val="0"/>
              <w:adjustRightInd w:val="0"/>
              <w:snapToGrid w:val="0"/>
              <w:spacing w:before="87" w:line="360" w:lineRule="auto"/>
              <w:ind w:left="34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68" w:type="pct"/>
            <w:vMerge w:val="continue"/>
            <w:tcBorders>
              <w:top w:val="nil"/>
              <w:bottom w:val="nil"/>
            </w:tcBorders>
            <w:vAlign w:val="top"/>
          </w:tcPr>
          <w:p w14:paraId="09171F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1948" w:type="pct"/>
            <w:vAlign w:val="top"/>
          </w:tcPr>
          <w:p w14:paraId="14D6C2F1">
            <w:pPr>
              <w:pStyle w:val="253"/>
              <w:keepNext w:val="0"/>
              <w:keepLines w:val="0"/>
              <w:pageBreakBefore w:val="0"/>
              <w:widowControl/>
              <w:kinsoku w:val="0"/>
              <w:wordWrap/>
              <w:overflowPunct/>
              <w:topLinePunct w:val="0"/>
              <w:autoSpaceDE w:val="0"/>
              <w:autoSpaceDN w:val="0"/>
              <w:bidi w:val="0"/>
              <w:adjustRightInd w:val="0"/>
              <w:snapToGrid w:val="0"/>
              <w:spacing w:before="38" w:line="360" w:lineRule="auto"/>
              <w:ind w:left="1036"/>
              <w:textAlignment w:val="baseline"/>
              <w:rPr>
                <w:rFonts w:hint="eastAsia" w:ascii="宋体" w:hAnsi="宋体" w:eastAsia="宋体" w:cs="宋体"/>
                <w:color w:val="auto"/>
              </w:rPr>
            </w:pPr>
            <w:r>
              <w:rPr>
                <w:rFonts w:hint="eastAsia" w:ascii="宋体" w:hAnsi="宋体" w:eastAsia="宋体" w:cs="宋体"/>
                <w:color w:val="auto"/>
                <w:spacing w:val="-13"/>
              </w:rPr>
              <w:t>电池屏</w:t>
            </w:r>
          </w:p>
        </w:tc>
        <w:tc>
          <w:tcPr>
            <w:tcW w:w="623" w:type="pct"/>
            <w:vAlign w:val="top"/>
          </w:tcPr>
          <w:p w14:paraId="5E7C8E1B">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305"/>
              <w:textAlignment w:val="baseline"/>
              <w:rPr>
                <w:rFonts w:hint="eastAsia" w:ascii="宋体" w:hAnsi="宋体" w:eastAsia="宋体" w:cs="宋体"/>
                <w:color w:val="auto"/>
              </w:rPr>
            </w:pPr>
            <w:r>
              <w:rPr>
                <w:rFonts w:hint="eastAsia" w:ascii="宋体" w:hAnsi="宋体" w:eastAsia="宋体" w:cs="宋体"/>
                <w:color w:val="auto"/>
              </w:rPr>
              <w:t>台</w:t>
            </w:r>
          </w:p>
        </w:tc>
        <w:tc>
          <w:tcPr>
            <w:tcW w:w="625" w:type="pct"/>
            <w:vAlign w:val="top"/>
          </w:tcPr>
          <w:p w14:paraId="496F3A6D">
            <w:pPr>
              <w:keepNext w:val="0"/>
              <w:keepLines w:val="0"/>
              <w:pageBreakBefore w:val="0"/>
              <w:widowControl/>
              <w:kinsoku w:val="0"/>
              <w:wordWrap/>
              <w:overflowPunct/>
              <w:topLinePunct w:val="0"/>
              <w:autoSpaceDE w:val="0"/>
              <w:autoSpaceDN w:val="0"/>
              <w:bidi w:val="0"/>
              <w:adjustRightInd w:val="0"/>
              <w:snapToGrid w:val="0"/>
              <w:spacing w:before="87" w:line="360" w:lineRule="auto"/>
              <w:ind w:left="36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5E457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33" w:type="pct"/>
            <w:tcBorders>
              <w:left w:val="single" w:color="000000" w:sz="6" w:space="0"/>
            </w:tcBorders>
            <w:vAlign w:val="top"/>
          </w:tcPr>
          <w:p w14:paraId="2AAED6DB">
            <w:pPr>
              <w:keepNext w:val="0"/>
              <w:keepLines w:val="0"/>
              <w:pageBreakBefore w:val="0"/>
              <w:widowControl/>
              <w:kinsoku w:val="0"/>
              <w:wordWrap/>
              <w:overflowPunct/>
              <w:topLinePunct w:val="0"/>
              <w:autoSpaceDE w:val="0"/>
              <w:autoSpaceDN w:val="0"/>
              <w:bidi w:val="0"/>
              <w:adjustRightInd w:val="0"/>
              <w:snapToGrid w:val="0"/>
              <w:spacing w:before="92" w:line="360" w:lineRule="auto"/>
              <w:ind w:left="353"/>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168" w:type="pct"/>
            <w:vMerge w:val="continue"/>
            <w:tcBorders>
              <w:top w:val="nil"/>
            </w:tcBorders>
            <w:vAlign w:val="top"/>
          </w:tcPr>
          <w:p w14:paraId="1E9628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c>
          <w:tcPr>
            <w:tcW w:w="1948" w:type="pct"/>
            <w:vAlign w:val="top"/>
          </w:tcPr>
          <w:p w14:paraId="33001C14">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1007"/>
              <w:textAlignment w:val="baseline"/>
              <w:rPr>
                <w:rFonts w:hint="eastAsia" w:ascii="宋体" w:hAnsi="宋体" w:eastAsia="宋体" w:cs="宋体"/>
                <w:color w:val="auto"/>
              </w:rPr>
            </w:pPr>
            <w:r>
              <w:rPr>
                <w:rFonts w:hint="eastAsia" w:ascii="宋体" w:hAnsi="宋体" w:eastAsia="宋体" w:cs="宋体"/>
                <w:color w:val="auto"/>
                <w:spacing w:val="-3"/>
              </w:rPr>
              <w:t>模拟屏</w:t>
            </w:r>
          </w:p>
        </w:tc>
        <w:tc>
          <w:tcPr>
            <w:tcW w:w="623" w:type="pct"/>
            <w:vAlign w:val="top"/>
          </w:tcPr>
          <w:p w14:paraId="55C8B1C7">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305"/>
              <w:textAlignment w:val="baseline"/>
              <w:rPr>
                <w:rFonts w:hint="eastAsia" w:ascii="宋体" w:hAnsi="宋体" w:eastAsia="宋体" w:cs="宋体"/>
                <w:color w:val="auto"/>
              </w:rPr>
            </w:pPr>
            <w:r>
              <w:rPr>
                <w:rFonts w:hint="eastAsia" w:ascii="宋体" w:hAnsi="宋体" w:eastAsia="宋体" w:cs="宋体"/>
                <w:color w:val="auto"/>
              </w:rPr>
              <w:t>台</w:t>
            </w:r>
          </w:p>
        </w:tc>
        <w:tc>
          <w:tcPr>
            <w:tcW w:w="625" w:type="pct"/>
            <w:vAlign w:val="top"/>
          </w:tcPr>
          <w:p w14:paraId="27412299">
            <w:pPr>
              <w:keepNext w:val="0"/>
              <w:keepLines w:val="0"/>
              <w:pageBreakBefore w:val="0"/>
              <w:widowControl/>
              <w:kinsoku w:val="0"/>
              <w:wordWrap/>
              <w:overflowPunct/>
              <w:topLinePunct w:val="0"/>
              <w:autoSpaceDE w:val="0"/>
              <w:autoSpaceDN w:val="0"/>
              <w:bidi w:val="0"/>
              <w:adjustRightInd w:val="0"/>
              <w:snapToGrid w:val="0"/>
              <w:spacing w:before="89" w:line="360" w:lineRule="auto"/>
              <w:ind w:left="36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76361C9C">
      <w:pPr>
        <w:keepNext w:val="0"/>
        <w:keepLines w:val="0"/>
        <w:pageBreakBefore w:val="0"/>
        <w:widowControl/>
        <w:kinsoku w:val="0"/>
        <w:wordWrap/>
        <w:overflowPunct/>
        <w:topLinePunct w:val="0"/>
        <w:autoSpaceDE w:val="0"/>
        <w:autoSpaceDN w:val="0"/>
        <w:bidi w:val="0"/>
        <w:adjustRightInd w:val="0"/>
        <w:snapToGrid w:val="0"/>
        <w:spacing w:before="156" w:line="360" w:lineRule="auto"/>
        <w:ind w:left="6"/>
        <w:textAlignment w:val="baseline"/>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2.配电箱统计表</w:t>
      </w:r>
    </w:p>
    <w:p w14:paraId="763C4D5E">
      <w:pPr>
        <w:keepNext w:val="0"/>
        <w:keepLines w:val="0"/>
        <w:pageBreakBefore w:val="0"/>
        <w:widowControl/>
        <w:kinsoku w:val="0"/>
        <w:wordWrap/>
        <w:overflowPunct/>
        <w:topLinePunct w:val="0"/>
        <w:autoSpaceDE w:val="0"/>
        <w:autoSpaceDN w:val="0"/>
        <w:bidi w:val="0"/>
        <w:adjustRightInd w:val="0"/>
        <w:snapToGrid w:val="0"/>
        <w:spacing w:before="24" w:line="360" w:lineRule="auto"/>
        <w:textAlignment w:val="baseline"/>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7"/>
        <w:gridCol w:w="4315"/>
        <w:gridCol w:w="863"/>
        <w:gridCol w:w="861"/>
        <w:gridCol w:w="2451"/>
      </w:tblGrid>
      <w:tr w14:paraId="5D2E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3" w:type="pct"/>
            <w:vAlign w:val="top"/>
          </w:tcPr>
          <w:p w14:paraId="6B24DB38">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109"/>
              <w:textAlignment w:val="baseline"/>
              <w:rPr>
                <w:rFonts w:hint="eastAsia" w:ascii="宋体" w:hAnsi="宋体" w:eastAsia="宋体" w:cs="宋体"/>
                <w:color w:val="auto"/>
              </w:rPr>
            </w:pPr>
            <w:r>
              <w:rPr>
                <w:rFonts w:hint="eastAsia" w:ascii="宋体" w:hAnsi="宋体" w:eastAsia="宋体" w:cs="宋体"/>
                <w:color w:val="auto"/>
                <w:spacing w:val="-5"/>
              </w:rPr>
              <w:t>序号</w:t>
            </w:r>
          </w:p>
        </w:tc>
        <w:tc>
          <w:tcPr>
            <w:tcW w:w="2305" w:type="pct"/>
            <w:vAlign w:val="top"/>
          </w:tcPr>
          <w:p w14:paraId="7B46B828">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1227"/>
              <w:textAlignment w:val="baseline"/>
              <w:rPr>
                <w:rFonts w:hint="eastAsia" w:ascii="宋体" w:hAnsi="宋体" w:eastAsia="宋体" w:cs="宋体"/>
                <w:color w:val="auto"/>
              </w:rPr>
            </w:pPr>
            <w:r>
              <w:rPr>
                <w:rFonts w:hint="eastAsia" w:ascii="宋体" w:hAnsi="宋体" w:eastAsia="宋体" w:cs="宋体"/>
                <w:color w:val="auto"/>
                <w:spacing w:val="-3"/>
              </w:rPr>
              <w:t>使用位置</w:t>
            </w:r>
          </w:p>
        </w:tc>
        <w:tc>
          <w:tcPr>
            <w:tcW w:w="461" w:type="pct"/>
            <w:vAlign w:val="top"/>
          </w:tcPr>
          <w:p w14:paraId="2D7B304C">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110"/>
              <w:textAlignment w:val="baseline"/>
              <w:rPr>
                <w:rFonts w:hint="eastAsia" w:ascii="宋体" w:hAnsi="宋体" w:eastAsia="宋体" w:cs="宋体"/>
                <w:color w:val="auto"/>
              </w:rPr>
            </w:pPr>
            <w:r>
              <w:rPr>
                <w:rFonts w:hint="eastAsia" w:ascii="宋体" w:hAnsi="宋体" w:eastAsia="宋体" w:cs="宋体"/>
                <w:color w:val="auto"/>
                <w:spacing w:val="-6"/>
              </w:rPr>
              <w:t>单位</w:t>
            </w:r>
          </w:p>
        </w:tc>
        <w:tc>
          <w:tcPr>
            <w:tcW w:w="460" w:type="pct"/>
            <w:vAlign w:val="top"/>
          </w:tcPr>
          <w:p w14:paraId="64F57E67">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111"/>
              <w:textAlignment w:val="baseline"/>
              <w:rPr>
                <w:rFonts w:hint="eastAsia" w:ascii="宋体" w:hAnsi="宋体" w:eastAsia="宋体" w:cs="宋体"/>
                <w:color w:val="auto"/>
              </w:rPr>
            </w:pPr>
            <w:r>
              <w:rPr>
                <w:rFonts w:hint="eastAsia" w:ascii="宋体" w:hAnsi="宋体" w:eastAsia="宋体" w:cs="宋体"/>
                <w:color w:val="auto"/>
                <w:spacing w:val="-6"/>
              </w:rPr>
              <w:t>数量</w:t>
            </w:r>
          </w:p>
        </w:tc>
        <w:tc>
          <w:tcPr>
            <w:tcW w:w="1309" w:type="pct"/>
            <w:vAlign w:val="top"/>
          </w:tcPr>
          <w:p w14:paraId="0BE81822">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735"/>
              <w:textAlignment w:val="baseline"/>
              <w:rPr>
                <w:rFonts w:hint="eastAsia" w:ascii="宋体" w:hAnsi="宋体" w:eastAsia="宋体" w:cs="宋体"/>
                <w:color w:val="auto"/>
              </w:rPr>
            </w:pPr>
            <w:r>
              <w:rPr>
                <w:rFonts w:hint="eastAsia" w:ascii="宋体" w:hAnsi="宋体" w:eastAsia="宋体" w:cs="宋体"/>
                <w:color w:val="auto"/>
                <w:spacing w:val="-7"/>
              </w:rPr>
              <w:t>备注</w:t>
            </w:r>
          </w:p>
        </w:tc>
      </w:tr>
      <w:tr w14:paraId="618C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3" w:type="pct"/>
            <w:vAlign w:val="top"/>
          </w:tcPr>
          <w:p w14:paraId="73A7ABCE">
            <w:pPr>
              <w:keepNext w:val="0"/>
              <w:keepLines w:val="0"/>
              <w:pageBreakBefore w:val="0"/>
              <w:widowControl/>
              <w:kinsoku w:val="0"/>
              <w:wordWrap/>
              <w:overflowPunct/>
              <w:topLinePunct w:val="0"/>
              <w:autoSpaceDE w:val="0"/>
              <w:autoSpaceDN w:val="0"/>
              <w:bidi w:val="0"/>
              <w:adjustRightInd w:val="0"/>
              <w:snapToGrid w:val="0"/>
              <w:spacing w:before="97" w:line="360" w:lineRule="auto"/>
              <w:ind w:left="30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05" w:type="pct"/>
            <w:vAlign w:val="top"/>
          </w:tcPr>
          <w:p w14:paraId="2DEC3AD3">
            <w:pPr>
              <w:pStyle w:val="253"/>
              <w:keepNext w:val="0"/>
              <w:keepLines w:val="0"/>
              <w:pageBreakBefore w:val="0"/>
              <w:widowControl/>
              <w:kinsoku w:val="0"/>
              <w:wordWrap/>
              <w:overflowPunct/>
              <w:topLinePunct w:val="0"/>
              <w:autoSpaceDE w:val="0"/>
              <w:autoSpaceDN w:val="0"/>
              <w:bidi w:val="0"/>
              <w:adjustRightInd w:val="0"/>
              <w:snapToGrid w:val="0"/>
              <w:spacing w:before="45" w:line="360" w:lineRule="auto"/>
              <w:ind w:left="1233"/>
              <w:textAlignment w:val="baseline"/>
              <w:rPr>
                <w:rFonts w:hint="eastAsia" w:ascii="宋体" w:hAnsi="宋体" w:eastAsia="宋体" w:cs="宋体"/>
                <w:color w:val="auto"/>
              </w:rPr>
            </w:pPr>
            <w:r>
              <w:rPr>
                <w:rFonts w:hint="eastAsia" w:ascii="宋体" w:hAnsi="宋体" w:eastAsia="宋体" w:cs="宋体"/>
                <w:color w:val="auto"/>
                <w:spacing w:val="-5"/>
              </w:rPr>
              <w:t>空调机房</w:t>
            </w:r>
          </w:p>
        </w:tc>
        <w:tc>
          <w:tcPr>
            <w:tcW w:w="461" w:type="pct"/>
            <w:vAlign w:val="top"/>
          </w:tcPr>
          <w:p w14:paraId="644778B6">
            <w:pPr>
              <w:pStyle w:val="253"/>
              <w:keepNext w:val="0"/>
              <w:keepLines w:val="0"/>
              <w:pageBreakBefore w:val="0"/>
              <w:widowControl/>
              <w:kinsoku w:val="0"/>
              <w:wordWrap/>
              <w:overflowPunct/>
              <w:topLinePunct w:val="0"/>
              <w:autoSpaceDE w:val="0"/>
              <w:autoSpaceDN w:val="0"/>
              <w:bidi w:val="0"/>
              <w:adjustRightInd w:val="0"/>
              <w:snapToGrid w:val="0"/>
              <w:spacing w:before="46"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075C405B">
            <w:pPr>
              <w:keepNext w:val="0"/>
              <w:keepLines w:val="0"/>
              <w:pageBreakBefore w:val="0"/>
              <w:widowControl/>
              <w:kinsoku w:val="0"/>
              <w:wordWrap/>
              <w:overflowPunct/>
              <w:topLinePunct w:val="0"/>
              <w:autoSpaceDE w:val="0"/>
              <w:autoSpaceDN w:val="0"/>
              <w:bidi w:val="0"/>
              <w:adjustRightInd w:val="0"/>
              <w:snapToGrid w:val="0"/>
              <w:spacing w:before="97" w:line="360" w:lineRule="auto"/>
              <w:ind w:left="228"/>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78</w:t>
            </w:r>
          </w:p>
        </w:tc>
        <w:tc>
          <w:tcPr>
            <w:tcW w:w="1309" w:type="pct"/>
            <w:vAlign w:val="top"/>
          </w:tcPr>
          <w:p w14:paraId="4B0018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80E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07354AAC">
            <w:pPr>
              <w:keepNext w:val="0"/>
              <w:keepLines w:val="0"/>
              <w:pageBreakBefore w:val="0"/>
              <w:widowControl/>
              <w:kinsoku w:val="0"/>
              <w:wordWrap/>
              <w:overflowPunct/>
              <w:topLinePunct w:val="0"/>
              <w:autoSpaceDE w:val="0"/>
              <w:autoSpaceDN w:val="0"/>
              <w:bidi w:val="0"/>
              <w:adjustRightInd w:val="0"/>
              <w:snapToGrid w:val="0"/>
              <w:spacing w:before="98" w:line="360" w:lineRule="auto"/>
              <w:ind w:left="28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05" w:type="pct"/>
            <w:vAlign w:val="top"/>
          </w:tcPr>
          <w:p w14:paraId="40A6E9F5">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793"/>
              <w:textAlignment w:val="baseline"/>
              <w:rPr>
                <w:rFonts w:hint="eastAsia" w:ascii="宋体" w:hAnsi="宋体" w:eastAsia="宋体" w:cs="宋体"/>
                <w:color w:val="auto"/>
              </w:rPr>
            </w:pPr>
            <w:r>
              <w:rPr>
                <w:rFonts w:hint="eastAsia" w:ascii="宋体" w:hAnsi="宋体" w:eastAsia="宋体" w:cs="宋体"/>
                <w:color w:val="auto"/>
                <w:spacing w:val="-6"/>
              </w:rPr>
              <w:t>1</w:t>
            </w:r>
            <w:r>
              <w:rPr>
                <w:rFonts w:hint="eastAsia" w:ascii="宋体" w:hAnsi="宋体" w:eastAsia="宋体" w:cs="宋体"/>
                <w:color w:val="auto"/>
                <w:spacing w:val="18"/>
                <w:w w:val="101"/>
              </w:rPr>
              <w:t xml:space="preserve"> </w:t>
            </w:r>
            <w:r>
              <w:rPr>
                <w:rFonts w:hint="eastAsia" w:ascii="宋体" w:hAnsi="宋体" w:eastAsia="宋体" w:cs="宋体"/>
                <w:color w:val="auto"/>
                <w:spacing w:val="-6"/>
              </w:rPr>
              <w:t>号楼通道墙壁上</w:t>
            </w:r>
          </w:p>
        </w:tc>
        <w:tc>
          <w:tcPr>
            <w:tcW w:w="461" w:type="pct"/>
            <w:vAlign w:val="top"/>
          </w:tcPr>
          <w:p w14:paraId="1DB752BB">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6629DA4B">
            <w:pPr>
              <w:keepNext w:val="0"/>
              <w:keepLines w:val="0"/>
              <w:pageBreakBefore w:val="0"/>
              <w:widowControl/>
              <w:kinsoku w:val="0"/>
              <w:wordWrap/>
              <w:overflowPunct/>
              <w:topLinePunct w:val="0"/>
              <w:autoSpaceDE w:val="0"/>
              <w:autoSpaceDN w:val="0"/>
              <w:bidi w:val="0"/>
              <w:adjustRightInd w:val="0"/>
              <w:snapToGrid w:val="0"/>
              <w:spacing w:before="98" w:line="360" w:lineRule="auto"/>
              <w:ind w:left="224"/>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24</w:t>
            </w:r>
          </w:p>
        </w:tc>
        <w:tc>
          <w:tcPr>
            <w:tcW w:w="1309" w:type="pct"/>
            <w:vAlign w:val="top"/>
          </w:tcPr>
          <w:p w14:paraId="440CBF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905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1FD80341">
            <w:pPr>
              <w:keepNext w:val="0"/>
              <w:keepLines w:val="0"/>
              <w:pageBreakBefore w:val="0"/>
              <w:widowControl/>
              <w:kinsoku w:val="0"/>
              <w:wordWrap/>
              <w:overflowPunct/>
              <w:topLinePunct w:val="0"/>
              <w:autoSpaceDE w:val="0"/>
              <w:autoSpaceDN w:val="0"/>
              <w:bidi w:val="0"/>
              <w:adjustRightInd w:val="0"/>
              <w:snapToGrid w:val="0"/>
              <w:spacing w:before="98" w:line="360" w:lineRule="auto"/>
              <w:ind w:left="2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05" w:type="pct"/>
            <w:vAlign w:val="top"/>
          </w:tcPr>
          <w:p w14:paraId="4A029967">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770"/>
              <w:textAlignment w:val="baseline"/>
              <w:rPr>
                <w:rFonts w:hint="eastAsia" w:ascii="宋体" w:hAnsi="宋体" w:eastAsia="宋体" w:cs="宋体"/>
                <w:color w:val="auto"/>
              </w:rPr>
            </w:pPr>
            <w:r>
              <w:rPr>
                <w:rFonts w:hint="eastAsia" w:ascii="宋体" w:hAnsi="宋体" w:eastAsia="宋体" w:cs="宋体"/>
                <w:color w:val="auto"/>
                <w:spacing w:val="-3"/>
              </w:rPr>
              <w:t>2</w:t>
            </w:r>
            <w:r>
              <w:rPr>
                <w:rFonts w:hint="eastAsia" w:ascii="宋体" w:hAnsi="宋体" w:eastAsia="宋体" w:cs="宋体"/>
                <w:color w:val="auto"/>
                <w:spacing w:val="17"/>
                <w:w w:val="101"/>
              </w:rPr>
              <w:t xml:space="preserve"> </w:t>
            </w:r>
            <w:r>
              <w:rPr>
                <w:rFonts w:hint="eastAsia" w:ascii="宋体" w:hAnsi="宋体" w:eastAsia="宋体" w:cs="宋体"/>
                <w:color w:val="auto"/>
                <w:spacing w:val="-3"/>
              </w:rPr>
              <w:t>号楼通道墙壁上</w:t>
            </w:r>
          </w:p>
        </w:tc>
        <w:tc>
          <w:tcPr>
            <w:tcW w:w="461" w:type="pct"/>
            <w:vAlign w:val="top"/>
          </w:tcPr>
          <w:p w14:paraId="34FBB48C">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3E68208F">
            <w:pPr>
              <w:keepNext w:val="0"/>
              <w:keepLines w:val="0"/>
              <w:pageBreakBefore w:val="0"/>
              <w:widowControl/>
              <w:kinsoku w:val="0"/>
              <w:wordWrap/>
              <w:overflowPunct/>
              <w:topLinePunct w:val="0"/>
              <w:autoSpaceDE w:val="0"/>
              <w:autoSpaceDN w:val="0"/>
              <w:bidi w:val="0"/>
              <w:adjustRightInd w:val="0"/>
              <w:snapToGrid w:val="0"/>
              <w:spacing w:before="98" w:line="360" w:lineRule="auto"/>
              <w:ind w:left="224"/>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24</w:t>
            </w:r>
          </w:p>
        </w:tc>
        <w:tc>
          <w:tcPr>
            <w:tcW w:w="1309" w:type="pct"/>
            <w:vAlign w:val="top"/>
          </w:tcPr>
          <w:p w14:paraId="498AB8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F71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49B139B6">
            <w:pPr>
              <w:keepNext w:val="0"/>
              <w:keepLines w:val="0"/>
              <w:pageBreakBefore w:val="0"/>
              <w:widowControl/>
              <w:kinsoku w:val="0"/>
              <w:wordWrap/>
              <w:overflowPunct/>
              <w:topLinePunct w:val="0"/>
              <w:autoSpaceDE w:val="0"/>
              <w:autoSpaceDN w:val="0"/>
              <w:bidi w:val="0"/>
              <w:adjustRightInd w:val="0"/>
              <w:snapToGrid w:val="0"/>
              <w:spacing w:before="96" w:line="360" w:lineRule="auto"/>
              <w:ind w:left="28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05" w:type="pct"/>
            <w:vAlign w:val="top"/>
          </w:tcPr>
          <w:p w14:paraId="4E58D210">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747"/>
              <w:textAlignment w:val="baseline"/>
              <w:rPr>
                <w:rFonts w:hint="eastAsia" w:ascii="宋体" w:hAnsi="宋体" w:eastAsia="宋体" w:cs="宋体"/>
                <w:color w:val="auto"/>
              </w:rPr>
            </w:pPr>
            <w:r>
              <w:rPr>
                <w:rFonts w:hint="eastAsia" w:ascii="宋体" w:hAnsi="宋体" w:eastAsia="宋体" w:cs="宋体"/>
                <w:color w:val="auto"/>
                <w:spacing w:val="-2"/>
              </w:rPr>
              <w:t>培训楼通道墙壁上</w:t>
            </w:r>
          </w:p>
        </w:tc>
        <w:tc>
          <w:tcPr>
            <w:tcW w:w="461" w:type="pct"/>
            <w:vAlign w:val="top"/>
          </w:tcPr>
          <w:p w14:paraId="71AB7A7D">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28659F9F">
            <w:pPr>
              <w:keepNext w:val="0"/>
              <w:keepLines w:val="0"/>
              <w:pageBreakBefore w:val="0"/>
              <w:widowControl/>
              <w:kinsoku w:val="0"/>
              <w:wordWrap/>
              <w:overflowPunct/>
              <w:topLinePunct w:val="0"/>
              <w:autoSpaceDE w:val="0"/>
              <w:autoSpaceDN w:val="0"/>
              <w:bidi w:val="0"/>
              <w:adjustRightInd w:val="0"/>
              <w:snapToGrid w:val="0"/>
              <w:spacing w:before="96" w:line="360" w:lineRule="auto"/>
              <w:ind w:left="247"/>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15</w:t>
            </w:r>
          </w:p>
        </w:tc>
        <w:tc>
          <w:tcPr>
            <w:tcW w:w="1309" w:type="pct"/>
            <w:vAlign w:val="top"/>
          </w:tcPr>
          <w:p w14:paraId="7759FC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2C35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6C9037AE">
            <w:pPr>
              <w:keepNext w:val="0"/>
              <w:keepLines w:val="0"/>
              <w:pageBreakBefore w:val="0"/>
              <w:widowControl/>
              <w:kinsoku w:val="0"/>
              <w:wordWrap/>
              <w:overflowPunct/>
              <w:topLinePunct w:val="0"/>
              <w:autoSpaceDE w:val="0"/>
              <w:autoSpaceDN w:val="0"/>
              <w:bidi w:val="0"/>
              <w:adjustRightInd w:val="0"/>
              <w:snapToGrid w:val="0"/>
              <w:spacing w:before="100" w:line="360" w:lineRule="auto"/>
              <w:ind w:left="29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05" w:type="pct"/>
            <w:vAlign w:val="top"/>
          </w:tcPr>
          <w:p w14:paraId="0C14FED9">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751"/>
              <w:textAlignment w:val="baseline"/>
              <w:rPr>
                <w:rFonts w:hint="eastAsia" w:ascii="宋体" w:hAnsi="宋体" w:eastAsia="宋体" w:cs="宋体"/>
                <w:color w:val="auto"/>
              </w:rPr>
            </w:pPr>
            <w:r>
              <w:rPr>
                <w:rFonts w:hint="eastAsia" w:ascii="宋体" w:hAnsi="宋体" w:eastAsia="宋体" w:cs="宋体"/>
                <w:color w:val="auto"/>
                <w:spacing w:val="-2"/>
              </w:rPr>
              <w:t>实验楼通道墙壁上</w:t>
            </w:r>
          </w:p>
        </w:tc>
        <w:tc>
          <w:tcPr>
            <w:tcW w:w="461" w:type="pct"/>
            <w:vAlign w:val="top"/>
          </w:tcPr>
          <w:p w14:paraId="018F0B4B">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3C6559F0">
            <w:pPr>
              <w:keepNext w:val="0"/>
              <w:keepLines w:val="0"/>
              <w:pageBreakBefore w:val="0"/>
              <w:widowControl/>
              <w:kinsoku w:val="0"/>
              <w:wordWrap/>
              <w:overflowPunct/>
              <w:topLinePunct w:val="0"/>
              <w:autoSpaceDE w:val="0"/>
              <w:autoSpaceDN w:val="0"/>
              <w:bidi w:val="0"/>
              <w:adjustRightInd w:val="0"/>
              <w:snapToGrid w:val="0"/>
              <w:spacing w:before="96" w:line="360" w:lineRule="auto"/>
              <w:ind w:left="247"/>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15</w:t>
            </w:r>
          </w:p>
        </w:tc>
        <w:tc>
          <w:tcPr>
            <w:tcW w:w="1309" w:type="pct"/>
            <w:vAlign w:val="top"/>
          </w:tcPr>
          <w:p w14:paraId="08B012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F125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3" w:type="pct"/>
            <w:vAlign w:val="top"/>
          </w:tcPr>
          <w:p w14:paraId="6258B94A">
            <w:pPr>
              <w:keepNext w:val="0"/>
              <w:keepLines w:val="0"/>
              <w:pageBreakBefore w:val="0"/>
              <w:widowControl/>
              <w:kinsoku w:val="0"/>
              <w:wordWrap/>
              <w:overflowPunct/>
              <w:topLinePunct w:val="0"/>
              <w:autoSpaceDE w:val="0"/>
              <w:autoSpaceDN w:val="0"/>
              <w:bidi w:val="0"/>
              <w:adjustRightInd w:val="0"/>
              <w:snapToGrid w:val="0"/>
              <w:spacing w:before="96" w:line="360" w:lineRule="auto"/>
              <w:ind w:left="29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05" w:type="pct"/>
            <w:vAlign w:val="top"/>
          </w:tcPr>
          <w:p w14:paraId="0EE35EA7">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750"/>
              <w:textAlignment w:val="baseline"/>
              <w:rPr>
                <w:rFonts w:hint="eastAsia" w:ascii="宋体" w:hAnsi="宋体" w:eastAsia="宋体" w:cs="宋体"/>
                <w:color w:val="auto"/>
              </w:rPr>
            </w:pPr>
            <w:r>
              <w:rPr>
                <w:rFonts w:hint="eastAsia" w:ascii="宋体" w:hAnsi="宋体" w:eastAsia="宋体" w:cs="宋体"/>
                <w:color w:val="auto"/>
                <w:spacing w:val="-2"/>
              </w:rPr>
              <w:t>行政楼通道墙壁上</w:t>
            </w:r>
          </w:p>
        </w:tc>
        <w:tc>
          <w:tcPr>
            <w:tcW w:w="461" w:type="pct"/>
            <w:vAlign w:val="top"/>
          </w:tcPr>
          <w:p w14:paraId="52F07D5E">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78DAD19F">
            <w:pPr>
              <w:keepNext w:val="0"/>
              <w:keepLines w:val="0"/>
              <w:pageBreakBefore w:val="0"/>
              <w:widowControl/>
              <w:kinsoku w:val="0"/>
              <w:wordWrap/>
              <w:overflowPunct/>
              <w:topLinePunct w:val="0"/>
              <w:autoSpaceDE w:val="0"/>
              <w:autoSpaceDN w:val="0"/>
              <w:bidi w:val="0"/>
              <w:adjustRightInd w:val="0"/>
              <w:snapToGrid w:val="0"/>
              <w:spacing w:before="96" w:line="360" w:lineRule="auto"/>
              <w:ind w:left="223"/>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42</w:t>
            </w:r>
          </w:p>
        </w:tc>
        <w:tc>
          <w:tcPr>
            <w:tcW w:w="1309" w:type="pct"/>
            <w:vAlign w:val="top"/>
          </w:tcPr>
          <w:p w14:paraId="44E288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A67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60949A34">
            <w:pPr>
              <w:keepNext w:val="0"/>
              <w:keepLines w:val="0"/>
              <w:pageBreakBefore w:val="0"/>
              <w:widowControl/>
              <w:kinsoku w:val="0"/>
              <w:wordWrap/>
              <w:overflowPunct/>
              <w:topLinePunct w:val="0"/>
              <w:autoSpaceDE w:val="0"/>
              <w:autoSpaceDN w:val="0"/>
              <w:bidi w:val="0"/>
              <w:adjustRightInd w:val="0"/>
              <w:snapToGrid w:val="0"/>
              <w:spacing w:before="101" w:line="360" w:lineRule="auto"/>
              <w:ind w:left="2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05" w:type="pct"/>
            <w:vAlign w:val="top"/>
          </w:tcPr>
          <w:p w14:paraId="0EE4A879">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905"/>
              <w:textAlignment w:val="baseline"/>
              <w:rPr>
                <w:rFonts w:hint="eastAsia" w:ascii="宋体" w:hAnsi="宋体" w:eastAsia="宋体" w:cs="宋体"/>
                <w:color w:val="auto"/>
              </w:rPr>
            </w:pPr>
            <w:r>
              <w:rPr>
                <w:rFonts w:hint="eastAsia" w:ascii="宋体" w:hAnsi="宋体" w:eastAsia="宋体" w:cs="宋体"/>
                <w:color w:val="auto"/>
                <w:spacing w:val="-7"/>
              </w:rPr>
              <w:t>自行车库墙壁上</w:t>
            </w:r>
          </w:p>
        </w:tc>
        <w:tc>
          <w:tcPr>
            <w:tcW w:w="461" w:type="pct"/>
            <w:vAlign w:val="top"/>
          </w:tcPr>
          <w:p w14:paraId="40A87A70">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04170E93">
            <w:pPr>
              <w:keepNext w:val="0"/>
              <w:keepLines w:val="0"/>
              <w:pageBreakBefore w:val="0"/>
              <w:widowControl/>
              <w:kinsoku w:val="0"/>
              <w:wordWrap/>
              <w:overflowPunct/>
              <w:topLinePunct w:val="0"/>
              <w:autoSpaceDE w:val="0"/>
              <w:autoSpaceDN w:val="0"/>
              <w:bidi w:val="0"/>
              <w:adjustRightInd w:val="0"/>
              <w:snapToGrid w:val="0"/>
              <w:spacing w:before="97" w:line="360" w:lineRule="auto"/>
              <w:ind w:left="2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09" w:type="pct"/>
            <w:vAlign w:val="top"/>
          </w:tcPr>
          <w:p w14:paraId="6C67AD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6A9A4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3" w:type="pct"/>
            <w:vAlign w:val="top"/>
          </w:tcPr>
          <w:p w14:paraId="33D67EAE">
            <w:pPr>
              <w:keepNext w:val="0"/>
              <w:keepLines w:val="0"/>
              <w:pageBreakBefore w:val="0"/>
              <w:widowControl/>
              <w:kinsoku w:val="0"/>
              <w:wordWrap/>
              <w:overflowPunct/>
              <w:topLinePunct w:val="0"/>
              <w:autoSpaceDE w:val="0"/>
              <w:autoSpaceDN w:val="0"/>
              <w:bidi w:val="0"/>
              <w:adjustRightInd w:val="0"/>
              <w:snapToGrid w:val="0"/>
              <w:spacing w:before="98" w:line="360" w:lineRule="auto"/>
              <w:ind w:left="29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305" w:type="pct"/>
            <w:vAlign w:val="top"/>
          </w:tcPr>
          <w:p w14:paraId="07A1AB87">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1108"/>
              <w:textAlignment w:val="baseline"/>
              <w:rPr>
                <w:rFonts w:hint="eastAsia" w:ascii="宋体" w:hAnsi="宋体" w:eastAsia="宋体" w:cs="宋体"/>
                <w:color w:val="auto"/>
              </w:rPr>
            </w:pPr>
            <w:r>
              <w:rPr>
                <w:rFonts w:hint="eastAsia" w:ascii="宋体" w:hAnsi="宋体" w:eastAsia="宋体" w:cs="宋体"/>
                <w:color w:val="auto"/>
                <w:spacing w:val="-3"/>
              </w:rPr>
              <w:t>车库墙壁上</w:t>
            </w:r>
          </w:p>
        </w:tc>
        <w:tc>
          <w:tcPr>
            <w:tcW w:w="461" w:type="pct"/>
            <w:vAlign w:val="top"/>
          </w:tcPr>
          <w:p w14:paraId="1323C5AA">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6B43981B">
            <w:pPr>
              <w:keepNext w:val="0"/>
              <w:keepLines w:val="0"/>
              <w:pageBreakBefore w:val="0"/>
              <w:widowControl/>
              <w:kinsoku w:val="0"/>
              <w:wordWrap/>
              <w:overflowPunct/>
              <w:topLinePunct w:val="0"/>
              <w:autoSpaceDE w:val="0"/>
              <w:autoSpaceDN w:val="0"/>
              <w:bidi w:val="0"/>
              <w:adjustRightInd w:val="0"/>
              <w:snapToGrid w:val="0"/>
              <w:spacing w:before="98" w:line="360" w:lineRule="auto"/>
              <w:ind w:left="247"/>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10</w:t>
            </w:r>
          </w:p>
        </w:tc>
        <w:tc>
          <w:tcPr>
            <w:tcW w:w="1309" w:type="pct"/>
            <w:vAlign w:val="top"/>
          </w:tcPr>
          <w:p w14:paraId="3C9043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5026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3" w:type="pct"/>
            <w:vAlign w:val="top"/>
          </w:tcPr>
          <w:p w14:paraId="4E003BEC">
            <w:pPr>
              <w:keepNext w:val="0"/>
              <w:keepLines w:val="0"/>
              <w:pageBreakBefore w:val="0"/>
              <w:widowControl/>
              <w:kinsoku w:val="0"/>
              <w:wordWrap/>
              <w:overflowPunct/>
              <w:topLinePunct w:val="0"/>
              <w:autoSpaceDE w:val="0"/>
              <w:autoSpaceDN w:val="0"/>
              <w:bidi w:val="0"/>
              <w:adjustRightInd w:val="0"/>
              <w:snapToGrid w:val="0"/>
              <w:spacing w:before="99" w:line="360" w:lineRule="auto"/>
              <w:ind w:left="2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305" w:type="pct"/>
            <w:vAlign w:val="top"/>
          </w:tcPr>
          <w:p w14:paraId="1D00A330">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987"/>
              <w:textAlignment w:val="baseline"/>
              <w:rPr>
                <w:rFonts w:hint="eastAsia" w:ascii="宋体" w:hAnsi="宋体" w:eastAsia="宋体" w:cs="宋体"/>
                <w:color w:val="auto"/>
              </w:rPr>
            </w:pPr>
            <w:r>
              <w:rPr>
                <w:rFonts w:hint="eastAsia" w:ascii="宋体" w:hAnsi="宋体" w:eastAsia="宋体" w:cs="宋体"/>
                <w:color w:val="auto"/>
                <w:spacing w:val="-2"/>
              </w:rPr>
              <w:t>风机房墙壁上</w:t>
            </w:r>
          </w:p>
        </w:tc>
        <w:tc>
          <w:tcPr>
            <w:tcW w:w="461" w:type="pct"/>
            <w:vAlign w:val="top"/>
          </w:tcPr>
          <w:p w14:paraId="61A61F23">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6349214A">
            <w:pPr>
              <w:keepNext w:val="0"/>
              <w:keepLines w:val="0"/>
              <w:pageBreakBefore w:val="0"/>
              <w:widowControl/>
              <w:kinsoku w:val="0"/>
              <w:wordWrap/>
              <w:overflowPunct/>
              <w:topLinePunct w:val="0"/>
              <w:autoSpaceDE w:val="0"/>
              <w:autoSpaceDN w:val="0"/>
              <w:bidi w:val="0"/>
              <w:adjustRightInd w:val="0"/>
              <w:snapToGrid w:val="0"/>
              <w:spacing w:before="99" w:line="360" w:lineRule="auto"/>
              <w:ind w:left="29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09" w:type="pct"/>
            <w:vAlign w:val="top"/>
          </w:tcPr>
          <w:p w14:paraId="562324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38F7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2BDA8A57">
            <w:pPr>
              <w:keepNext w:val="0"/>
              <w:keepLines w:val="0"/>
              <w:pageBreakBefore w:val="0"/>
              <w:widowControl/>
              <w:kinsoku w:val="0"/>
              <w:wordWrap/>
              <w:overflowPunct/>
              <w:topLinePunct w:val="0"/>
              <w:autoSpaceDE w:val="0"/>
              <w:autoSpaceDN w:val="0"/>
              <w:bidi w:val="0"/>
              <w:adjustRightInd w:val="0"/>
              <w:snapToGrid w:val="0"/>
              <w:spacing w:before="100"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10</w:t>
            </w:r>
          </w:p>
        </w:tc>
        <w:tc>
          <w:tcPr>
            <w:tcW w:w="2305" w:type="pct"/>
            <w:vAlign w:val="top"/>
          </w:tcPr>
          <w:p w14:paraId="7F8464AE">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868"/>
              <w:textAlignment w:val="baseline"/>
              <w:rPr>
                <w:rFonts w:hint="eastAsia" w:ascii="宋体" w:hAnsi="宋体" w:eastAsia="宋体" w:cs="宋体"/>
                <w:color w:val="auto"/>
              </w:rPr>
            </w:pPr>
            <w:r>
              <w:rPr>
                <w:rFonts w:hint="eastAsia" w:ascii="宋体" w:hAnsi="宋体" w:eastAsia="宋体" w:cs="宋体"/>
                <w:color w:val="auto"/>
                <w:spacing w:val="-2"/>
              </w:rPr>
              <w:t>餐厅后厨墙壁上</w:t>
            </w:r>
          </w:p>
        </w:tc>
        <w:tc>
          <w:tcPr>
            <w:tcW w:w="461" w:type="pct"/>
            <w:vAlign w:val="top"/>
          </w:tcPr>
          <w:p w14:paraId="6F079ECF">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3E1AAFBF">
            <w:pPr>
              <w:keepNext w:val="0"/>
              <w:keepLines w:val="0"/>
              <w:pageBreakBefore w:val="0"/>
              <w:widowControl/>
              <w:kinsoku w:val="0"/>
              <w:wordWrap/>
              <w:overflowPunct/>
              <w:topLinePunct w:val="0"/>
              <w:autoSpaceDE w:val="0"/>
              <w:autoSpaceDN w:val="0"/>
              <w:bidi w:val="0"/>
              <w:adjustRightInd w:val="0"/>
              <w:snapToGrid w:val="0"/>
              <w:spacing w:before="100" w:line="360" w:lineRule="auto"/>
              <w:ind w:left="224"/>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20</w:t>
            </w:r>
          </w:p>
        </w:tc>
        <w:tc>
          <w:tcPr>
            <w:tcW w:w="1309" w:type="pct"/>
            <w:vAlign w:val="top"/>
          </w:tcPr>
          <w:p w14:paraId="0858B4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53B7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3" w:type="pct"/>
            <w:vAlign w:val="top"/>
          </w:tcPr>
          <w:p w14:paraId="3EE70450">
            <w:pPr>
              <w:keepNext w:val="0"/>
              <w:keepLines w:val="0"/>
              <w:pageBreakBefore w:val="0"/>
              <w:widowControl/>
              <w:kinsoku w:val="0"/>
              <w:wordWrap/>
              <w:overflowPunct/>
              <w:topLinePunct w:val="0"/>
              <w:autoSpaceDE w:val="0"/>
              <w:autoSpaceDN w:val="0"/>
              <w:bidi w:val="0"/>
              <w:adjustRightInd w:val="0"/>
              <w:snapToGrid w:val="0"/>
              <w:spacing w:before="98"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11</w:t>
            </w:r>
          </w:p>
        </w:tc>
        <w:tc>
          <w:tcPr>
            <w:tcW w:w="2305" w:type="pct"/>
            <w:vAlign w:val="top"/>
          </w:tcPr>
          <w:p w14:paraId="21BF2764">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748"/>
              <w:textAlignment w:val="baseline"/>
              <w:rPr>
                <w:rFonts w:hint="eastAsia" w:ascii="宋体" w:hAnsi="宋体" w:eastAsia="宋体" w:cs="宋体"/>
                <w:color w:val="auto"/>
              </w:rPr>
            </w:pPr>
            <w:r>
              <w:rPr>
                <w:rFonts w:hint="eastAsia" w:ascii="宋体" w:hAnsi="宋体" w:eastAsia="宋体" w:cs="宋体"/>
                <w:color w:val="auto"/>
                <w:spacing w:val="-2"/>
              </w:rPr>
              <w:t>餐厅用餐区墙壁上</w:t>
            </w:r>
          </w:p>
        </w:tc>
        <w:tc>
          <w:tcPr>
            <w:tcW w:w="461" w:type="pct"/>
            <w:vAlign w:val="top"/>
          </w:tcPr>
          <w:p w14:paraId="46E31338">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1625EBD5">
            <w:pPr>
              <w:keepNext w:val="0"/>
              <w:keepLines w:val="0"/>
              <w:pageBreakBefore w:val="0"/>
              <w:widowControl/>
              <w:kinsoku w:val="0"/>
              <w:wordWrap/>
              <w:overflowPunct/>
              <w:topLinePunct w:val="0"/>
              <w:autoSpaceDE w:val="0"/>
              <w:autoSpaceDN w:val="0"/>
              <w:bidi w:val="0"/>
              <w:adjustRightInd w:val="0"/>
              <w:snapToGrid w:val="0"/>
              <w:spacing w:before="98" w:line="360" w:lineRule="auto"/>
              <w:ind w:left="247"/>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18</w:t>
            </w:r>
          </w:p>
        </w:tc>
        <w:tc>
          <w:tcPr>
            <w:tcW w:w="1309" w:type="pct"/>
            <w:vAlign w:val="top"/>
          </w:tcPr>
          <w:p w14:paraId="238C53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507FD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3BDFBACA">
            <w:pPr>
              <w:keepNext w:val="0"/>
              <w:keepLines w:val="0"/>
              <w:pageBreakBefore w:val="0"/>
              <w:widowControl/>
              <w:kinsoku w:val="0"/>
              <w:wordWrap/>
              <w:overflowPunct/>
              <w:topLinePunct w:val="0"/>
              <w:autoSpaceDE w:val="0"/>
              <w:autoSpaceDN w:val="0"/>
              <w:bidi w:val="0"/>
              <w:adjustRightInd w:val="0"/>
              <w:snapToGrid w:val="0"/>
              <w:spacing w:before="99"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12</w:t>
            </w:r>
          </w:p>
        </w:tc>
        <w:tc>
          <w:tcPr>
            <w:tcW w:w="2305" w:type="pct"/>
            <w:vAlign w:val="top"/>
          </w:tcPr>
          <w:p w14:paraId="24CA5716">
            <w:pPr>
              <w:pStyle w:val="253"/>
              <w:keepNext w:val="0"/>
              <w:keepLines w:val="0"/>
              <w:pageBreakBefore w:val="0"/>
              <w:widowControl/>
              <w:kinsoku w:val="0"/>
              <w:wordWrap/>
              <w:overflowPunct/>
              <w:topLinePunct w:val="0"/>
              <w:autoSpaceDE w:val="0"/>
              <w:autoSpaceDN w:val="0"/>
              <w:bidi w:val="0"/>
              <w:adjustRightInd w:val="0"/>
              <w:snapToGrid w:val="0"/>
              <w:spacing w:before="50" w:line="360" w:lineRule="auto"/>
              <w:ind w:left="984"/>
              <w:textAlignment w:val="baseline"/>
              <w:rPr>
                <w:rFonts w:hint="eastAsia" w:ascii="宋体" w:hAnsi="宋体" w:eastAsia="宋体" w:cs="宋体"/>
                <w:color w:val="auto"/>
              </w:rPr>
            </w:pPr>
            <w:r>
              <w:rPr>
                <w:rFonts w:hint="eastAsia" w:ascii="宋体" w:hAnsi="宋体" w:eastAsia="宋体" w:cs="宋体"/>
                <w:color w:val="auto"/>
                <w:spacing w:val="-2"/>
              </w:rPr>
              <w:t>报告厅墙壁上</w:t>
            </w:r>
          </w:p>
        </w:tc>
        <w:tc>
          <w:tcPr>
            <w:tcW w:w="461" w:type="pct"/>
            <w:vAlign w:val="top"/>
          </w:tcPr>
          <w:p w14:paraId="686F0752">
            <w:pPr>
              <w:pStyle w:val="253"/>
              <w:keepNext w:val="0"/>
              <w:keepLines w:val="0"/>
              <w:pageBreakBefore w:val="0"/>
              <w:widowControl/>
              <w:kinsoku w:val="0"/>
              <w:wordWrap/>
              <w:overflowPunct/>
              <w:topLinePunct w:val="0"/>
              <w:autoSpaceDE w:val="0"/>
              <w:autoSpaceDN w:val="0"/>
              <w:bidi w:val="0"/>
              <w:adjustRightInd w:val="0"/>
              <w:snapToGrid w:val="0"/>
              <w:spacing w:before="51"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791AAA81">
            <w:pPr>
              <w:keepNext w:val="0"/>
              <w:keepLines w:val="0"/>
              <w:pageBreakBefore w:val="0"/>
              <w:widowControl/>
              <w:kinsoku w:val="0"/>
              <w:wordWrap/>
              <w:overflowPunct/>
              <w:topLinePunct w:val="0"/>
              <w:autoSpaceDE w:val="0"/>
              <w:autoSpaceDN w:val="0"/>
              <w:bidi w:val="0"/>
              <w:adjustRightInd w:val="0"/>
              <w:snapToGrid w:val="0"/>
              <w:spacing w:before="99" w:line="360" w:lineRule="auto"/>
              <w:ind w:left="2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09" w:type="pct"/>
            <w:vAlign w:val="top"/>
          </w:tcPr>
          <w:p w14:paraId="264990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7B86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1CC9E50A">
            <w:pPr>
              <w:keepNext w:val="0"/>
              <w:keepLines w:val="0"/>
              <w:pageBreakBefore w:val="0"/>
              <w:widowControl/>
              <w:kinsoku w:val="0"/>
              <w:wordWrap/>
              <w:overflowPunct/>
              <w:topLinePunct w:val="0"/>
              <w:autoSpaceDE w:val="0"/>
              <w:autoSpaceDN w:val="0"/>
              <w:bidi w:val="0"/>
              <w:adjustRightInd w:val="0"/>
              <w:snapToGrid w:val="0"/>
              <w:spacing w:before="99"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13</w:t>
            </w:r>
          </w:p>
        </w:tc>
        <w:tc>
          <w:tcPr>
            <w:tcW w:w="2305" w:type="pct"/>
            <w:vAlign w:val="top"/>
          </w:tcPr>
          <w:p w14:paraId="6082D8BE">
            <w:pPr>
              <w:pStyle w:val="253"/>
              <w:keepNext w:val="0"/>
              <w:keepLines w:val="0"/>
              <w:pageBreakBefore w:val="0"/>
              <w:widowControl/>
              <w:kinsoku w:val="0"/>
              <w:wordWrap/>
              <w:overflowPunct/>
              <w:topLinePunct w:val="0"/>
              <w:autoSpaceDE w:val="0"/>
              <w:autoSpaceDN w:val="0"/>
              <w:bidi w:val="0"/>
              <w:adjustRightInd w:val="0"/>
              <w:snapToGrid w:val="0"/>
              <w:spacing w:before="50" w:line="360" w:lineRule="auto"/>
              <w:ind w:left="991"/>
              <w:textAlignment w:val="baseline"/>
              <w:rPr>
                <w:rFonts w:hint="eastAsia" w:ascii="宋体" w:hAnsi="宋体" w:eastAsia="宋体" w:cs="宋体"/>
                <w:color w:val="auto"/>
              </w:rPr>
            </w:pPr>
            <w:r>
              <w:rPr>
                <w:rFonts w:hint="eastAsia" w:ascii="宋体" w:hAnsi="宋体" w:eastAsia="宋体" w:cs="宋体"/>
                <w:color w:val="auto"/>
                <w:spacing w:val="-3"/>
              </w:rPr>
              <w:t>实验室墙壁上</w:t>
            </w:r>
          </w:p>
        </w:tc>
        <w:tc>
          <w:tcPr>
            <w:tcW w:w="461" w:type="pct"/>
            <w:vAlign w:val="top"/>
          </w:tcPr>
          <w:p w14:paraId="055FF664">
            <w:pPr>
              <w:pStyle w:val="253"/>
              <w:keepNext w:val="0"/>
              <w:keepLines w:val="0"/>
              <w:pageBreakBefore w:val="0"/>
              <w:widowControl/>
              <w:kinsoku w:val="0"/>
              <w:wordWrap/>
              <w:overflowPunct/>
              <w:topLinePunct w:val="0"/>
              <w:autoSpaceDE w:val="0"/>
              <w:autoSpaceDN w:val="0"/>
              <w:bidi w:val="0"/>
              <w:adjustRightInd w:val="0"/>
              <w:snapToGrid w:val="0"/>
              <w:spacing w:before="51"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7DE0EF03">
            <w:pPr>
              <w:keepNext w:val="0"/>
              <w:keepLines w:val="0"/>
              <w:pageBreakBefore w:val="0"/>
              <w:widowControl/>
              <w:kinsoku w:val="0"/>
              <w:wordWrap/>
              <w:overflowPunct/>
              <w:topLinePunct w:val="0"/>
              <w:autoSpaceDE w:val="0"/>
              <w:autoSpaceDN w:val="0"/>
              <w:bidi w:val="0"/>
              <w:adjustRightInd w:val="0"/>
              <w:snapToGrid w:val="0"/>
              <w:spacing w:before="99" w:line="360" w:lineRule="auto"/>
              <w:ind w:left="247"/>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18</w:t>
            </w:r>
          </w:p>
        </w:tc>
        <w:tc>
          <w:tcPr>
            <w:tcW w:w="1309" w:type="pct"/>
            <w:vAlign w:val="top"/>
          </w:tcPr>
          <w:p w14:paraId="1B84C6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5C93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63" w:type="pct"/>
            <w:vAlign w:val="top"/>
          </w:tcPr>
          <w:p w14:paraId="588444BD">
            <w:pPr>
              <w:keepNext w:val="0"/>
              <w:keepLines w:val="0"/>
              <w:pageBreakBefore w:val="0"/>
              <w:widowControl/>
              <w:kinsoku w:val="0"/>
              <w:wordWrap/>
              <w:overflowPunct/>
              <w:topLinePunct w:val="0"/>
              <w:autoSpaceDE w:val="0"/>
              <w:autoSpaceDN w:val="0"/>
              <w:bidi w:val="0"/>
              <w:adjustRightInd w:val="0"/>
              <w:snapToGrid w:val="0"/>
              <w:spacing w:before="100"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14</w:t>
            </w:r>
          </w:p>
        </w:tc>
        <w:tc>
          <w:tcPr>
            <w:tcW w:w="2305" w:type="pct"/>
            <w:vAlign w:val="top"/>
          </w:tcPr>
          <w:p w14:paraId="48CEF750">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867"/>
              <w:textAlignment w:val="baseline"/>
              <w:rPr>
                <w:rFonts w:hint="eastAsia" w:ascii="宋体" w:hAnsi="宋体" w:eastAsia="宋体" w:cs="宋体"/>
                <w:color w:val="auto"/>
              </w:rPr>
            </w:pPr>
            <w:r>
              <w:rPr>
                <w:rFonts w:hint="eastAsia" w:ascii="宋体" w:hAnsi="宋体" w:eastAsia="宋体" w:cs="宋体"/>
                <w:color w:val="auto"/>
                <w:spacing w:val="-2"/>
              </w:rPr>
              <w:t>制冷机房墙壁上</w:t>
            </w:r>
          </w:p>
        </w:tc>
        <w:tc>
          <w:tcPr>
            <w:tcW w:w="461" w:type="pct"/>
            <w:vAlign w:val="top"/>
          </w:tcPr>
          <w:p w14:paraId="0129658D">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34E10AE4">
            <w:pPr>
              <w:keepNext w:val="0"/>
              <w:keepLines w:val="0"/>
              <w:pageBreakBefore w:val="0"/>
              <w:widowControl/>
              <w:kinsoku w:val="0"/>
              <w:wordWrap/>
              <w:overflowPunct/>
              <w:topLinePunct w:val="0"/>
              <w:autoSpaceDE w:val="0"/>
              <w:autoSpaceDN w:val="0"/>
              <w:bidi w:val="0"/>
              <w:adjustRightInd w:val="0"/>
              <w:snapToGrid w:val="0"/>
              <w:spacing w:before="99" w:line="360" w:lineRule="auto"/>
              <w:ind w:left="2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9" w:type="pct"/>
            <w:vAlign w:val="top"/>
          </w:tcPr>
          <w:p w14:paraId="073074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40A42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3" w:type="pct"/>
            <w:vAlign w:val="top"/>
          </w:tcPr>
          <w:p w14:paraId="087376DE">
            <w:pPr>
              <w:keepNext w:val="0"/>
              <w:keepLines w:val="0"/>
              <w:pageBreakBefore w:val="0"/>
              <w:widowControl/>
              <w:kinsoku w:val="0"/>
              <w:wordWrap/>
              <w:overflowPunct/>
              <w:topLinePunct w:val="0"/>
              <w:autoSpaceDE w:val="0"/>
              <w:autoSpaceDN w:val="0"/>
              <w:bidi w:val="0"/>
              <w:adjustRightInd w:val="0"/>
              <w:snapToGrid w:val="0"/>
              <w:spacing w:before="100"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15</w:t>
            </w:r>
          </w:p>
        </w:tc>
        <w:tc>
          <w:tcPr>
            <w:tcW w:w="2305" w:type="pct"/>
            <w:vAlign w:val="top"/>
          </w:tcPr>
          <w:p w14:paraId="40E709AE">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990"/>
              <w:textAlignment w:val="baseline"/>
              <w:rPr>
                <w:rFonts w:hint="eastAsia" w:ascii="宋体" w:hAnsi="宋体" w:eastAsia="宋体" w:cs="宋体"/>
                <w:color w:val="auto"/>
              </w:rPr>
            </w:pPr>
            <w:r>
              <w:rPr>
                <w:rFonts w:hint="eastAsia" w:ascii="宋体" w:hAnsi="宋体" w:eastAsia="宋体" w:cs="宋体"/>
                <w:color w:val="auto"/>
                <w:spacing w:val="-3"/>
              </w:rPr>
              <w:t>热力站墙壁上</w:t>
            </w:r>
          </w:p>
        </w:tc>
        <w:tc>
          <w:tcPr>
            <w:tcW w:w="461" w:type="pct"/>
            <w:vAlign w:val="top"/>
          </w:tcPr>
          <w:p w14:paraId="242BE48B">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22134C65">
            <w:pPr>
              <w:keepNext w:val="0"/>
              <w:keepLines w:val="0"/>
              <w:pageBreakBefore w:val="0"/>
              <w:widowControl/>
              <w:kinsoku w:val="0"/>
              <w:wordWrap/>
              <w:overflowPunct/>
              <w:topLinePunct w:val="0"/>
              <w:autoSpaceDE w:val="0"/>
              <w:autoSpaceDN w:val="0"/>
              <w:bidi w:val="0"/>
              <w:adjustRightInd w:val="0"/>
              <w:snapToGrid w:val="0"/>
              <w:spacing w:before="100" w:line="360" w:lineRule="auto"/>
              <w:ind w:left="2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9" w:type="pct"/>
            <w:vAlign w:val="top"/>
          </w:tcPr>
          <w:p w14:paraId="62F931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bl>
    <w:p w14:paraId="1E9F7656">
      <w:pPr>
        <w:pStyle w:val="1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p>
    <w:p w14:paraId="57FAA667">
      <w:pPr>
        <w:keepNext w:val="0"/>
        <w:keepLines w:val="0"/>
        <w:pageBreakBefore w:val="0"/>
        <w:widowControl/>
        <w:kinsoku w:val="0"/>
        <w:wordWrap/>
        <w:overflowPunct/>
        <w:topLinePunct w:val="0"/>
        <w:autoSpaceDE w:val="0"/>
        <w:autoSpaceDN w:val="0"/>
        <w:bidi w:val="0"/>
        <w:adjustRightInd w:val="0"/>
        <w:snapToGrid w:val="0"/>
        <w:spacing w:before="9" w:line="360" w:lineRule="auto"/>
        <w:textAlignment w:val="baseline"/>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7"/>
        <w:gridCol w:w="4315"/>
        <w:gridCol w:w="863"/>
        <w:gridCol w:w="861"/>
        <w:gridCol w:w="2451"/>
      </w:tblGrid>
      <w:tr w14:paraId="64B9E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3" w:type="pct"/>
            <w:vAlign w:val="top"/>
          </w:tcPr>
          <w:p w14:paraId="0D34F241">
            <w:pPr>
              <w:pStyle w:val="253"/>
              <w:keepNext w:val="0"/>
              <w:keepLines w:val="0"/>
              <w:pageBreakBefore w:val="0"/>
              <w:widowControl/>
              <w:kinsoku w:val="0"/>
              <w:wordWrap/>
              <w:overflowPunct/>
              <w:topLinePunct w:val="0"/>
              <w:autoSpaceDE w:val="0"/>
              <w:autoSpaceDN w:val="0"/>
              <w:bidi w:val="0"/>
              <w:adjustRightInd w:val="0"/>
              <w:snapToGrid w:val="0"/>
              <w:spacing w:before="51" w:line="360" w:lineRule="auto"/>
              <w:ind w:left="109"/>
              <w:textAlignment w:val="baseline"/>
              <w:rPr>
                <w:rFonts w:hint="eastAsia" w:ascii="宋体" w:hAnsi="宋体" w:eastAsia="宋体" w:cs="宋体"/>
                <w:color w:val="auto"/>
              </w:rPr>
            </w:pPr>
            <w:bookmarkStart w:id="673" w:name="bookmark16"/>
            <w:bookmarkEnd w:id="673"/>
            <w:r>
              <w:rPr>
                <w:rFonts w:hint="eastAsia" w:ascii="宋体" w:hAnsi="宋体" w:eastAsia="宋体" w:cs="宋体"/>
                <w:color w:val="auto"/>
                <w:spacing w:val="-5"/>
              </w:rPr>
              <w:t>序号</w:t>
            </w:r>
          </w:p>
        </w:tc>
        <w:tc>
          <w:tcPr>
            <w:tcW w:w="2305" w:type="pct"/>
            <w:vAlign w:val="top"/>
          </w:tcPr>
          <w:p w14:paraId="1CFAFB9B">
            <w:pPr>
              <w:pStyle w:val="253"/>
              <w:keepNext w:val="0"/>
              <w:keepLines w:val="0"/>
              <w:pageBreakBefore w:val="0"/>
              <w:widowControl/>
              <w:kinsoku w:val="0"/>
              <w:wordWrap/>
              <w:overflowPunct/>
              <w:topLinePunct w:val="0"/>
              <w:autoSpaceDE w:val="0"/>
              <w:autoSpaceDN w:val="0"/>
              <w:bidi w:val="0"/>
              <w:adjustRightInd w:val="0"/>
              <w:snapToGrid w:val="0"/>
              <w:spacing w:before="52" w:line="360" w:lineRule="auto"/>
              <w:ind w:left="1227"/>
              <w:textAlignment w:val="baseline"/>
              <w:rPr>
                <w:rFonts w:hint="eastAsia" w:ascii="宋体" w:hAnsi="宋体" w:eastAsia="宋体" w:cs="宋体"/>
                <w:color w:val="auto"/>
              </w:rPr>
            </w:pPr>
            <w:r>
              <w:rPr>
                <w:rFonts w:hint="eastAsia" w:ascii="宋体" w:hAnsi="宋体" w:eastAsia="宋体" w:cs="宋体"/>
                <w:color w:val="auto"/>
                <w:spacing w:val="-3"/>
              </w:rPr>
              <w:t>使用位置</w:t>
            </w:r>
          </w:p>
        </w:tc>
        <w:tc>
          <w:tcPr>
            <w:tcW w:w="461" w:type="pct"/>
            <w:vAlign w:val="top"/>
          </w:tcPr>
          <w:p w14:paraId="16D34B23">
            <w:pPr>
              <w:pStyle w:val="253"/>
              <w:keepNext w:val="0"/>
              <w:keepLines w:val="0"/>
              <w:pageBreakBefore w:val="0"/>
              <w:widowControl/>
              <w:kinsoku w:val="0"/>
              <w:wordWrap/>
              <w:overflowPunct/>
              <w:topLinePunct w:val="0"/>
              <w:autoSpaceDE w:val="0"/>
              <w:autoSpaceDN w:val="0"/>
              <w:bidi w:val="0"/>
              <w:adjustRightInd w:val="0"/>
              <w:snapToGrid w:val="0"/>
              <w:spacing w:before="51" w:line="360" w:lineRule="auto"/>
              <w:ind w:left="110"/>
              <w:textAlignment w:val="baseline"/>
              <w:rPr>
                <w:rFonts w:hint="eastAsia" w:ascii="宋体" w:hAnsi="宋体" w:eastAsia="宋体" w:cs="宋体"/>
                <w:color w:val="auto"/>
              </w:rPr>
            </w:pPr>
            <w:r>
              <w:rPr>
                <w:rFonts w:hint="eastAsia" w:ascii="宋体" w:hAnsi="宋体" w:eastAsia="宋体" w:cs="宋体"/>
                <w:color w:val="auto"/>
                <w:spacing w:val="-6"/>
              </w:rPr>
              <w:t>单位</w:t>
            </w:r>
          </w:p>
        </w:tc>
        <w:tc>
          <w:tcPr>
            <w:tcW w:w="460" w:type="pct"/>
            <w:vAlign w:val="top"/>
          </w:tcPr>
          <w:p w14:paraId="60EE9D35">
            <w:pPr>
              <w:pStyle w:val="253"/>
              <w:keepNext w:val="0"/>
              <w:keepLines w:val="0"/>
              <w:pageBreakBefore w:val="0"/>
              <w:widowControl/>
              <w:kinsoku w:val="0"/>
              <w:wordWrap/>
              <w:overflowPunct/>
              <w:topLinePunct w:val="0"/>
              <w:autoSpaceDE w:val="0"/>
              <w:autoSpaceDN w:val="0"/>
              <w:bidi w:val="0"/>
              <w:adjustRightInd w:val="0"/>
              <w:snapToGrid w:val="0"/>
              <w:spacing w:before="52" w:line="360" w:lineRule="auto"/>
              <w:ind w:left="111"/>
              <w:textAlignment w:val="baseline"/>
              <w:rPr>
                <w:rFonts w:hint="eastAsia" w:ascii="宋体" w:hAnsi="宋体" w:eastAsia="宋体" w:cs="宋体"/>
                <w:color w:val="auto"/>
              </w:rPr>
            </w:pPr>
            <w:r>
              <w:rPr>
                <w:rFonts w:hint="eastAsia" w:ascii="宋体" w:hAnsi="宋体" w:eastAsia="宋体" w:cs="宋体"/>
                <w:color w:val="auto"/>
                <w:spacing w:val="-6"/>
              </w:rPr>
              <w:t>数量</w:t>
            </w:r>
          </w:p>
        </w:tc>
        <w:tc>
          <w:tcPr>
            <w:tcW w:w="1309" w:type="pct"/>
            <w:vAlign w:val="top"/>
          </w:tcPr>
          <w:p w14:paraId="5E2E13F0">
            <w:pPr>
              <w:pStyle w:val="253"/>
              <w:keepNext w:val="0"/>
              <w:keepLines w:val="0"/>
              <w:pageBreakBefore w:val="0"/>
              <w:widowControl/>
              <w:kinsoku w:val="0"/>
              <w:wordWrap/>
              <w:overflowPunct/>
              <w:topLinePunct w:val="0"/>
              <w:autoSpaceDE w:val="0"/>
              <w:autoSpaceDN w:val="0"/>
              <w:bidi w:val="0"/>
              <w:adjustRightInd w:val="0"/>
              <w:snapToGrid w:val="0"/>
              <w:spacing w:before="51" w:line="360" w:lineRule="auto"/>
              <w:ind w:left="735"/>
              <w:textAlignment w:val="baseline"/>
              <w:rPr>
                <w:rFonts w:hint="eastAsia" w:ascii="宋体" w:hAnsi="宋体" w:eastAsia="宋体" w:cs="宋体"/>
                <w:color w:val="auto"/>
              </w:rPr>
            </w:pPr>
            <w:r>
              <w:rPr>
                <w:rFonts w:hint="eastAsia" w:ascii="宋体" w:hAnsi="宋体" w:eastAsia="宋体" w:cs="宋体"/>
                <w:color w:val="auto"/>
                <w:spacing w:val="-7"/>
              </w:rPr>
              <w:t>备注</w:t>
            </w:r>
          </w:p>
        </w:tc>
      </w:tr>
      <w:tr w14:paraId="2394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63" w:type="pct"/>
            <w:vAlign w:val="top"/>
          </w:tcPr>
          <w:p w14:paraId="5DE0B597">
            <w:pPr>
              <w:keepNext w:val="0"/>
              <w:keepLines w:val="0"/>
              <w:pageBreakBefore w:val="0"/>
              <w:widowControl/>
              <w:kinsoku w:val="0"/>
              <w:wordWrap/>
              <w:overflowPunct/>
              <w:topLinePunct w:val="0"/>
              <w:autoSpaceDE w:val="0"/>
              <w:autoSpaceDN w:val="0"/>
              <w:bidi w:val="0"/>
              <w:adjustRightInd w:val="0"/>
              <w:snapToGrid w:val="0"/>
              <w:spacing w:before="95"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16</w:t>
            </w:r>
          </w:p>
        </w:tc>
        <w:tc>
          <w:tcPr>
            <w:tcW w:w="2305" w:type="pct"/>
            <w:vAlign w:val="top"/>
          </w:tcPr>
          <w:p w14:paraId="1A721148">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1465"/>
              <w:textAlignment w:val="baseline"/>
              <w:rPr>
                <w:rFonts w:hint="eastAsia" w:ascii="宋体" w:hAnsi="宋体" w:eastAsia="宋体" w:cs="宋体"/>
                <w:color w:val="auto"/>
              </w:rPr>
            </w:pPr>
            <w:r>
              <w:rPr>
                <w:rFonts w:hint="eastAsia" w:ascii="宋体" w:hAnsi="宋体" w:eastAsia="宋体" w:cs="宋体"/>
                <w:color w:val="auto"/>
                <w:spacing w:val="-5"/>
              </w:rPr>
              <w:t>楼顶</w:t>
            </w:r>
          </w:p>
        </w:tc>
        <w:tc>
          <w:tcPr>
            <w:tcW w:w="461" w:type="pct"/>
            <w:vAlign w:val="top"/>
          </w:tcPr>
          <w:p w14:paraId="14541A20">
            <w:pPr>
              <w:pStyle w:val="253"/>
              <w:keepNext w:val="0"/>
              <w:keepLines w:val="0"/>
              <w:pageBreakBefore w:val="0"/>
              <w:widowControl/>
              <w:kinsoku w:val="0"/>
              <w:wordWrap/>
              <w:overflowPunct/>
              <w:topLinePunct w:val="0"/>
              <w:autoSpaceDE w:val="0"/>
              <w:autoSpaceDN w:val="0"/>
              <w:bidi w:val="0"/>
              <w:adjustRightInd w:val="0"/>
              <w:snapToGrid w:val="0"/>
              <w:spacing w:before="47"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682E2E63">
            <w:pPr>
              <w:keepNext w:val="0"/>
              <w:keepLines w:val="0"/>
              <w:pageBreakBefore w:val="0"/>
              <w:widowControl/>
              <w:kinsoku w:val="0"/>
              <w:wordWrap/>
              <w:overflowPunct/>
              <w:topLinePunct w:val="0"/>
              <w:autoSpaceDE w:val="0"/>
              <w:autoSpaceDN w:val="0"/>
              <w:bidi w:val="0"/>
              <w:adjustRightInd w:val="0"/>
              <w:snapToGrid w:val="0"/>
              <w:spacing w:before="95" w:line="360" w:lineRule="auto"/>
              <w:ind w:left="247"/>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10</w:t>
            </w:r>
          </w:p>
        </w:tc>
        <w:tc>
          <w:tcPr>
            <w:tcW w:w="1309" w:type="pct"/>
            <w:vAlign w:val="top"/>
          </w:tcPr>
          <w:p w14:paraId="60BAE7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r w14:paraId="040B4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3" w:type="pct"/>
            <w:vAlign w:val="top"/>
          </w:tcPr>
          <w:p w14:paraId="6CFA411F">
            <w:pPr>
              <w:keepNext w:val="0"/>
              <w:keepLines w:val="0"/>
              <w:pageBreakBefore w:val="0"/>
              <w:widowControl/>
              <w:kinsoku w:val="0"/>
              <w:wordWrap/>
              <w:overflowPunct/>
              <w:topLinePunct w:val="0"/>
              <w:autoSpaceDE w:val="0"/>
              <w:autoSpaceDN w:val="0"/>
              <w:bidi w:val="0"/>
              <w:adjustRightInd w:val="0"/>
              <w:snapToGrid w:val="0"/>
              <w:spacing w:before="97" w:line="360" w:lineRule="auto"/>
              <w:ind w:left="248"/>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17</w:t>
            </w:r>
          </w:p>
        </w:tc>
        <w:tc>
          <w:tcPr>
            <w:tcW w:w="2305" w:type="pct"/>
            <w:vAlign w:val="top"/>
          </w:tcPr>
          <w:p w14:paraId="6E2378DB">
            <w:pPr>
              <w:pStyle w:val="253"/>
              <w:keepNext w:val="0"/>
              <w:keepLines w:val="0"/>
              <w:pageBreakBefore w:val="0"/>
              <w:widowControl/>
              <w:kinsoku w:val="0"/>
              <w:wordWrap/>
              <w:overflowPunct/>
              <w:topLinePunct w:val="0"/>
              <w:autoSpaceDE w:val="0"/>
              <w:autoSpaceDN w:val="0"/>
              <w:bidi w:val="0"/>
              <w:adjustRightInd w:val="0"/>
              <w:snapToGrid w:val="0"/>
              <w:spacing w:before="48" w:line="360" w:lineRule="auto"/>
              <w:ind w:left="1348"/>
              <w:textAlignment w:val="baseline"/>
              <w:rPr>
                <w:rFonts w:hint="eastAsia" w:ascii="宋体" w:hAnsi="宋体" w:eastAsia="宋体" w:cs="宋体"/>
                <w:color w:val="auto"/>
              </w:rPr>
            </w:pPr>
            <w:r>
              <w:rPr>
                <w:rFonts w:hint="eastAsia" w:ascii="宋体" w:hAnsi="宋体" w:eastAsia="宋体" w:cs="宋体"/>
                <w:color w:val="auto"/>
                <w:spacing w:val="-4"/>
              </w:rPr>
              <w:t>主席台</w:t>
            </w:r>
          </w:p>
        </w:tc>
        <w:tc>
          <w:tcPr>
            <w:tcW w:w="461" w:type="pct"/>
            <w:vAlign w:val="top"/>
          </w:tcPr>
          <w:p w14:paraId="7738746B">
            <w:pPr>
              <w:pStyle w:val="253"/>
              <w:keepNext w:val="0"/>
              <w:keepLines w:val="0"/>
              <w:pageBreakBefore w:val="0"/>
              <w:widowControl/>
              <w:kinsoku w:val="0"/>
              <w:wordWrap/>
              <w:overflowPunct/>
              <w:topLinePunct w:val="0"/>
              <w:autoSpaceDE w:val="0"/>
              <w:autoSpaceDN w:val="0"/>
              <w:bidi w:val="0"/>
              <w:adjustRightInd w:val="0"/>
              <w:snapToGrid w:val="0"/>
              <w:spacing w:before="49" w:line="360" w:lineRule="auto"/>
              <w:ind w:left="228"/>
              <w:textAlignment w:val="baseline"/>
              <w:rPr>
                <w:rFonts w:hint="eastAsia" w:ascii="宋体" w:hAnsi="宋体" w:eastAsia="宋体" w:cs="宋体"/>
                <w:color w:val="auto"/>
              </w:rPr>
            </w:pPr>
            <w:r>
              <w:rPr>
                <w:rFonts w:hint="eastAsia" w:ascii="宋体" w:hAnsi="宋体" w:eastAsia="宋体" w:cs="宋体"/>
                <w:color w:val="auto"/>
              </w:rPr>
              <w:t>个</w:t>
            </w:r>
          </w:p>
        </w:tc>
        <w:tc>
          <w:tcPr>
            <w:tcW w:w="460" w:type="pct"/>
            <w:vAlign w:val="top"/>
          </w:tcPr>
          <w:p w14:paraId="347A36A9">
            <w:pPr>
              <w:keepNext w:val="0"/>
              <w:keepLines w:val="0"/>
              <w:pageBreakBefore w:val="0"/>
              <w:widowControl/>
              <w:kinsoku w:val="0"/>
              <w:wordWrap/>
              <w:overflowPunct/>
              <w:topLinePunct w:val="0"/>
              <w:autoSpaceDE w:val="0"/>
              <w:autoSpaceDN w:val="0"/>
              <w:bidi w:val="0"/>
              <w:adjustRightInd w:val="0"/>
              <w:snapToGrid w:val="0"/>
              <w:spacing w:before="97" w:line="360" w:lineRule="auto"/>
              <w:ind w:left="2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9" w:type="pct"/>
            <w:vAlign w:val="top"/>
          </w:tcPr>
          <w:p w14:paraId="5B13ED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rPr>
            </w:pPr>
          </w:p>
        </w:tc>
      </w:tr>
    </w:tbl>
    <w:p w14:paraId="72E241E5">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3.空调设备统计表</w:t>
      </w:r>
    </w:p>
    <w:p w14:paraId="7612B64B">
      <w:pPr>
        <w:keepNext w:val="0"/>
        <w:keepLines w:val="0"/>
        <w:pageBreakBefore w:val="0"/>
        <w:widowControl/>
        <w:kinsoku w:val="0"/>
        <w:wordWrap/>
        <w:overflowPunct/>
        <w:topLinePunct w:val="0"/>
        <w:autoSpaceDE w:val="0"/>
        <w:autoSpaceDN w:val="0"/>
        <w:bidi w:val="0"/>
        <w:adjustRightInd w:val="0"/>
        <w:snapToGrid w:val="0"/>
        <w:spacing w:before="23" w:line="360" w:lineRule="auto"/>
        <w:textAlignment w:val="baseline"/>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3"/>
        <w:gridCol w:w="2158"/>
        <w:gridCol w:w="4602"/>
        <w:gridCol w:w="862"/>
        <w:gridCol w:w="867"/>
      </w:tblGrid>
      <w:tr w14:paraId="26D8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466" w:type="pct"/>
            <w:tcBorders>
              <w:top w:val="single" w:color="000000" w:sz="6" w:space="0"/>
              <w:left w:val="single" w:color="000000" w:sz="6" w:space="0"/>
            </w:tcBorders>
            <w:vAlign w:val="top"/>
          </w:tcPr>
          <w:p w14:paraId="534E28BA">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52"/>
              <w:textAlignment w:val="baseline"/>
              <w:rPr>
                <w:rFonts w:hint="eastAsia" w:ascii="宋体" w:hAnsi="宋体" w:eastAsia="宋体" w:cs="宋体"/>
                <w:color w:val="auto"/>
              </w:rPr>
            </w:pPr>
            <w:r>
              <w:rPr>
                <w:rFonts w:hint="eastAsia" w:ascii="宋体" w:hAnsi="宋体" w:eastAsia="宋体" w:cs="宋体"/>
                <w:color w:val="auto"/>
                <w:spacing w:val="-5"/>
              </w:rPr>
              <w:t>序号</w:t>
            </w:r>
          </w:p>
        </w:tc>
        <w:tc>
          <w:tcPr>
            <w:tcW w:w="1152" w:type="pct"/>
            <w:tcBorders>
              <w:top w:val="single" w:color="000000" w:sz="6" w:space="0"/>
            </w:tcBorders>
            <w:vAlign w:val="top"/>
          </w:tcPr>
          <w:p w14:paraId="215C6433">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319"/>
              <w:textAlignment w:val="baseline"/>
              <w:rPr>
                <w:rFonts w:hint="eastAsia" w:ascii="宋体" w:hAnsi="宋体" w:eastAsia="宋体" w:cs="宋体"/>
                <w:color w:val="auto"/>
              </w:rPr>
            </w:pPr>
            <w:r>
              <w:rPr>
                <w:rFonts w:hint="eastAsia" w:ascii="宋体" w:hAnsi="宋体" w:eastAsia="宋体" w:cs="宋体"/>
                <w:color w:val="auto"/>
                <w:spacing w:val="-3"/>
              </w:rPr>
              <w:t>使用部位</w:t>
            </w:r>
          </w:p>
        </w:tc>
        <w:tc>
          <w:tcPr>
            <w:tcW w:w="2457" w:type="pct"/>
            <w:tcBorders>
              <w:top w:val="single" w:color="000000" w:sz="6" w:space="0"/>
            </w:tcBorders>
            <w:vAlign w:val="top"/>
          </w:tcPr>
          <w:p w14:paraId="68B1B67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528"/>
              <w:textAlignment w:val="baseline"/>
              <w:rPr>
                <w:rFonts w:hint="eastAsia" w:ascii="宋体" w:hAnsi="宋体" w:eastAsia="宋体" w:cs="宋体"/>
                <w:color w:val="auto"/>
              </w:rPr>
            </w:pPr>
            <w:r>
              <w:rPr>
                <w:rFonts w:hint="eastAsia" w:ascii="宋体" w:hAnsi="宋体" w:eastAsia="宋体" w:cs="宋体"/>
                <w:color w:val="auto"/>
                <w:spacing w:val="-7"/>
              </w:rPr>
              <w:t>名称</w:t>
            </w:r>
          </w:p>
        </w:tc>
        <w:tc>
          <w:tcPr>
            <w:tcW w:w="460" w:type="pct"/>
            <w:tcBorders>
              <w:top w:val="single" w:color="000000" w:sz="6" w:space="0"/>
            </w:tcBorders>
            <w:vAlign w:val="top"/>
          </w:tcPr>
          <w:p w14:paraId="5889FA76">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56"/>
              <w:textAlignment w:val="baseline"/>
              <w:rPr>
                <w:rFonts w:hint="eastAsia" w:ascii="宋体" w:hAnsi="宋体" w:eastAsia="宋体" w:cs="宋体"/>
                <w:color w:val="auto"/>
              </w:rPr>
            </w:pPr>
            <w:r>
              <w:rPr>
                <w:rFonts w:hint="eastAsia" w:ascii="宋体" w:hAnsi="宋体" w:eastAsia="宋体" w:cs="宋体"/>
                <w:color w:val="auto"/>
                <w:spacing w:val="-6"/>
              </w:rPr>
              <w:t>单位</w:t>
            </w:r>
          </w:p>
        </w:tc>
        <w:tc>
          <w:tcPr>
            <w:tcW w:w="463" w:type="pct"/>
            <w:tcBorders>
              <w:top w:val="single" w:color="000000" w:sz="6" w:space="0"/>
            </w:tcBorders>
            <w:vAlign w:val="top"/>
          </w:tcPr>
          <w:p w14:paraId="1DEFCD6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56"/>
              <w:textAlignment w:val="baseline"/>
              <w:rPr>
                <w:rFonts w:hint="eastAsia" w:ascii="宋体" w:hAnsi="宋体" w:eastAsia="宋体" w:cs="宋体"/>
                <w:color w:val="auto"/>
              </w:rPr>
            </w:pPr>
            <w:r>
              <w:rPr>
                <w:rFonts w:hint="eastAsia" w:ascii="宋体" w:hAnsi="宋体" w:eastAsia="宋体" w:cs="宋体"/>
                <w:color w:val="auto"/>
                <w:spacing w:val="-6"/>
              </w:rPr>
              <w:t>数量</w:t>
            </w:r>
          </w:p>
        </w:tc>
      </w:tr>
      <w:tr w14:paraId="1929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66" w:type="pct"/>
            <w:tcBorders>
              <w:left w:val="single" w:color="000000" w:sz="6" w:space="0"/>
            </w:tcBorders>
            <w:vAlign w:val="top"/>
          </w:tcPr>
          <w:p w14:paraId="519DE83C">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52" w:type="pct"/>
            <w:vAlign w:val="top"/>
          </w:tcPr>
          <w:p w14:paraId="7BA10BA2">
            <w:pPr>
              <w:pStyle w:val="253"/>
              <w:keepNext w:val="0"/>
              <w:keepLines w:val="0"/>
              <w:pageBreakBefore w:val="0"/>
              <w:widowControl/>
              <w:kinsoku w:val="0"/>
              <w:wordWrap/>
              <w:overflowPunct/>
              <w:topLinePunct w:val="0"/>
              <w:autoSpaceDE w:val="0"/>
              <w:autoSpaceDN w:val="0"/>
              <w:bidi w:val="0"/>
              <w:adjustRightInd w:val="0"/>
              <w:snapToGrid w:val="0"/>
              <w:spacing w:before="37" w:line="360" w:lineRule="auto"/>
              <w:ind w:left="271"/>
              <w:textAlignment w:val="baseline"/>
              <w:rPr>
                <w:rFonts w:hint="eastAsia" w:ascii="宋体" w:hAnsi="宋体" w:eastAsia="宋体" w:cs="宋体"/>
                <w:color w:val="auto"/>
              </w:rPr>
            </w:pPr>
            <w:r>
              <w:rPr>
                <w:rFonts w:hint="eastAsia" w:ascii="宋体" w:hAnsi="宋体" w:eastAsia="宋体" w:cs="宋体"/>
                <w:color w:val="auto"/>
                <w:spacing w:val="-4"/>
              </w:rPr>
              <w:t>行政楼</w:t>
            </w:r>
            <w:r>
              <w:rPr>
                <w:rFonts w:hint="eastAsia" w:ascii="宋体" w:hAnsi="宋体" w:eastAsia="宋体" w:cs="宋体"/>
                <w:color w:val="auto"/>
                <w:spacing w:val="-55"/>
              </w:rPr>
              <w:t xml:space="preserve"> </w:t>
            </w:r>
            <w:r>
              <w:rPr>
                <w:rFonts w:hint="eastAsia" w:ascii="宋体" w:hAnsi="宋体" w:eastAsia="宋体" w:cs="宋体"/>
                <w:color w:val="auto"/>
                <w:spacing w:val="-4"/>
              </w:rPr>
              <w:t>B2</w:t>
            </w:r>
          </w:p>
        </w:tc>
        <w:tc>
          <w:tcPr>
            <w:tcW w:w="2457" w:type="pct"/>
            <w:vAlign w:val="top"/>
          </w:tcPr>
          <w:p w14:paraId="424199B7">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1068"/>
              <w:textAlignment w:val="baseline"/>
              <w:rPr>
                <w:rFonts w:hint="eastAsia" w:ascii="宋体" w:hAnsi="宋体" w:eastAsia="宋体" w:cs="宋体"/>
                <w:color w:val="auto"/>
              </w:rPr>
            </w:pPr>
            <w:r>
              <w:rPr>
                <w:rFonts w:hint="eastAsia" w:ascii="宋体" w:hAnsi="宋体" w:eastAsia="宋体" w:cs="宋体"/>
                <w:color w:val="auto"/>
                <w:spacing w:val="-6"/>
              </w:rPr>
              <w:t>中央空调机组</w:t>
            </w:r>
          </w:p>
        </w:tc>
        <w:tc>
          <w:tcPr>
            <w:tcW w:w="460" w:type="pct"/>
            <w:vAlign w:val="top"/>
          </w:tcPr>
          <w:p w14:paraId="0E098BA2">
            <w:pPr>
              <w:pStyle w:val="253"/>
              <w:keepNext w:val="0"/>
              <w:keepLines w:val="0"/>
              <w:pageBreakBefore w:val="0"/>
              <w:widowControl/>
              <w:kinsoku w:val="0"/>
              <w:wordWrap/>
              <w:overflowPunct/>
              <w:topLinePunct w:val="0"/>
              <w:autoSpaceDE w:val="0"/>
              <w:autoSpaceDN w:val="0"/>
              <w:bidi w:val="0"/>
              <w:adjustRightInd w:val="0"/>
              <w:snapToGrid w:val="0"/>
              <w:spacing w:before="37" w:line="360" w:lineRule="auto"/>
              <w:ind w:left="193"/>
              <w:textAlignment w:val="baseline"/>
              <w:rPr>
                <w:rFonts w:hint="eastAsia" w:ascii="宋体" w:hAnsi="宋体" w:eastAsia="宋体" w:cs="宋体"/>
                <w:color w:val="auto"/>
              </w:rPr>
            </w:pPr>
            <w:r>
              <w:rPr>
                <w:rFonts w:hint="eastAsia" w:ascii="宋体" w:hAnsi="宋体" w:eastAsia="宋体" w:cs="宋体"/>
                <w:color w:val="auto"/>
              </w:rPr>
              <w:t>台</w:t>
            </w:r>
          </w:p>
        </w:tc>
        <w:tc>
          <w:tcPr>
            <w:tcW w:w="463" w:type="pct"/>
            <w:vAlign w:val="top"/>
          </w:tcPr>
          <w:p w14:paraId="6BC7790C">
            <w:pPr>
              <w:keepNext w:val="0"/>
              <w:keepLines w:val="0"/>
              <w:pageBreakBefore w:val="0"/>
              <w:widowControl/>
              <w:kinsoku w:val="0"/>
              <w:wordWrap/>
              <w:overflowPunct/>
              <w:topLinePunct w:val="0"/>
              <w:autoSpaceDE w:val="0"/>
              <w:autoSpaceDN w:val="0"/>
              <w:bidi w:val="0"/>
              <w:adjustRightInd w:val="0"/>
              <w:snapToGrid w:val="0"/>
              <w:spacing w:before="88" w:line="360" w:lineRule="auto"/>
              <w:ind w:left="23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1A999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66" w:type="pct"/>
            <w:tcBorders>
              <w:left w:val="single" w:color="000000" w:sz="6" w:space="0"/>
            </w:tcBorders>
            <w:vAlign w:val="top"/>
          </w:tcPr>
          <w:p w14:paraId="79A4EA3A">
            <w:pPr>
              <w:keepNext w:val="0"/>
              <w:keepLines w:val="0"/>
              <w:pageBreakBefore w:val="0"/>
              <w:widowControl/>
              <w:kinsoku w:val="0"/>
              <w:wordWrap/>
              <w:overflowPunct/>
              <w:topLinePunct w:val="0"/>
              <w:autoSpaceDE w:val="0"/>
              <w:autoSpaceDN w:val="0"/>
              <w:bidi w:val="0"/>
              <w:adjustRightInd w:val="0"/>
              <w:snapToGrid w:val="0"/>
              <w:spacing w:before="88" w:line="360" w:lineRule="auto"/>
              <w:ind w:left="22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52" w:type="pct"/>
            <w:vAlign w:val="top"/>
          </w:tcPr>
          <w:p w14:paraId="000FB4B0">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325"/>
              <w:textAlignment w:val="baseline"/>
              <w:rPr>
                <w:rFonts w:hint="eastAsia" w:ascii="宋体" w:hAnsi="宋体" w:eastAsia="宋体" w:cs="宋体"/>
                <w:color w:val="auto"/>
              </w:rPr>
            </w:pPr>
            <w:r>
              <w:rPr>
                <w:rFonts w:hint="eastAsia" w:ascii="宋体" w:hAnsi="宋体" w:eastAsia="宋体" w:cs="宋体"/>
                <w:color w:val="auto"/>
                <w:spacing w:val="-4"/>
              </w:rPr>
              <w:t>小报告厅</w:t>
            </w:r>
          </w:p>
        </w:tc>
        <w:tc>
          <w:tcPr>
            <w:tcW w:w="2457" w:type="pct"/>
            <w:vAlign w:val="top"/>
          </w:tcPr>
          <w:p w14:paraId="723730BF">
            <w:pPr>
              <w:pStyle w:val="253"/>
              <w:keepNext w:val="0"/>
              <w:keepLines w:val="0"/>
              <w:pageBreakBefore w:val="0"/>
              <w:widowControl/>
              <w:kinsoku w:val="0"/>
              <w:wordWrap/>
              <w:overflowPunct/>
              <w:topLinePunct w:val="0"/>
              <w:autoSpaceDE w:val="0"/>
              <w:autoSpaceDN w:val="0"/>
              <w:bidi w:val="0"/>
              <w:adjustRightInd w:val="0"/>
              <w:snapToGrid w:val="0"/>
              <w:spacing w:before="38" w:line="360" w:lineRule="auto"/>
              <w:ind w:left="1068"/>
              <w:textAlignment w:val="baseline"/>
              <w:rPr>
                <w:rFonts w:hint="eastAsia" w:ascii="宋体" w:hAnsi="宋体" w:eastAsia="宋体" w:cs="宋体"/>
                <w:color w:val="auto"/>
              </w:rPr>
            </w:pPr>
            <w:r>
              <w:rPr>
                <w:rFonts w:hint="eastAsia" w:ascii="宋体" w:hAnsi="宋体" w:eastAsia="宋体" w:cs="宋体"/>
                <w:color w:val="auto"/>
                <w:spacing w:val="-6"/>
              </w:rPr>
              <w:t>中央空调机组</w:t>
            </w:r>
          </w:p>
        </w:tc>
        <w:tc>
          <w:tcPr>
            <w:tcW w:w="460" w:type="pct"/>
            <w:vAlign w:val="top"/>
          </w:tcPr>
          <w:p w14:paraId="1D47F74E">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193"/>
              <w:textAlignment w:val="baseline"/>
              <w:rPr>
                <w:rFonts w:hint="eastAsia" w:ascii="宋体" w:hAnsi="宋体" w:eastAsia="宋体" w:cs="宋体"/>
                <w:color w:val="auto"/>
              </w:rPr>
            </w:pPr>
            <w:r>
              <w:rPr>
                <w:rFonts w:hint="eastAsia" w:ascii="宋体" w:hAnsi="宋体" w:eastAsia="宋体" w:cs="宋体"/>
                <w:color w:val="auto"/>
              </w:rPr>
              <w:t>台</w:t>
            </w:r>
          </w:p>
        </w:tc>
        <w:tc>
          <w:tcPr>
            <w:tcW w:w="463" w:type="pct"/>
            <w:vAlign w:val="top"/>
          </w:tcPr>
          <w:p w14:paraId="6E788622">
            <w:pPr>
              <w:keepNext w:val="0"/>
              <w:keepLines w:val="0"/>
              <w:pageBreakBefore w:val="0"/>
              <w:widowControl/>
              <w:kinsoku w:val="0"/>
              <w:wordWrap/>
              <w:overflowPunct/>
              <w:topLinePunct w:val="0"/>
              <w:autoSpaceDE w:val="0"/>
              <w:autoSpaceDN w:val="0"/>
              <w:bidi w:val="0"/>
              <w:adjustRightInd w:val="0"/>
              <w:snapToGrid w:val="0"/>
              <w:spacing w:before="88" w:line="360" w:lineRule="auto"/>
              <w:ind w:left="253"/>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7DBFEFF2">
      <w:pPr>
        <w:keepNext w:val="0"/>
        <w:keepLines w:val="0"/>
        <w:pageBreakBefore w:val="0"/>
        <w:widowControl/>
        <w:kinsoku w:val="0"/>
        <w:wordWrap/>
        <w:overflowPunct/>
        <w:topLinePunct w:val="0"/>
        <w:autoSpaceDE w:val="0"/>
        <w:autoSpaceDN w:val="0"/>
        <w:bidi w:val="0"/>
        <w:adjustRightInd w:val="0"/>
        <w:snapToGrid w:val="0"/>
        <w:spacing w:before="156" w:line="360" w:lineRule="auto"/>
        <w:ind w:left="6"/>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4.热力站设备统计表</w:t>
      </w:r>
    </w:p>
    <w:p w14:paraId="6812FC32">
      <w:pPr>
        <w:keepNext w:val="0"/>
        <w:keepLines w:val="0"/>
        <w:pageBreakBefore w:val="0"/>
        <w:widowControl/>
        <w:kinsoku w:val="0"/>
        <w:wordWrap/>
        <w:overflowPunct/>
        <w:topLinePunct w:val="0"/>
        <w:autoSpaceDE w:val="0"/>
        <w:autoSpaceDN w:val="0"/>
        <w:bidi w:val="0"/>
        <w:adjustRightInd w:val="0"/>
        <w:snapToGrid w:val="0"/>
        <w:spacing w:before="24" w:line="360" w:lineRule="auto"/>
        <w:textAlignment w:val="baseline"/>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72"/>
        <w:gridCol w:w="4295"/>
        <w:gridCol w:w="1145"/>
        <w:gridCol w:w="1150"/>
      </w:tblGrid>
      <w:tr w14:paraId="2CE7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1480" w:type="pct"/>
            <w:tcBorders>
              <w:top w:val="single" w:color="000000" w:sz="6" w:space="0"/>
              <w:left w:val="single" w:color="000000" w:sz="6" w:space="0"/>
            </w:tcBorders>
            <w:vAlign w:val="top"/>
          </w:tcPr>
          <w:p w14:paraId="5E51A7D7">
            <w:pPr>
              <w:pStyle w:val="253"/>
              <w:keepNext w:val="0"/>
              <w:keepLines w:val="0"/>
              <w:pageBreakBefore w:val="0"/>
              <w:widowControl/>
              <w:kinsoku w:val="0"/>
              <w:wordWrap/>
              <w:overflowPunct/>
              <w:topLinePunct w:val="0"/>
              <w:autoSpaceDE w:val="0"/>
              <w:autoSpaceDN w:val="0"/>
              <w:bidi w:val="0"/>
              <w:adjustRightInd w:val="0"/>
              <w:snapToGrid w:val="0"/>
              <w:spacing w:before="40" w:line="360" w:lineRule="auto"/>
              <w:ind w:left="805"/>
              <w:textAlignment w:val="baseline"/>
              <w:rPr>
                <w:rFonts w:hint="eastAsia" w:ascii="宋体" w:hAnsi="宋体" w:eastAsia="宋体" w:cs="宋体"/>
                <w:color w:val="auto"/>
              </w:rPr>
            </w:pPr>
            <w:r>
              <w:rPr>
                <w:rFonts w:hint="eastAsia" w:ascii="宋体" w:hAnsi="宋体" w:eastAsia="宋体" w:cs="宋体"/>
                <w:color w:val="auto"/>
                <w:spacing w:val="-5"/>
              </w:rPr>
              <w:t>序号</w:t>
            </w:r>
          </w:p>
        </w:tc>
        <w:tc>
          <w:tcPr>
            <w:tcW w:w="2293" w:type="pct"/>
            <w:tcBorders>
              <w:top w:val="single" w:color="000000" w:sz="6" w:space="0"/>
            </w:tcBorders>
            <w:vAlign w:val="top"/>
          </w:tcPr>
          <w:p w14:paraId="773D40CC">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412"/>
              <w:textAlignment w:val="baseline"/>
              <w:rPr>
                <w:rFonts w:hint="eastAsia" w:ascii="宋体" w:hAnsi="宋体" w:eastAsia="宋体" w:cs="宋体"/>
                <w:color w:val="auto"/>
              </w:rPr>
            </w:pPr>
            <w:r>
              <w:rPr>
                <w:rFonts w:hint="eastAsia" w:ascii="宋体" w:hAnsi="宋体" w:eastAsia="宋体" w:cs="宋体"/>
                <w:color w:val="auto"/>
                <w:spacing w:val="-7"/>
              </w:rPr>
              <w:t>名称</w:t>
            </w:r>
          </w:p>
        </w:tc>
        <w:tc>
          <w:tcPr>
            <w:tcW w:w="611" w:type="pct"/>
            <w:tcBorders>
              <w:top w:val="single" w:color="000000" w:sz="6" w:space="0"/>
            </w:tcBorders>
            <w:vAlign w:val="top"/>
          </w:tcPr>
          <w:p w14:paraId="24626556">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69"/>
              <w:textAlignment w:val="baseline"/>
              <w:rPr>
                <w:rFonts w:hint="eastAsia" w:ascii="宋体" w:hAnsi="宋体" w:eastAsia="宋体" w:cs="宋体"/>
                <w:color w:val="auto"/>
              </w:rPr>
            </w:pPr>
            <w:r>
              <w:rPr>
                <w:rFonts w:hint="eastAsia" w:ascii="宋体" w:hAnsi="宋体" w:eastAsia="宋体" w:cs="宋体"/>
                <w:color w:val="auto"/>
                <w:spacing w:val="-6"/>
              </w:rPr>
              <w:t>单位</w:t>
            </w:r>
          </w:p>
        </w:tc>
        <w:tc>
          <w:tcPr>
            <w:tcW w:w="614" w:type="pct"/>
            <w:tcBorders>
              <w:top w:val="single" w:color="000000" w:sz="6" w:space="0"/>
            </w:tcBorders>
            <w:vAlign w:val="top"/>
          </w:tcPr>
          <w:p w14:paraId="720CA932">
            <w:pPr>
              <w:pStyle w:val="253"/>
              <w:keepNext w:val="0"/>
              <w:keepLines w:val="0"/>
              <w:pageBreakBefore w:val="0"/>
              <w:widowControl/>
              <w:kinsoku w:val="0"/>
              <w:wordWrap/>
              <w:overflowPunct/>
              <w:topLinePunct w:val="0"/>
              <w:autoSpaceDE w:val="0"/>
              <w:autoSpaceDN w:val="0"/>
              <w:bidi w:val="0"/>
              <w:adjustRightInd w:val="0"/>
              <w:snapToGrid w:val="0"/>
              <w:spacing w:before="41" w:line="360" w:lineRule="auto"/>
              <w:ind w:left="170"/>
              <w:textAlignment w:val="baseline"/>
              <w:rPr>
                <w:rFonts w:hint="eastAsia" w:ascii="宋体" w:hAnsi="宋体" w:eastAsia="宋体" w:cs="宋体"/>
                <w:color w:val="auto"/>
              </w:rPr>
            </w:pPr>
            <w:r>
              <w:rPr>
                <w:rFonts w:hint="eastAsia" w:ascii="宋体" w:hAnsi="宋体" w:eastAsia="宋体" w:cs="宋体"/>
                <w:color w:val="auto"/>
                <w:spacing w:val="-6"/>
              </w:rPr>
              <w:t>数量</w:t>
            </w:r>
          </w:p>
        </w:tc>
      </w:tr>
      <w:tr w14:paraId="78A3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80" w:type="pct"/>
            <w:tcBorders>
              <w:left w:val="single" w:color="000000" w:sz="6" w:space="0"/>
            </w:tcBorders>
            <w:vAlign w:val="top"/>
          </w:tcPr>
          <w:p w14:paraId="26E46DD3">
            <w:pPr>
              <w:keepNext w:val="0"/>
              <w:keepLines w:val="0"/>
              <w:pageBreakBefore w:val="0"/>
              <w:widowControl/>
              <w:kinsoku w:val="0"/>
              <w:wordWrap/>
              <w:overflowPunct/>
              <w:topLinePunct w:val="0"/>
              <w:autoSpaceDE w:val="0"/>
              <w:autoSpaceDN w:val="0"/>
              <w:bidi w:val="0"/>
              <w:adjustRightInd w:val="0"/>
              <w:snapToGrid w:val="0"/>
              <w:spacing w:before="85" w:line="360" w:lineRule="auto"/>
              <w:ind w:left="100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93" w:type="pct"/>
            <w:vAlign w:val="top"/>
          </w:tcPr>
          <w:p w14:paraId="57927B02">
            <w:pPr>
              <w:pStyle w:val="253"/>
              <w:keepNext w:val="0"/>
              <w:keepLines w:val="0"/>
              <w:pageBreakBefore w:val="0"/>
              <w:widowControl/>
              <w:kinsoku w:val="0"/>
              <w:wordWrap/>
              <w:overflowPunct/>
              <w:topLinePunct w:val="0"/>
              <w:autoSpaceDE w:val="0"/>
              <w:autoSpaceDN w:val="0"/>
              <w:bidi w:val="0"/>
              <w:adjustRightInd w:val="0"/>
              <w:snapToGrid w:val="0"/>
              <w:spacing w:before="35" w:line="360" w:lineRule="auto"/>
              <w:ind w:left="1054"/>
              <w:textAlignment w:val="baseline"/>
              <w:rPr>
                <w:rFonts w:hint="eastAsia" w:ascii="宋体" w:hAnsi="宋体" w:eastAsia="宋体" w:cs="宋体"/>
                <w:color w:val="auto"/>
              </w:rPr>
            </w:pPr>
            <w:r>
              <w:rPr>
                <w:rFonts w:hint="eastAsia" w:ascii="宋体" w:hAnsi="宋体" w:eastAsia="宋体" w:cs="宋体"/>
                <w:color w:val="auto"/>
                <w:spacing w:val="-3"/>
              </w:rPr>
              <w:t>热转换机组</w:t>
            </w:r>
          </w:p>
        </w:tc>
        <w:tc>
          <w:tcPr>
            <w:tcW w:w="611" w:type="pct"/>
            <w:vAlign w:val="top"/>
          </w:tcPr>
          <w:p w14:paraId="71C4E00D">
            <w:pPr>
              <w:pStyle w:val="253"/>
              <w:keepNext w:val="0"/>
              <w:keepLines w:val="0"/>
              <w:pageBreakBefore w:val="0"/>
              <w:widowControl/>
              <w:kinsoku w:val="0"/>
              <w:wordWrap/>
              <w:overflowPunct/>
              <w:topLinePunct w:val="0"/>
              <w:autoSpaceDE w:val="0"/>
              <w:autoSpaceDN w:val="0"/>
              <w:bidi w:val="0"/>
              <w:adjustRightInd w:val="0"/>
              <w:snapToGrid w:val="0"/>
              <w:spacing w:before="36" w:line="360" w:lineRule="auto"/>
              <w:ind w:left="290"/>
              <w:textAlignment w:val="baseline"/>
              <w:rPr>
                <w:rFonts w:hint="eastAsia" w:ascii="宋体" w:hAnsi="宋体" w:eastAsia="宋体" w:cs="宋体"/>
                <w:color w:val="auto"/>
              </w:rPr>
            </w:pPr>
            <w:r>
              <w:rPr>
                <w:rFonts w:hint="eastAsia" w:ascii="宋体" w:hAnsi="宋体" w:eastAsia="宋体" w:cs="宋体"/>
                <w:color w:val="auto"/>
              </w:rPr>
              <w:t>组</w:t>
            </w:r>
          </w:p>
        </w:tc>
        <w:tc>
          <w:tcPr>
            <w:tcW w:w="614" w:type="pct"/>
            <w:vAlign w:val="top"/>
          </w:tcPr>
          <w:p w14:paraId="47987DF3">
            <w:pPr>
              <w:keepNext w:val="0"/>
              <w:keepLines w:val="0"/>
              <w:pageBreakBefore w:val="0"/>
              <w:widowControl/>
              <w:kinsoku w:val="0"/>
              <w:wordWrap/>
              <w:overflowPunct/>
              <w:topLinePunct w:val="0"/>
              <w:autoSpaceDE w:val="0"/>
              <w:autoSpaceDN w:val="0"/>
              <w:bidi w:val="0"/>
              <w:adjustRightInd w:val="0"/>
              <w:snapToGrid w:val="0"/>
              <w:spacing w:before="85" w:line="360" w:lineRule="auto"/>
              <w:ind w:left="34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14:paraId="0B55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80" w:type="pct"/>
            <w:tcBorders>
              <w:left w:val="single" w:color="000000" w:sz="6" w:space="0"/>
            </w:tcBorders>
            <w:vAlign w:val="top"/>
          </w:tcPr>
          <w:p w14:paraId="4173C568">
            <w:pPr>
              <w:keepNext w:val="0"/>
              <w:keepLines w:val="0"/>
              <w:pageBreakBefore w:val="0"/>
              <w:widowControl/>
              <w:kinsoku w:val="0"/>
              <w:wordWrap/>
              <w:overflowPunct/>
              <w:topLinePunct w:val="0"/>
              <w:autoSpaceDE w:val="0"/>
              <w:autoSpaceDN w:val="0"/>
              <w:bidi w:val="0"/>
              <w:adjustRightInd w:val="0"/>
              <w:snapToGrid w:val="0"/>
              <w:spacing w:before="88" w:line="360" w:lineRule="auto"/>
              <w:ind w:left="98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93" w:type="pct"/>
            <w:vAlign w:val="top"/>
          </w:tcPr>
          <w:p w14:paraId="2A5E9096">
            <w:pPr>
              <w:pStyle w:val="253"/>
              <w:keepNext w:val="0"/>
              <w:keepLines w:val="0"/>
              <w:pageBreakBefore w:val="0"/>
              <w:widowControl/>
              <w:kinsoku w:val="0"/>
              <w:wordWrap/>
              <w:overflowPunct/>
              <w:topLinePunct w:val="0"/>
              <w:autoSpaceDE w:val="0"/>
              <w:autoSpaceDN w:val="0"/>
              <w:bidi w:val="0"/>
              <w:adjustRightInd w:val="0"/>
              <w:snapToGrid w:val="0"/>
              <w:spacing w:before="38" w:line="360" w:lineRule="auto"/>
              <w:ind w:left="1170"/>
              <w:textAlignment w:val="baseline"/>
              <w:rPr>
                <w:rFonts w:hint="eastAsia" w:ascii="宋体" w:hAnsi="宋体" w:eastAsia="宋体" w:cs="宋体"/>
                <w:color w:val="auto"/>
              </w:rPr>
            </w:pPr>
            <w:r>
              <w:rPr>
                <w:rFonts w:hint="eastAsia" w:ascii="宋体" w:hAnsi="宋体" w:eastAsia="宋体" w:cs="宋体"/>
                <w:color w:val="auto"/>
                <w:spacing w:val="-3"/>
              </w:rPr>
              <w:t>过滤系统</w:t>
            </w:r>
          </w:p>
        </w:tc>
        <w:tc>
          <w:tcPr>
            <w:tcW w:w="611" w:type="pct"/>
            <w:vAlign w:val="top"/>
          </w:tcPr>
          <w:p w14:paraId="146272CB">
            <w:pPr>
              <w:pStyle w:val="253"/>
              <w:keepNext w:val="0"/>
              <w:keepLines w:val="0"/>
              <w:pageBreakBefore w:val="0"/>
              <w:widowControl/>
              <w:kinsoku w:val="0"/>
              <w:wordWrap/>
              <w:overflowPunct/>
              <w:topLinePunct w:val="0"/>
              <w:autoSpaceDE w:val="0"/>
              <w:autoSpaceDN w:val="0"/>
              <w:bidi w:val="0"/>
              <w:adjustRightInd w:val="0"/>
              <w:snapToGrid w:val="0"/>
              <w:spacing w:before="39" w:line="360" w:lineRule="auto"/>
              <w:ind w:left="288"/>
              <w:textAlignment w:val="baseline"/>
              <w:rPr>
                <w:rFonts w:hint="eastAsia" w:ascii="宋体" w:hAnsi="宋体" w:eastAsia="宋体" w:cs="宋体"/>
                <w:color w:val="auto"/>
              </w:rPr>
            </w:pPr>
            <w:r>
              <w:rPr>
                <w:rFonts w:hint="eastAsia" w:ascii="宋体" w:hAnsi="宋体" w:eastAsia="宋体" w:cs="宋体"/>
                <w:color w:val="auto"/>
              </w:rPr>
              <w:t>套</w:t>
            </w:r>
          </w:p>
        </w:tc>
        <w:tc>
          <w:tcPr>
            <w:tcW w:w="614" w:type="pct"/>
            <w:vAlign w:val="top"/>
          </w:tcPr>
          <w:p w14:paraId="7BB075DA">
            <w:pPr>
              <w:keepNext w:val="0"/>
              <w:keepLines w:val="0"/>
              <w:pageBreakBefore w:val="0"/>
              <w:widowControl/>
              <w:kinsoku w:val="0"/>
              <w:wordWrap/>
              <w:overflowPunct/>
              <w:topLinePunct w:val="0"/>
              <w:autoSpaceDE w:val="0"/>
              <w:autoSpaceDN w:val="0"/>
              <w:bidi w:val="0"/>
              <w:adjustRightInd w:val="0"/>
              <w:snapToGrid w:val="0"/>
              <w:spacing w:before="88" w:line="360" w:lineRule="auto"/>
              <w:ind w:left="36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1A158847">
      <w:pPr>
        <w:pStyle w:val="17"/>
        <w:spacing w:line="303" w:lineRule="auto"/>
        <w:rPr>
          <w:rFonts w:hint="eastAsia" w:ascii="宋体" w:hAnsi="宋体" w:eastAsia="宋体" w:cs="宋体"/>
          <w:color w:val="auto"/>
        </w:rPr>
      </w:pPr>
    </w:p>
    <w:p w14:paraId="7663FDF3">
      <w:pPr>
        <w:pStyle w:val="17"/>
        <w:spacing w:line="304" w:lineRule="auto"/>
        <w:rPr>
          <w:rFonts w:hint="eastAsia" w:ascii="宋体" w:hAnsi="宋体" w:eastAsia="宋体" w:cs="宋体"/>
          <w:color w:val="auto"/>
        </w:rPr>
      </w:pPr>
    </w:p>
    <w:p w14:paraId="114E06BB">
      <w:pPr>
        <w:spacing w:before="78" w:line="219" w:lineRule="auto"/>
        <w:ind w:left="8"/>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5 开水器成套设备统计表</w:t>
      </w:r>
    </w:p>
    <w:p w14:paraId="3FB05E12">
      <w:pPr>
        <w:spacing w:before="25"/>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87"/>
        <w:gridCol w:w="4741"/>
        <w:gridCol w:w="1519"/>
        <w:gridCol w:w="1515"/>
      </w:tblGrid>
      <w:tr w14:paraId="654D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7" w:type="pct"/>
            <w:tcBorders>
              <w:top w:val="single" w:color="000000" w:sz="6" w:space="0"/>
              <w:left w:val="single" w:color="000000" w:sz="6" w:space="0"/>
            </w:tcBorders>
            <w:vAlign w:val="top"/>
          </w:tcPr>
          <w:p w14:paraId="0977964C">
            <w:pPr>
              <w:pStyle w:val="253"/>
              <w:autoSpaceDE w:val="0"/>
              <w:autoSpaceDN w:val="0"/>
              <w:spacing w:before="40" w:line="221" w:lineRule="auto"/>
              <w:ind w:left="297"/>
              <w:rPr>
                <w:rFonts w:hint="eastAsia" w:ascii="宋体" w:hAnsi="宋体" w:eastAsia="宋体" w:cs="宋体"/>
                <w:color w:val="auto"/>
              </w:rPr>
            </w:pPr>
            <w:r>
              <w:rPr>
                <w:rFonts w:hint="eastAsia" w:ascii="宋体" w:hAnsi="宋体" w:eastAsia="宋体" w:cs="宋体"/>
                <w:color w:val="auto"/>
                <w:spacing w:val="-5"/>
              </w:rPr>
              <w:t>序号</w:t>
            </w:r>
          </w:p>
        </w:tc>
        <w:tc>
          <w:tcPr>
            <w:tcW w:w="2531" w:type="pct"/>
            <w:tcBorders>
              <w:top w:val="single" w:color="000000" w:sz="6" w:space="0"/>
            </w:tcBorders>
            <w:vAlign w:val="top"/>
          </w:tcPr>
          <w:p w14:paraId="5461DCC6">
            <w:pPr>
              <w:pStyle w:val="253"/>
              <w:autoSpaceDE w:val="0"/>
              <w:autoSpaceDN w:val="0"/>
              <w:spacing w:before="40" w:line="221" w:lineRule="auto"/>
              <w:ind w:left="1229"/>
              <w:rPr>
                <w:rFonts w:hint="eastAsia" w:ascii="宋体" w:hAnsi="宋体" w:eastAsia="宋体" w:cs="宋体"/>
                <w:color w:val="auto"/>
              </w:rPr>
            </w:pPr>
            <w:r>
              <w:rPr>
                <w:rFonts w:hint="eastAsia" w:ascii="宋体" w:hAnsi="宋体" w:eastAsia="宋体" w:cs="宋体"/>
                <w:color w:val="auto"/>
                <w:spacing w:val="-3"/>
              </w:rPr>
              <w:t>位置名称</w:t>
            </w:r>
          </w:p>
        </w:tc>
        <w:tc>
          <w:tcPr>
            <w:tcW w:w="811" w:type="pct"/>
            <w:tcBorders>
              <w:top w:val="single" w:color="000000" w:sz="6" w:space="0"/>
            </w:tcBorders>
            <w:vAlign w:val="top"/>
          </w:tcPr>
          <w:p w14:paraId="23D94A06">
            <w:pPr>
              <w:pStyle w:val="253"/>
              <w:autoSpaceDE w:val="0"/>
              <w:autoSpaceDN w:val="0"/>
              <w:spacing w:before="40" w:line="220" w:lineRule="auto"/>
              <w:ind w:left="280"/>
              <w:rPr>
                <w:rFonts w:hint="eastAsia" w:ascii="宋体" w:hAnsi="宋体" w:eastAsia="宋体" w:cs="宋体"/>
                <w:color w:val="auto"/>
              </w:rPr>
            </w:pPr>
            <w:r>
              <w:rPr>
                <w:rFonts w:hint="eastAsia" w:ascii="宋体" w:hAnsi="宋体" w:eastAsia="宋体" w:cs="宋体"/>
                <w:color w:val="auto"/>
                <w:spacing w:val="-6"/>
              </w:rPr>
              <w:t>单位</w:t>
            </w:r>
          </w:p>
        </w:tc>
        <w:tc>
          <w:tcPr>
            <w:tcW w:w="809" w:type="pct"/>
            <w:tcBorders>
              <w:top w:val="single" w:color="000000" w:sz="6" w:space="0"/>
            </w:tcBorders>
            <w:vAlign w:val="top"/>
          </w:tcPr>
          <w:p w14:paraId="48E996A4">
            <w:pPr>
              <w:pStyle w:val="253"/>
              <w:autoSpaceDE w:val="0"/>
              <w:autoSpaceDN w:val="0"/>
              <w:spacing w:before="41" w:line="219" w:lineRule="auto"/>
              <w:ind w:left="277"/>
              <w:rPr>
                <w:rFonts w:hint="eastAsia" w:ascii="宋体" w:hAnsi="宋体" w:eastAsia="宋体" w:cs="宋体"/>
                <w:color w:val="auto"/>
              </w:rPr>
            </w:pPr>
            <w:r>
              <w:rPr>
                <w:rFonts w:hint="eastAsia" w:ascii="宋体" w:hAnsi="宋体" w:eastAsia="宋体" w:cs="宋体"/>
                <w:color w:val="auto"/>
                <w:spacing w:val="-6"/>
              </w:rPr>
              <w:t>数量</w:t>
            </w:r>
          </w:p>
        </w:tc>
      </w:tr>
      <w:tr w14:paraId="0DAEF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7" w:type="pct"/>
            <w:tcBorders>
              <w:left w:val="single" w:color="000000" w:sz="6" w:space="0"/>
            </w:tcBorders>
            <w:vAlign w:val="top"/>
          </w:tcPr>
          <w:p w14:paraId="1CC243A0">
            <w:pPr>
              <w:autoSpaceDE w:val="0"/>
              <w:autoSpaceDN w:val="0"/>
              <w:spacing w:before="86" w:line="188" w:lineRule="auto"/>
              <w:ind w:left="49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31" w:type="pct"/>
            <w:vAlign w:val="top"/>
          </w:tcPr>
          <w:p w14:paraId="1DC1DBC9">
            <w:pPr>
              <w:pStyle w:val="253"/>
              <w:autoSpaceDE w:val="0"/>
              <w:autoSpaceDN w:val="0"/>
              <w:spacing w:before="37" w:line="219" w:lineRule="auto"/>
              <w:ind w:left="1159"/>
              <w:rPr>
                <w:rFonts w:hint="eastAsia" w:ascii="宋体" w:hAnsi="宋体" w:eastAsia="宋体" w:cs="宋体"/>
                <w:color w:val="auto"/>
              </w:rPr>
            </w:pPr>
            <w:r>
              <w:rPr>
                <w:rFonts w:hint="eastAsia" w:ascii="宋体" w:hAnsi="宋体" w:eastAsia="宋体" w:cs="宋体"/>
                <w:color w:val="auto"/>
                <w:spacing w:val="-9"/>
              </w:rPr>
              <w:t>1</w:t>
            </w:r>
            <w:r>
              <w:rPr>
                <w:rFonts w:hint="eastAsia" w:ascii="宋体" w:hAnsi="宋体" w:eastAsia="宋体" w:cs="宋体"/>
                <w:color w:val="auto"/>
                <w:spacing w:val="15"/>
                <w:w w:val="101"/>
              </w:rPr>
              <w:t xml:space="preserve"> </w:t>
            </w:r>
            <w:r>
              <w:rPr>
                <w:rFonts w:hint="eastAsia" w:ascii="宋体" w:hAnsi="宋体" w:eastAsia="宋体" w:cs="宋体"/>
                <w:color w:val="auto"/>
                <w:spacing w:val="-9"/>
              </w:rPr>
              <w:t>号楼四层</w:t>
            </w:r>
          </w:p>
        </w:tc>
        <w:tc>
          <w:tcPr>
            <w:tcW w:w="811" w:type="pct"/>
            <w:vAlign w:val="top"/>
          </w:tcPr>
          <w:p w14:paraId="0A979D20">
            <w:pPr>
              <w:pStyle w:val="253"/>
              <w:autoSpaceDE w:val="0"/>
              <w:autoSpaceDN w:val="0"/>
              <w:spacing w:before="37" w:line="220" w:lineRule="auto"/>
              <w:ind w:left="399"/>
              <w:rPr>
                <w:rFonts w:hint="eastAsia" w:ascii="宋体" w:hAnsi="宋体" w:eastAsia="宋体" w:cs="宋体"/>
                <w:color w:val="auto"/>
              </w:rPr>
            </w:pPr>
            <w:r>
              <w:rPr>
                <w:rFonts w:hint="eastAsia" w:ascii="宋体" w:hAnsi="宋体" w:eastAsia="宋体" w:cs="宋体"/>
                <w:color w:val="auto"/>
              </w:rPr>
              <w:t>套</w:t>
            </w:r>
          </w:p>
        </w:tc>
        <w:tc>
          <w:tcPr>
            <w:tcW w:w="809" w:type="pct"/>
            <w:vAlign w:val="top"/>
          </w:tcPr>
          <w:p w14:paraId="129C3512">
            <w:pPr>
              <w:autoSpaceDE w:val="0"/>
              <w:autoSpaceDN w:val="0"/>
              <w:spacing w:before="86" w:line="188" w:lineRule="auto"/>
              <w:ind w:left="47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221DD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7" w:type="pct"/>
            <w:tcBorders>
              <w:left w:val="single" w:color="000000" w:sz="6" w:space="0"/>
            </w:tcBorders>
            <w:vAlign w:val="top"/>
          </w:tcPr>
          <w:p w14:paraId="30289CC7">
            <w:pPr>
              <w:autoSpaceDE w:val="0"/>
              <w:autoSpaceDN w:val="0"/>
              <w:spacing w:before="87" w:line="188" w:lineRule="auto"/>
              <w:ind w:left="474"/>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31" w:type="pct"/>
            <w:vAlign w:val="top"/>
          </w:tcPr>
          <w:p w14:paraId="77BCEC51">
            <w:pPr>
              <w:pStyle w:val="253"/>
              <w:autoSpaceDE w:val="0"/>
              <w:autoSpaceDN w:val="0"/>
              <w:spacing w:before="39" w:line="219" w:lineRule="auto"/>
              <w:ind w:left="1136"/>
              <w:rPr>
                <w:rFonts w:hint="eastAsia" w:ascii="宋体" w:hAnsi="宋体" w:eastAsia="宋体" w:cs="宋体"/>
                <w:color w:val="auto"/>
              </w:rPr>
            </w:pPr>
            <w:r>
              <w:rPr>
                <w:rFonts w:hint="eastAsia" w:ascii="宋体" w:hAnsi="宋体" w:eastAsia="宋体" w:cs="宋体"/>
                <w:color w:val="auto"/>
                <w:spacing w:val="-5"/>
              </w:rPr>
              <w:t>2</w:t>
            </w:r>
            <w:r>
              <w:rPr>
                <w:rFonts w:hint="eastAsia" w:ascii="宋体" w:hAnsi="宋体" w:eastAsia="宋体" w:cs="宋体"/>
                <w:color w:val="auto"/>
                <w:spacing w:val="18"/>
                <w:w w:val="101"/>
              </w:rPr>
              <w:t xml:space="preserve"> </w:t>
            </w:r>
            <w:r>
              <w:rPr>
                <w:rFonts w:hint="eastAsia" w:ascii="宋体" w:hAnsi="宋体" w:eastAsia="宋体" w:cs="宋体"/>
                <w:color w:val="auto"/>
                <w:spacing w:val="-5"/>
              </w:rPr>
              <w:t>号楼四层</w:t>
            </w:r>
          </w:p>
        </w:tc>
        <w:tc>
          <w:tcPr>
            <w:tcW w:w="811" w:type="pct"/>
            <w:vAlign w:val="top"/>
          </w:tcPr>
          <w:p w14:paraId="6BB84E7E">
            <w:pPr>
              <w:pStyle w:val="253"/>
              <w:autoSpaceDE w:val="0"/>
              <w:autoSpaceDN w:val="0"/>
              <w:spacing w:before="38" w:line="220" w:lineRule="auto"/>
              <w:ind w:left="399"/>
              <w:rPr>
                <w:rFonts w:hint="eastAsia" w:ascii="宋体" w:hAnsi="宋体" w:eastAsia="宋体" w:cs="宋体"/>
                <w:color w:val="auto"/>
              </w:rPr>
            </w:pPr>
            <w:r>
              <w:rPr>
                <w:rFonts w:hint="eastAsia" w:ascii="宋体" w:hAnsi="宋体" w:eastAsia="宋体" w:cs="宋体"/>
                <w:color w:val="auto"/>
              </w:rPr>
              <w:t>套</w:t>
            </w:r>
          </w:p>
        </w:tc>
        <w:tc>
          <w:tcPr>
            <w:tcW w:w="809" w:type="pct"/>
            <w:vAlign w:val="top"/>
          </w:tcPr>
          <w:p w14:paraId="7CA3C646">
            <w:pPr>
              <w:autoSpaceDE w:val="0"/>
              <w:autoSpaceDN w:val="0"/>
              <w:spacing w:before="87" w:line="188" w:lineRule="auto"/>
              <w:ind w:left="47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5FAD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7" w:type="pct"/>
            <w:vAlign w:val="top"/>
          </w:tcPr>
          <w:p w14:paraId="2C0E75B3">
            <w:pPr>
              <w:autoSpaceDE w:val="0"/>
              <w:autoSpaceDN w:val="0"/>
              <w:spacing w:before="89" w:line="188"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31" w:type="pct"/>
            <w:vAlign w:val="top"/>
          </w:tcPr>
          <w:p w14:paraId="29F51BE4">
            <w:pPr>
              <w:pStyle w:val="253"/>
              <w:autoSpaceDE w:val="0"/>
              <w:autoSpaceDN w:val="0"/>
              <w:spacing w:before="38" w:line="219" w:lineRule="auto"/>
              <w:ind w:left="1110"/>
              <w:rPr>
                <w:rFonts w:hint="eastAsia" w:ascii="宋体" w:hAnsi="宋体" w:eastAsia="宋体" w:cs="宋体"/>
                <w:color w:val="auto"/>
              </w:rPr>
            </w:pPr>
            <w:r>
              <w:rPr>
                <w:rFonts w:hint="eastAsia" w:ascii="宋体" w:hAnsi="宋体" w:eastAsia="宋体" w:cs="宋体"/>
                <w:color w:val="auto"/>
                <w:spacing w:val="-3"/>
              </w:rPr>
              <w:t>培训楼一层</w:t>
            </w:r>
          </w:p>
        </w:tc>
        <w:tc>
          <w:tcPr>
            <w:tcW w:w="811" w:type="pct"/>
            <w:vAlign w:val="top"/>
          </w:tcPr>
          <w:p w14:paraId="2ABB2EAC">
            <w:pPr>
              <w:pStyle w:val="253"/>
              <w:autoSpaceDE w:val="0"/>
              <w:autoSpaceDN w:val="0"/>
              <w:spacing w:before="38" w:line="220" w:lineRule="auto"/>
              <w:ind w:left="399"/>
              <w:rPr>
                <w:rFonts w:hint="eastAsia" w:ascii="宋体" w:hAnsi="宋体" w:eastAsia="宋体" w:cs="宋体"/>
                <w:color w:val="auto"/>
              </w:rPr>
            </w:pPr>
            <w:r>
              <w:rPr>
                <w:rFonts w:hint="eastAsia" w:ascii="宋体" w:hAnsi="宋体" w:eastAsia="宋体" w:cs="宋体"/>
                <w:color w:val="auto"/>
              </w:rPr>
              <w:t>套</w:t>
            </w:r>
          </w:p>
        </w:tc>
        <w:tc>
          <w:tcPr>
            <w:tcW w:w="809" w:type="pct"/>
            <w:vAlign w:val="top"/>
          </w:tcPr>
          <w:p w14:paraId="20C03BD1">
            <w:pPr>
              <w:autoSpaceDE w:val="0"/>
              <w:autoSpaceDN w:val="0"/>
              <w:spacing w:before="89" w:line="188" w:lineRule="auto"/>
              <w:ind w:left="47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1963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7" w:type="pct"/>
            <w:vAlign w:val="top"/>
          </w:tcPr>
          <w:p w14:paraId="2C6B9468">
            <w:pPr>
              <w:autoSpaceDE w:val="0"/>
              <w:autoSpaceDN w:val="0"/>
              <w:spacing w:before="88" w:line="188" w:lineRule="auto"/>
              <w:ind w:left="475"/>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31" w:type="pct"/>
            <w:vAlign w:val="top"/>
          </w:tcPr>
          <w:p w14:paraId="438DF3C6">
            <w:pPr>
              <w:pStyle w:val="253"/>
              <w:autoSpaceDE w:val="0"/>
              <w:autoSpaceDN w:val="0"/>
              <w:spacing w:before="40" w:line="219" w:lineRule="auto"/>
              <w:ind w:left="1110"/>
              <w:rPr>
                <w:rFonts w:hint="eastAsia" w:ascii="宋体" w:hAnsi="宋体" w:eastAsia="宋体" w:cs="宋体"/>
                <w:color w:val="auto"/>
              </w:rPr>
            </w:pPr>
            <w:r>
              <w:rPr>
                <w:rFonts w:hint="eastAsia" w:ascii="宋体" w:hAnsi="宋体" w:eastAsia="宋体" w:cs="宋体"/>
                <w:color w:val="auto"/>
                <w:spacing w:val="-3"/>
              </w:rPr>
              <w:t>培训楼二层</w:t>
            </w:r>
          </w:p>
        </w:tc>
        <w:tc>
          <w:tcPr>
            <w:tcW w:w="811" w:type="pct"/>
            <w:vAlign w:val="top"/>
          </w:tcPr>
          <w:p w14:paraId="6DC735E1">
            <w:pPr>
              <w:pStyle w:val="253"/>
              <w:autoSpaceDE w:val="0"/>
              <w:autoSpaceDN w:val="0"/>
              <w:spacing w:before="39" w:line="220" w:lineRule="auto"/>
              <w:ind w:left="399"/>
              <w:rPr>
                <w:rFonts w:hint="eastAsia" w:ascii="宋体" w:hAnsi="宋体" w:eastAsia="宋体" w:cs="宋体"/>
                <w:color w:val="auto"/>
              </w:rPr>
            </w:pPr>
            <w:r>
              <w:rPr>
                <w:rFonts w:hint="eastAsia" w:ascii="宋体" w:hAnsi="宋体" w:eastAsia="宋体" w:cs="宋体"/>
                <w:color w:val="auto"/>
              </w:rPr>
              <w:t>套</w:t>
            </w:r>
          </w:p>
        </w:tc>
        <w:tc>
          <w:tcPr>
            <w:tcW w:w="809" w:type="pct"/>
            <w:vAlign w:val="top"/>
          </w:tcPr>
          <w:p w14:paraId="724078A0">
            <w:pPr>
              <w:autoSpaceDE w:val="0"/>
              <w:autoSpaceDN w:val="0"/>
              <w:spacing w:before="88" w:line="188" w:lineRule="auto"/>
              <w:ind w:left="47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582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7" w:type="pct"/>
            <w:vAlign w:val="top"/>
          </w:tcPr>
          <w:p w14:paraId="47F7D332">
            <w:pPr>
              <w:autoSpaceDE w:val="0"/>
              <w:autoSpaceDN w:val="0"/>
              <w:spacing w:before="93" w:line="185" w:lineRule="auto"/>
              <w:ind w:left="483"/>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31" w:type="pct"/>
            <w:vAlign w:val="top"/>
          </w:tcPr>
          <w:p w14:paraId="5270BEF2">
            <w:pPr>
              <w:pStyle w:val="253"/>
              <w:autoSpaceDE w:val="0"/>
              <w:autoSpaceDN w:val="0"/>
              <w:spacing w:before="39" w:line="219" w:lineRule="auto"/>
              <w:ind w:left="1110"/>
              <w:rPr>
                <w:rFonts w:hint="eastAsia" w:ascii="宋体" w:hAnsi="宋体" w:eastAsia="宋体" w:cs="宋体"/>
                <w:color w:val="auto"/>
              </w:rPr>
            </w:pPr>
            <w:r>
              <w:rPr>
                <w:rFonts w:hint="eastAsia" w:ascii="宋体" w:hAnsi="宋体" w:eastAsia="宋体" w:cs="宋体"/>
                <w:color w:val="auto"/>
                <w:spacing w:val="-3"/>
              </w:rPr>
              <w:t>培训楼三层</w:t>
            </w:r>
          </w:p>
        </w:tc>
        <w:tc>
          <w:tcPr>
            <w:tcW w:w="811" w:type="pct"/>
            <w:vAlign w:val="top"/>
          </w:tcPr>
          <w:p w14:paraId="7F8BB1EF">
            <w:pPr>
              <w:pStyle w:val="253"/>
              <w:autoSpaceDE w:val="0"/>
              <w:autoSpaceDN w:val="0"/>
              <w:spacing w:before="38" w:line="220" w:lineRule="auto"/>
              <w:ind w:left="399"/>
              <w:rPr>
                <w:rFonts w:hint="eastAsia" w:ascii="宋体" w:hAnsi="宋体" w:eastAsia="宋体" w:cs="宋体"/>
                <w:color w:val="auto"/>
              </w:rPr>
            </w:pPr>
            <w:r>
              <w:rPr>
                <w:rFonts w:hint="eastAsia" w:ascii="宋体" w:hAnsi="宋体" w:eastAsia="宋体" w:cs="宋体"/>
                <w:color w:val="auto"/>
              </w:rPr>
              <w:t>套</w:t>
            </w:r>
          </w:p>
        </w:tc>
        <w:tc>
          <w:tcPr>
            <w:tcW w:w="809" w:type="pct"/>
            <w:vAlign w:val="top"/>
          </w:tcPr>
          <w:p w14:paraId="0EAA6ADB">
            <w:pPr>
              <w:autoSpaceDE w:val="0"/>
              <w:autoSpaceDN w:val="0"/>
              <w:spacing w:before="90" w:line="188" w:lineRule="auto"/>
              <w:ind w:left="47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5E4BF34B">
      <w:pPr>
        <w:spacing w:before="155" w:line="219" w:lineRule="auto"/>
        <w:ind w:left="9"/>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6.消防供水设备统计表</w:t>
      </w:r>
    </w:p>
    <w:p w14:paraId="4009DEE8">
      <w:pPr>
        <w:spacing w:before="27"/>
        <w:rPr>
          <w:rFonts w:hint="eastAsia" w:ascii="宋体" w:hAnsi="宋体" w:eastAsia="宋体" w:cs="宋体"/>
          <w:color w:val="auto"/>
        </w:rPr>
      </w:pPr>
    </w:p>
    <w:tbl>
      <w:tblPr>
        <w:tblStyle w:val="25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80"/>
        <w:gridCol w:w="3292"/>
        <w:gridCol w:w="2848"/>
        <w:gridCol w:w="1068"/>
        <w:gridCol w:w="1074"/>
      </w:tblGrid>
      <w:tr w14:paraId="1D0D7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77" w:type="pct"/>
            <w:tcBorders>
              <w:top w:val="single" w:color="000000" w:sz="6" w:space="0"/>
              <w:left w:val="single" w:color="000000" w:sz="6" w:space="0"/>
            </w:tcBorders>
            <w:vAlign w:val="top"/>
          </w:tcPr>
          <w:p w14:paraId="305623FF">
            <w:pPr>
              <w:pStyle w:val="253"/>
              <w:autoSpaceDE w:val="0"/>
              <w:autoSpaceDN w:val="0"/>
              <w:spacing w:before="39" w:line="221" w:lineRule="auto"/>
              <w:ind w:left="53"/>
              <w:rPr>
                <w:rFonts w:hint="eastAsia" w:ascii="宋体" w:hAnsi="宋体" w:eastAsia="宋体" w:cs="宋体"/>
                <w:color w:val="auto"/>
              </w:rPr>
            </w:pPr>
            <w:r>
              <w:rPr>
                <w:rFonts w:hint="eastAsia" w:ascii="宋体" w:hAnsi="宋体" w:eastAsia="宋体" w:cs="宋体"/>
                <w:color w:val="auto"/>
                <w:spacing w:val="-5"/>
              </w:rPr>
              <w:t>序号</w:t>
            </w:r>
          </w:p>
        </w:tc>
        <w:tc>
          <w:tcPr>
            <w:tcW w:w="1757" w:type="pct"/>
            <w:tcBorders>
              <w:top w:val="single" w:color="000000" w:sz="6" w:space="0"/>
            </w:tcBorders>
            <w:vAlign w:val="top"/>
          </w:tcPr>
          <w:p w14:paraId="654BC022">
            <w:pPr>
              <w:pStyle w:val="253"/>
              <w:autoSpaceDE w:val="0"/>
              <w:autoSpaceDN w:val="0"/>
              <w:spacing w:before="40" w:line="219" w:lineRule="auto"/>
              <w:ind w:left="517"/>
              <w:rPr>
                <w:rFonts w:hint="eastAsia" w:ascii="宋体" w:hAnsi="宋体" w:eastAsia="宋体" w:cs="宋体"/>
                <w:color w:val="auto"/>
              </w:rPr>
            </w:pPr>
            <w:r>
              <w:rPr>
                <w:rFonts w:hint="eastAsia" w:ascii="宋体" w:hAnsi="宋体" w:eastAsia="宋体" w:cs="宋体"/>
                <w:color w:val="auto"/>
                <w:spacing w:val="-3"/>
              </w:rPr>
              <w:t>使用部位</w:t>
            </w:r>
          </w:p>
        </w:tc>
        <w:tc>
          <w:tcPr>
            <w:tcW w:w="1520" w:type="pct"/>
            <w:tcBorders>
              <w:top w:val="single" w:color="000000" w:sz="6" w:space="0"/>
            </w:tcBorders>
            <w:vAlign w:val="top"/>
          </w:tcPr>
          <w:p w14:paraId="1D6E41D4">
            <w:pPr>
              <w:pStyle w:val="253"/>
              <w:autoSpaceDE w:val="0"/>
              <w:autoSpaceDN w:val="0"/>
              <w:spacing w:before="40" w:line="221" w:lineRule="auto"/>
              <w:ind w:left="621"/>
              <w:rPr>
                <w:rFonts w:hint="eastAsia" w:ascii="宋体" w:hAnsi="宋体" w:eastAsia="宋体" w:cs="宋体"/>
                <w:color w:val="auto"/>
              </w:rPr>
            </w:pPr>
            <w:r>
              <w:rPr>
                <w:rFonts w:hint="eastAsia" w:ascii="宋体" w:hAnsi="宋体" w:eastAsia="宋体" w:cs="宋体"/>
                <w:color w:val="auto"/>
                <w:spacing w:val="-7"/>
              </w:rPr>
              <w:t>名称</w:t>
            </w:r>
          </w:p>
        </w:tc>
        <w:tc>
          <w:tcPr>
            <w:tcW w:w="570" w:type="pct"/>
            <w:tcBorders>
              <w:top w:val="single" w:color="000000" w:sz="6" w:space="0"/>
            </w:tcBorders>
            <w:vAlign w:val="top"/>
          </w:tcPr>
          <w:p w14:paraId="17AAA3AD">
            <w:pPr>
              <w:pStyle w:val="253"/>
              <w:autoSpaceDE w:val="0"/>
              <w:autoSpaceDN w:val="0"/>
              <w:spacing w:before="39" w:line="220" w:lineRule="auto"/>
              <w:ind w:left="57"/>
              <w:rPr>
                <w:rFonts w:hint="eastAsia" w:ascii="宋体" w:hAnsi="宋体" w:eastAsia="宋体" w:cs="宋体"/>
                <w:color w:val="auto"/>
              </w:rPr>
            </w:pPr>
            <w:r>
              <w:rPr>
                <w:rFonts w:hint="eastAsia" w:ascii="宋体" w:hAnsi="宋体" w:eastAsia="宋体" w:cs="宋体"/>
                <w:color w:val="auto"/>
                <w:spacing w:val="-6"/>
              </w:rPr>
              <w:t>单位</w:t>
            </w:r>
          </w:p>
        </w:tc>
        <w:tc>
          <w:tcPr>
            <w:tcW w:w="573" w:type="pct"/>
            <w:tcBorders>
              <w:top w:val="single" w:color="000000" w:sz="6" w:space="0"/>
            </w:tcBorders>
            <w:vAlign w:val="top"/>
          </w:tcPr>
          <w:p w14:paraId="20D59BFA">
            <w:pPr>
              <w:pStyle w:val="253"/>
              <w:autoSpaceDE w:val="0"/>
              <w:autoSpaceDN w:val="0"/>
              <w:spacing w:before="40" w:line="219" w:lineRule="auto"/>
              <w:ind w:left="57"/>
              <w:rPr>
                <w:rFonts w:hint="eastAsia" w:ascii="宋体" w:hAnsi="宋体" w:eastAsia="宋体" w:cs="宋体"/>
                <w:color w:val="auto"/>
              </w:rPr>
            </w:pPr>
            <w:r>
              <w:rPr>
                <w:rFonts w:hint="eastAsia" w:ascii="宋体" w:hAnsi="宋体" w:eastAsia="宋体" w:cs="宋体"/>
                <w:color w:val="auto"/>
                <w:spacing w:val="-6"/>
              </w:rPr>
              <w:t>数量</w:t>
            </w:r>
          </w:p>
        </w:tc>
      </w:tr>
      <w:tr w14:paraId="3748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77" w:type="pct"/>
            <w:tcBorders>
              <w:left w:val="single" w:color="000000" w:sz="6" w:space="0"/>
            </w:tcBorders>
            <w:vAlign w:val="top"/>
          </w:tcPr>
          <w:p w14:paraId="3F9FD93E">
            <w:pPr>
              <w:autoSpaceDE w:val="0"/>
              <w:autoSpaceDN w:val="0"/>
              <w:spacing w:before="87" w:line="188" w:lineRule="auto"/>
              <w:ind w:left="253"/>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57" w:type="pct"/>
            <w:vMerge w:val="restart"/>
            <w:tcBorders>
              <w:bottom w:val="nil"/>
            </w:tcBorders>
            <w:vAlign w:val="top"/>
          </w:tcPr>
          <w:p w14:paraId="1BFB7DD8">
            <w:pPr>
              <w:pStyle w:val="253"/>
              <w:autoSpaceDE w:val="0"/>
              <w:autoSpaceDN w:val="0"/>
              <w:spacing w:before="276" w:line="219" w:lineRule="auto"/>
              <w:ind w:left="516"/>
              <w:rPr>
                <w:rFonts w:hint="eastAsia" w:ascii="宋体" w:hAnsi="宋体" w:eastAsia="宋体" w:cs="宋体"/>
                <w:color w:val="auto"/>
              </w:rPr>
            </w:pPr>
            <w:r>
              <w:rPr>
                <w:rFonts w:hint="eastAsia" w:ascii="宋体" w:hAnsi="宋体" w:eastAsia="宋体" w:cs="宋体"/>
                <w:color w:val="auto"/>
                <w:spacing w:val="-10"/>
              </w:rPr>
              <w:t>地下</w:t>
            </w:r>
            <w:r>
              <w:rPr>
                <w:rFonts w:hint="eastAsia" w:ascii="宋体" w:hAnsi="宋体" w:eastAsia="宋体" w:cs="宋体"/>
                <w:color w:val="auto"/>
                <w:spacing w:val="-31"/>
              </w:rPr>
              <w:t xml:space="preserve"> </w:t>
            </w:r>
            <w:r>
              <w:rPr>
                <w:rFonts w:hint="eastAsia" w:ascii="宋体" w:hAnsi="宋体" w:eastAsia="宋体" w:cs="宋体"/>
                <w:color w:val="auto"/>
                <w:spacing w:val="-10"/>
              </w:rPr>
              <w:t>1</w:t>
            </w:r>
            <w:r>
              <w:rPr>
                <w:rFonts w:hint="eastAsia" w:ascii="宋体" w:hAnsi="宋体" w:eastAsia="宋体" w:cs="宋体"/>
                <w:color w:val="auto"/>
                <w:spacing w:val="9"/>
              </w:rPr>
              <w:t xml:space="preserve"> </w:t>
            </w:r>
            <w:r>
              <w:rPr>
                <w:rFonts w:hint="eastAsia" w:ascii="宋体" w:hAnsi="宋体" w:eastAsia="宋体" w:cs="宋体"/>
                <w:color w:val="auto"/>
                <w:spacing w:val="-10"/>
              </w:rPr>
              <w:t>层</w:t>
            </w:r>
          </w:p>
        </w:tc>
        <w:tc>
          <w:tcPr>
            <w:tcW w:w="1520" w:type="pct"/>
            <w:vAlign w:val="top"/>
          </w:tcPr>
          <w:p w14:paraId="01DAC7BD">
            <w:pPr>
              <w:pStyle w:val="253"/>
              <w:autoSpaceDE w:val="0"/>
              <w:autoSpaceDN w:val="0"/>
              <w:spacing w:before="38" w:line="219" w:lineRule="auto"/>
              <w:ind w:left="503"/>
              <w:rPr>
                <w:rFonts w:hint="eastAsia" w:ascii="宋体" w:hAnsi="宋体" w:eastAsia="宋体" w:cs="宋体"/>
                <w:color w:val="auto"/>
              </w:rPr>
            </w:pPr>
            <w:r>
              <w:rPr>
                <w:rFonts w:hint="eastAsia" w:ascii="宋体" w:hAnsi="宋体" w:eastAsia="宋体" w:cs="宋体"/>
                <w:color w:val="auto"/>
                <w:spacing w:val="-5"/>
              </w:rPr>
              <w:t>消防泵</w:t>
            </w:r>
          </w:p>
        </w:tc>
        <w:tc>
          <w:tcPr>
            <w:tcW w:w="570" w:type="pct"/>
            <w:vAlign w:val="top"/>
          </w:tcPr>
          <w:p w14:paraId="1C0F04E3">
            <w:pPr>
              <w:pStyle w:val="253"/>
              <w:autoSpaceDE w:val="0"/>
              <w:autoSpaceDN w:val="0"/>
              <w:spacing w:before="38" w:line="220" w:lineRule="auto"/>
              <w:ind w:left="176"/>
              <w:rPr>
                <w:rFonts w:hint="eastAsia" w:ascii="宋体" w:hAnsi="宋体" w:eastAsia="宋体" w:cs="宋体"/>
                <w:color w:val="auto"/>
              </w:rPr>
            </w:pPr>
            <w:r>
              <w:rPr>
                <w:rFonts w:hint="eastAsia" w:ascii="宋体" w:hAnsi="宋体" w:eastAsia="宋体" w:cs="宋体"/>
                <w:color w:val="auto"/>
              </w:rPr>
              <w:t>套</w:t>
            </w:r>
          </w:p>
        </w:tc>
        <w:tc>
          <w:tcPr>
            <w:tcW w:w="573" w:type="pct"/>
            <w:vAlign w:val="top"/>
          </w:tcPr>
          <w:p w14:paraId="3F45ABD0">
            <w:pPr>
              <w:autoSpaceDE w:val="0"/>
              <w:autoSpaceDN w:val="0"/>
              <w:spacing w:before="87" w:line="188" w:lineRule="auto"/>
              <w:ind w:left="230"/>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14:paraId="0D69A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77" w:type="pct"/>
            <w:tcBorders>
              <w:left w:val="single" w:color="000000" w:sz="6" w:space="0"/>
            </w:tcBorders>
            <w:vAlign w:val="top"/>
          </w:tcPr>
          <w:p w14:paraId="0A1887A1">
            <w:pPr>
              <w:autoSpaceDE w:val="0"/>
              <w:autoSpaceDN w:val="0"/>
              <w:spacing w:before="88" w:line="188" w:lineRule="auto"/>
              <w:ind w:left="23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57" w:type="pct"/>
            <w:vMerge w:val="continue"/>
            <w:tcBorders>
              <w:top w:val="nil"/>
            </w:tcBorders>
            <w:vAlign w:val="top"/>
          </w:tcPr>
          <w:p w14:paraId="61A6B4C7">
            <w:pPr>
              <w:autoSpaceDE w:val="0"/>
              <w:autoSpaceDN w:val="0"/>
              <w:rPr>
                <w:rFonts w:hint="eastAsia" w:ascii="宋体" w:hAnsi="宋体" w:eastAsia="宋体" w:cs="宋体"/>
                <w:color w:val="auto"/>
                <w:sz w:val="21"/>
              </w:rPr>
            </w:pPr>
          </w:p>
        </w:tc>
        <w:tc>
          <w:tcPr>
            <w:tcW w:w="1520" w:type="pct"/>
            <w:vAlign w:val="top"/>
          </w:tcPr>
          <w:p w14:paraId="5059E2C8">
            <w:pPr>
              <w:pStyle w:val="253"/>
              <w:autoSpaceDE w:val="0"/>
              <w:autoSpaceDN w:val="0"/>
              <w:spacing w:before="40" w:line="219" w:lineRule="auto"/>
              <w:ind w:left="621"/>
              <w:rPr>
                <w:rFonts w:hint="eastAsia" w:ascii="宋体" w:hAnsi="宋体" w:eastAsia="宋体" w:cs="宋体"/>
                <w:color w:val="auto"/>
              </w:rPr>
            </w:pPr>
            <w:r>
              <w:rPr>
                <w:rFonts w:hint="eastAsia" w:ascii="宋体" w:hAnsi="宋体" w:eastAsia="宋体" w:cs="宋体"/>
                <w:color w:val="auto"/>
                <w:spacing w:val="-7"/>
              </w:rPr>
              <w:t>水箱</w:t>
            </w:r>
          </w:p>
        </w:tc>
        <w:tc>
          <w:tcPr>
            <w:tcW w:w="570" w:type="pct"/>
            <w:vAlign w:val="top"/>
          </w:tcPr>
          <w:p w14:paraId="1671B291">
            <w:pPr>
              <w:pStyle w:val="253"/>
              <w:autoSpaceDE w:val="0"/>
              <w:autoSpaceDN w:val="0"/>
              <w:spacing w:before="40" w:line="221" w:lineRule="auto"/>
              <w:ind w:left="194"/>
              <w:rPr>
                <w:rFonts w:hint="eastAsia" w:ascii="宋体" w:hAnsi="宋体" w:eastAsia="宋体" w:cs="宋体"/>
                <w:color w:val="auto"/>
              </w:rPr>
            </w:pPr>
            <w:r>
              <w:rPr>
                <w:rFonts w:hint="eastAsia" w:ascii="宋体" w:hAnsi="宋体" w:eastAsia="宋体" w:cs="宋体"/>
                <w:color w:val="auto"/>
              </w:rPr>
              <w:t>台</w:t>
            </w:r>
          </w:p>
        </w:tc>
        <w:tc>
          <w:tcPr>
            <w:tcW w:w="573" w:type="pct"/>
            <w:vAlign w:val="top"/>
          </w:tcPr>
          <w:p w14:paraId="54629F56">
            <w:pPr>
              <w:autoSpaceDE w:val="0"/>
              <w:autoSpaceDN w:val="0"/>
              <w:spacing w:before="88" w:line="188" w:lineRule="auto"/>
              <w:ind w:left="25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442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77" w:type="pct"/>
            <w:tcBorders>
              <w:left w:val="single" w:color="000000" w:sz="6" w:space="0"/>
            </w:tcBorders>
            <w:vAlign w:val="top"/>
          </w:tcPr>
          <w:p w14:paraId="6C2728DE">
            <w:pPr>
              <w:autoSpaceDE w:val="0"/>
              <w:autoSpaceDN w:val="0"/>
              <w:spacing w:before="90" w:line="188" w:lineRule="auto"/>
              <w:ind w:left="253"/>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57" w:type="pct"/>
            <w:vMerge w:val="restart"/>
            <w:tcBorders>
              <w:bottom w:val="nil"/>
            </w:tcBorders>
            <w:vAlign w:val="top"/>
          </w:tcPr>
          <w:p w14:paraId="7D1C0C5B">
            <w:pPr>
              <w:pStyle w:val="253"/>
              <w:autoSpaceDE w:val="0"/>
              <w:autoSpaceDN w:val="0"/>
              <w:spacing w:before="277" w:line="219" w:lineRule="auto"/>
              <w:ind w:left="310"/>
              <w:rPr>
                <w:rFonts w:hint="eastAsia" w:ascii="宋体" w:hAnsi="宋体" w:eastAsia="宋体" w:cs="宋体"/>
                <w:color w:val="auto"/>
              </w:rPr>
            </w:pPr>
            <w:r>
              <w:rPr>
                <w:rFonts w:hint="eastAsia" w:ascii="宋体" w:hAnsi="宋体" w:eastAsia="宋体" w:cs="宋体"/>
                <w:color w:val="auto"/>
                <w:spacing w:val="-2"/>
              </w:rPr>
              <w:t>5 层稳压泵房</w:t>
            </w:r>
          </w:p>
        </w:tc>
        <w:tc>
          <w:tcPr>
            <w:tcW w:w="1520" w:type="pct"/>
            <w:vAlign w:val="top"/>
          </w:tcPr>
          <w:p w14:paraId="7C80554B">
            <w:pPr>
              <w:pStyle w:val="253"/>
              <w:autoSpaceDE w:val="0"/>
              <w:autoSpaceDN w:val="0"/>
              <w:spacing w:before="39" w:line="219" w:lineRule="auto"/>
              <w:ind w:left="621"/>
              <w:rPr>
                <w:rFonts w:hint="eastAsia" w:ascii="宋体" w:hAnsi="宋体" w:eastAsia="宋体" w:cs="宋体"/>
                <w:color w:val="auto"/>
              </w:rPr>
            </w:pPr>
            <w:r>
              <w:rPr>
                <w:rFonts w:hint="eastAsia" w:ascii="宋体" w:hAnsi="宋体" w:eastAsia="宋体" w:cs="宋体"/>
                <w:color w:val="auto"/>
                <w:spacing w:val="-7"/>
              </w:rPr>
              <w:t>水泵</w:t>
            </w:r>
          </w:p>
        </w:tc>
        <w:tc>
          <w:tcPr>
            <w:tcW w:w="570" w:type="pct"/>
            <w:vAlign w:val="top"/>
          </w:tcPr>
          <w:p w14:paraId="0C18B017">
            <w:pPr>
              <w:pStyle w:val="253"/>
              <w:autoSpaceDE w:val="0"/>
              <w:autoSpaceDN w:val="0"/>
              <w:spacing w:before="39" w:line="221" w:lineRule="auto"/>
              <w:ind w:left="194"/>
              <w:rPr>
                <w:rFonts w:hint="eastAsia" w:ascii="宋体" w:hAnsi="宋体" w:eastAsia="宋体" w:cs="宋体"/>
                <w:color w:val="auto"/>
              </w:rPr>
            </w:pPr>
            <w:r>
              <w:rPr>
                <w:rFonts w:hint="eastAsia" w:ascii="宋体" w:hAnsi="宋体" w:eastAsia="宋体" w:cs="宋体"/>
                <w:color w:val="auto"/>
              </w:rPr>
              <w:t>台</w:t>
            </w:r>
          </w:p>
        </w:tc>
        <w:tc>
          <w:tcPr>
            <w:tcW w:w="573" w:type="pct"/>
            <w:vAlign w:val="top"/>
          </w:tcPr>
          <w:p w14:paraId="5DD4342C">
            <w:pPr>
              <w:autoSpaceDE w:val="0"/>
              <w:autoSpaceDN w:val="0"/>
              <w:spacing w:before="90" w:line="188" w:lineRule="auto"/>
              <w:ind w:left="230"/>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14:paraId="0FBB2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77" w:type="pct"/>
            <w:tcBorders>
              <w:left w:val="single" w:color="000000" w:sz="6" w:space="0"/>
            </w:tcBorders>
            <w:vAlign w:val="top"/>
          </w:tcPr>
          <w:p w14:paraId="0C287745">
            <w:pPr>
              <w:autoSpaceDE w:val="0"/>
              <w:autoSpaceDN w:val="0"/>
              <w:spacing w:before="89" w:line="188" w:lineRule="auto"/>
              <w:ind w:left="23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57" w:type="pct"/>
            <w:vMerge w:val="continue"/>
            <w:tcBorders>
              <w:top w:val="nil"/>
            </w:tcBorders>
            <w:vAlign w:val="top"/>
          </w:tcPr>
          <w:p w14:paraId="0DDFFCC2">
            <w:pPr>
              <w:autoSpaceDE w:val="0"/>
              <w:autoSpaceDN w:val="0"/>
              <w:rPr>
                <w:rFonts w:hint="eastAsia" w:ascii="宋体" w:hAnsi="宋体" w:eastAsia="宋体" w:cs="宋体"/>
                <w:color w:val="auto"/>
                <w:sz w:val="21"/>
              </w:rPr>
            </w:pPr>
          </w:p>
        </w:tc>
        <w:tc>
          <w:tcPr>
            <w:tcW w:w="1520" w:type="pct"/>
            <w:vAlign w:val="top"/>
          </w:tcPr>
          <w:p w14:paraId="7BD6792D">
            <w:pPr>
              <w:pStyle w:val="253"/>
              <w:autoSpaceDE w:val="0"/>
              <w:autoSpaceDN w:val="0"/>
              <w:spacing w:before="41" w:line="219" w:lineRule="auto"/>
              <w:ind w:left="621"/>
              <w:rPr>
                <w:rFonts w:hint="eastAsia" w:ascii="宋体" w:hAnsi="宋体" w:eastAsia="宋体" w:cs="宋体"/>
                <w:color w:val="auto"/>
              </w:rPr>
            </w:pPr>
            <w:r>
              <w:rPr>
                <w:rFonts w:hint="eastAsia" w:ascii="宋体" w:hAnsi="宋体" w:eastAsia="宋体" w:cs="宋体"/>
                <w:color w:val="auto"/>
                <w:spacing w:val="-7"/>
              </w:rPr>
              <w:t>水箱</w:t>
            </w:r>
          </w:p>
        </w:tc>
        <w:tc>
          <w:tcPr>
            <w:tcW w:w="570" w:type="pct"/>
            <w:vAlign w:val="top"/>
          </w:tcPr>
          <w:p w14:paraId="379F3918">
            <w:pPr>
              <w:pStyle w:val="253"/>
              <w:autoSpaceDE w:val="0"/>
              <w:autoSpaceDN w:val="0"/>
              <w:spacing w:before="41" w:line="221" w:lineRule="auto"/>
              <w:ind w:left="194"/>
              <w:rPr>
                <w:rFonts w:hint="eastAsia" w:ascii="宋体" w:hAnsi="宋体" w:eastAsia="宋体" w:cs="宋体"/>
                <w:color w:val="auto"/>
              </w:rPr>
            </w:pPr>
            <w:r>
              <w:rPr>
                <w:rFonts w:hint="eastAsia" w:ascii="宋体" w:hAnsi="宋体" w:eastAsia="宋体" w:cs="宋体"/>
                <w:color w:val="auto"/>
              </w:rPr>
              <w:t>台</w:t>
            </w:r>
          </w:p>
        </w:tc>
        <w:tc>
          <w:tcPr>
            <w:tcW w:w="573" w:type="pct"/>
            <w:vAlign w:val="top"/>
          </w:tcPr>
          <w:p w14:paraId="219CADE0">
            <w:pPr>
              <w:autoSpaceDE w:val="0"/>
              <w:autoSpaceDN w:val="0"/>
              <w:spacing w:before="89" w:line="188" w:lineRule="auto"/>
              <w:ind w:left="254"/>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3CBEB20D">
      <w:pPr>
        <w:pStyle w:val="17"/>
        <w:spacing w:line="304" w:lineRule="auto"/>
        <w:rPr>
          <w:rFonts w:hint="eastAsia" w:ascii="宋体" w:hAnsi="宋体" w:eastAsia="宋体" w:cs="宋体"/>
          <w:color w:val="auto"/>
        </w:rPr>
      </w:pPr>
    </w:p>
    <w:p w14:paraId="5F273275">
      <w:pPr>
        <w:spacing w:before="78" w:line="220" w:lineRule="auto"/>
        <w:ind w:left="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7.</w:t>
      </w:r>
      <w:r>
        <w:rPr>
          <w:rFonts w:hint="eastAsia" w:ascii="宋体" w:hAnsi="宋体" w:eastAsia="宋体" w:cs="宋体"/>
          <w:b/>
          <w:bCs/>
          <w:color w:val="auto"/>
          <w:spacing w:val="-23"/>
          <w:sz w:val="24"/>
          <w:szCs w:val="24"/>
        </w:rPr>
        <w:t xml:space="preserve"> </w:t>
      </w:r>
      <w:r>
        <w:rPr>
          <w:rFonts w:hint="eastAsia" w:ascii="宋体" w:hAnsi="宋体" w:eastAsia="宋体" w:cs="宋体"/>
          <w:b/>
          <w:bCs/>
          <w:color w:val="auto"/>
          <w:spacing w:val="-8"/>
          <w:sz w:val="24"/>
          <w:szCs w:val="24"/>
        </w:rPr>
        <w:t>电梯统计表</w:t>
      </w:r>
    </w:p>
    <w:p w14:paraId="1D6BAD70">
      <w:pPr>
        <w:spacing w:before="9"/>
        <w:rPr>
          <w:rFonts w:hint="eastAsia" w:ascii="宋体" w:hAnsi="宋体" w:eastAsia="宋体" w:cs="宋体"/>
          <w:color w:val="auto"/>
        </w:rPr>
      </w:pPr>
    </w:p>
    <w:tbl>
      <w:tblPr>
        <w:tblStyle w:val="25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737"/>
        <w:gridCol w:w="2489"/>
        <w:gridCol w:w="3138"/>
      </w:tblGrid>
      <w:tr w14:paraId="7FA0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95" w:type="pct"/>
            <w:tcBorders>
              <w:top w:val="single" w:color="000000" w:sz="6" w:space="0"/>
              <w:left w:val="single" w:color="000000" w:sz="6" w:space="0"/>
            </w:tcBorders>
            <w:vAlign w:val="top"/>
          </w:tcPr>
          <w:p w14:paraId="57AF73CE">
            <w:pPr>
              <w:pStyle w:val="253"/>
              <w:autoSpaceDE w:val="0"/>
              <w:autoSpaceDN w:val="0"/>
              <w:spacing w:before="41" w:line="221" w:lineRule="auto"/>
              <w:ind w:left="899"/>
              <w:rPr>
                <w:rFonts w:hint="eastAsia" w:ascii="宋体" w:hAnsi="宋体" w:eastAsia="宋体" w:cs="宋体"/>
                <w:color w:val="auto"/>
              </w:rPr>
            </w:pPr>
            <w:r>
              <w:rPr>
                <w:rFonts w:hint="eastAsia" w:ascii="宋体" w:hAnsi="宋体" w:eastAsia="宋体" w:cs="宋体"/>
                <w:color w:val="auto"/>
                <w:spacing w:val="-5"/>
              </w:rPr>
              <w:t>位置</w:t>
            </w:r>
          </w:p>
        </w:tc>
        <w:tc>
          <w:tcPr>
            <w:tcW w:w="1329" w:type="pct"/>
            <w:tcBorders>
              <w:top w:val="single" w:color="000000" w:sz="6" w:space="0"/>
            </w:tcBorders>
            <w:vAlign w:val="top"/>
          </w:tcPr>
          <w:p w14:paraId="42EBB0AC">
            <w:pPr>
              <w:pStyle w:val="253"/>
              <w:autoSpaceDE w:val="0"/>
              <w:autoSpaceDN w:val="0"/>
              <w:spacing w:before="42" w:line="219" w:lineRule="auto"/>
              <w:ind w:left="292"/>
              <w:rPr>
                <w:rFonts w:hint="eastAsia" w:ascii="宋体" w:hAnsi="宋体" w:eastAsia="宋体" w:cs="宋体"/>
                <w:color w:val="auto"/>
              </w:rPr>
            </w:pPr>
            <w:r>
              <w:rPr>
                <w:rFonts w:hint="eastAsia" w:ascii="宋体" w:hAnsi="宋体" w:eastAsia="宋体" w:cs="宋体"/>
                <w:color w:val="auto"/>
                <w:spacing w:val="-10"/>
              </w:rPr>
              <w:t>电梯编号</w:t>
            </w:r>
          </w:p>
        </w:tc>
        <w:tc>
          <w:tcPr>
            <w:tcW w:w="1675" w:type="pct"/>
            <w:tcBorders>
              <w:top w:val="single" w:color="000000" w:sz="6" w:space="0"/>
            </w:tcBorders>
            <w:vAlign w:val="top"/>
          </w:tcPr>
          <w:p w14:paraId="36ACA7C8">
            <w:pPr>
              <w:pStyle w:val="253"/>
              <w:autoSpaceDE w:val="0"/>
              <w:autoSpaceDN w:val="0"/>
              <w:spacing w:before="42" w:line="219" w:lineRule="auto"/>
              <w:ind w:left="591"/>
              <w:rPr>
                <w:rFonts w:hint="eastAsia" w:ascii="宋体" w:hAnsi="宋体" w:eastAsia="宋体" w:cs="宋体"/>
                <w:color w:val="auto"/>
              </w:rPr>
            </w:pPr>
            <w:r>
              <w:rPr>
                <w:rFonts w:hint="eastAsia" w:ascii="宋体" w:hAnsi="宋体" w:eastAsia="宋体" w:cs="宋体"/>
                <w:color w:val="auto"/>
                <w:spacing w:val="-4"/>
              </w:rPr>
              <w:t>层站门</w:t>
            </w:r>
          </w:p>
        </w:tc>
      </w:tr>
      <w:tr w14:paraId="32169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95" w:type="pct"/>
            <w:vMerge w:val="restart"/>
            <w:tcBorders>
              <w:bottom w:val="nil"/>
            </w:tcBorders>
            <w:vAlign w:val="top"/>
          </w:tcPr>
          <w:p w14:paraId="7B8C9013">
            <w:pPr>
              <w:autoSpaceDE w:val="0"/>
              <w:autoSpaceDN w:val="0"/>
              <w:spacing w:line="334" w:lineRule="auto"/>
              <w:rPr>
                <w:rFonts w:hint="eastAsia" w:ascii="宋体" w:hAnsi="宋体" w:eastAsia="宋体" w:cs="宋体"/>
                <w:color w:val="auto"/>
                <w:sz w:val="21"/>
              </w:rPr>
            </w:pPr>
          </w:p>
          <w:p w14:paraId="371AAD6D">
            <w:pPr>
              <w:autoSpaceDE w:val="0"/>
              <w:autoSpaceDN w:val="0"/>
              <w:spacing w:line="335" w:lineRule="auto"/>
              <w:rPr>
                <w:rFonts w:hint="eastAsia" w:ascii="宋体" w:hAnsi="宋体" w:eastAsia="宋体" w:cs="宋体"/>
                <w:color w:val="auto"/>
                <w:sz w:val="21"/>
              </w:rPr>
            </w:pPr>
          </w:p>
          <w:p w14:paraId="1500B4C7">
            <w:pPr>
              <w:pStyle w:val="253"/>
              <w:autoSpaceDE w:val="0"/>
              <w:autoSpaceDN w:val="0"/>
              <w:spacing w:before="78" w:line="219" w:lineRule="auto"/>
              <w:ind w:left="469"/>
              <w:rPr>
                <w:rFonts w:hint="eastAsia" w:ascii="宋体" w:hAnsi="宋体" w:eastAsia="宋体" w:cs="宋体"/>
                <w:color w:val="auto"/>
              </w:rPr>
            </w:pPr>
            <w:r>
              <w:rPr>
                <w:rFonts w:hint="eastAsia" w:ascii="宋体" w:hAnsi="宋体" w:eastAsia="宋体" w:cs="宋体"/>
                <w:color w:val="auto"/>
                <w:spacing w:val="-5"/>
              </w:rPr>
              <w:t>1 层大厅南北</w:t>
            </w:r>
          </w:p>
        </w:tc>
        <w:tc>
          <w:tcPr>
            <w:tcW w:w="1329" w:type="pct"/>
            <w:vAlign w:val="top"/>
          </w:tcPr>
          <w:p w14:paraId="08ED9D4C">
            <w:pPr>
              <w:pStyle w:val="253"/>
              <w:autoSpaceDE w:val="0"/>
              <w:autoSpaceDN w:val="0"/>
              <w:spacing w:before="35" w:line="221" w:lineRule="auto"/>
              <w:ind w:left="551"/>
              <w:rPr>
                <w:rFonts w:hint="eastAsia" w:ascii="宋体" w:hAnsi="宋体" w:eastAsia="宋体" w:cs="宋体"/>
                <w:color w:val="auto"/>
              </w:rPr>
            </w:pPr>
            <w:r>
              <w:rPr>
                <w:rFonts w:hint="eastAsia" w:ascii="宋体" w:hAnsi="宋体" w:eastAsia="宋体" w:cs="宋体"/>
                <w:color w:val="auto"/>
                <w:spacing w:val="-15"/>
              </w:rPr>
              <w:t>1</w:t>
            </w:r>
            <w:r>
              <w:rPr>
                <w:rFonts w:hint="eastAsia" w:ascii="宋体" w:hAnsi="宋体" w:eastAsia="宋体" w:cs="宋体"/>
                <w:color w:val="auto"/>
                <w:spacing w:val="16"/>
              </w:rPr>
              <w:t xml:space="preserve"> </w:t>
            </w:r>
            <w:r>
              <w:rPr>
                <w:rFonts w:hint="eastAsia" w:ascii="宋体" w:hAnsi="宋体" w:eastAsia="宋体" w:cs="宋体"/>
                <w:color w:val="auto"/>
                <w:spacing w:val="-15"/>
              </w:rPr>
              <w:t>号</w:t>
            </w:r>
          </w:p>
        </w:tc>
        <w:tc>
          <w:tcPr>
            <w:tcW w:w="1675" w:type="pct"/>
            <w:vAlign w:val="top"/>
          </w:tcPr>
          <w:p w14:paraId="06D00DCC">
            <w:pPr>
              <w:pStyle w:val="253"/>
              <w:autoSpaceDE w:val="0"/>
              <w:autoSpaceDN w:val="0"/>
              <w:spacing w:before="36" w:line="219" w:lineRule="auto"/>
              <w:ind w:left="500"/>
              <w:rPr>
                <w:rFonts w:hint="eastAsia" w:ascii="宋体" w:hAnsi="宋体" w:eastAsia="宋体" w:cs="宋体"/>
                <w:color w:val="auto"/>
              </w:rPr>
            </w:pPr>
            <w:r>
              <w:rPr>
                <w:rFonts w:hint="eastAsia" w:ascii="宋体" w:hAnsi="宋体" w:eastAsia="宋体" w:cs="宋体"/>
                <w:color w:val="auto"/>
                <w:spacing w:val="-8"/>
              </w:rPr>
              <w:t>7</w:t>
            </w:r>
            <w:r>
              <w:rPr>
                <w:rFonts w:hint="eastAsia" w:ascii="宋体" w:hAnsi="宋体" w:eastAsia="宋体" w:cs="宋体"/>
                <w:color w:val="auto"/>
                <w:spacing w:val="11"/>
              </w:rPr>
              <w:t xml:space="preserve"> </w:t>
            </w:r>
            <w:r>
              <w:rPr>
                <w:rFonts w:hint="eastAsia" w:ascii="宋体" w:hAnsi="宋体" w:eastAsia="宋体" w:cs="宋体"/>
                <w:color w:val="auto"/>
                <w:spacing w:val="-8"/>
              </w:rPr>
              <w:t>层</w:t>
            </w:r>
            <w:r>
              <w:rPr>
                <w:rFonts w:hint="eastAsia" w:ascii="宋体" w:hAnsi="宋体" w:eastAsia="宋体" w:cs="宋体"/>
                <w:color w:val="auto"/>
                <w:spacing w:val="-49"/>
              </w:rPr>
              <w:t xml:space="preserve"> </w:t>
            </w:r>
            <w:r>
              <w:rPr>
                <w:rFonts w:hint="eastAsia" w:ascii="宋体" w:hAnsi="宋体" w:eastAsia="宋体" w:cs="宋体"/>
                <w:color w:val="auto"/>
                <w:spacing w:val="-8"/>
              </w:rPr>
              <w:t>6</w:t>
            </w:r>
            <w:r>
              <w:rPr>
                <w:rFonts w:hint="eastAsia" w:ascii="宋体" w:hAnsi="宋体" w:eastAsia="宋体" w:cs="宋体"/>
                <w:color w:val="auto"/>
                <w:spacing w:val="10"/>
              </w:rPr>
              <w:t xml:space="preserve"> </w:t>
            </w:r>
            <w:r>
              <w:rPr>
                <w:rFonts w:hint="eastAsia" w:ascii="宋体" w:hAnsi="宋体" w:eastAsia="宋体" w:cs="宋体"/>
                <w:color w:val="auto"/>
                <w:spacing w:val="-8"/>
              </w:rPr>
              <w:t>站</w:t>
            </w:r>
          </w:p>
        </w:tc>
      </w:tr>
      <w:tr w14:paraId="172CA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95" w:type="pct"/>
            <w:vMerge w:val="continue"/>
            <w:tcBorders>
              <w:top w:val="nil"/>
              <w:bottom w:val="nil"/>
            </w:tcBorders>
            <w:vAlign w:val="top"/>
          </w:tcPr>
          <w:p w14:paraId="062D52A7">
            <w:pPr>
              <w:autoSpaceDE w:val="0"/>
              <w:autoSpaceDN w:val="0"/>
              <w:rPr>
                <w:rFonts w:hint="eastAsia" w:ascii="宋体" w:hAnsi="宋体" w:eastAsia="宋体" w:cs="宋体"/>
                <w:color w:val="auto"/>
                <w:sz w:val="21"/>
              </w:rPr>
            </w:pPr>
          </w:p>
        </w:tc>
        <w:tc>
          <w:tcPr>
            <w:tcW w:w="1329" w:type="pct"/>
            <w:vAlign w:val="top"/>
          </w:tcPr>
          <w:p w14:paraId="18FF29CB">
            <w:pPr>
              <w:pStyle w:val="253"/>
              <w:autoSpaceDE w:val="0"/>
              <w:autoSpaceDN w:val="0"/>
              <w:spacing w:before="37" w:line="221" w:lineRule="auto"/>
              <w:ind w:left="528"/>
              <w:rPr>
                <w:rFonts w:hint="eastAsia" w:ascii="宋体" w:hAnsi="宋体" w:eastAsia="宋体" w:cs="宋体"/>
                <w:color w:val="auto"/>
              </w:rPr>
            </w:pPr>
            <w:r>
              <w:rPr>
                <w:rFonts w:hint="eastAsia" w:ascii="宋体" w:hAnsi="宋体" w:eastAsia="宋体" w:cs="宋体"/>
                <w:color w:val="auto"/>
                <w:spacing w:val="-3"/>
              </w:rPr>
              <w:t>2</w:t>
            </w:r>
            <w:r>
              <w:rPr>
                <w:rFonts w:hint="eastAsia" w:ascii="宋体" w:hAnsi="宋体" w:eastAsia="宋体" w:cs="宋体"/>
                <w:color w:val="auto"/>
                <w:spacing w:val="15"/>
              </w:rPr>
              <w:t xml:space="preserve"> </w:t>
            </w:r>
            <w:r>
              <w:rPr>
                <w:rFonts w:hint="eastAsia" w:ascii="宋体" w:hAnsi="宋体" w:eastAsia="宋体" w:cs="宋体"/>
                <w:color w:val="auto"/>
                <w:spacing w:val="-3"/>
              </w:rPr>
              <w:t>号</w:t>
            </w:r>
          </w:p>
        </w:tc>
        <w:tc>
          <w:tcPr>
            <w:tcW w:w="1675" w:type="pct"/>
            <w:vAlign w:val="top"/>
          </w:tcPr>
          <w:p w14:paraId="1B673ABE">
            <w:pPr>
              <w:pStyle w:val="253"/>
              <w:autoSpaceDE w:val="0"/>
              <w:autoSpaceDN w:val="0"/>
              <w:spacing w:before="38" w:line="219" w:lineRule="auto"/>
              <w:ind w:left="500"/>
              <w:rPr>
                <w:rFonts w:hint="eastAsia" w:ascii="宋体" w:hAnsi="宋体" w:eastAsia="宋体" w:cs="宋体"/>
                <w:color w:val="auto"/>
              </w:rPr>
            </w:pPr>
            <w:r>
              <w:rPr>
                <w:rFonts w:hint="eastAsia" w:ascii="宋体" w:hAnsi="宋体" w:eastAsia="宋体" w:cs="宋体"/>
                <w:color w:val="auto"/>
                <w:spacing w:val="-8"/>
              </w:rPr>
              <w:t>7</w:t>
            </w:r>
            <w:r>
              <w:rPr>
                <w:rFonts w:hint="eastAsia" w:ascii="宋体" w:hAnsi="宋体" w:eastAsia="宋体" w:cs="宋体"/>
                <w:color w:val="auto"/>
                <w:spacing w:val="11"/>
              </w:rPr>
              <w:t xml:space="preserve"> </w:t>
            </w:r>
            <w:r>
              <w:rPr>
                <w:rFonts w:hint="eastAsia" w:ascii="宋体" w:hAnsi="宋体" w:eastAsia="宋体" w:cs="宋体"/>
                <w:color w:val="auto"/>
                <w:spacing w:val="-8"/>
              </w:rPr>
              <w:t>层</w:t>
            </w:r>
            <w:r>
              <w:rPr>
                <w:rFonts w:hint="eastAsia" w:ascii="宋体" w:hAnsi="宋体" w:eastAsia="宋体" w:cs="宋体"/>
                <w:color w:val="auto"/>
                <w:spacing w:val="-49"/>
              </w:rPr>
              <w:t xml:space="preserve"> </w:t>
            </w:r>
            <w:r>
              <w:rPr>
                <w:rFonts w:hint="eastAsia" w:ascii="宋体" w:hAnsi="宋体" w:eastAsia="宋体" w:cs="宋体"/>
                <w:color w:val="auto"/>
                <w:spacing w:val="-8"/>
              </w:rPr>
              <w:t>6</w:t>
            </w:r>
            <w:r>
              <w:rPr>
                <w:rFonts w:hint="eastAsia" w:ascii="宋体" w:hAnsi="宋体" w:eastAsia="宋体" w:cs="宋体"/>
                <w:color w:val="auto"/>
                <w:spacing w:val="10"/>
              </w:rPr>
              <w:t xml:space="preserve"> </w:t>
            </w:r>
            <w:r>
              <w:rPr>
                <w:rFonts w:hint="eastAsia" w:ascii="宋体" w:hAnsi="宋体" w:eastAsia="宋体" w:cs="宋体"/>
                <w:color w:val="auto"/>
                <w:spacing w:val="-8"/>
              </w:rPr>
              <w:t>站</w:t>
            </w:r>
          </w:p>
        </w:tc>
      </w:tr>
      <w:tr w14:paraId="7114D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95" w:type="pct"/>
            <w:vMerge w:val="continue"/>
            <w:tcBorders>
              <w:top w:val="nil"/>
              <w:bottom w:val="nil"/>
            </w:tcBorders>
            <w:vAlign w:val="top"/>
          </w:tcPr>
          <w:p w14:paraId="09464794">
            <w:pPr>
              <w:autoSpaceDE w:val="0"/>
              <w:autoSpaceDN w:val="0"/>
              <w:rPr>
                <w:rFonts w:hint="eastAsia" w:ascii="宋体" w:hAnsi="宋体" w:eastAsia="宋体" w:cs="宋体"/>
                <w:color w:val="auto"/>
                <w:sz w:val="21"/>
              </w:rPr>
            </w:pPr>
          </w:p>
        </w:tc>
        <w:tc>
          <w:tcPr>
            <w:tcW w:w="1329" w:type="pct"/>
            <w:vAlign w:val="top"/>
          </w:tcPr>
          <w:p w14:paraId="054CE028">
            <w:pPr>
              <w:pStyle w:val="253"/>
              <w:autoSpaceDE w:val="0"/>
              <w:autoSpaceDN w:val="0"/>
              <w:spacing w:before="36" w:line="221" w:lineRule="auto"/>
              <w:ind w:left="533"/>
              <w:rPr>
                <w:rFonts w:hint="eastAsia" w:ascii="宋体" w:hAnsi="宋体" w:eastAsia="宋体" w:cs="宋体"/>
                <w:color w:val="auto"/>
              </w:rPr>
            </w:pPr>
            <w:r>
              <w:rPr>
                <w:rFonts w:hint="eastAsia" w:ascii="宋体" w:hAnsi="宋体" w:eastAsia="宋体" w:cs="宋体"/>
                <w:color w:val="auto"/>
                <w:spacing w:val="-5"/>
              </w:rPr>
              <w:t>3</w:t>
            </w:r>
            <w:r>
              <w:rPr>
                <w:rFonts w:hint="eastAsia" w:ascii="宋体" w:hAnsi="宋体" w:eastAsia="宋体" w:cs="宋体"/>
                <w:color w:val="auto"/>
                <w:spacing w:val="15"/>
              </w:rPr>
              <w:t xml:space="preserve"> </w:t>
            </w:r>
            <w:r>
              <w:rPr>
                <w:rFonts w:hint="eastAsia" w:ascii="宋体" w:hAnsi="宋体" w:eastAsia="宋体" w:cs="宋体"/>
                <w:color w:val="auto"/>
                <w:spacing w:val="-5"/>
              </w:rPr>
              <w:t>号</w:t>
            </w:r>
          </w:p>
        </w:tc>
        <w:tc>
          <w:tcPr>
            <w:tcW w:w="1675" w:type="pct"/>
            <w:vAlign w:val="top"/>
          </w:tcPr>
          <w:p w14:paraId="177ABEBE">
            <w:pPr>
              <w:pStyle w:val="253"/>
              <w:autoSpaceDE w:val="0"/>
              <w:autoSpaceDN w:val="0"/>
              <w:spacing w:before="37" w:line="219" w:lineRule="auto"/>
              <w:ind w:left="500"/>
              <w:rPr>
                <w:rFonts w:hint="eastAsia" w:ascii="宋体" w:hAnsi="宋体" w:eastAsia="宋体" w:cs="宋体"/>
                <w:color w:val="auto"/>
              </w:rPr>
            </w:pPr>
            <w:r>
              <w:rPr>
                <w:rFonts w:hint="eastAsia" w:ascii="宋体" w:hAnsi="宋体" w:eastAsia="宋体" w:cs="宋体"/>
                <w:color w:val="auto"/>
                <w:spacing w:val="-8"/>
              </w:rPr>
              <w:t>7</w:t>
            </w:r>
            <w:r>
              <w:rPr>
                <w:rFonts w:hint="eastAsia" w:ascii="宋体" w:hAnsi="宋体" w:eastAsia="宋体" w:cs="宋体"/>
                <w:color w:val="auto"/>
                <w:spacing w:val="11"/>
              </w:rPr>
              <w:t xml:space="preserve"> </w:t>
            </w:r>
            <w:r>
              <w:rPr>
                <w:rFonts w:hint="eastAsia" w:ascii="宋体" w:hAnsi="宋体" w:eastAsia="宋体" w:cs="宋体"/>
                <w:color w:val="auto"/>
                <w:spacing w:val="-8"/>
              </w:rPr>
              <w:t>层</w:t>
            </w:r>
            <w:r>
              <w:rPr>
                <w:rFonts w:hint="eastAsia" w:ascii="宋体" w:hAnsi="宋体" w:eastAsia="宋体" w:cs="宋体"/>
                <w:color w:val="auto"/>
                <w:spacing w:val="-49"/>
              </w:rPr>
              <w:t xml:space="preserve"> </w:t>
            </w:r>
            <w:r>
              <w:rPr>
                <w:rFonts w:hint="eastAsia" w:ascii="宋体" w:hAnsi="宋体" w:eastAsia="宋体" w:cs="宋体"/>
                <w:color w:val="auto"/>
                <w:spacing w:val="-8"/>
              </w:rPr>
              <w:t>6</w:t>
            </w:r>
            <w:r>
              <w:rPr>
                <w:rFonts w:hint="eastAsia" w:ascii="宋体" w:hAnsi="宋体" w:eastAsia="宋体" w:cs="宋体"/>
                <w:color w:val="auto"/>
                <w:spacing w:val="10"/>
              </w:rPr>
              <w:t xml:space="preserve"> </w:t>
            </w:r>
            <w:r>
              <w:rPr>
                <w:rFonts w:hint="eastAsia" w:ascii="宋体" w:hAnsi="宋体" w:eastAsia="宋体" w:cs="宋体"/>
                <w:color w:val="auto"/>
                <w:spacing w:val="-8"/>
              </w:rPr>
              <w:t>站</w:t>
            </w:r>
          </w:p>
        </w:tc>
      </w:tr>
      <w:tr w14:paraId="3E3C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95" w:type="pct"/>
            <w:vMerge w:val="continue"/>
            <w:tcBorders>
              <w:top w:val="nil"/>
            </w:tcBorders>
            <w:vAlign w:val="top"/>
          </w:tcPr>
          <w:p w14:paraId="14F58A9E">
            <w:pPr>
              <w:autoSpaceDE w:val="0"/>
              <w:autoSpaceDN w:val="0"/>
              <w:rPr>
                <w:rFonts w:hint="eastAsia" w:ascii="宋体" w:hAnsi="宋体" w:eastAsia="宋体" w:cs="宋体"/>
                <w:color w:val="auto"/>
                <w:sz w:val="21"/>
              </w:rPr>
            </w:pPr>
          </w:p>
        </w:tc>
        <w:tc>
          <w:tcPr>
            <w:tcW w:w="1329" w:type="pct"/>
            <w:vAlign w:val="top"/>
          </w:tcPr>
          <w:p w14:paraId="6F30A756">
            <w:pPr>
              <w:pStyle w:val="253"/>
              <w:autoSpaceDE w:val="0"/>
              <w:autoSpaceDN w:val="0"/>
              <w:spacing w:before="38" w:line="221" w:lineRule="auto"/>
              <w:ind w:left="527"/>
              <w:rPr>
                <w:rFonts w:hint="eastAsia" w:ascii="宋体" w:hAnsi="宋体" w:eastAsia="宋体" w:cs="宋体"/>
                <w:color w:val="auto"/>
              </w:rPr>
            </w:pPr>
            <w:r>
              <w:rPr>
                <w:rFonts w:hint="eastAsia" w:ascii="宋体" w:hAnsi="宋体" w:eastAsia="宋体" w:cs="宋体"/>
                <w:color w:val="auto"/>
                <w:spacing w:val="-2"/>
              </w:rPr>
              <w:t>4</w:t>
            </w:r>
            <w:r>
              <w:rPr>
                <w:rFonts w:hint="eastAsia" w:ascii="宋体" w:hAnsi="宋体" w:eastAsia="宋体" w:cs="宋体"/>
                <w:color w:val="auto"/>
                <w:spacing w:val="15"/>
              </w:rPr>
              <w:t xml:space="preserve"> </w:t>
            </w:r>
            <w:r>
              <w:rPr>
                <w:rFonts w:hint="eastAsia" w:ascii="宋体" w:hAnsi="宋体" w:eastAsia="宋体" w:cs="宋体"/>
                <w:color w:val="auto"/>
                <w:spacing w:val="-2"/>
              </w:rPr>
              <w:t>号</w:t>
            </w:r>
          </w:p>
        </w:tc>
        <w:tc>
          <w:tcPr>
            <w:tcW w:w="1675" w:type="pct"/>
            <w:vAlign w:val="top"/>
          </w:tcPr>
          <w:p w14:paraId="0C3A91CC">
            <w:pPr>
              <w:pStyle w:val="253"/>
              <w:autoSpaceDE w:val="0"/>
              <w:autoSpaceDN w:val="0"/>
              <w:spacing w:before="38" w:line="219" w:lineRule="auto"/>
              <w:ind w:left="500"/>
              <w:rPr>
                <w:rFonts w:hint="eastAsia" w:ascii="宋体" w:hAnsi="宋体" w:eastAsia="宋体" w:cs="宋体"/>
                <w:color w:val="auto"/>
              </w:rPr>
            </w:pPr>
            <w:r>
              <w:rPr>
                <w:rFonts w:hint="eastAsia" w:ascii="宋体" w:hAnsi="宋体" w:eastAsia="宋体" w:cs="宋体"/>
                <w:color w:val="auto"/>
                <w:spacing w:val="-8"/>
              </w:rPr>
              <w:t>7</w:t>
            </w:r>
            <w:r>
              <w:rPr>
                <w:rFonts w:hint="eastAsia" w:ascii="宋体" w:hAnsi="宋体" w:eastAsia="宋体" w:cs="宋体"/>
                <w:color w:val="auto"/>
                <w:spacing w:val="11"/>
              </w:rPr>
              <w:t xml:space="preserve"> </w:t>
            </w:r>
            <w:r>
              <w:rPr>
                <w:rFonts w:hint="eastAsia" w:ascii="宋体" w:hAnsi="宋体" w:eastAsia="宋体" w:cs="宋体"/>
                <w:color w:val="auto"/>
                <w:spacing w:val="-8"/>
              </w:rPr>
              <w:t>层</w:t>
            </w:r>
            <w:r>
              <w:rPr>
                <w:rFonts w:hint="eastAsia" w:ascii="宋体" w:hAnsi="宋体" w:eastAsia="宋体" w:cs="宋体"/>
                <w:color w:val="auto"/>
                <w:spacing w:val="-49"/>
              </w:rPr>
              <w:t xml:space="preserve"> </w:t>
            </w:r>
            <w:r>
              <w:rPr>
                <w:rFonts w:hint="eastAsia" w:ascii="宋体" w:hAnsi="宋体" w:eastAsia="宋体" w:cs="宋体"/>
                <w:color w:val="auto"/>
                <w:spacing w:val="-8"/>
              </w:rPr>
              <w:t>6</w:t>
            </w:r>
            <w:r>
              <w:rPr>
                <w:rFonts w:hint="eastAsia" w:ascii="宋体" w:hAnsi="宋体" w:eastAsia="宋体" w:cs="宋体"/>
                <w:color w:val="auto"/>
                <w:spacing w:val="10"/>
              </w:rPr>
              <w:t xml:space="preserve"> </w:t>
            </w:r>
            <w:r>
              <w:rPr>
                <w:rFonts w:hint="eastAsia" w:ascii="宋体" w:hAnsi="宋体" w:eastAsia="宋体" w:cs="宋体"/>
                <w:color w:val="auto"/>
                <w:spacing w:val="-8"/>
              </w:rPr>
              <w:t>站</w:t>
            </w:r>
          </w:p>
        </w:tc>
      </w:tr>
      <w:tr w14:paraId="1DC1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5" w:type="pct"/>
            <w:vMerge w:val="restart"/>
            <w:tcBorders>
              <w:bottom w:val="nil"/>
            </w:tcBorders>
            <w:vAlign w:val="top"/>
          </w:tcPr>
          <w:p w14:paraId="600F5045">
            <w:pPr>
              <w:autoSpaceDE w:val="0"/>
              <w:autoSpaceDN w:val="0"/>
              <w:spacing w:line="435" w:lineRule="auto"/>
              <w:rPr>
                <w:rFonts w:hint="eastAsia" w:ascii="宋体" w:hAnsi="宋体" w:eastAsia="宋体" w:cs="宋体"/>
                <w:color w:val="auto"/>
                <w:sz w:val="21"/>
              </w:rPr>
            </w:pPr>
          </w:p>
          <w:p w14:paraId="2ED3D65B">
            <w:pPr>
              <w:pStyle w:val="253"/>
              <w:autoSpaceDE w:val="0"/>
              <w:autoSpaceDN w:val="0"/>
              <w:spacing w:before="78" w:line="219" w:lineRule="auto"/>
              <w:ind w:left="709"/>
              <w:rPr>
                <w:rFonts w:hint="eastAsia" w:ascii="宋体" w:hAnsi="宋体" w:eastAsia="宋体" w:cs="宋体"/>
                <w:color w:val="auto"/>
              </w:rPr>
            </w:pPr>
            <w:r>
              <w:rPr>
                <w:rFonts w:hint="eastAsia" w:ascii="宋体" w:hAnsi="宋体" w:eastAsia="宋体" w:cs="宋体"/>
                <w:color w:val="auto"/>
                <w:spacing w:val="-10"/>
              </w:rPr>
              <w:t>1</w:t>
            </w:r>
            <w:r>
              <w:rPr>
                <w:rFonts w:hint="eastAsia" w:ascii="宋体" w:hAnsi="宋体" w:eastAsia="宋体" w:cs="宋体"/>
                <w:color w:val="auto"/>
                <w:spacing w:val="10"/>
              </w:rPr>
              <w:t xml:space="preserve"> </w:t>
            </w:r>
            <w:r>
              <w:rPr>
                <w:rFonts w:hint="eastAsia" w:ascii="宋体" w:hAnsi="宋体" w:eastAsia="宋体" w:cs="宋体"/>
                <w:color w:val="auto"/>
                <w:spacing w:val="-10"/>
              </w:rPr>
              <w:t>层食堂</w:t>
            </w:r>
          </w:p>
        </w:tc>
        <w:tc>
          <w:tcPr>
            <w:tcW w:w="1329" w:type="pct"/>
            <w:vAlign w:val="top"/>
          </w:tcPr>
          <w:p w14:paraId="5B25A8C2">
            <w:pPr>
              <w:pStyle w:val="253"/>
              <w:autoSpaceDE w:val="0"/>
              <w:autoSpaceDN w:val="0"/>
              <w:spacing w:before="40" w:line="221" w:lineRule="auto"/>
              <w:ind w:left="534"/>
              <w:rPr>
                <w:rFonts w:hint="eastAsia" w:ascii="宋体" w:hAnsi="宋体" w:eastAsia="宋体" w:cs="宋体"/>
                <w:color w:val="auto"/>
              </w:rPr>
            </w:pPr>
            <w:r>
              <w:rPr>
                <w:rFonts w:hint="eastAsia" w:ascii="宋体" w:hAnsi="宋体" w:eastAsia="宋体" w:cs="宋体"/>
                <w:color w:val="auto"/>
                <w:spacing w:val="-6"/>
              </w:rPr>
              <w:t>5</w:t>
            </w:r>
            <w:r>
              <w:rPr>
                <w:rFonts w:hint="eastAsia" w:ascii="宋体" w:hAnsi="宋体" w:eastAsia="宋体" w:cs="宋体"/>
                <w:color w:val="auto"/>
                <w:spacing w:val="15"/>
              </w:rPr>
              <w:t xml:space="preserve"> </w:t>
            </w:r>
            <w:r>
              <w:rPr>
                <w:rFonts w:hint="eastAsia" w:ascii="宋体" w:hAnsi="宋体" w:eastAsia="宋体" w:cs="宋体"/>
                <w:color w:val="auto"/>
                <w:spacing w:val="-6"/>
              </w:rPr>
              <w:t>号</w:t>
            </w:r>
          </w:p>
        </w:tc>
        <w:tc>
          <w:tcPr>
            <w:tcW w:w="1675" w:type="pct"/>
            <w:vAlign w:val="top"/>
          </w:tcPr>
          <w:p w14:paraId="204C72F8">
            <w:pPr>
              <w:pStyle w:val="253"/>
              <w:autoSpaceDE w:val="0"/>
              <w:autoSpaceDN w:val="0"/>
              <w:spacing w:before="41" w:line="219" w:lineRule="auto"/>
              <w:ind w:left="496"/>
              <w:rPr>
                <w:rFonts w:hint="eastAsia" w:ascii="宋体" w:hAnsi="宋体" w:eastAsia="宋体" w:cs="宋体"/>
                <w:color w:val="auto"/>
              </w:rPr>
            </w:pPr>
            <w:r>
              <w:rPr>
                <w:rFonts w:hint="eastAsia" w:ascii="宋体" w:hAnsi="宋体" w:eastAsia="宋体" w:cs="宋体"/>
                <w:color w:val="auto"/>
                <w:spacing w:val="-5"/>
              </w:rPr>
              <w:t>2</w:t>
            </w:r>
            <w:r>
              <w:rPr>
                <w:rFonts w:hint="eastAsia" w:ascii="宋体" w:hAnsi="宋体" w:eastAsia="宋体" w:cs="宋体"/>
                <w:color w:val="auto"/>
                <w:spacing w:val="9"/>
              </w:rPr>
              <w:t xml:space="preserve"> </w:t>
            </w:r>
            <w:r>
              <w:rPr>
                <w:rFonts w:hint="eastAsia" w:ascii="宋体" w:hAnsi="宋体" w:eastAsia="宋体" w:cs="宋体"/>
                <w:color w:val="auto"/>
                <w:spacing w:val="-5"/>
              </w:rPr>
              <w:t>层</w:t>
            </w:r>
            <w:r>
              <w:rPr>
                <w:rFonts w:hint="eastAsia" w:ascii="宋体" w:hAnsi="宋体" w:eastAsia="宋体" w:cs="宋体"/>
                <w:color w:val="auto"/>
                <w:spacing w:val="-55"/>
              </w:rPr>
              <w:t xml:space="preserve"> </w:t>
            </w:r>
            <w:r>
              <w:rPr>
                <w:rFonts w:hint="eastAsia" w:ascii="宋体" w:hAnsi="宋体" w:eastAsia="宋体" w:cs="宋体"/>
                <w:color w:val="auto"/>
                <w:spacing w:val="-5"/>
              </w:rPr>
              <w:t>2</w:t>
            </w:r>
            <w:r>
              <w:rPr>
                <w:rFonts w:hint="eastAsia" w:ascii="宋体" w:hAnsi="宋体" w:eastAsia="宋体" w:cs="宋体"/>
                <w:color w:val="auto"/>
                <w:spacing w:val="10"/>
              </w:rPr>
              <w:t xml:space="preserve"> </w:t>
            </w:r>
            <w:r>
              <w:rPr>
                <w:rFonts w:hint="eastAsia" w:ascii="宋体" w:hAnsi="宋体" w:eastAsia="宋体" w:cs="宋体"/>
                <w:color w:val="auto"/>
                <w:spacing w:val="-5"/>
              </w:rPr>
              <w:t>站</w:t>
            </w:r>
          </w:p>
        </w:tc>
      </w:tr>
      <w:tr w14:paraId="7EE9D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5" w:type="pct"/>
            <w:vMerge w:val="continue"/>
            <w:tcBorders>
              <w:top w:val="nil"/>
              <w:bottom w:val="nil"/>
            </w:tcBorders>
            <w:vAlign w:val="top"/>
          </w:tcPr>
          <w:p w14:paraId="020EB455">
            <w:pPr>
              <w:autoSpaceDE w:val="0"/>
              <w:autoSpaceDN w:val="0"/>
              <w:rPr>
                <w:rFonts w:hint="eastAsia" w:ascii="宋体" w:hAnsi="宋体" w:eastAsia="宋体" w:cs="宋体"/>
                <w:color w:val="auto"/>
                <w:sz w:val="21"/>
              </w:rPr>
            </w:pPr>
          </w:p>
        </w:tc>
        <w:tc>
          <w:tcPr>
            <w:tcW w:w="1329" w:type="pct"/>
            <w:vAlign w:val="top"/>
          </w:tcPr>
          <w:p w14:paraId="27A1F549">
            <w:pPr>
              <w:pStyle w:val="253"/>
              <w:autoSpaceDE w:val="0"/>
              <w:autoSpaceDN w:val="0"/>
              <w:spacing w:before="41" w:line="221" w:lineRule="auto"/>
              <w:ind w:left="533"/>
              <w:rPr>
                <w:rFonts w:hint="eastAsia" w:ascii="宋体" w:hAnsi="宋体" w:eastAsia="宋体" w:cs="宋体"/>
                <w:color w:val="auto"/>
              </w:rPr>
            </w:pPr>
            <w:r>
              <w:rPr>
                <w:rFonts w:hint="eastAsia" w:ascii="宋体" w:hAnsi="宋体" w:eastAsia="宋体" w:cs="宋体"/>
                <w:color w:val="auto"/>
                <w:spacing w:val="-6"/>
              </w:rPr>
              <w:t>6</w:t>
            </w:r>
            <w:r>
              <w:rPr>
                <w:rFonts w:hint="eastAsia" w:ascii="宋体" w:hAnsi="宋体" w:eastAsia="宋体" w:cs="宋体"/>
                <w:color w:val="auto"/>
                <w:spacing w:val="15"/>
                <w:w w:val="101"/>
              </w:rPr>
              <w:t xml:space="preserve"> </w:t>
            </w:r>
            <w:r>
              <w:rPr>
                <w:rFonts w:hint="eastAsia" w:ascii="宋体" w:hAnsi="宋体" w:eastAsia="宋体" w:cs="宋体"/>
                <w:color w:val="auto"/>
                <w:spacing w:val="-6"/>
              </w:rPr>
              <w:t>号</w:t>
            </w:r>
          </w:p>
        </w:tc>
        <w:tc>
          <w:tcPr>
            <w:tcW w:w="1675" w:type="pct"/>
            <w:vAlign w:val="top"/>
          </w:tcPr>
          <w:p w14:paraId="091C9EF5">
            <w:pPr>
              <w:pStyle w:val="253"/>
              <w:autoSpaceDE w:val="0"/>
              <w:autoSpaceDN w:val="0"/>
              <w:spacing w:before="42" w:line="219" w:lineRule="auto"/>
              <w:ind w:left="496"/>
              <w:rPr>
                <w:rFonts w:hint="eastAsia" w:ascii="宋体" w:hAnsi="宋体" w:eastAsia="宋体" w:cs="宋体"/>
                <w:color w:val="auto"/>
              </w:rPr>
            </w:pPr>
            <w:r>
              <w:rPr>
                <w:rFonts w:hint="eastAsia" w:ascii="宋体" w:hAnsi="宋体" w:eastAsia="宋体" w:cs="宋体"/>
                <w:color w:val="auto"/>
                <w:spacing w:val="-5"/>
              </w:rPr>
              <w:t>2</w:t>
            </w:r>
            <w:r>
              <w:rPr>
                <w:rFonts w:hint="eastAsia" w:ascii="宋体" w:hAnsi="宋体" w:eastAsia="宋体" w:cs="宋体"/>
                <w:color w:val="auto"/>
                <w:spacing w:val="9"/>
              </w:rPr>
              <w:t xml:space="preserve"> </w:t>
            </w:r>
            <w:r>
              <w:rPr>
                <w:rFonts w:hint="eastAsia" w:ascii="宋体" w:hAnsi="宋体" w:eastAsia="宋体" w:cs="宋体"/>
                <w:color w:val="auto"/>
                <w:spacing w:val="-5"/>
              </w:rPr>
              <w:t>层</w:t>
            </w:r>
            <w:r>
              <w:rPr>
                <w:rFonts w:hint="eastAsia" w:ascii="宋体" w:hAnsi="宋体" w:eastAsia="宋体" w:cs="宋体"/>
                <w:color w:val="auto"/>
                <w:spacing w:val="-55"/>
              </w:rPr>
              <w:t xml:space="preserve"> </w:t>
            </w:r>
            <w:r>
              <w:rPr>
                <w:rFonts w:hint="eastAsia" w:ascii="宋体" w:hAnsi="宋体" w:eastAsia="宋体" w:cs="宋体"/>
                <w:color w:val="auto"/>
                <w:spacing w:val="-5"/>
              </w:rPr>
              <w:t>2</w:t>
            </w:r>
            <w:r>
              <w:rPr>
                <w:rFonts w:hint="eastAsia" w:ascii="宋体" w:hAnsi="宋体" w:eastAsia="宋体" w:cs="宋体"/>
                <w:color w:val="auto"/>
                <w:spacing w:val="10"/>
              </w:rPr>
              <w:t xml:space="preserve"> </w:t>
            </w:r>
            <w:r>
              <w:rPr>
                <w:rFonts w:hint="eastAsia" w:ascii="宋体" w:hAnsi="宋体" w:eastAsia="宋体" w:cs="宋体"/>
                <w:color w:val="auto"/>
                <w:spacing w:val="-5"/>
              </w:rPr>
              <w:t>站</w:t>
            </w:r>
          </w:p>
        </w:tc>
      </w:tr>
      <w:tr w14:paraId="05F5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95" w:type="pct"/>
            <w:vMerge w:val="continue"/>
            <w:tcBorders>
              <w:top w:val="nil"/>
            </w:tcBorders>
            <w:vAlign w:val="top"/>
          </w:tcPr>
          <w:p w14:paraId="43F1A2B7">
            <w:pPr>
              <w:autoSpaceDE w:val="0"/>
              <w:autoSpaceDN w:val="0"/>
              <w:rPr>
                <w:rFonts w:hint="eastAsia" w:ascii="宋体" w:hAnsi="宋体" w:eastAsia="宋体" w:cs="宋体"/>
                <w:color w:val="auto"/>
                <w:sz w:val="21"/>
              </w:rPr>
            </w:pPr>
          </w:p>
        </w:tc>
        <w:tc>
          <w:tcPr>
            <w:tcW w:w="1329" w:type="pct"/>
            <w:vAlign w:val="top"/>
          </w:tcPr>
          <w:p w14:paraId="173839E4">
            <w:pPr>
              <w:pStyle w:val="253"/>
              <w:autoSpaceDE w:val="0"/>
              <w:autoSpaceDN w:val="0"/>
              <w:spacing w:before="39" w:line="221" w:lineRule="auto"/>
              <w:ind w:left="533"/>
              <w:outlineLvl w:val="0"/>
              <w:rPr>
                <w:rFonts w:hint="eastAsia" w:ascii="宋体" w:hAnsi="宋体" w:eastAsia="宋体" w:cs="宋体"/>
                <w:color w:val="auto"/>
              </w:rPr>
            </w:pPr>
            <w:r>
              <w:rPr>
                <w:rFonts w:hint="eastAsia" w:ascii="宋体" w:hAnsi="宋体" w:eastAsia="宋体" w:cs="宋体"/>
                <w:color w:val="auto"/>
                <w:spacing w:val="-6"/>
              </w:rPr>
              <w:t>6</w:t>
            </w:r>
            <w:r>
              <w:rPr>
                <w:rFonts w:hint="eastAsia" w:ascii="宋体" w:hAnsi="宋体" w:eastAsia="宋体" w:cs="宋体"/>
                <w:color w:val="auto"/>
                <w:spacing w:val="15"/>
                <w:w w:val="101"/>
              </w:rPr>
              <w:t xml:space="preserve"> </w:t>
            </w:r>
            <w:r>
              <w:rPr>
                <w:rFonts w:hint="eastAsia" w:ascii="宋体" w:hAnsi="宋体" w:eastAsia="宋体" w:cs="宋体"/>
                <w:color w:val="auto"/>
                <w:spacing w:val="-6"/>
              </w:rPr>
              <w:t>号</w:t>
            </w:r>
          </w:p>
        </w:tc>
        <w:tc>
          <w:tcPr>
            <w:tcW w:w="1675" w:type="pct"/>
            <w:vAlign w:val="top"/>
          </w:tcPr>
          <w:p w14:paraId="47CF7BD6">
            <w:pPr>
              <w:pStyle w:val="253"/>
              <w:autoSpaceDE w:val="0"/>
              <w:autoSpaceDN w:val="0"/>
              <w:spacing w:before="40" w:line="219" w:lineRule="auto"/>
              <w:ind w:left="496"/>
              <w:rPr>
                <w:rFonts w:hint="eastAsia" w:ascii="宋体" w:hAnsi="宋体" w:eastAsia="宋体" w:cs="宋体"/>
                <w:color w:val="auto"/>
              </w:rPr>
            </w:pPr>
            <w:r>
              <w:rPr>
                <w:rFonts w:hint="eastAsia" w:ascii="宋体" w:hAnsi="宋体" w:eastAsia="宋体" w:cs="宋体"/>
                <w:color w:val="auto"/>
                <w:spacing w:val="-5"/>
              </w:rPr>
              <w:t>2</w:t>
            </w:r>
            <w:r>
              <w:rPr>
                <w:rFonts w:hint="eastAsia" w:ascii="宋体" w:hAnsi="宋体" w:eastAsia="宋体" w:cs="宋体"/>
                <w:color w:val="auto"/>
                <w:spacing w:val="9"/>
              </w:rPr>
              <w:t xml:space="preserve"> </w:t>
            </w:r>
            <w:r>
              <w:rPr>
                <w:rFonts w:hint="eastAsia" w:ascii="宋体" w:hAnsi="宋体" w:eastAsia="宋体" w:cs="宋体"/>
                <w:color w:val="auto"/>
                <w:spacing w:val="-5"/>
              </w:rPr>
              <w:t>层</w:t>
            </w:r>
            <w:r>
              <w:rPr>
                <w:rFonts w:hint="eastAsia" w:ascii="宋体" w:hAnsi="宋体" w:eastAsia="宋体" w:cs="宋体"/>
                <w:color w:val="auto"/>
                <w:spacing w:val="-55"/>
              </w:rPr>
              <w:t xml:space="preserve"> </w:t>
            </w:r>
            <w:r>
              <w:rPr>
                <w:rFonts w:hint="eastAsia" w:ascii="宋体" w:hAnsi="宋体" w:eastAsia="宋体" w:cs="宋体"/>
                <w:color w:val="auto"/>
                <w:spacing w:val="-5"/>
              </w:rPr>
              <w:t>2</w:t>
            </w:r>
            <w:r>
              <w:rPr>
                <w:rFonts w:hint="eastAsia" w:ascii="宋体" w:hAnsi="宋体" w:eastAsia="宋体" w:cs="宋体"/>
                <w:color w:val="auto"/>
                <w:spacing w:val="10"/>
              </w:rPr>
              <w:t xml:space="preserve"> </w:t>
            </w:r>
            <w:r>
              <w:rPr>
                <w:rFonts w:hint="eastAsia" w:ascii="宋体" w:hAnsi="宋体" w:eastAsia="宋体" w:cs="宋体"/>
                <w:color w:val="auto"/>
                <w:spacing w:val="-5"/>
              </w:rPr>
              <w:t>站</w:t>
            </w:r>
          </w:p>
        </w:tc>
      </w:tr>
    </w:tbl>
    <w:p w14:paraId="4F310DE3">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Cs/>
          <w:spacing w:val="0"/>
          <w:sz w:val="24"/>
          <w:szCs w:val="24"/>
        </w:rPr>
      </w:pPr>
    </w:p>
    <w:p w14:paraId="447C64D7">
      <w:pPr>
        <w:spacing w:line="360" w:lineRule="auto"/>
        <w:jc w:val="center"/>
        <w:outlineLvl w:val="0"/>
        <w:rPr>
          <w:rFonts w:eastAsiaTheme="minorEastAsia"/>
          <w:b/>
          <w:spacing w:val="0"/>
          <w:sz w:val="36"/>
          <w:szCs w:val="36"/>
          <w:highlight w:val="yellow"/>
        </w:rPr>
        <w:sectPr>
          <w:headerReference r:id="rId9" w:type="default"/>
          <w:footerReference r:id="rId10" w:type="default"/>
          <w:pgSz w:w="11906" w:h="16838"/>
          <w:pgMar w:top="1417" w:right="1134" w:bottom="1417" w:left="1417" w:header="851" w:footer="992" w:gutter="0"/>
          <w:pgNumType w:fmt="decimal"/>
          <w:cols w:space="720" w:num="1"/>
          <w:docGrid w:type="lines" w:linePitch="312" w:charSpace="0"/>
        </w:sectPr>
      </w:pPr>
      <w:bookmarkStart w:id="674" w:name="_Toc28338"/>
      <w:bookmarkStart w:id="675" w:name="_Toc27214"/>
    </w:p>
    <w:p w14:paraId="4241B1DE">
      <w:pPr>
        <w:spacing w:line="360" w:lineRule="auto"/>
        <w:jc w:val="center"/>
        <w:outlineLvl w:val="0"/>
        <w:rPr>
          <w:rFonts w:eastAsiaTheme="minorEastAsia"/>
          <w:b/>
          <w:spacing w:val="0"/>
          <w:sz w:val="36"/>
          <w:szCs w:val="36"/>
          <w:highlight w:val="none"/>
        </w:rPr>
      </w:pPr>
      <w:r>
        <w:rPr>
          <w:rFonts w:eastAsiaTheme="minorEastAsia"/>
          <w:b/>
          <w:spacing w:val="0"/>
          <w:sz w:val="36"/>
          <w:szCs w:val="36"/>
          <w:highlight w:val="none"/>
        </w:rPr>
        <w:t>第五章   合同草案条款</w:t>
      </w:r>
      <w:bookmarkEnd w:id="674"/>
      <w:bookmarkEnd w:id="675"/>
    </w:p>
    <w:p w14:paraId="1B349AD2">
      <w:pPr>
        <w:spacing w:line="360" w:lineRule="auto"/>
        <w:jc w:val="center"/>
        <w:outlineLvl w:val="0"/>
        <w:rPr>
          <w:rFonts w:eastAsiaTheme="minorEastAsia"/>
          <w:b/>
          <w:spacing w:val="0"/>
          <w:sz w:val="36"/>
          <w:szCs w:val="36"/>
          <w:highlight w:val="none"/>
        </w:rPr>
      </w:pPr>
    </w:p>
    <w:p w14:paraId="7FB991AD">
      <w:pPr>
        <w:spacing w:line="360" w:lineRule="auto"/>
        <w:jc w:val="center"/>
        <w:outlineLvl w:val="0"/>
        <w:rPr>
          <w:rFonts w:eastAsiaTheme="minorEastAsia"/>
          <w:b/>
          <w:spacing w:val="0"/>
          <w:sz w:val="36"/>
          <w:szCs w:val="36"/>
          <w:highlight w:val="none"/>
        </w:rPr>
      </w:pPr>
    </w:p>
    <w:p w14:paraId="00C6D30D">
      <w:pPr>
        <w:spacing w:line="360" w:lineRule="auto"/>
        <w:jc w:val="center"/>
        <w:outlineLvl w:val="0"/>
        <w:rPr>
          <w:rFonts w:eastAsiaTheme="minorEastAsia"/>
          <w:b/>
          <w:spacing w:val="0"/>
          <w:sz w:val="36"/>
          <w:szCs w:val="36"/>
          <w:highlight w:val="none"/>
        </w:rPr>
      </w:pPr>
    </w:p>
    <w:p w14:paraId="1E5B1A1A">
      <w:pPr>
        <w:spacing w:before="259" w:line="219" w:lineRule="auto"/>
        <w:ind w:left="2990"/>
        <w:rPr>
          <w:rFonts w:hint="eastAsia" w:ascii="宋体" w:hAnsi="宋体" w:eastAsia="宋体" w:cs="宋体"/>
          <w:color w:val="auto"/>
          <w:sz w:val="24"/>
          <w:szCs w:val="24"/>
        </w:rPr>
      </w:pPr>
      <w:bookmarkStart w:id="676" w:name="_Toc12990"/>
      <w:bookmarkStart w:id="677" w:name="_Toc10641"/>
      <w:r>
        <w:rPr>
          <w:rFonts w:hint="eastAsia" w:ascii="宋体" w:hAnsi="宋体" w:eastAsia="宋体" w:cs="宋体"/>
          <w:b/>
          <w:bCs/>
          <w:color w:val="auto"/>
          <w:spacing w:val="-4"/>
          <w:sz w:val="24"/>
          <w:szCs w:val="24"/>
        </w:rPr>
        <w:t>（合同为小微企业预留合同）</w:t>
      </w:r>
    </w:p>
    <w:p w14:paraId="740BE4FA">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76DE007B">
      <w:pPr>
        <w:keepNext w:val="0"/>
        <w:keepLines w:val="0"/>
        <w:pageBreakBefore w:val="0"/>
        <w:widowControl w:val="0"/>
        <w:kinsoku/>
        <w:wordWrap/>
        <w:overflowPunct/>
        <w:topLinePunct w:val="0"/>
        <w:autoSpaceDE/>
        <w:autoSpaceDN/>
        <w:bidi w:val="0"/>
        <w:adjustRightInd/>
        <w:snapToGrid/>
        <w:spacing w:line="360" w:lineRule="auto"/>
        <w:ind w:left="1260" w:leftChars="600"/>
        <w:textAlignment w:val="auto"/>
        <w:rPr>
          <w:rFonts w:hint="eastAsia" w:ascii="宋体" w:hAnsi="宋体" w:eastAsia="宋体" w:cs="宋体"/>
          <w:color w:val="auto"/>
          <w:sz w:val="30"/>
          <w:szCs w:val="30"/>
        </w:rPr>
      </w:pPr>
      <w:r>
        <w:rPr>
          <w:rFonts w:hint="eastAsia" w:ascii="宋体" w:hAnsi="宋体" w:eastAsia="宋体" w:cs="宋体"/>
          <w:b/>
          <w:bCs/>
          <w:color w:val="auto"/>
          <w:spacing w:val="-5"/>
          <w:sz w:val="30"/>
          <w:szCs w:val="30"/>
        </w:rPr>
        <w:t>合同编号：</w:t>
      </w:r>
      <w:r>
        <w:rPr>
          <w:rFonts w:hint="eastAsia" w:ascii="宋体" w:hAnsi="宋体" w:eastAsia="宋体" w:cs="宋体"/>
          <w:color w:val="auto"/>
          <w:spacing w:val="-5"/>
          <w:sz w:val="30"/>
          <w:szCs w:val="30"/>
        </w:rPr>
        <w:t xml:space="preserve"> </w:t>
      </w:r>
      <w:r>
        <w:rPr>
          <w:rFonts w:hint="eastAsia" w:ascii="宋体" w:hAnsi="宋体" w:eastAsia="宋体" w:cs="宋体"/>
          <w:color w:val="auto"/>
          <w:sz w:val="30"/>
          <w:szCs w:val="30"/>
          <w:u w:val="single" w:color="auto"/>
        </w:rPr>
        <w:t xml:space="preserve">                  </w:t>
      </w:r>
    </w:p>
    <w:p w14:paraId="133C2DD7">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55026CBB">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42256FF2">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277D31FC">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3C643BA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52"/>
          <w:szCs w:val="52"/>
        </w:rPr>
      </w:pPr>
      <w:bookmarkStart w:id="678" w:name="bookmark10"/>
      <w:bookmarkEnd w:id="678"/>
      <w:bookmarkStart w:id="679" w:name="bookmark9"/>
      <w:bookmarkEnd w:id="679"/>
      <w:r>
        <w:rPr>
          <w:rFonts w:hint="eastAsia" w:ascii="宋体" w:hAnsi="宋体" w:eastAsia="宋体" w:cs="宋体"/>
          <w:b/>
          <w:bCs/>
          <w:color w:val="auto"/>
          <w:spacing w:val="-6"/>
          <w:sz w:val="52"/>
          <w:szCs w:val="52"/>
        </w:rPr>
        <w:t>物业管理服务合同</w:t>
      </w:r>
    </w:p>
    <w:p w14:paraId="1B935F65">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575AC0AD">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15F60EF3">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20AAC53B">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163A9F1F">
      <w:pPr>
        <w:keepNext w:val="0"/>
        <w:keepLines w:val="0"/>
        <w:pageBreakBefore w:val="0"/>
        <w:widowControl w:val="0"/>
        <w:kinsoku/>
        <w:wordWrap/>
        <w:overflowPunct/>
        <w:topLinePunct w:val="0"/>
        <w:autoSpaceDE/>
        <w:autoSpaceDN/>
        <w:bidi w:val="0"/>
        <w:adjustRightInd/>
        <w:snapToGrid/>
        <w:spacing w:line="360" w:lineRule="auto"/>
        <w:ind w:left="1260" w:leftChars="600"/>
        <w:textAlignment w:val="auto"/>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甲方（学校</w:t>
      </w:r>
      <w:r>
        <w:rPr>
          <w:rFonts w:hint="eastAsia" w:ascii="宋体" w:hAnsi="宋体" w:eastAsia="宋体" w:cs="宋体"/>
          <w:b/>
          <w:bCs/>
          <w:color w:val="auto"/>
          <w:spacing w:val="-64"/>
          <w:sz w:val="28"/>
          <w:szCs w:val="28"/>
        </w:rPr>
        <w:t>）：</w:t>
      </w:r>
      <w:r>
        <w:rPr>
          <w:rFonts w:hint="eastAsia" w:ascii="宋体" w:hAnsi="宋体" w:eastAsia="宋体" w:cs="宋体"/>
          <w:b/>
          <w:bCs/>
          <w:color w:val="auto"/>
          <w:spacing w:val="-6"/>
          <w:sz w:val="28"/>
          <w:szCs w:val="28"/>
        </w:rPr>
        <w:t>北京市第二中学朝阳学校</w:t>
      </w:r>
    </w:p>
    <w:p w14:paraId="08951933">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14BC0B51">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0DD7EEC2">
      <w:pPr>
        <w:keepNext w:val="0"/>
        <w:keepLines w:val="0"/>
        <w:pageBreakBefore w:val="0"/>
        <w:widowControl w:val="0"/>
        <w:kinsoku/>
        <w:wordWrap/>
        <w:overflowPunct/>
        <w:topLinePunct w:val="0"/>
        <w:autoSpaceDE/>
        <w:autoSpaceDN/>
        <w:bidi w:val="0"/>
        <w:adjustRightInd/>
        <w:snapToGrid/>
        <w:spacing w:line="360" w:lineRule="auto"/>
        <w:ind w:left="1260" w:leftChars="600"/>
        <w:textAlignment w:val="auto"/>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乙方（物业服务企业</w:t>
      </w:r>
      <w:r>
        <w:rPr>
          <w:rFonts w:hint="eastAsia" w:ascii="宋体" w:hAnsi="宋体" w:eastAsia="宋体" w:cs="宋体"/>
          <w:b/>
          <w:bCs/>
          <w:color w:val="auto"/>
          <w:spacing w:val="-73"/>
          <w:w w:val="97"/>
          <w:sz w:val="28"/>
          <w:szCs w:val="28"/>
        </w:rPr>
        <w:t>）：</w:t>
      </w:r>
    </w:p>
    <w:p w14:paraId="7BFF5872">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716EC6BE">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1F6DFCBC">
      <w:pPr>
        <w:pStyle w:val="17"/>
        <w:keepNext w:val="0"/>
        <w:keepLines w:val="0"/>
        <w:pageBreakBefore w:val="0"/>
        <w:widowControl w:val="0"/>
        <w:kinsoku/>
        <w:wordWrap/>
        <w:overflowPunct/>
        <w:topLinePunct w:val="0"/>
        <w:autoSpaceDE/>
        <w:autoSpaceDN/>
        <w:bidi w:val="0"/>
        <w:adjustRightInd/>
        <w:snapToGrid/>
        <w:spacing w:before="0" w:line="360" w:lineRule="auto"/>
        <w:ind w:left="1260" w:leftChars="600"/>
        <w:textAlignment w:val="auto"/>
        <w:rPr>
          <w:rFonts w:hint="eastAsia" w:ascii="宋体" w:hAnsi="宋体" w:eastAsia="宋体" w:cs="宋体"/>
          <w:color w:val="auto"/>
        </w:rPr>
      </w:pPr>
    </w:p>
    <w:p w14:paraId="111EAA8F">
      <w:pPr>
        <w:keepNext w:val="0"/>
        <w:keepLines w:val="0"/>
        <w:pageBreakBefore w:val="0"/>
        <w:widowControl w:val="0"/>
        <w:kinsoku/>
        <w:wordWrap/>
        <w:overflowPunct/>
        <w:topLinePunct w:val="0"/>
        <w:autoSpaceDE/>
        <w:autoSpaceDN/>
        <w:bidi w:val="0"/>
        <w:adjustRightInd/>
        <w:snapToGrid/>
        <w:spacing w:line="360" w:lineRule="auto"/>
        <w:ind w:left="1260" w:leftChars="600"/>
        <w:textAlignment w:val="auto"/>
        <w:rPr>
          <w:rFonts w:hint="eastAsia" w:ascii="宋体" w:hAnsi="宋体" w:eastAsia="宋体" w:cs="宋体"/>
          <w:color w:val="auto"/>
          <w:sz w:val="28"/>
          <w:szCs w:val="28"/>
        </w:rPr>
      </w:pPr>
      <w:r>
        <w:rPr>
          <w:rFonts w:hint="eastAsia" w:ascii="宋体" w:hAnsi="宋体" w:eastAsia="宋体" w:cs="宋体"/>
          <w:b/>
          <w:bCs/>
          <w:color w:val="auto"/>
          <w:spacing w:val="-8"/>
          <w:sz w:val="28"/>
          <w:szCs w:val="28"/>
        </w:rPr>
        <w:t>签订日期：</w:t>
      </w:r>
      <w:r>
        <w:rPr>
          <w:rFonts w:hint="eastAsia" w:ascii="宋体" w:hAnsi="宋体" w:eastAsia="宋体" w:cs="宋体"/>
          <w:color w:val="auto"/>
          <w:spacing w:val="2"/>
          <w:sz w:val="28"/>
          <w:szCs w:val="28"/>
        </w:rPr>
        <w:t xml:space="preserve">       </w:t>
      </w:r>
      <w:r>
        <w:rPr>
          <w:rFonts w:hint="eastAsia" w:ascii="宋体" w:hAnsi="宋体" w:eastAsia="宋体" w:cs="宋体"/>
          <w:b/>
          <w:bCs/>
          <w:color w:val="auto"/>
          <w:spacing w:val="-8"/>
          <w:sz w:val="28"/>
          <w:szCs w:val="28"/>
        </w:rPr>
        <w:t>年</w:t>
      </w:r>
      <w:r>
        <w:rPr>
          <w:rFonts w:hint="eastAsia" w:ascii="宋体" w:hAnsi="宋体" w:eastAsia="宋体" w:cs="宋体"/>
          <w:color w:val="auto"/>
          <w:spacing w:val="7"/>
          <w:sz w:val="28"/>
          <w:szCs w:val="28"/>
        </w:rPr>
        <w:t xml:space="preserve">   </w:t>
      </w:r>
      <w:r>
        <w:rPr>
          <w:rFonts w:hint="eastAsia" w:ascii="宋体" w:hAnsi="宋体" w:eastAsia="宋体" w:cs="宋体"/>
          <w:b/>
          <w:bCs/>
          <w:color w:val="auto"/>
          <w:spacing w:val="-8"/>
          <w:sz w:val="28"/>
          <w:szCs w:val="28"/>
        </w:rPr>
        <w:t>月</w:t>
      </w:r>
      <w:r>
        <w:rPr>
          <w:rFonts w:hint="eastAsia" w:ascii="宋体" w:hAnsi="宋体" w:eastAsia="宋体" w:cs="宋体"/>
          <w:color w:val="auto"/>
          <w:spacing w:val="20"/>
          <w:sz w:val="28"/>
          <w:szCs w:val="28"/>
        </w:rPr>
        <w:t xml:space="preserve">   </w:t>
      </w:r>
      <w:r>
        <w:rPr>
          <w:rFonts w:hint="eastAsia" w:ascii="宋体" w:hAnsi="宋体" w:eastAsia="宋体" w:cs="宋体"/>
          <w:b/>
          <w:bCs/>
          <w:color w:val="auto"/>
          <w:spacing w:val="-8"/>
          <w:sz w:val="28"/>
          <w:szCs w:val="28"/>
        </w:rPr>
        <w:t>日</w:t>
      </w:r>
    </w:p>
    <w:p w14:paraId="2EB059BB">
      <w:pPr>
        <w:keepNext w:val="0"/>
        <w:keepLines w:val="0"/>
        <w:pageBreakBefore w:val="0"/>
        <w:widowControl w:val="0"/>
        <w:kinsoku/>
        <w:wordWrap/>
        <w:overflowPunct/>
        <w:topLinePunct w:val="0"/>
        <w:autoSpaceDE/>
        <w:autoSpaceDN/>
        <w:bidi w:val="0"/>
        <w:adjustRightInd/>
        <w:snapToGrid/>
        <w:spacing w:line="360" w:lineRule="auto"/>
        <w:ind w:left="1260" w:leftChars="600"/>
        <w:textAlignment w:val="auto"/>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签订地点：</w:t>
      </w:r>
      <w:r>
        <w:rPr>
          <w:rFonts w:hint="eastAsia" w:ascii="宋体" w:hAnsi="宋体" w:eastAsia="宋体" w:cs="宋体"/>
          <w:color w:val="auto"/>
          <w:sz w:val="28"/>
          <w:szCs w:val="28"/>
          <w:u w:val="single" w:color="auto"/>
        </w:rPr>
        <w:t xml:space="preserve">                    </w:t>
      </w:r>
    </w:p>
    <w:p w14:paraId="67D991B1">
      <w:pPr>
        <w:spacing w:line="223" w:lineRule="auto"/>
        <w:rPr>
          <w:rFonts w:hint="eastAsia" w:ascii="宋体" w:hAnsi="宋体" w:eastAsia="宋体" w:cs="宋体"/>
          <w:color w:val="auto"/>
          <w:sz w:val="28"/>
          <w:szCs w:val="28"/>
        </w:rPr>
        <w:sectPr>
          <w:footerReference r:id="rId11" w:type="default"/>
          <w:pgSz w:w="11907" w:h="16840"/>
          <w:pgMar w:top="1166" w:right="1133" w:bottom="1026" w:left="1701" w:header="829" w:footer="864" w:gutter="0"/>
          <w:pgNumType w:fmt="decimal"/>
          <w:cols w:space="720" w:num="1"/>
        </w:sectPr>
      </w:pPr>
    </w:p>
    <w:p w14:paraId="013B7E54">
      <w:pPr>
        <w:keepNext w:val="0"/>
        <w:keepLines w:val="0"/>
        <w:pageBreakBefore w:val="0"/>
        <w:widowControl/>
        <w:kinsoku w:val="0"/>
        <w:wordWrap/>
        <w:overflowPunct/>
        <w:topLinePunct w:val="0"/>
        <w:autoSpaceDE w:val="0"/>
        <w:autoSpaceDN w:val="0"/>
        <w:bidi w:val="0"/>
        <w:adjustRightInd w:val="0"/>
        <w:snapToGrid w:val="0"/>
        <w:spacing w:before="299" w:line="240" w:lineRule="auto"/>
        <w:ind w:left="3596"/>
        <w:textAlignment w:val="baseline"/>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第一章</w:t>
      </w:r>
      <w:r>
        <w:rPr>
          <w:rFonts w:hint="eastAsia" w:ascii="宋体" w:hAnsi="宋体" w:eastAsia="宋体" w:cs="宋体"/>
          <w:color w:val="auto"/>
          <w:spacing w:val="1"/>
          <w:sz w:val="31"/>
          <w:szCs w:val="31"/>
        </w:rPr>
        <w:t xml:space="preserve">  </w:t>
      </w:r>
      <w:r>
        <w:rPr>
          <w:rFonts w:hint="eastAsia" w:ascii="宋体" w:hAnsi="宋体" w:eastAsia="宋体" w:cs="宋体"/>
          <w:b/>
          <w:bCs/>
          <w:color w:val="auto"/>
          <w:spacing w:val="1"/>
          <w:sz w:val="31"/>
          <w:szCs w:val="31"/>
        </w:rPr>
        <w:t>总则</w:t>
      </w:r>
    </w:p>
    <w:p w14:paraId="49AF3CE1">
      <w:pPr>
        <w:keepNext w:val="0"/>
        <w:keepLines w:val="0"/>
        <w:pageBreakBefore w:val="0"/>
        <w:widowControl/>
        <w:kinsoku w:val="0"/>
        <w:wordWrap/>
        <w:overflowPunct/>
        <w:topLinePunct w:val="0"/>
        <w:autoSpaceDE w:val="0"/>
        <w:autoSpaceDN w:val="0"/>
        <w:bidi w:val="0"/>
        <w:adjustRightInd w:val="0"/>
        <w:snapToGrid w:val="0"/>
        <w:spacing w:before="87"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第一条  本合同当事人</w:t>
      </w:r>
    </w:p>
    <w:p w14:paraId="2E547C90">
      <w:pPr>
        <w:keepNext w:val="0"/>
        <w:keepLines w:val="0"/>
        <w:pageBreakBefore w:val="0"/>
        <w:widowControl/>
        <w:kinsoku w:val="0"/>
        <w:wordWrap/>
        <w:overflowPunct/>
        <w:topLinePunct w:val="0"/>
        <w:autoSpaceDE w:val="0"/>
        <w:autoSpaceDN w:val="0"/>
        <w:bidi w:val="0"/>
        <w:adjustRightInd w:val="0"/>
        <w:snapToGrid w:val="0"/>
        <w:spacing w:before="183" w:line="240" w:lineRule="auto"/>
        <w:ind w:left="836"/>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委托方名称：北京市第二中学朝阳学校（以下简称甲方）</w:t>
      </w:r>
    </w:p>
    <w:p w14:paraId="1334F070">
      <w:pPr>
        <w:keepNext w:val="0"/>
        <w:keepLines w:val="0"/>
        <w:pageBreakBefore w:val="0"/>
        <w:widowControl/>
        <w:kinsoku w:val="0"/>
        <w:wordWrap/>
        <w:overflowPunct/>
        <w:topLinePunct w:val="0"/>
        <w:autoSpaceDE w:val="0"/>
        <w:autoSpaceDN w:val="0"/>
        <w:bidi w:val="0"/>
        <w:adjustRightInd w:val="0"/>
        <w:snapToGrid w:val="0"/>
        <w:spacing w:before="180" w:line="240" w:lineRule="auto"/>
        <w:ind w:left="84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受委托方名称</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1"/>
          <w:sz w:val="24"/>
          <w:szCs w:val="24"/>
        </w:rPr>
        <w:t>以下简称乙方）</w:t>
      </w:r>
    </w:p>
    <w:p w14:paraId="7C3600BD">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第二条  资质等级：</w:t>
      </w:r>
      <w:r>
        <w:rPr>
          <w:rFonts w:hint="eastAsia" w:ascii="宋体" w:hAnsi="宋体" w:eastAsia="宋体" w:cs="宋体"/>
          <w:color w:val="auto"/>
          <w:sz w:val="24"/>
          <w:szCs w:val="24"/>
          <w:u w:val="single" w:color="auto"/>
        </w:rPr>
        <w:t xml:space="preserve">              </w:t>
      </w:r>
    </w:p>
    <w:p w14:paraId="353047AF">
      <w:pPr>
        <w:keepNext w:val="0"/>
        <w:keepLines w:val="0"/>
        <w:pageBreakBefore w:val="0"/>
        <w:widowControl/>
        <w:kinsoku w:val="0"/>
        <w:wordWrap/>
        <w:overflowPunct/>
        <w:topLinePunct w:val="0"/>
        <w:autoSpaceDE w:val="0"/>
        <w:autoSpaceDN w:val="0"/>
        <w:bidi w:val="0"/>
        <w:adjustRightInd w:val="0"/>
        <w:snapToGrid w:val="0"/>
        <w:spacing w:before="184" w:line="240" w:lineRule="auto"/>
        <w:ind w:left="839" w:hanging="83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第三条</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2"/>
          <w:sz w:val="24"/>
          <w:szCs w:val="24"/>
        </w:rPr>
        <w:t>根据公平，公正，公开原则，在“北京市第二中学朝阳学校物业管理服务采购</w:t>
      </w:r>
      <w:r>
        <w:rPr>
          <w:rFonts w:hint="eastAsia" w:ascii="宋体" w:hAnsi="宋体" w:eastAsia="宋体" w:cs="宋体"/>
          <w:color w:val="auto"/>
          <w:spacing w:val="-1"/>
          <w:sz w:val="24"/>
          <w:szCs w:val="24"/>
        </w:rPr>
        <w:t>项目”招标过程中，乙方被确定为成交供应商，为北京二中朝阳学校提供物业管</w:t>
      </w:r>
      <w:r>
        <w:rPr>
          <w:rFonts w:hint="eastAsia" w:ascii="宋体" w:hAnsi="宋体" w:eastAsia="宋体" w:cs="宋体"/>
          <w:color w:val="auto"/>
          <w:spacing w:val="-2"/>
          <w:sz w:val="24"/>
          <w:szCs w:val="24"/>
        </w:rPr>
        <w:t>理服务，订立本合同。</w:t>
      </w:r>
    </w:p>
    <w:p w14:paraId="64677AFE">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第四条</w:t>
      </w:r>
      <w:r>
        <w:rPr>
          <w:rFonts w:hint="eastAsia" w:ascii="宋体" w:hAnsi="宋体" w:eastAsia="宋体" w:cs="宋体"/>
          <w:color w:val="auto"/>
          <w:spacing w:val="123"/>
          <w:sz w:val="24"/>
          <w:szCs w:val="24"/>
        </w:rPr>
        <w:t xml:space="preserve"> </w:t>
      </w:r>
      <w:r>
        <w:rPr>
          <w:rFonts w:hint="eastAsia" w:ascii="宋体" w:hAnsi="宋体" w:eastAsia="宋体" w:cs="宋体"/>
          <w:color w:val="auto"/>
          <w:spacing w:val="-2"/>
          <w:sz w:val="24"/>
          <w:szCs w:val="24"/>
        </w:rPr>
        <w:t>物业管理区域基本情况</w:t>
      </w:r>
    </w:p>
    <w:p w14:paraId="3105C4FD">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物业名称：北京市第二中学朝阳学校</w:t>
      </w:r>
    </w:p>
    <w:p w14:paraId="32082922">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物业用途：学校；</w:t>
      </w:r>
    </w:p>
    <w:p w14:paraId="5CB17D12">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坐落位置：北京市姚家园西里</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6</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号院；</w:t>
      </w:r>
    </w:p>
    <w:p w14:paraId="08B64786">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6"/>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总建筑面积：</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00"/>
          <w:sz w:val="24"/>
          <w:szCs w:val="24"/>
        </w:rPr>
        <w:t xml:space="preserve"> </w:t>
      </w:r>
      <w:r>
        <w:rPr>
          <w:rFonts w:hint="eastAsia" w:ascii="宋体" w:hAnsi="宋体" w:eastAsia="宋体" w:cs="宋体"/>
          <w:color w:val="auto"/>
          <w:spacing w:val="-4"/>
          <w:sz w:val="24"/>
          <w:szCs w:val="24"/>
        </w:rPr>
        <w:t>㎡。</w:t>
      </w:r>
    </w:p>
    <w:p w14:paraId="3249FBFC">
      <w:pPr>
        <w:keepNext w:val="0"/>
        <w:keepLines w:val="0"/>
        <w:pageBreakBefore w:val="0"/>
        <w:widowControl/>
        <w:kinsoku w:val="0"/>
        <w:wordWrap/>
        <w:overflowPunct/>
        <w:topLinePunct w:val="0"/>
        <w:autoSpaceDE w:val="0"/>
        <w:autoSpaceDN w:val="0"/>
        <w:bidi w:val="0"/>
        <w:adjustRightInd w:val="0"/>
        <w:snapToGrid w:val="0"/>
        <w:spacing w:before="193" w:line="240" w:lineRule="auto"/>
        <w:ind w:left="2955"/>
        <w:textAlignment w:val="baseline"/>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第二章</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4"/>
          <w:sz w:val="31"/>
          <w:szCs w:val="31"/>
        </w:rPr>
        <w:t>物业服务内容</w:t>
      </w:r>
    </w:p>
    <w:p w14:paraId="54BB9D26">
      <w:pPr>
        <w:keepNext w:val="0"/>
        <w:keepLines w:val="0"/>
        <w:pageBreakBefore w:val="0"/>
        <w:widowControl/>
        <w:kinsoku w:val="0"/>
        <w:wordWrap/>
        <w:overflowPunct/>
        <w:topLinePunct w:val="0"/>
        <w:autoSpaceDE w:val="0"/>
        <w:autoSpaceDN w:val="0"/>
        <w:bidi w:val="0"/>
        <w:adjustRightInd w:val="0"/>
        <w:snapToGrid w:val="0"/>
        <w:spacing w:before="88"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第五条  综合管理，包括：</w:t>
      </w:r>
    </w:p>
    <w:p w14:paraId="74F39FFC">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制订物业管理服务工作计划，并组织实施；</w:t>
      </w:r>
    </w:p>
    <w:p w14:paraId="77FE1F3B">
      <w:pPr>
        <w:keepNext w:val="0"/>
        <w:keepLines w:val="0"/>
        <w:pageBreakBefore w:val="0"/>
        <w:widowControl/>
        <w:kinsoku w:val="0"/>
        <w:wordWrap/>
        <w:overflowPunct/>
        <w:topLinePunct w:val="0"/>
        <w:autoSpaceDE w:val="0"/>
        <w:autoSpaceDN w:val="0"/>
        <w:bidi w:val="0"/>
        <w:adjustRightInd w:val="0"/>
        <w:snapToGrid w:val="0"/>
        <w:spacing w:before="183"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定期对建筑物及设备设施进行检查，</w:t>
      </w:r>
      <w:r>
        <w:rPr>
          <w:rFonts w:hint="eastAsia" w:ascii="宋体" w:hAnsi="宋体" w:eastAsia="宋体" w:cs="宋体"/>
          <w:color w:val="auto"/>
          <w:sz w:val="24"/>
          <w:szCs w:val="24"/>
          <w:lang w:val="en-US"/>
        </w:rPr>
        <w:t>根据检查结果制订维修计划</w:t>
      </w:r>
      <w:r>
        <w:rPr>
          <w:rFonts w:hint="eastAsia" w:ascii="宋体" w:hAnsi="宋体" w:eastAsia="宋体" w:cs="宋体"/>
          <w:color w:val="auto"/>
          <w:spacing w:val="-1"/>
          <w:sz w:val="24"/>
          <w:szCs w:val="24"/>
          <w:lang w:val="en-US"/>
        </w:rPr>
        <w:t>，并组织实施</w:t>
      </w:r>
    </w:p>
    <w:p w14:paraId="37744550">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   管理与物业相关的工程图纸、技</w:t>
      </w:r>
      <w:r>
        <w:rPr>
          <w:rFonts w:hint="eastAsia" w:ascii="宋体" w:hAnsi="宋体" w:eastAsia="宋体" w:cs="宋体"/>
          <w:color w:val="auto"/>
          <w:spacing w:val="-1"/>
          <w:sz w:val="24"/>
          <w:szCs w:val="24"/>
        </w:rPr>
        <w:t>术资料及竣工验收材料；</w:t>
      </w:r>
    </w:p>
    <w:p w14:paraId="650C9D54">
      <w:pPr>
        <w:keepNext w:val="0"/>
        <w:keepLines w:val="0"/>
        <w:pageBreakBefore w:val="0"/>
        <w:widowControl/>
        <w:kinsoku w:val="0"/>
        <w:wordWrap/>
        <w:overflowPunct/>
        <w:topLinePunct w:val="0"/>
        <w:autoSpaceDE w:val="0"/>
        <w:autoSpaceDN w:val="0"/>
        <w:bidi w:val="0"/>
        <w:adjustRightInd w:val="0"/>
        <w:snapToGrid w:val="0"/>
        <w:spacing w:before="181"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水、电、燃气的能耗计量和统计；</w:t>
      </w:r>
    </w:p>
    <w:p w14:paraId="59292876">
      <w:pPr>
        <w:keepNext w:val="0"/>
        <w:keepLines w:val="0"/>
        <w:pageBreakBefore w:val="0"/>
        <w:widowControl/>
        <w:kinsoku w:val="0"/>
        <w:wordWrap/>
        <w:overflowPunct/>
        <w:topLinePunct w:val="0"/>
        <w:autoSpaceDE w:val="0"/>
        <w:autoSpaceDN w:val="0"/>
        <w:bidi w:val="0"/>
        <w:adjustRightInd w:val="0"/>
        <w:snapToGrid w:val="0"/>
        <w:spacing w:before="184" w:line="240" w:lineRule="auto"/>
        <w:ind w:left="368" w:hanging="356"/>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积极配合、按时完成临时交办的其他服务工作（如，教室或办公布局调整所需的搬</w:t>
      </w:r>
      <w:r>
        <w:rPr>
          <w:rFonts w:hint="eastAsia" w:ascii="宋体" w:hAnsi="宋体" w:eastAsia="宋体" w:cs="宋体"/>
          <w:color w:val="auto"/>
          <w:spacing w:val="-6"/>
          <w:sz w:val="24"/>
          <w:szCs w:val="24"/>
        </w:rPr>
        <w:t>迁工作及学校进出货物装卸工作等）。</w:t>
      </w:r>
    </w:p>
    <w:p w14:paraId="02575391">
      <w:pPr>
        <w:keepNext w:val="0"/>
        <w:keepLines w:val="0"/>
        <w:pageBreakBefore w:val="0"/>
        <w:widowControl/>
        <w:kinsoku w:val="0"/>
        <w:wordWrap/>
        <w:overflowPunct/>
        <w:topLinePunct w:val="0"/>
        <w:autoSpaceDE w:val="0"/>
        <w:autoSpaceDN w:val="0"/>
        <w:bidi w:val="0"/>
        <w:adjustRightInd w:val="0"/>
        <w:snapToGrid w:val="0"/>
        <w:spacing w:before="185"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第六条  设备设施的运行和管理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包括：</w:t>
      </w:r>
    </w:p>
    <w:p w14:paraId="2D2386DF">
      <w:pPr>
        <w:keepNext w:val="0"/>
        <w:keepLines w:val="0"/>
        <w:pageBreakBefore w:val="0"/>
        <w:widowControl/>
        <w:kinsoku w:val="0"/>
        <w:wordWrap/>
        <w:overflowPunct/>
        <w:topLinePunct w:val="0"/>
        <w:autoSpaceDE w:val="0"/>
        <w:autoSpaceDN w:val="0"/>
        <w:bidi w:val="0"/>
        <w:adjustRightInd w:val="0"/>
        <w:snapToGrid w:val="0"/>
        <w:spacing w:before="182"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生活用水、消防用水等供水系统的</w:t>
      </w:r>
      <w:r>
        <w:rPr>
          <w:rFonts w:hint="eastAsia" w:ascii="宋体" w:hAnsi="宋体" w:eastAsia="宋体" w:cs="宋体"/>
          <w:color w:val="auto"/>
          <w:spacing w:val="-2"/>
          <w:sz w:val="24"/>
          <w:szCs w:val="24"/>
        </w:rPr>
        <w:t>设备设施；</w:t>
      </w:r>
    </w:p>
    <w:p w14:paraId="721AF008">
      <w:pPr>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生活污水、雨水等排放系统及污水处</w:t>
      </w:r>
      <w:r>
        <w:rPr>
          <w:rFonts w:hint="eastAsia" w:ascii="宋体" w:hAnsi="宋体" w:eastAsia="宋体" w:cs="宋体"/>
          <w:color w:val="auto"/>
          <w:spacing w:val="-1"/>
          <w:sz w:val="24"/>
          <w:szCs w:val="24"/>
        </w:rPr>
        <w:t>理的设备设施；</w:t>
      </w:r>
    </w:p>
    <w:p w14:paraId="741E9848">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消防设施、采暖系统的设备设施；</w:t>
      </w:r>
    </w:p>
    <w:p w14:paraId="372E2638">
      <w:pPr>
        <w:keepNext w:val="0"/>
        <w:keepLines w:val="0"/>
        <w:pageBreakBefore w:val="0"/>
        <w:widowControl/>
        <w:kinsoku w:val="0"/>
        <w:wordWrap/>
        <w:overflowPunct/>
        <w:topLinePunct w:val="0"/>
        <w:autoSpaceDE w:val="0"/>
        <w:autoSpaceDN w:val="0"/>
        <w:bidi w:val="0"/>
        <w:adjustRightInd w:val="0"/>
        <w:snapToGrid w:val="0"/>
        <w:spacing w:before="184"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照明、动力等电气系统的设备设施；</w:t>
      </w:r>
    </w:p>
    <w:p w14:paraId="0B95C5B5">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   楼宇自控、保安监控、等弱电系统（不含计算机</w:t>
      </w:r>
      <w:r>
        <w:rPr>
          <w:rFonts w:hint="eastAsia" w:ascii="宋体" w:hAnsi="宋体" w:eastAsia="宋体" w:cs="宋体"/>
          <w:color w:val="auto"/>
          <w:spacing w:val="-1"/>
          <w:sz w:val="24"/>
          <w:szCs w:val="24"/>
        </w:rPr>
        <w:t>局域网和电话）的设备设施；</w:t>
      </w:r>
    </w:p>
    <w:p w14:paraId="7B7AE28E">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6.</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电梯的运行与管理；</w:t>
      </w:r>
    </w:p>
    <w:p w14:paraId="1942EAE1">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7.</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4"/>
          <w:sz w:val="24"/>
          <w:szCs w:val="24"/>
        </w:rPr>
        <w:t>中央空调的运行与管理。</w:t>
      </w:r>
    </w:p>
    <w:p w14:paraId="00BAC89F">
      <w:pPr>
        <w:keepNext w:val="0"/>
        <w:keepLines w:val="0"/>
        <w:pageBreakBefore w:val="0"/>
        <w:widowControl/>
        <w:kinsoku w:val="0"/>
        <w:wordWrap/>
        <w:overflowPunct/>
        <w:topLinePunct w:val="0"/>
        <w:autoSpaceDE w:val="0"/>
        <w:autoSpaceDN w:val="0"/>
        <w:bidi w:val="0"/>
        <w:adjustRightInd w:val="0"/>
        <w:snapToGrid w:val="0"/>
        <w:spacing w:before="180" w:line="240" w:lineRule="auto"/>
        <w:ind w:left="9"/>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第七条 附属室外设施的维护和管理，含：</w:t>
      </w:r>
    </w:p>
    <w:p w14:paraId="6F69BACD">
      <w:pPr>
        <w:keepNext w:val="0"/>
        <w:keepLines w:val="0"/>
        <w:pageBreakBefore w:val="0"/>
        <w:widowControl/>
        <w:kinsoku w:val="0"/>
        <w:wordWrap/>
        <w:overflowPunct/>
        <w:topLinePunct w:val="0"/>
        <w:autoSpaceDE w:val="0"/>
        <w:autoSpaceDN w:val="0"/>
        <w:bidi w:val="0"/>
        <w:adjustRightInd w:val="0"/>
        <w:snapToGrid w:val="0"/>
        <w:spacing w:before="180"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道路、庭院、场地、建筑小品、围栏；</w:t>
      </w:r>
    </w:p>
    <w:p w14:paraId="52BE0C56">
      <w:pPr>
        <w:keepNext w:val="0"/>
        <w:keepLines w:val="0"/>
        <w:pageBreakBefore w:val="0"/>
        <w:widowControl/>
        <w:kinsoku w:val="0"/>
        <w:wordWrap/>
        <w:overflowPunct/>
        <w:topLinePunct w:val="0"/>
        <w:autoSpaceDE w:val="0"/>
        <w:autoSpaceDN w:val="0"/>
        <w:bidi w:val="0"/>
        <w:adjustRightInd w:val="0"/>
        <w:snapToGrid w:val="0"/>
        <w:spacing w:before="180"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各类室外管网、沟、渠、井、池；</w:t>
      </w:r>
    </w:p>
    <w:p w14:paraId="6DEF3947">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路灯、景观照明。</w:t>
      </w:r>
    </w:p>
    <w:p w14:paraId="07C52342">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第八条  室内保洁及室外环境卫生管理，</w:t>
      </w:r>
      <w:r>
        <w:rPr>
          <w:rFonts w:hint="eastAsia" w:ascii="宋体" w:hAnsi="宋体" w:eastAsia="宋体" w:cs="宋体"/>
          <w:color w:val="auto"/>
          <w:spacing w:val="-2"/>
          <w:sz w:val="24"/>
          <w:szCs w:val="24"/>
        </w:rPr>
        <w:t>含：</w:t>
      </w:r>
    </w:p>
    <w:p w14:paraId="284FE5B5">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楼内厅、堂、卫生间、楼梯间、走廊通道等公共部位保洁；</w:t>
      </w:r>
    </w:p>
    <w:p w14:paraId="770DF870">
      <w:pPr>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领导办公室、会议室、礼堂等的保洁；</w:t>
      </w:r>
    </w:p>
    <w:p w14:paraId="0E3C38D6">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石材、地毯等地面定期保养、清洁；</w:t>
      </w:r>
    </w:p>
    <w:p w14:paraId="02B45FBD">
      <w:pPr>
        <w:keepNext w:val="0"/>
        <w:keepLines w:val="0"/>
        <w:pageBreakBefore w:val="0"/>
        <w:widowControl/>
        <w:kinsoku w:val="0"/>
        <w:wordWrap/>
        <w:overflowPunct/>
        <w:topLinePunct w:val="0"/>
        <w:autoSpaceDE w:val="0"/>
        <w:autoSpaceDN w:val="0"/>
        <w:bidi w:val="0"/>
        <w:adjustRightInd w:val="0"/>
        <w:snapToGrid w:val="0"/>
        <w:spacing w:before="184"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   室外道路、庭院、场地保洁和积水、</w:t>
      </w:r>
      <w:r>
        <w:rPr>
          <w:rFonts w:hint="eastAsia" w:ascii="宋体" w:hAnsi="宋体" w:eastAsia="宋体" w:cs="宋体"/>
          <w:color w:val="auto"/>
          <w:spacing w:val="-1"/>
          <w:sz w:val="24"/>
          <w:szCs w:val="24"/>
        </w:rPr>
        <w:t>积雪清扫；</w:t>
      </w:r>
    </w:p>
    <w:p w14:paraId="60C4E9EC">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垃圾及时清运和处理；</w:t>
      </w:r>
    </w:p>
    <w:p w14:paraId="2EFF2CA5">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按照地方政府要求灭鼠和清除虫害</w:t>
      </w:r>
      <w:r>
        <w:rPr>
          <w:rFonts w:hint="eastAsia" w:ascii="宋体" w:hAnsi="宋体" w:eastAsia="宋体" w:cs="宋体"/>
          <w:color w:val="auto"/>
          <w:sz w:val="24"/>
          <w:szCs w:val="24"/>
        </w:rPr>
        <w:t>（物料甲方承担）</w:t>
      </w:r>
      <w:r>
        <w:rPr>
          <w:rFonts w:hint="eastAsia" w:ascii="宋体" w:hAnsi="宋体" w:eastAsia="宋体" w:cs="宋体"/>
          <w:color w:val="auto"/>
          <w:spacing w:val="-1"/>
          <w:sz w:val="24"/>
          <w:szCs w:val="24"/>
        </w:rPr>
        <w:t>；</w:t>
      </w:r>
    </w:p>
    <w:p w14:paraId="5132C5C7">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7.   外墙及墙面玻璃、地下室采光顶等清洗；</w:t>
      </w:r>
    </w:p>
    <w:p w14:paraId="477882B2">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5"/>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8.</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8"/>
          <w:sz w:val="24"/>
          <w:szCs w:val="24"/>
        </w:rPr>
        <w:t>门前三包。</w:t>
      </w:r>
    </w:p>
    <w:p w14:paraId="1E0A5E08">
      <w:pPr>
        <w:keepNext w:val="0"/>
        <w:keepLines w:val="0"/>
        <w:pageBreakBefore w:val="0"/>
        <w:widowControl/>
        <w:kinsoku w:val="0"/>
        <w:wordWrap/>
        <w:overflowPunct/>
        <w:topLinePunct w:val="0"/>
        <w:autoSpaceDE w:val="0"/>
        <w:autoSpaceDN w:val="0"/>
        <w:bidi w:val="0"/>
        <w:adjustRightInd w:val="0"/>
        <w:snapToGrid w:val="0"/>
        <w:spacing w:before="179"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第九条  绿化管理，含：</w:t>
      </w:r>
    </w:p>
    <w:p w14:paraId="2E8BCFA6">
      <w:pPr>
        <w:keepNext w:val="0"/>
        <w:keepLines w:val="0"/>
        <w:pageBreakBefore w:val="0"/>
        <w:widowControl/>
        <w:kinsoku w:val="0"/>
        <w:wordWrap/>
        <w:overflowPunct/>
        <w:topLinePunct w:val="0"/>
        <w:autoSpaceDE w:val="0"/>
        <w:autoSpaceDN w:val="0"/>
        <w:bidi w:val="0"/>
        <w:adjustRightInd w:val="0"/>
        <w:snapToGrid w:val="0"/>
        <w:spacing w:before="182"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花草树木的浇水、防病治虫、中耕除草和培土及日常养护；</w:t>
      </w:r>
    </w:p>
    <w:p w14:paraId="58E4EFFF">
      <w:pPr>
        <w:keepNext w:val="0"/>
        <w:keepLines w:val="0"/>
        <w:pageBreakBefore w:val="0"/>
        <w:widowControl/>
        <w:kinsoku w:val="0"/>
        <w:wordWrap/>
        <w:overflowPunct/>
        <w:topLinePunct w:val="0"/>
        <w:autoSpaceDE w:val="0"/>
        <w:autoSpaceDN w:val="0"/>
        <w:bidi w:val="0"/>
        <w:adjustRightInd w:val="0"/>
        <w:snapToGrid w:val="0"/>
        <w:spacing w:before="184"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花草树木的修枝整形、补栽补种、及时</w:t>
      </w:r>
      <w:r>
        <w:rPr>
          <w:rFonts w:hint="eastAsia" w:ascii="宋体" w:hAnsi="宋体" w:eastAsia="宋体" w:cs="宋体"/>
          <w:color w:val="auto"/>
          <w:spacing w:val="-1"/>
          <w:sz w:val="24"/>
          <w:szCs w:val="24"/>
        </w:rPr>
        <w:t>处理枯枝落叶；</w:t>
      </w:r>
    </w:p>
    <w:p w14:paraId="3BCB0D57">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楼内绿植的租摆。</w:t>
      </w:r>
    </w:p>
    <w:p w14:paraId="283AB444">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第十条 公共秩序维护管理，含：</w:t>
      </w:r>
    </w:p>
    <w:p w14:paraId="5023B73A">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消防中控室值班人员持证上岗，24</w:t>
      </w:r>
      <w:r>
        <w:rPr>
          <w:rFonts w:hint="eastAsia" w:ascii="宋体" w:hAnsi="宋体" w:eastAsia="宋体" w:cs="宋体"/>
          <w:color w:val="auto"/>
          <w:spacing w:val="22"/>
          <w:w w:val="101"/>
          <w:sz w:val="24"/>
          <w:szCs w:val="24"/>
        </w:rPr>
        <w:t xml:space="preserve"> </w:t>
      </w:r>
      <w:r>
        <w:rPr>
          <w:rFonts w:hint="eastAsia" w:ascii="宋体" w:hAnsi="宋体" w:eastAsia="宋体" w:cs="宋体"/>
          <w:color w:val="auto"/>
          <w:spacing w:val="-2"/>
          <w:sz w:val="24"/>
          <w:szCs w:val="24"/>
        </w:rPr>
        <w:t>小时值班；</w:t>
      </w:r>
    </w:p>
    <w:p w14:paraId="09D61EDE">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校内重点部位巡视及秩序维护；</w:t>
      </w:r>
    </w:p>
    <w:p w14:paraId="073F1B5B">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   交通秩序维护，车辆出入管理，上下学早</w:t>
      </w:r>
      <w:r>
        <w:rPr>
          <w:rFonts w:hint="eastAsia" w:ascii="宋体" w:hAnsi="宋体" w:eastAsia="宋体" w:cs="宋体"/>
          <w:color w:val="auto"/>
          <w:spacing w:val="-1"/>
          <w:sz w:val="24"/>
          <w:szCs w:val="24"/>
        </w:rPr>
        <w:t>晚高峰期间的秩序疏导。</w:t>
      </w:r>
    </w:p>
    <w:p w14:paraId="78232BBF">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第十二条  消防中控值班，含：</w:t>
      </w:r>
    </w:p>
    <w:p w14:paraId="10641E20">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1.   监控室</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4"/>
          <w:sz w:val="24"/>
          <w:szCs w:val="24"/>
        </w:rPr>
        <w:t>24</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4"/>
          <w:sz w:val="24"/>
          <w:szCs w:val="24"/>
        </w:rPr>
        <w:t>小时值班；</w:t>
      </w:r>
    </w:p>
    <w:p w14:paraId="13813200">
      <w:pPr>
        <w:keepNext w:val="0"/>
        <w:keepLines w:val="0"/>
        <w:pageBreakBefore w:val="0"/>
        <w:widowControl/>
        <w:kinsoku w:val="0"/>
        <w:wordWrap/>
        <w:overflowPunct/>
        <w:topLinePunct w:val="0"/>
        <w:autoSpaceDE w:val="0"/>
        <w:autoSpaceDN w:val="0"/>
        <w:bidi w:val="0"/>
        <w:adjustRightInd w:val="0"/>
        <w:snapToGrid w:val="0"/>
        <w:spacing w:before="183"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紧急情况及时通报甲方单位；</w:t>
      </w:r>
    </w:p>
    <w:p w14:paraId="604C4EBE">
      <w:pPr>
        <w:keepNext w:val="0"/>
        <w:keepLines w:val="0"/>
        <w:pageBreakBefore w:val="0"/>
        <w:widowControl/>
        <w:kinsoku w:val="0"/>
        <w:wordWrap/>
        <w:overflowPunct/>
        <w:topLinePunct w:val="0"/>
        <w:autoSpaceDE w:val="0"/>
        <w:autoSpaceDN w:val="0"/>
        <w:bidi w:val="0"/>
        <w:adjustRightInd w:val="0"/>
        <w:snapToGrid w:val="0"/>
        <w:spacing w:before="181"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消防管理，含：</w:t>
      </w:r>
    </w:p>
    <w:p w14:paraId="4656AAAB">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81"/>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（1）火灾防范和火检排查；</w:t>
      </w:r>
    </w:p>
    <w:p w14:paraId="2613261E">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81"/>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（2）消防设施的管理维护。</w:t>
      </w:r>
    </w:p>
    <w:p w14:paraId="25B7CC80">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第十三条  车辆停放管理，含：</w:t>
      </w:r>
    </w:p>
    <w:p w14:paraId="40212F44">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地下车库车辆停放引导；</w:t>
      </w:r>
    </w:p>
    <w:p w14:paraId="1F10736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地下停车场的管理。</w:t>
      </w:r>
    </w:p>
    <w:p w14:paraId="1377E49E">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   校园内自行车车库、地面自行车（含</w:t>
      </w:r>
      <w:r>
        <w:rPr>
          <w:rFonts w:hint="eastAsia" w:ascii="宋体" w:hAnsi="宋体" w:eastAsia="宋体" w:cs="宋体"/>
          <w:color w:val="auto"/>
          <w:spacing w:val="-1"/>
          <w:sz w:val="24"/>
          <w:szCs w:val="24"/>
        </w:rPr>
        <w:t>电动车）停放区的管理。</w:t>
      </w:r>
    </w:p>
    <w:p w14:paraId="540B4B96">
      <w:pPr>
        <w:keepNext w:val="0"/>
        <w:keepLines w:val="0"/>
        <w:pageBreakBefore w:val="0"/>
        <w:widowControl/>
        <w:kinsoku w:val="0"/>
        <w:wordWrap/>
        <w:overflowPunct/>
        <w:topLinePunct w:val="0"/>
        <w:autoSpaceDE w:val="0"/>
        <w:autoSpaceDN w:val="0"/>
        <w:bidi w:val="0"/>
        <w:adjustRightInd w:val="0"/>
        <w:snapToGrid w:val="0"/>
        <w:spacing w:before="285"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第十四条  会议服务，含：</w:t>
      </w:r>
    </w:p>
    <w:p w14:paraId="168A5D18">
      <w:pPr>
        <w:keepNext w:val="0"/>
        <w:keepLines w:val="0"/>
        <w:pageBreakBefore w:val="0"/>
        <w:widowControl/>
        <w:kinsoku w:val="0"/>
        <w:wordWrap/>
        <w:overflowPunct/>
        <w:topLinePunct w:val="0"/>
        <w:autoSpaceDE w:val="0"/>
        <w:autoSpaceDN w:val="0"/>
        <w:bidi w:val="0"/>
        <w:adjustRightInd w:val="0"/>
        <w:snapToGrid w:val="0"/>
        <w:spacing w:before="180"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各会议室、接待室的统一管理；</w:t>
      </w:r>
    </w:p>
    <w:p w14:paraId="6AD45F7D">
      <w:pPr>
        <w:keepNext w:val="0"/>
        <w:keepLines w:val="0"/>
        <w:pageBreakBefore w:val="0"/>
        <w:widowControl/>
        <w:kinsoku w:val="0"/>
        <w:wordWrap/>
        <w:overflowPunct/>
        <w:topLinePunct w:val="0"/>
        <w:autoSpaceDE w:val="0"/>
        <w:autoSpaceDN w:val="0"/>
        <w:bidi w:val="0"/>
        <w:adjustRightInd w:val="0"/>
        <w:snapToGrid w:val="0"/>
        <w:spacing w:before="183"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会场布置、会标悬挂、茶水供给、现场服务；</w:t>
      </w:r>
    </w:p>
    <w:p w14:paraId="5A895E49">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会议室、接待室的设备设施操作和维护；</w:t>
      </w:r>
    </w:p>
    <w:p w14:paraId="56BF2FC1">
      <w:pPr>
        <w:keepNext w:val="0"/>
        <w:keepLines w:val="0"/>
        <w:pageBreakBefore w:val="0"/>
        <w:widowControl/>
        <w:kinsoku w:val="0"/>
        <w:wordWrap/>
        <w:overflowPunct/>
        <w:topLinePunct w:val="0"/>
        <w:autoSpaceDE w:val="0"/>
        <w:autoSpaceDN w:val="0"/>
        <w:bidi w:val="0"/>
        <w:adjustRightInd w:val="0"/>
        <w:snapToGrid w:val="0"/>
        <w:spacing w:before="181"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会议室、接待室的卫生保洁。</w:t>
      </w:r>
    </w:p>
    <w:p w14:paraId="6D0289EB">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w:t>
      </w:r>
      <w:r>
        <w:rPr>
          <w:rFonts w:hint="eastAsia" w:ascii="宋体" w:hAnsi="宋体" w:eastAsia="宋体" w:cs="宋体"/>
          <w:color w:val="auto"/>
          <w:spacing w:val="-1"/>
          <w:sz w:val="24"/>
          <w:szCs w:val="24"/>
          <w:lang w:val="en-US"/>
        </w:rPr>
        <w:t>五</w:t>
      </w:r>
      <w:r>
        <w:rPr>
          <w:rFonts w:hint="eastAsia" w:ascii="宋体" w:hAnsi="宋体" w:eastAsia="宋体" w:cs="宋体"/>
          <w:color w:val="auto"/>
          <w:spacing w:val="-1"/>
          <w:sz w:val="24"/>
          <w:szCs w:val="24"/>
        </w:rPr>
        <w:t>条  其他综合服务</w:t>
      </w:r>
    </w:p>
    <w:p w14:paraId="3D299E5E">
      <w:pPr>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供暖服务。</w:t>
      </w:r>
    </w:p>
    <w:p w14:paraId="14BBF8F5">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第十</w:t>
      </w:r>
      <w:r>
        <w:rPr>
          <w:rFonts w:hint="eastAsia" w:ascii="宋体" w:hAnsi="宋体" w:eastAsia="宋体" w:cs="宋体"/>
          <w:color w:val="auto"/>
          <w:sz w:val="24"/>
          <w:szCs w:val="24"/>
          <w:lang w:val="en-US"/>
        </w:rPr>
        <w:t>六</w:t>
      </w:r>
      <w:r>
        <w:rPr>
          <w:rFonts w:hint="eastAsia" w:ascii="宋体" w:hAnsi="宋体" w:eastAsia="宋体" w:cs="宋体"/>
          <w:color w:val="auto"/>
          <w:sz w:val="24"/>
          <w:szCs w:val="24"/>
        </w:rPr>
        <w:t>条  未涉及内容以响应文件或甲乙双</w:t>
      </w:r>
      <w:r>
        <w:rPr>
          <w:rFonts w:hint="eastAsia" w:ascii="宋体" w:hAnsi="宋体" w:eastAsia="宋体" w:cs="宋体"/>
          <w:color w:val="auto"/>
          <w:spacing w:val="-1"/>
          <w:sz w:val="24"/>
          <w:szCs w:val="24"/>
        </w:rPr>
        <w:t>方协商的补充内容为准。</w:t>
      </w:r>
    </w:p>
    <w:p w14:paraId="14459CBB">
      <w:pPr>
        <w:keepNext w:val="0"/>
        <w:keepLines w:val="0"/>
        <w:pageBreakBefore w:val="0"/>
        <w:widowControl/>
        <w:kinsoku w:val="0"/>
        <w:wordWrap/>
        <w:overflowPunct/>
        <w:topLinePunct w:val="0"/>
        <w:autoSpaceDE w:val="0"/>
        <w:autoSpaceDN w:val="0"/>
        <w:bidi w:val="0"/>
        <w:adjustRightInd w:val="0"/>
        <w:snapToGrid w:val="0"/>
        <w:spacing w:before="194" w:line="240" w:lineRule="auto"/>
        <w:ind w:left="2955"/>
        <w:textAlignment w:val="baseline"/>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第三章</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4"/>
          <w:sz w:val="31"/>
          <w:szCs w:val="31"/>
        </w:rPr>
        <w:t>物业服务标准</w:t>
      </w:r>
    </w:p>
    <w:p w14:paraId="6C1B1205">
      <w:pPr>
        <w:keepNext w:val="0"/>
        <w:keepLines w:val="0"/>
        <w:pageBreakBefore w:val="0"/>
        <w:widowControl/>
        <w:kinsoku w:val="0"/>
        <w:wordWrap/>
        <w:overflowPunct/>
        <w:topLinePunct w:val="0"/>
        <w:autoSpaceDE w:val="0"/>
        <w:autoSpaceDN w:val="0"/>
        <w:bidi w:val="0"/>
        <w:adjustRightInd w:val="0"/>
        <w:snapToGrid w:val="0"/>
        <w:spacing w:before="9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w:t>
      </w:r>
      <w:r>
        <w:rPr>
          <w:rFonts w:hint="eastAsia" w:ascii="宋体" w:hAnsi="宋体" w:eastAsia="宋体" w:cs="宋体"/>
          <w:color w:val="auto"/>
          <w:spacing w:val="-1"/>
          <w:sz w:val="24"/>
          <w:szCs w:val="24"/>
          <w:lang w:val="en-US"/>
        </w:rPr>
        <w:t>七</w:t>
      </w:r>
      <w:r>
        <w:rPr>
          <w:rFonts w:hint="eastAsia" w:ascii="宋体" w:hAnsi="宋体" w:eastAsia="宋体" w:cs="宋体"/>
          <w:color w:val="auto"/>
          <w:spacing w:val="-1"/>
          <w:sz w:val="24"/>
          <w:szCs w:val="24"/>
        </w:rPr>
        <w:t>条  综合管理部分</w:t>
      </w:r>
    </w:p>
    <w:p w14:paraId="72063C1A">
      <w:pPr>
        <w:keepNext w:val="0"/>
        <w:keepLines w:val="0"/>
        <w:pageBreakBefore w:val="0"/>
        <w:widowControl/>
        <w:kinsoku w:val="0"/>
        <w:wordWrap/>
        <w:overflowPunct/>
        <w:topLinePunct w:val="0"/>
        <w:autoSpaceDE w:val="0"/>
        <w:autoSpaceDN w:val="0"/>
        <w:bidi w:val="0"/>
        <w:adjustRightInd w:val="0"/>
        <w:snapToGrid w:val="0"/>
        <w:spacing w:before="180"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管理规章制度健全，服务质量标准完善，物业管理档案资料齐全；</w:t>
      </w:r>
    </w:p>
    <w:p w14:paraId="13C5A2AD">
      <w:pPr>
        <w:keepNext w:val="0"/>
        <w:keepLines w:val="0"/>
        <w:pageBreakBefore w:val="0"/>
        <w:widowControl/>
        <w:kinsoku w:val="0"/>
        <w:wordWrap/>
        <w:overflowPunct/>
        <w:topLinePunct w:val="0"/>
        <w:autoSpaceDE w:val="0"/>
        <w:autoSpaceDN w:val="0"/>
        <w:bidi w:val="0"/>
        <w:adjustRightInd w:val="0"/>
        <w:snapToGrid w:val="0"/>
        <w:spacing w:before="184"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每年度进行一次建筑物及设备设施安全检查；</w:t>
      </w:r>
    </w:p>
    <w:p w14:paraId="030AC96E">
      <w:pPr>
        <w:keepNext w:val="0"/>
        <w:keepLines w:val="0"/>
        <w:pageBreakBefore w:val="0"/>
        <w:widowControl/>
        <w:kinsoku w:val="0"/>
        <w:wordWrap/>
        <w:overflowPunct/>
        <w:topLinePunct w:val="0"/>
        <w:autoSpaceDE w:val="0"/>
        <w:autoSpaceDN w:val="0"/>
        <w:bidi w:val="0"/>
        <w:adjustRightInd w:val="0"/>
        <w:snapToGrid w:val="0"/>
        <w:spacing w:before="182" w:line="240" w:lineRule="auto"/>
        <w:ind w:left="370" w:hanging="36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3.   每年度进行一次管理服务满意率调查，甲方满意率</w:t>
      </w:r>
      <w:r>
        <w:rPr>
          <w:rFonts w:hint="eastAsia" w:ascii="宋体" w:hAnsi="宋体" w:eastAsia="宋体" w:cs="宋体"/>
          <w:color w:val="auto"/>
          <w:spacing w:val="1"/>
          <w:sz w:val="24"/>
          <w:szCs w:val="24"/>
        </w:rPr>
        <w:t>达</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95％以上，低于95%至90%甲</w:t>
      </w:r>
      <w:r>
        <w:rPr>
          <w:rFonts w:hint="eastAsia" w:ascii="宋体" w:hAnsi="宋体" w:eastAsia="宋体" w:cs="宋体"/>
          <w:color w:val="auto"/>
          <w:spacing w:val="-3"/>
          <w:sz w:val="24"/>
          <w:szCs w:val="24"/>
        </w:rPr>
        <w:t>方进行约谈公司负责人，低于</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90%以下甲方有权扣除第四季度物业费</w:t>
      </w:r>
      <w:r>
        <w:rPr>
          <w:rFonts w:hint="eastAsia" w:ascii="宋体" w:hAnsi="宋体" w:eastAsia="宋体" w:cs="宋体"/>
          <w:color w:val="auto"/>
          <w:spacing w:val="-4"/>
          <w:sz w:val="24"/>
          <w:szCs w:val="24"/>
        </w:rPr>
        <w:t>中的</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5%，投诉</w:t>
      </w:r>
      <w:r>
        <w:rPr>
          <w:rFonts w:hint="eastAsia" w:ascii="宋体" w:hAnsi="宋体" w:eastAsia="宋体" w:cs="宋体"/>
          <w:color w:val="auto"/>
          <w:spacing w:val="5"/>
          <w:sz w:val="24"/>
          <w:szCs w:val="24"/>
        </w:rPr>
        <w:t>处理率达</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5"/>
          <w:sz w:val="24"/>
          <w:szCs w:val="24"/>
        </w:rPr>
        <w:t>100%;</w:t>
      </w:r>
    </w:p>
    <w:p w14:paraId="7A6B3261">
      <w:pPr>
        <w:keepNext w:val="0"/>
        <w:keepLines w:val="0"/>
        <w:pageBreakBefore w:val="0"/>
        <w:widowControl/>
        <w:kinsoku w:val="0"/>
        <w:wordWrap/>
        <w:overflowPunct/>
        <w:topLinePunct w:val="0"/>
        <w:autoSpaceDE w:val="0"/>
        <w:autoSpaceDN w:val="0"/>
        <w:bidi w:val="0"/>
        <w:adjustRightInd w:val="0"/>
        <w:snapToGrid w:val="0"/>
        <w:spacing w:before="184"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能耗计量、统计完整准确；</w:t>
      </w:r>
    </w:p>
    <w:p w14:paraId="23C0449F">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建立应对各种公共突发事件的处理机制和预案；</w:t>
      </w:r>
    </w:p>
    <w:p w14:paraId="3124A8DF">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应用现代化、科学化管理手段；</w:t>
      </w:r>
    </w:p>
    <w:p w14:paraId="2F418E6E">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7.   全体员工统一着装，配戴标识。</w:t>
      </w:r>
    </w:p>
    <w:p w14:paraId="4A313572">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   员工上岗前进行专业技能培训，专业技</w:t>
      </w:r>
      <w:r>
        <w:rPr>
          <w:rFonts w:hint="eastAsia" w:ascii="宋体" w:hAnsi="宋体" w:eastAsia="宋体" w:cs="宋体"/>
          <w:color w:val="auto"/>
          <w:spacing w:val="-1"/>
          <w:sz w:val="24"/>
          <w:szCs w:val="24"/>
        </w:rPr>
        <w:t>术岗位人员确保具有专业资格证书。</w:t>
      </w:r>
    </w:p>
    <w:p w14:paraId="7884FFF8">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第十</w:t>
      </w:r>
      <w:r>
        <w:rPr>
          <w:rFonts w:hint="eastAsia" w:ascii="宋体" w:hAnsi="宋体" w:eastAsia="宋体" w:cs="宋体"/>
          <w:color w:val="auto"/>
          <w:spacing w:val="-1"/>
          <w:sz w:val="24"/>
          <w:szCs w:val="24"/>
          <w:lang w:val="en-US"/>
        </w:rPr>
        <w:t>八</w:t>
      </w:r>
      <w:r>
        <w:rPr>
          <w:rFonts w:hint="eastAsia" w:ascii="宋体" w:hAnsi="宋体" w:eastAsia="宋体" w:cs="宋体"/>
          <w:color w:val="auto"/>
          <w:spacing w:val="-1"/>
          <w:sz w:val="24"/>
          <w:szCs w:val="24"/>
        </w:rPr>
        <w:t>条  建筑本体、设备设施、附属室外设施部分</w:t>
      </w:r>
      <w:r>
        <w:rPr>
          <w:rFonts w:hint="eastAsia" w:ascii="宋体" w:hAnsi="宋体" w:eastAsia="宋体" w:cs="宋体"/>
          <w:color w:val="auto"/>
          <w:sz w:val="24"/>
          <w:szCs w:val="24"/>
        </w:rPr>
        <w:t>的日常巡查</w:t>
      </w:r>
    </w:p>
    <w:p w14:paraId="223A5566">
      <w:pPr>
        <w:keepNext w:val="0"/>
        <w:keepLines w:val="0"/>
        <w:pageBreakBefore w:val="0"/>
        <w:widowControl/>
        <w:kinsoku w:val="0"/>
        <w:wordWrap/>
        <w:overflowPunct/>
        <w:topLinePunct w:val="0"/>
        <w:autoSpaceDE w:val="0"/>
        <w:autoSpaceDN w:val="0"/>
        <w:bidi w:val="0"/>
        <w:adjustRightInd w:val="0"/>
        <w:snapToGrid w:val="0"/>
        <w:spacing w:before="184"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执行并达到《房屋及其设备小修服务标</w:t>
      </w:r>
      <w:r>
        <w:rPr>
          <w:rFonts w:hint="eastAsia" w:ascii="宋体" w:hAnsi="宋体" w:eastAsia="宋体" w:cs="宋体"/>
          <w:color w:val="auto"/>
          <w:spacing w:val="-2"/>
          <w:sz w:val="24"/>
          <w:szCs w:val="24"/>
        </w:rPr>
        <w:t>准》 ；</w:t>
      </w:r>
    </w:p>
    <w:p w14:paraId="424CC53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2.   建筑及配套设施完好率达99%;</w:t>
      </w:r>
    </w:p>
    <w:p w14:paraId="7805D788">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   设备完好率达</w:t>
      </w:r>
      <w:r>
        <w:rPr>
          <w:rFonts w:hint="eastAsia" w:ascii="宋体" w:hAnsi="宋体" w:eastAsia="宋体" w:cs="宋体"/>
          <w:color w:val="auto"/>
          <w:spacing w:val="-31"/>
          <w:sz w:val="24"/>
          <w:szCs w:val="24"/>
        </w:rPr>
        <w:t xml:space="preserve"> </w:t>
      </w:r>
      <w:r>
        <w:rPr>
          <w:rFonts w:hint="eastAsia" w:ascii="宋体" w:hAnsi="宋体" w:eastAsia="宋体" w:cs="宋体"/>
          <w:color w:val="auto"/>
          <w:sz w:val="24"/>
          <w:szCs w:val="24"/>
        </w:rPr>
        <w:t>100</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运行安全率达</w:t>
      </w: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rPr>
        <w:t>100%;</w:t>
      </w:r>
    </w:p>
    <w:p w14:paraId="61A27FC7">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69" w:right="2" w:hanging="36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日常维修设专人</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24</w:t>
      </w:r>
      <w:r>
        <w:rPr>
          <w:rFonts w:hint="eastAsia" w:ascii="宋体" w:hAnsi="宋体" w:eastAsia="宋体" w:cs="宋体"/>
          <w:color w:val="auto"/>
          <w:spacing w:val="16"/>
          <w:w w:val="101"/>
          <w:sz w:val="24"/>
          <w:szCs w:val="24"/>
        </w:rPr>
        <w:t xml:space="preserve"> </w:t>
      </w:r>
      <w:r>
        <w:rPr>
          <w:rFonts w:hint="eastAsia" w:ascii="宋体" w:hAnsi="宋体" w:eastAsia="宋体" w:cs="宋体"/>
          <w:color w:val="auto"/>
          <w:spacing w:val="-1"/>
          <w:sz w:val="24"/>
          <w:szCs w:val="24"/>
        </w:rPr>
        <w:t>小时值班，接报修</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10 分钟内到达现场，维修</w:t>
      </w:r>
      <w:r>
        <w:rPr>
          <w:rFonts w:hint="eastAsia" w:ascii="宋体" w:hAnsi="宋体" w:eastAsia="宋体" w:cs="宋体"/>
          <w:color w:val="auto"/>
          <w:spacing w:val="-2"/>
          <w:sz w:val="24"/>
          <w:szCs w:val="24"/>
        </w:rPr>
        <w:t>及时率达99</w:t>
      </w:r>
      <w:r>
        <w:rPr>
          <w:rFonts w:hint="eastAsia" w:ascii="宋体" w:hAnsi="宋体" w:eastAsia="宋体" w:cs="宋体"/>
          <w:color w:val="auto"/>
          <w:spacing w:val="5"/>
          <w:sz w:val="24"/>
          <w:szCs w:val="24"/>
        </w:rPr>
        <w:t>％，</w:t>
      </w:r>
      <w:r>
        <w:rPr>
          <w:rFonts w:hint="eastAsia" w:ascii="宋体" w:hAnsi="宋体" w:eastAsia="宋体" w:cs="宋体"/>
          <w:color w:val="auto"/>
          <w:spacing w:val="-2"/>
          <w:sz w:val="24"/>
          <w:szCs w:val="24"/>
        </w:rPr>
        <w:t>返</w:t>
      </w:r>
      <w:r>
        <w:rPr>
          <w:rFonts w:hint="eastAsia" w:ascii="宋体" w:hAnsi="宋体" w:eastAsia="宋体" w:cs="宋体"/>
          <w:color w:val="auto"/>
          <w:spacing w:val="6"/>
          <w:sz w:val="24"/>
          <w:szCs w:val="24"/>
        </w:rPr>
        <w:t>修率不高于</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1%;</w:t>
      </w:r>
    </w:p>
    <w:p w14:paraId="6054A743">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室外道路、庭院、场地</w:t>
      </w:r>
      <w:r>
        <w:rPr>
          <w:rFonts w:hint="eastAsia" w:ascii="宋体" w:hAnsi="宋体" w:eastAsia="宋体" w:cs="宋体"/>
          <w:color w:val="auto"/>
          <w:spacing w:val="-1"/>
          <w:sz w:val="24"/>
          <w:szCs w:val="24"/>
          <w:lang w:val="en-US"/>
        </w:rPr>
        <w:t>平整</w:t>
      </w:r>
      <w:r>
        <w:rPr>
          <w:rFonts w:hint="eastAsia" w:ascii="宋体" w:hAnsi="宋体" w:eastAsia="宋体" w:cs="宋体"/>
          <w:color w:val="auto"/>
          <w:spacing w:val="-1"/>
          <w:sz w:val="24"/>
          <w:szCs w:val="24"/>
        </w:rPr>
        <w:t>，建筑小品、围栏</w:t>
      </w:r>
      <w:r>
        <w:rPr>
          <w:rFonts w:hint="eastAsia" w:ascii="宋体" w:hAnsi="宋体" w:eastAsia="宋体" w:cs="宋体"/>
          <w:color w:val="auto"/>
          <w:spacing w:val="-1"/>
          <w:sz w:val="24"/>
          <w:szCs w:val="24"/>
          <w:lang w:val="en-US"/>
        </w:rPr>
        <w:t>完好</w:t>
      </w:r>
      <w:r>
        <w:rPr>
          <w:rFonts w:hint="eastAsia" w:ascii="宋体" w:hAnsi="宋体" w:eastAsia="宋体" w:cs="宋体"/>
          <w:color w:val="auto"/>
          <w:spacing w:val="-1"/>
          <w:sz w:val="24"/>
          <w:szCs w:val="24"/>
        </w:rPr>
        <w:t>；</w:t>
      </w:r>
    </w:p>
    <w:p w14:paraId="3333E0F4">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定期清扫屋面、疏通雨漏管；</w:t>
      </w:r>
    </w:p>
    <w:p w14:paraId="5241B2D0">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7.   定期清理污水井、雨水井；井盖、篦子保持完整。</w:t>
      </w:r>
    </w:p>
    <w:p w14:paraId="2738FF6C">
      <w:pPr>
        <w:keepNext w:val="0"/>
        <w:keepLines w:val="0"/>
        <w:pageBreakBefore w:val="0"/>
        <w:widowControl/>
        <w:kinsoku w:val="0"/>
        <w:wordWrap/>
        <w:overflowPunct/>
        <w:topLinePunct w:val="0"/>
        <w:autoSpaceDE w:val="0"/>
        <w:autoSpaceDN w:val="0"/>
        <w:bidi w:val="0"/>
        <w:adjustRightInd w:val="0"/>
        <w:snapToGrid w:val="0"/>
        <w:spacing w:before="286"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第十</w:t>
      </w:r>
      <w:r>
        <w:rPr>
          <w:rFonts w:hint="eastAsia" w:ascii="宋体" w:hAnsi="宋体" w:eastAsia="宋体" w:cs="宋体"/>
          <w:color w:val="auto"/>
          <w:spacing w:val="-1"/>
          <w:sz w:val="24"/>
          <w:szCs w:val="24"/>
          <w:lang w:val="en-US"/>
        </w:rPr>
        <w:t>九</w:t>
      </w:r>
      <w:r>
        <w:rPr>
          <w:rFonts w:hint="eastAsia" w:ascii="宋体" w:hAnsi="宋体" w:eastAsia="宋体" w:cs="宋体"/>
          <w:color w:val="auto"/>
          <w:spacing w:val="-1"/>
          <w:sz w:val="24"/>
          <w:szCs w:val="24"/>
        </w:rPr>
        <w:t>条  室内保洁及室外环境卫生部分</w:t>
      </w:r>
    </w:p>
    <w:p w14:paraId="2E8E734A">
      <w:pPr>
        <w:keepNext w:val="0"/>
        <w:keepLines w:val="0"/>
        <w:pageBreakBefore w:val="0"/>
        <w:widowControl/>
        <w:kinsoku w:val="0"/>
        <w:wordWrap/>
        <w:overflowPunct/>
        <w:topLinePunct w:val="0"/>
        <w:autoSpaceDE w:val="0"/>
        <w:autoSpaceDN w:val="0"/>
        <w:bidi w:val="0"/>
        <w:adjustRightInd w:val="0"/>
        <w:snapToGrid w:val="0"/>
        <w:spacing w:before="179"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1</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5"/>
          <w:sz w:val="24"/>
          <w:szCs w:val="24"/>
        </w:rPr>
        <w:t>．庭院地面做到干净、整洁。</w:t>
      </w:r>
    </w:p>
    <w:p w14:paraId="1C779ADD">
      <w:pPr>
        <w:keepNext w:val="0"/>
        <w:keepLines w:val="0"/>
        <w:pageBreakBefore w:val="0"/>
        <w:widowControl/>
        <w:kinsoku w:val="0"/>
        <w:wordWrap/>
        <w:overflowPunct/>
        <w:topLinePunct w:val="0"/>
        <w:autoSpaceDE w:val="0"/>
        <w:autoSpaceDN w:val="0"/>
        <w:bidi w:val="0"/>
        <w:adjustRightInd w:val="0"/>
        <w:snapToGrid w:val="0"/>
        <w:spacing w:before="184"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楼层地面保持清洁、光亮。</w:t>
      </w:r>
    </w:p>
    <w:p w14:paraId="40F7FD44">
      <w:pPr>
        <w:keepNext w:val="0"/>
        <w:keepLines w:val="0"/>
        <w:pageBreakBefore w:val="0"/>
        <w:widowControl/>
        <w:kinsoku w:val="0"/>
        <w:wordWrap/>
        <w:overflowPunct/>
        <w:topLinePunct w:val="0"/>
        <w:autoSpaceDE w:val="0"/>
        <w:autoSpaceDN w:val="0"/>
        <w:bidi w:val="0"/>
        <w:adjustRightInd w:val="0"/>
        <w:snapToGrid w:val="0"/>
        <w:spacing w:before="182"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走道四角及墙线保持干净。</w:t>
      </w:r>
    </w:p>
    <w:p w14:paraId="085E7404">
      <w:pPr>
        <w:keepNext w:val="0"/>
        <w:keepLines w:val="0"/>
        <w:pageBreakBefore w:val="0"/>
        <w:widowControl/>
        <w:kinsoku w:val="0"/>
        <w:wordWrap/>
        <w:overflowPunct/>
        <w:topLinePunct w:val="0"/>
        <w:autoSpaceDE w:val="0"/>
        <w:autoSpaceDN w:val="0"/>
        <w:bidi w:val="0"/>
        <w:adjustRightInd w:val="0"/>
        <w:snapToGrid w:val="0"/>
        <w:spacing w:before="182"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   楼内垃圾筒位置整齐，把垃圾袋套在垃圾箱上，卫生</w:t>
      </w:r>
      <w:r>
        <w:rPr>
          <w:rFonts w:hint="eastAsia" w:ascii="宋体" w:hAnsi="宋体" w:eastAsia="宋体" w:cs="宋体"/>
          <w:color w:val="auto"/>
          <w:spacing w:val="-1"/>
          <w:sz w:val="24"/>
          <w:szCs w:val="24"/>
        </w:rPr>
        <w:t>间无异味。</w:t>
      </w:r>
    </w:p>
    <w:p w14:paraId="583A32B8">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71" w:hanging="35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楼内墙面及走道设施、门框保持干净，楼内的窗框和内层玻璃保持干净。卫生间时</w:t>
      </w:r>
      <w:r>
        <w:rPr>
          <w:rFonts w:hint="eastAsia" w:ascii="宋体" w:hAnsi="宋体" w:eastAsia="宋体" w:cs="宋体"/>
          <w:color w:val="auto"/>
          <w:spacing w:val="-2"/>
          <w:sz w:val="24"/>
          <w:szCs w:val="24"/>
        </w:rPr>
        <w:t>刻保持干净、整洁。</w:t>
      </w:r>
    </w:p>
    <w:p w14:paraId="41B2B881">
      <w:pPr>
        <w:keepNext w:val="0"/>
        <w:keepLines w:val="0"/>
        <w:pageBreakBefore w:val="0"/>
        <w:widowControl/>
        <w:kinsoku w:val="0"/>
        <w:wordWrap/>
        <w:overflowPunct/>
        <w:topLinePunct w:val="0"/>
        <w:autoSpaceDE w:val="0"/>
        <w:autoSpaceDN w:val="0"/>
        <w:bidi w:val="0"/>
        <w:adjustRightInd w:val="0"/>
        <w:snapToGrid w:val="0"/>
        <w:spacing w:before="185"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垃圾日产日清，每日运送到指定消纳点。</w:t>
      </w:r>
    </w:p>
    <w:p w14:paraId="245A2FCA">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rPr>
        <w:t>7</w:t>
      </w:r>
      <w:r>
        <w:rPr>
          <w:rFonts w:hint="eastAsia" w:ascii="宋体" w:hAnsi="宋体" w:eastAsia="宋体" w:cs="宋体"/>
          <w:color w:val="auto"/>
          <w:spacing w:val="-1"/>
          <w:sz w:val="24"/>
          <w:szCs w:val="24"/>
        </w:rPr>
        <w:t>.   有应对突发公共卫生事件的处置预案；</w:t>
      </w:r>
    </w:p>
    <w:p w14:paraId="529E58F9">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w:t>
      </w:r>
      <w:r>
        <w:rPr>
          <w:rFonts w:hint="eastAsia" w:ascii="宋体" w:hAnsi="宋体" w:eastAsia="宋体" w:cs="宋体"/>
          <w:color w:val="auto"/>
          <w:spacing w:val="-1"/>
          <w:sz w:val="24"/>
          <w:szCs w:val="24"/>
          <w:lang w:val="en-US"/>
        </w:rPr>
        <w:t>二十</w:t>
      </w:r>
      <w:r>
        <w:rPr>
          <w:rFonts w:hint="eastAsia" w:ascii="宋体" w:hAnsi="宋体" w:eastAsia="宋体" w:cs="宋体"/>
          <w:color w:val="auto"/>
          <w:spacing w:val="-1"/>
          <w:sz w:val="24"/>
          <w:szCs w:val="24"/>
        </w:rPr>
        <w:t>条  绿化管理</w:t>
      </w:r>
    </w:p>
    <w:p w14:paraId="4B4FAADF">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执行北京市园林绿化二级养护标准；</w:t>
      </w:r>
    </w:p>
    <w:p w14:paraId="162411A0">
      <w:pPr>
        <w:keepNext w:val="0"/>
        <w:keepLines w:val="0"/>
        <w:pageBreakBefore w:val="0"/>
        <w:widowControl/>
        <w:kinsoku w:val="0"/>
        <w:wordWrap/>
        <w:overflowPunct/>
        <w:topLinePunct w:val="0"/>
        <w:autoSpaceDE w:val="0"/>
        <w:autoSpaceDN w:val="0"/>
        <w:bidi w:val="0"/>
        <w:adjustRightInd w:val="0"/>
        <w:snapToGrid w:val="0"/>
        <w:spacing w:before="183"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根据甲方的实际需求室内公共位置摆放绿植</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物料由甲方承担</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w:t>
      </w:r>
    </w:p>
    <w:p w14:paraId="3BF4046C">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室内绿植定期养护，有枯萎现象</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2 个工作日内给予调换。</w:t>
      </w:r>
    </w:p>
    <w:p w14:paraId="0AA72EA7">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第二十一条  公共秩序管理</w:t>
      </w:r>
    </w:p>
    <w:p w14:paraId="6602CD5A">
      <w:pPr>
        <w:keepNext w:val="0"/>
        <w:keepLines w:val="0"/>
        <w:pageBreakBefore w:val="0"/>
        <w:widowControl/>
        <w:kinsoku w:val="0"/>
        <w:wordWrap/>
        <w:overflowPunct/>
        <w:topLinePunct w:val="0"/>
        <w:autoSpaceDE w:val="0"/>
        <w:autoSpaceDN w:val="0"/>
        <w:bidi w:val="0"/>
        <w:adjustRightInd w:val="0"/>
        <w:snapToGrid w:val="0"/>
        <w:spacing w:before="184"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b/>
          <w:bCs/>
          <w:color w:val="auto"/>
          <w:spacing w:val="-1"/>
          <w:sz w:val="24"/>
          <w:szCs w:val="24"/>
        </w:rPr>
        <w:t xml:space="preserve">.  </w:t>
      </w:r>
      <w:r>
        <w:rPr>
          <w:rFonts w:hint="eastAsia" w:ascii="宋体" w:hAnsi="宋体" w:eastAsia="宋体" w:cs="宋体"/>
          <w:color w:val="auto"/>
          <w:spacing w:val="-1"/>
          <w:sz w:val="24"/>
          <w:szCs w:val="24"/>
        </w:rPr>
        <w:t>全体员工均保持服务上高标准的仪容、仪表、着装、礼仪规范；</w:t>
      </w:r>
    </w:p>
    <w:p w14:paraId="68EF5C7D">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2.  门岗保持24 小时值班；</w:t>
      </w:r>
    </w:p>
    <w:p w14:paraId="3945B3B0">
      <w:pPr>
        <w:keepNext w:val="0"/>
        <w:keepLines w:val="0"/>
        <w:pageBreakBefore w:val="0"/>
        <w:widowControl/>
        <w:kinsoku w:val="0"/>
        <w:wordWrap/>
        <w:overflowPunct/>
        <w:topLinePunct w:val="0"/>
        <w:autoSpaceDE w:val="0"/>
        <w:autoSpaceDN w:val="0"/>
        <w:bidi w:val="0"/>
        <w:adjustRightInd w:val="0"/>
        <w:snapToGrid w:val="0"/>
        <w:spacing w:before="182"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w:t>
      </w:r>
      <w:r>
        <w:rPr>
          <w:rFonts w:hint="eastAsia" w:ascii="宋体" w:hAnsi="宋体" w:eastAsia="宋体" w:cs="宋体"/>
          <w:b/>
          <w:bCs/>
          <w:color w:val="auto"/>
          <w:spacing w:val="-1"/>
          <w:sz w:val="24"/>
          <w:szCs w:val="24"/>
        </w:rPr>
        <w:t xml:space="preserve">.  </w:t>
      </w:r>
      <w:r>
        <w:rPr>
          <w:rFonts w:hint="eastAsia" w:ascii="宋体" w:hAnsi="宋体" w:eastAsia="宋体" w:cs="宋体"/>
          <w:color w:val="auto"/>
          <w:spacing w:val="-1"/>
          <w:sz w:val="24"/>
          <w:szCs w:val="24"/>
        </w:rPr>
        <w:t>保持充足的备勤人员应付、处理突发事件的发生；</w:t>
      </w:r>
    </w:p>
    <w:p w14:paraId="6964ACB2">
      <w:pPr>
        <w:keepNext w:val="0"/>
        <w:keepLines w:val="0"/>
        <w:pageBreakBefore w:val="0"/>
        <w:widowControl/>
        <w:kinsoku w:val="0"/>
        <w:wordWrap/>
        <w:overflowPunct/>
        <w:topLinePunct w:val="0"/>
        <w:autoSpaceDE w:val="0"/>
        <w:autoSpaceDN w:val="0"/>
        <w:bidi w:val="0"/>
        <w:adjustRightInd w:val="0"/>
        <w:snapToGrid w:val="0"/>
        <w:spacing w:before="182"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每年组织不少于两次的消防安全教育，不少于一次的</w:t>
      </w:r>
      <w:r>
        <w:rPr>
          <w:rFonts w:hint="eastAsia" w:ascii="宋体" w:hAnsi="宋体" w:eastAsia="宋体" w:cs="宋体"/>
          <w:color w:val="auto"/>
          <w:spacing w:val="-1"/>
          <w:sz w:val="24"/>
          <w:szCs w:val="24"/>
        </w:rPr>
        <w:t>消防演习；</w:t>
      </w:r>
    </w:p>
    <w:p w14:paraId="685E2023">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w:t>
      </w:r>
      <w:r>
        <w:rPr>
          <w:rFonts w:hint="eastAsia" w:ascii="宋体" w:hAnsi="宋体" w:eastAsia="宋体" w:cs="宋体"/>
          <w:b/>
          <w:bCs/>
          <w:color w:val="auto"/>
          <w:spacing w:val="-1"/>
          <w:sz w:val="24"/>
          <w:szCs w:val="24"/>
        </w:rPr>
        <w:t xml:space="preserve">.  </w:t>
      </w:r>
      <w:r>
        <w:rPr>
          <w:rFonts w:hint="eastAsia" w:ascii="宋体" w:hAnsi="宋体" w:eastAsia="宋体" w:cs="宋体"/>
          <w:color w:val="auto"/>
          <w:spacing w:val="-1"/>
          <w:sz w:val="24"/>
          <w:szCs w:val="24"/>
        </w:rPr>
        <w:t>保存有完整的安保工作档案，消防工作检查记录；</w:t>
      </w:r>
    </w:p>
    <w:p w14:paraId="34760EEE">
      <w:pPr>
        <w:keepNext w:val="0"/>
        <w:keepLines w:val="0"/>
        <w:pageBreakBefore w:val="0"/>
        <w:widowControl/>
        <w:kinsoku w:val="0"/>
        <w:wordWrap/>
        <w:overflowPunct/>
        <w:topLinePunct w:val="0"/>
        <w:autoSpaceDE w:val="0"/>
        <w:autoSpaceDN w:val="0"/>
        <w:bidi w:val="0"/>
        <w:adjustRightInd w:val="0"/>
        <w:snapToGrid w:val="0"/>
        <w:spacing w:before="182"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w:t>
      </w:r>
      <w:r>
        <w:rPr>
          <w:rFonts w:hint="eastAsia" w:ascii="宋体" w:hAnsi="宋体" w:eastAsia="宋体" w:cs="宋体"/>
          <w:b/>
          <w:bCs/>
          <w:color w:val="auto"/>
          <w:spacing w:val="-1"/>
          <w:sz w:val="24"/>
          <w:szCs w:val="24"/>
        </w:rPr>
        <w:t xml:space="preserve">.  </w:t>
      </w:r>
      <w:r>
        <w:rPr>
          <w:rFonts w:hint="eastAsia" w:ascii="宋体" w:hAnsi="宋体" w:eastAsia="宋体" w:cs="宋体"/>
          <w:color w:val="auto"/>
          <w:spacing w:val="-1"/>
          <w:sz w:val="24"/>
          <w:szCs w:val="24"/>
        </w:rPr>
        <w:t>各项工作都有严格的检查、督促、奖惩等管理制度；</w:t>
      </w:r>
    </w:p>
    <w:p w14:paraId="2B5B03FB">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  有应对发生治安案件、刑事案件、</w:t>
      </w:r>
      <w:r>
        <w:rPr>
          <w:rFonts w:hint="eastAsia" w:ascii="宋体" w:hAnsi="宋体" w:eastAsia="宋体" w:cs="宋体"/>
          <w:color w:val="auto"/>
          <w:spacing w:val="-1"/>
          <w:sz w:val="24"/>
          <w:szCs w:val="24"/>
        </w:rPr>
        <w:t>交通事故的处置预案。</w:t>
      </w:r>
    </w:p>
    <w:p w14:paraId="3CEC3298">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w:t>
      </w:r>
      <w:r>
        <w:rPr>
          <w:rFonts w:hint="eastAsia" w:ascii="宋体" w:hAnsi="宋体" w:eastAsia="宋体" w:cs="宋体"/>
          <w:color w:val="auto"/>
          <w:spacing w:val="-1"/>
          <w:sz w:val="24"/>
          <w:szCs w:val="24"/>
          <w:lang w:val="en-US"/>
        </w:rPr>
        <w:t>二</w:t>
      </w:r>
      <w:r>
        <w:rPr>
          <w:rFonts w:hint="eastAsia" w:ascii="宋体" w:hAnsi="宋体" w:eastAsia="宋体" w:cs="宋体"/>
          <w:color w:val="auto"/>
          <w:spacing w:val="-1"/>
          <w:sz w:val="24"/>
          <w:szCs w:val="24"/>
        </w:rPr>
        <w:t>条  消防中控管理部分</w:t>
      </w:r>
    </w:p>
    <w:p w14:paraId="57E361F2">
      <w:pPr>
        <w:keepNext w:val="0"/>
        <w:keepLines w:val="0"/>
        <w:pageBreakBefore w:val="0"/>
        <w:widowControl/>
        <w:kinsoku w:val="0"/>
        <w:wordWrap/>
        <w:overflowPunct/>
        <w:topLinePunct w:val="0"/>
        <w:autoSpaceDE w:val="0"/>
        <w:autoSpaceDN w:val="0"/>
        <w:bidi w:val="0"/>
        <w:adjustRightInd w:val="0"/>
        <w:snapToGrid w:val="0"/>
        <w:spacing w:before="183"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1.   消防中控室</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3"/>
          <w:sz w:val="24"/>
          <w:szCs w:val="24"/>
        </w:rPr>
        <w:t>24</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3"/>
          <w:sz w:val="24"/>
          <w:szCs w:val="24"/>
        </w:rPr>
        <w:t>小时值班；</w:t>
      </w:r>
    </w:p>
    <w:p w14:paraId="0F93DCA0">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熟练掌握消防设备的操作规程；</w:t>
      </w:r>
    </w:p>
    <w:p w14:paraId="22421765">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   有健全的消防管理制度，建立消防</w:t>
      </w:r>
      <w:r>
        <w:rPr>
          <w:rFonts w:hint="eastAsia" w:ascii="宋体" w:hAnsi="宋体" w:eastAsia="宋体" w:cs="宋体"/>
          <w:color w:val="auto"/>
          <w:spacing w:val="-1"/>
          <w:sz w:val="24"/>
          <w:szCs w:val="24"/>
        </w:rPr>
        <w:t>责任制及火灾消防预案；</w:t>
      </w:r>
    </w:p>
    <w:p w14:paraId="6CA06405">
      <w:pPr>
        <w:keepNext w:val="0"/>
        <w:keepLines w:val="0"/>
        <w:pageBreakBefore w:val="0"/>
        <w:widowControl/>
        <w:kinsoku w:val="0"/>
        <w:wordWrap/>
        <w:overflowPunct/>
        <w:topLinePunct w:val="0"/>
        <w:autoSpaceDE w:val="0"/>
        <w:autoSpaceDN w:val="0"/>
        <w:bidi w:val="0"/>
        <w:adjustRightInd w:val="0"/>
        <w:snapToGrid w:val="0"/>
        <w:spacing w:before="181"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   消防设施有明显标志，定期对消防设施进行巡视、检</w:t>
      </w:r>
      <w:r>
        <w:rPr>
          <w:rFonts w:hint="eastAsia" w:ascii="宋体" w:hAnsi="宋体" w:eastAsia="宋体" w:cs="宋体"/>
          <w:color w:val="auto"/>
          <w:spacing w:val="-1"/>
          <w:sz w:val="24"/>
          <w:szCs w:val="24"/>
        </w:rPr>
        <w:t>查和维护；</w:t>
      </w:r>
    </w:p>
    <w:p w14:paraId="6E0DD63A">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定期进行消防检查，及时排除消防隐患；</w:t>
      </w:r>
    </w:p>
    <w:p w14:paraId="4E665D1B">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定期进行消防训练，保证有关人员掌握消防基本技能；</w:t>
      </w:r>
    </w:p>
    <w:p w14:paraId="2F877D5F">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   发生火灾，及时报警，协助消防</w:t>
      </w:r>
      <w:r>
        <w:rPr>
          <w:rFonts w:hint="eastAsia" w:ascii="宋体" w:hAnsi="宋体" w:eastAsia="宋体" w:cs="宋体"/>
          <w:color w:val="auto"/>
          <w:spacing w:val="-1"/>
          <w:sz w:val="24"/>
          <w:szCs w:val="24"/>
        </w:rPr>
        <w:t>人员疏散、救助人员。</w:t>
      </w:r>
    </w:p>
    <w:p w14:paraId="32FD6959">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w:t>
      </w:r>
      <w:r>
        <w:rPr>
          <w:rFonts w:hint="eastAsia" w:ascii="宋体" w:hAnsi="宋体" w:eastAsia="宋体" w:cs="宋体"/>
          <w:color w:val="auto"/>
          <w:spacing w:val="-1"/>
          <w:sz w:val="24"/>
          <w:szCs w:val="24"/>
          <w:lang w:val="en-US"/>
        </w:rPr>
        <w:t>三</w:t>
      </w:r>
      <w:r>
        <w:rPr>
          <w:rFonts w:hint="eastAsia" w:ascii="宋体" w:hAnsi="宋体" w:eastAsia="宋体" w:cs="宋体"/>
          <w:color w:val="auto"/>
          <w:spacing w:val="-1"/>
          <w:sz w:val="24"/>
          <w:szCs w:val="24"/>
        </w:rPr>
        <w:t>条  车辆停放管理部分</w:t>
      </w:r>
    </w:p>
    <w:p w14:paraId="717FE967">
      <w:pPr>
        <w:keepNext w:val="0"/>
        <w:keepLines w:val="0"/>
        <w:pageBreakBefore w:val="0"/>
        <w:widowControl/>
        <w:kinsoku w:val="0"/>
        <w:wordWrap/>
        <w:overflowPunct/>
        <w:topLinePunct w:val="0"/>
        <w:autoSpaceDE w:val="0"/>
        <w:autoSpaceDN w:val="0"/>
        <w:bidi w:val="0"/>
        <w:adjustRightInd w:val="0"/>
        <w:snapToGrid w:val="0"/>
        <w:spacing w:before="285"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有健全的机动车停放管理制度和管理方案；</w:t>
      </w:r>
    </w:p>
    <w:p w14:paraId="2B1ABEC4">
      <w:pPr>
        <w:keepNext w:val="0"/>
        <w:keepLines w:val="0"/>
        <w:pageBreakBefore w:val="0"/>
        <w:widowControl/>
        <w:kinsoku w:val="0"/>
        <w:wordWrap/>
        <w:overflowPunct/>
        <w:topLinePunct w:val="0"/>
        <w:autoSpaceDE w:val="0"/>
        <w:autoSpaceDN w:val="0"/>
        <w:bidi w:val="0"/>
        <w:adjustRightInd w:val="0"/>
        <w:snapToGrid w:val="0"/>
        <w:spacing w:before="180"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停车场设专人看管，停车有序，机动车和非机动车无丢</w:t>
      </w:r>
      <w:r>
        <w:rPr>
          <w:rFonts w:hint="eastAsia" w:ascii="宋体" w:hAnsi="宋体" w:eastAsia="宋体" w:cs="宋体"/>
          <w:color w:val="auto"/>
          <w:spacing w:val="-1"/>
          <w:sz w:val="24"/>
          <w:szCs w:val="24"/>
        </w:rPr>
        <w:t>失和人为损毁；</w:t>
      </w:r>
    </w:p>
    <w:p w14:paraId="605A259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有应对发生紧急情况的处置预案。</w:t>
      </w:r>
    </w:p>
    <w:p w14:paraId="28EFA159">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第二十四条  会议、接待服务部分</w:t>
      </w:r>
    </w:p>
    <w:p w14:paraId="39A68303">
      <w:pPr>
        <w:keepNext w:val="0"/>
        <w:keepLines w:val="0"/>
        <w:pageBreakBefore w:val="0"/>
        <w:widowControl/>
        <w:kinsoku w:val="0"/>
        <w:wordWrap/>
        <w:overflowPunct/>
        <w:topLinePunct w:val="0"/>
        <w:autoSpaceDE w:val="0"/>
        <w:autoSpaceDN w:val="0"/>
        <w:bidi w:val="0"/>
        <w:adjustRightInd w:val="0"/>
        <w:snapToGrid w:val="0"/>
        <w:spacing w:before="182"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有健全的接待管理服务制度；</w:t>
      </w:r>
    </w:p>
    <w:p w14:paraId="36AA9DD8">
      <w:pPr>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会议服务和接待服务规范化。</w:t>
      </w:r>
    </w:p>
    <w:p w14:paraId="3C570AA9">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w:t>
      </w:r>
      <w:r>
        <w:rPr>
          <w:rFonts w:hint="eastAsia" w:ascii="宋体" w:hAnsi="宋体" w:eastAsia="宋体" w:cs="宋体"/>
          <w:color w:val="auto"/>
          <w:spacing w:val="-1"/>
          <w:sz w:val="24"/>
          <w:szCs w:val="24"/>
          <w:lang w:val="en-US"/>
        </w:rPr>
        <w:t>五</w:t>
      </w:r>
      <w:r>
        <w:rPr>
          <w:rFonts w:hint="eastAsia" w:ascii="宋体" w:hAnsi="宋体" w:eastAsia="宋体" w:cs="宋体"/>
          <w:color w:val="auto"/>
          <w:spacing w:val="-1"/>
          <w:sz w:val="24"/>
          <w:szCs w:val="24"/>
        </w:rPr>
        <w:t>条  其他综合服务</w:t>
      </w:r>
    </w:p>
    <w:p w14:paraId="03612C13">
      <w:pPr>
        <w:keepNext w:val="0"/>
        <w:keepLines w:val="0"/>
        <w:pageBreakBefore w:val="0"/>
        <w:widowControl/>
        <w:kinsoku w:val="0"/>
        <w:wordWrap/>
        <w:overflowPunct/>
        <w:topLinePunct w:val="0"/>
        <w:autoSpaceDE w:val="0"/>
        <w:autoSpaceDN w:val="0"/>
        <w:bidi w:val="0"/>
        <w:adjustRightInd w:val="0"/>
        <w:snapToGrid w:val="0"/>
        <w:spacing w:before="180" w:line="240" w:lineRule="auto"/>
        <w:ind w:left="21"/>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供暖服务</w:t>
      </w:r>
    </w:p>
    <w:p w14:paraId="7A6C76DD">
      <w:pPr>
        <w:keepNext w:val="0"/>
        <w:keepLines w:val="0"/>
        <w:pageBreakBefore w:val="0"/>
        <w:widowControl/>
        <w:kinsoku w:val="0"/>
        <w:wordWrap/>
        <w:overflowPunct/>
        <w:topLinePunct w:val="0"/>
        <w:autoSpaceDE w:val="0"/>
        <w:autoSpaceDN w:val="0"/>
        <w:bidi w:val="0"/>
        <w:adjustRightInd w:val="0"/>
        <w:snapToGrid w:val="0"/>
        <w:spacing w:before="184"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1.热力站</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5"/>
          <w:sz w:val="24"/>
          <w:szCs w:val="24"/>
        </w:rPr>
        <w:t>24</w:t>
      </w:r>
      <w:r>
        <w:rPr>
          <w:rFonts w:hint="eastAsia" w:ascii="宋体" w:hAnsi="宋体" w:eastAsia="宋体" w:cs="宋体"/>
          <w:color w:val="auto"/>
          <w:spacing w:val="15"/>
          <w:w w:val="101"/>
          <w:sz w:val="24"/>
          <w:szCs w:val="24"/>
        </w:rPr>
        <w:t xml:space="preserve"> </w:t>
      </w:r>
      <w:r>
        <w:rPr>
          <w:rFonts w:hint="eastAsia" w:ascii="宋体" w:hAnsi="宋体" w:eastAsia="宋体" w:cs="宋体"/>
          <w:color w:val="auto"/>
          <w:spacing w:val="-5"/>
          <w:sz w:val="24"/>
          <w:szCs w:val="24"/>
        </w:rPr>
        <w:t>小时值班；</w:t>
      </w:r>
    </w:p>
    <w:p w14:paraId="330D7DF3">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2.工作人员持证上岗；</w:t>
      </w:r>
    </w:p>
    <w:p w14:paraId="4573038B">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3.对管网热力平衡进行调节；</w:t>
      </w:r>
    </w:p>
    <w:p w14:paraId="0362D525">
      <w:pPr>
        <w:keepNext w:val="0"/>
        <w:keepLines w:val="0"/>
        <w:pageBreakBefore w:val="0"/>
        <w:widowControl/>
        <w:kinsoku w:val="0"/>
        <w:wordWrap/>
        <w:overflowPunct/>
        <w:topLinePunct w:val="0"/>
        <w:autoSpaceDE w:val="0"/>
        <w:autoSpaceDN w:val="0"/>
        <w:bidi w:val="0"/>
        <w:adjustRightInd w:val="0"/>
        <w:snapToGrid w:val="0"/>
        <w:spacing w:before="183"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4.严格按照相关作业规程进行操作。</w:t>
      </w:r>
    </w:p>
    <w:p w14:paraId="28671124">
      <w:pPr>
        <w:keepNext w:val="0"/>
        <w:keepLines w:val="0"/>
        <w:pageBreakBefore w:val="0"/>
        <w:widowControl/>
        <w:kinsoku w:val="0"/>
        <w:wordWrap/>
        <w:overflowPunct/>
        <w:topLinePunct w:val="0"/>
        <w:autoSpaceDE w:val="0"/>
        <w:autoSpaceDN w:val="0"/>
        <w:bidi w:val="0"/>
        <w:adjustRightInd w:val="0"/>
        <w:snapToGrid w:val="0"/>
        <w:spacing w:before="194" w:line="240" w:lineRule="auto"/>
        <w:ind w:left="2955"/>
        <w:textAlignment w:val="baseline"/>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第四章</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4"/>
          <w:sz w:val="31"/>
          <w:szCs w:val="31"/>
        </w:rPr>
        <w:t>物业服务费用</w:t>
      </w:r>
    </w:p>
    <w:p w14:paraId="2E0BAB64">
      <w:pPr>
        <w:keepNext w:val="0"/>
        <w:keepLines w:val="0"/>
        <w:pageBreakBefore w:val="0"/>
        <w:widowControl/>
        <w:kinsoku w:val="0"/>
        <w:wordWrap/>
        <w:overflowPunct/>
        <w:topLinePunct w:val="0"/>
        <w:autoSpaceDE w:val="0"/>
        <w:autoSpaceDN w:val="0"/>
        <w:bidi w:val="0"/>
        <w:adjustRightInd w:val="0"/>
        <w:snapToGrid w:val="0"/>
        <w:spacing w:before="89"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w:t>
      </w:r>
      <w:r>
        <w:rPr>
          <w:rFonts w:hint="eastAsia" w:ascii="宋体" w:hAnsi="宋体" w:eastAsia="宋体" w:cs="宋体"/>
          <w:color w:val="auto"/>
          <w:spacing w:val="-1"/>
          <w:sz w:val="24"/>
          <w:szCs w:val="24"/>
          <w:lang w:val="en-US"/>
        </w:rPr>
        <w:t>六</w:t>
      </w:r>
      <w:r>
        <w:rPr>
          <w:rFonts w:hint="eastAsia" w:ascii="宋体" w:hAnsi="宋体" w:eastAsia="宋体" w:cs="宋体"/>
          <w:color w:val="auto"/>
          <w:spacing w:val="-1"/>
          <w:sz w:val="24"/>
          <w:szCs w:val="24"/>
        </w:rPr>
        <w:t>条  物业服务费。</w:t>
      </w:r>
    </w:p>
    <w:p w14:paraId="57825177">
      <w:pPr>
        <w:keepNext w:val="0"/>
        <w:keepLines w:val="0"/>
        <w:pageBreakBefore w:val="0"/>
        <w:widowControl/>
        <w:kinsoku w:val="0"/>
        <w:wordWrap/>
        <w:overflowPunct/>
        <w:topLinePunct w:val="0"/>
        <w:autoSpaceDE w:val="0"/>
        <w:autoSpaceDN w:val="0"/>
        <w:bidi w:val="0"/>
        <w:adjustRightInd w:val="0"/>
        <w:snapToGrid w:val="0"/>
        <w:spacing w:before="182" w:line="240" w:lineRule="auto"/>
        <w:ind w:left="370" w:firstLine="17"/>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合同期物业服务费总额为￥：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2"/>
          <w:sz w:val="24"/>
          <w:szCs w:val="24"/>
        </w:rPr>
        <w:t>元（大写</w:t>
      </w:r>
      <w:r>
        <w:rPr>
          <w:rFonts w:hint="eastAsia" w:ascii="宋体" w:hAnsi="宋体" w:eastAsia="宋体" w:cs="宋体"/>
          <w:color w:val="auto"/>
          <w:spacing w:val="-43"/>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3"/>
          <w:sz w:val="24"/>
          <w:szCs w:val="24"/>
        </w:rPr>
        <w:t>），</w:t>
      </w:r>
      <w:r>
        <w:rPr>
          <w:rFonts w:hint="eastAsia" w:ascii="宋体" w:hAnsi="宋体" w:eastAsia="宋体" w:cs="宋体"/>
          <w:color w:val="auto"/>
          <w:spacing w:val="-2"/>
          <w:sz w:val="24"/>
          <w:szCs w:val="24"/>
        </w:rPr>
        <w:t>物业服务费按季度</w:t>
      </w:r>
      <w:r>
        <w:rPr>
          <w:rFonts w:hint="eastAsia" w:ascii="宋体" w:hAnsi="宋体" w:eastAsia="宋体" w:cs="宋体"/>
          <w:color w:val="auto"/>
          <w:spacing w:val="-4"/>
          <w:sz w:val="24"/>
          <w:szCs w:val="24"/>
        </w:rPr>
        <w:t>支付。</w:t>
      </w:r>
    </w:p>
    <w:p w14:paraId="07E8773D">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按季度支付分四次付清：</w:t>
      </w:r>
    </w:p>
    <w:p w14:paraId="50C93DA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tbl>
      <w:tblPr>
        <w:tblStyle w:val="251"/>
        <w:tblW w:w="4998"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2166"/>
        <w:gridCol w:w="717"/>
        <w:gridCol w:w="4304"/>
        <w:gridCol w:w="1882"/>
      </w:tblGrid>
      <w:tr w14:paraId="726819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1194" w:type="pct"/>
            <w:vAlign w:val="center"/>
          </w:tcPr>
          <w:p w14:paraId="2A3B74F9">
            <w:pPr>
              <w:pStyle w:val="253"/>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rPr>
            </w:pPr>
            <w:r>
              <w:rPr>
                <w:rFonts w:hint="eastAsia" w:ascii="宋体" w:hAnsi="宋体" w:eastAsia="宋体" w:cs="宋体"/>
                <w:color w:val="auto"/>
                <w:spacing w:val="-3"/>
              </w:rPr>
              <w:t>202</w:t>
            </w:r>
            <w:r>
              <w:rPr>
                <w:rFonts w:hint="eastAsia" w:ascii="宋体" w:hAnsi="宋体" w:eastAsia="宋体" w:cs="宋体"/>
                <w:color w:val="auto"/>
                <w:spacing w:val="-3"/>
                <w:lang w:val="en-US" w:eastAsia="zh-CN"/>
              </w:rPr>
              <w:t>6</w:t>
            </w:r>
            <w:r>
              <w:rPr>
                <w:rFonts w:hint="eastAsia" w:ascii="宋体" w:hAnsi="宋体" w:eastAsia="宋体" w:cs="宋体"/>
                <w:color w:val="auto"/>
                <w:spacing w:val="11"/>
              </w:rPr>
              <w:t xml:space="preserve"> </w:t>
            </w:r>
            <w:r>
              <w:rPr>
                <w:rFonts w:hint="eastAsia" w:ascii="宋体" w:hAnsi="宋体" w:eastAsia="宋体" w:cs="宋体"/>
                <w:color w:val="auto"/>
                <w:spacing w:val="-3"/>
              </w:rPr>
              <w:t>年</w:t>
            </w:r>
            <w:r>
              <w:rPr>
                <w:rFonts w:hint="eastAsia" w:ascii="宋体" w:hAnsi="宋体" w:eastAsia="宋体" w:cs="宋体"/>
                <w:color w:val="auto"/>
                <w:spacing w:val="8"/>
              </w:rPr>
              <w:t xml:space="preserve">  </w:t>
            </w:r>
            <w:r>
              <w:rPr>
                <w:rFonts w:hint="eastAsia" w:ascii="宋体" w:hAnsi="宋体" w:eastAsia="宋体" w:cs="宋体"/>
                <w:color w:val="auto"/>
                <w:spacing w:val="-3"/>
              </w:rPr>
              <w:t>月</w:t>
            </w:r>
          </w:p>
        </w:tc>
        <w:tc>
          <w:tcPr>
            <w:tcW w:w="395" w:type="pct"/>
            <w:vAlign w:val="center"/>
          </w:tcPr>
          <w:p w14:paraId="0ADC27BB">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186"/>
              <w:jc w:val="both"/>
              <w:textAlignment w:val="baseline"/>
              <w:rPr>
                <w:rFonts w:hint="eastAsia" w:ascii="宋体" w:hAnsi="宋体" w:eastAsia="宋体" w:cs="宋体"/>
                <w:color w:val="auto"/>
              </w:rPr>
            </w:pPr>
            <w:r>
              <w:rPr>
                <w:rFonts w:hint="eastAsia" w:ascii="宋体" w:hAnsi="宋体" w:eastAsia="宋体" w:cs="宋体"/>
                <w:color w:val="auto"/>
              </w:rPr>
              <w:t>前</w:t>
            </w:r>
          </w:p>
        </w:tc>
        <w:tc>
          <w:tcPr>
            <w:tcW w:w="2372" w:type="pct"/>
            <w:vAlign w:val="center"/>
          </w:tcPr>
          <w:p w14:paraId="360C269F">
            <w:pPr>
              <w:pStyle w:val="253"/>
              <w:keepNext w:val="0"/>
              <w:keepLines w:val="0"/>
              <w:pageBreakBefore w:val="0"/>
              <w:widowControl/>
              <w:kinsoku w:val="0"/>
              <w:wordWrap/>
              <w:overflowPunct/>
              <w:topLinePunct w:val="0"/>
              <w:autoSpaceDE w:val="0"/>
              <w:autoSpaceDN w:val="0"/>
              <w:bidi w:val="0"/>
              <w:adjustRightInd w:val="0"/>
              <w:snapToGrid w:val="0"/>
              <w:spacing w:line="240" w:lineRule="auto"/>
              <w:ind w:left="64"/>
              <w:jc w:val="both"/>
              <w:textAlignment w:val="baseline"/>
              <w:rPr>
                <w:rFonts w:hint="eastAsia" w:ascii="宋体" w:hAnsi="宋体" w:eastAsia="宋体" w:cs="宋体"/>
                <w:color w:val="auto"/>
              </w:rPr>
            </w:pPr>
            <w:r>
              <w:rPr>
                <w:rFonts w:hint="eastAsia" w:ascii="宋体" w:hAnsi="宋体" w:eastAsia="宋体" w:cs="宋体"/>
                <w:color w:val="auto"/>
                <w:spacing w:val="-6"/>
              </w:rPr>
              <w:t>第一次付款</w:t>
            </w:r>
            <w:r>
              <w:rPr>
                <w:rFonts w:hint="eastAsia" w:ascii="宋体" w:hAnsi="宋体" w:eastAsia="宋体" w:cs="宋体"/>
                <w:color w:val="auto"/>
                <w:spacing w:val="-46"/>
              </w:rPr>
              <w:t xml:space="preserve"> </w:t>
            </w:r>
            <w:r>
              <w:rPr>
                <w:rFonts w:hint="eastAsia" w:ascii="宋体" w:hAnsi="宋体" w:eastAsia="宋体" w:cs="宋体"/>
                <w:color w:val="auto"/>
                <w:spacing w:val="-6"/>
              </w:rPr>
              <w:t>25%</w:t>
            </w:r>
            <w:r>
              <w:rPr>
                <w:rFonts w:hint="eastAsia" w:ascii="宋体" w:hAnsi="宋体" w:eastAsia="宋体" w:cs="宋体"/>
                <w:color w:val="auto"/>
                <w:spacing w:val="-32"/>
              </w:rPr>
              <w:t xml:space="preserve"> </w:t>
            </w:r>
            <w:r>
              <w:rPr>
                <w:rFonts w:hint="eastAsia" w:ascii="宋体" w:hAnsi="宋体" w:eastAsia="宋体" w:cs="宋体"/>
                <w:color w:val="auto"/>
                <w:spacing w:val="-6"/>
              </w:rPr>
              <w:t>，支付￥:</w:t>
            </w:r>
          </w:p>
        </w:tc>
        <w:tc>
          <w:tcPr>
            <w:tcW w:w="1037" w:type="pct"/>
            <w:vAlign w:val="center"/>
          </w:tcPr>
          <w:p w14:paraId="4E37A27C">
            <w:pPr>
              <w:pStyle w:val="253"/>
              <w:keepNext w:val="0"/>
              <w:keepLines w:val="0"/>
              <w:pageBreakBefore w:val="0"/>
              <w:widowControl/>
              <w:tabs>
                <w:tab w:val="left" w:pos="864"/>
              </w:tabs>
              <w:kinsoku w:val="0"/>
              <w:wordWrap/>
              <w:overflowPunct/>
              <w:topLinePunct w:val="0"/>
              <w:autoSpaceDE w:val="0"/>
              <w:autoSpaceDN w:val="0"/>
              <w:bidi w:val="0"/>
              <w:adjustRightInd w:val="0"/>
              <w:snapToGrid w:val="0"/>
              <w:spacing w:line="240" w:lineRule="auto"/>
              <w:ind w:left="87"/>
              <w:jc w:val="both"/>
              <w:textAlignment w:val="baseline"/>
              <w:rPr>
                <w:rFonts w:hint="eastAsia" w:ascii="宋体" w:hAnsi="宋体" w:eastAsia="宋体" w:cs="宋体"/>
                <w:color w:val="auto"/>
              </w:rPr>
            </w:pPr>
            <w:r>
              <w:rPr>
                <w:rFonts w:hint="eastAsia" w:ascii="宋体" w:hAnsi="宋体" w:eastAsia="宋体" w:cs="宋体"/>
                <w:color w:val="auto"/>
                <w:spacing w:val="-37"/>
                <w:w w:val="93"/>
              </w:rPr>
              <w:t>元；</w:t>
            </w:r>
          </w:p>
        </w:tc>
      </w:tr>
      <w:tr w14:paraId="754FAF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1194" w:type="pct"/>
            <w:vAlign w:val="center"/>
          </w:tcPr>
          <w:p w14:paraId="7C3BD48D">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jc w:val="both"/>
              <w:textAlignment w:val="baseline"/>
              <w:rPr>
                <w:rFonts w:hint="eastAsia" w:ascii="宋体" w:hAnsi="宋体" w:eastAsia="宋体" w:cs="宋体"/>
                <w:color w:val="auto"/>
              </w:rPr>
            </w:pPr>
            <w:r>
              <w:rPr>
                <w:rFonts w:hint="eastAsia" w:ascii="宋体" w:hAnsi="宋体" w:eastAsia="宋体" w:cs="宋体"/>
                <w:color w:val="auto"/>
                <w:spacing w:val="-3"/>
              </w:rPr>
              <w:t>202</w:t>
            </w:r>
            <w:r>
              <w:rPr>
                <w:rFonts w:hint="eastAsia" w:ascii="宋体" w:hAnsi="宋体" w:eastAsia="宋体" w:cs="宋体"/>
                <w:color w:val="auto"/>
                <w:spacing w:val="-3"/>
                <w:lang w:val="en-US" w:eastAsia="zh-CN"/>
              </w:rPr>
              <w:t>6</w:t>
            </w:r>
            <w:r>
              <w:rPr>
                <w:rFonts w:hint="eastAsia" w:ascii="宋体" w:hAnsi="宋体" w:eastAsia="宋体" w:cs="宋体"/>
                <w:color w:val="auto"/>
                <w:spacing w:val="11"/>
              </w:rPr>
              <w:t xml:space="preserve"> </w:t>
            </w:r>
            <w:r>
              <w:rPr>
                <w:rFonts w:hint="eastAsia" w:ascii="宋体" w:hAnsi="宋体" w:eastAsia="宋体" w:cs="宋体"/>
                <w:color w:val="auto"/>
                <w:spacing w:val="-3"/>
              </w:rPr>
              <w:t>年</w:t>
            </w:r>
            <w:r>
              <w:rPr>
                <w:rFonts w:hint="eastAsia" w:ascii="宋体" w:hAnsi="宋体" w:eastAsia="宋体" w:cs="宋体"/>
                <w:color w:val="auto"/>
                <w:spacing w:val="8"/>
              </w:rPr>
              <w:t xml:space="preserve">  </w:t>
            </w:r>
            <w:r>
              <w:rPr>
                <w:rFonts w:hint="eastAsia" w:ascii="宋体" w:hAnsi="宋体" w:eastAsia="宋体" w:cs="宋体"/>
                <w:color w:val="auto"/>
                <w:spacing w:val="-3"/>
              </w:rPr>
              <w:t>月</w:t>
            </w:r>
          </w:p>
        </w:tc>
        <w:tc>
          <w:tcPr>
            <w:tcW w:w="395" w:type="pct"/>
            <w:vAlign w:val="center"/>
          </w:tcPr>
          <w:p w14:paraId="4FD55D73">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ind w:left="186"/>
              <w:jc w:val="both"/>
              <w:textAlignment w:val="baseline"/>
              <w:rPr>
                <w:rFonts w:hint="eastAsia" w:ascii="宋体" w:hAnsi="宋体" w:eastAsia="宋体" w:cs="宋体"/>
                <w:color w:val="auto"/>
              </w:rPr>
            </w:pPr>
            <w:r>
              <w:rPr>
                <w:rFonts w:hint="eastAsia" w:ascii="宋体" w:hAnsi="宋体" w:eastAsia="宋体" w:cs="宋体"/>
                <w:color w:val="auto"/>
              </w:rPr>
              <w:t>前</w:t>
            </w:r>
          </w:p>
        </w:tc>
        <w:tc>
          <w:tcPr>
            <w:tcW w:w="2372" w:type="pct"/>
            <w:vAlign w:val="center"/>
          </w:tcPr>
          <w:p w14:paraId="0296DB94">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ind w:left="64"/>
              <w:jc w:val="both"/>
              <w:textAlignment w:val="baseline"/>
              <w:rPr>
                <w:rFonts w:hint="eastAsia" w:ascii="宋体" w:hAnsi="宋体" w:eastAsia="宋体" w:cs="宋体"/>
                <w:color w:val="auto"/>
              </w:rPr>
            </w:pPr>
            <w:r>
              <w:rPr>
                <w:rFonts w:hint="eastAsia" w:ascii="宋体" w:hAnsi="宋体" w:eastAsia="宋体" w:cs="宋体"/>
                <w:color w:val="auto"/>
                <w:spacing w:val="-6"/>
              </w:rPr>
              <w:t>第二次付款</w:t>
            </w:r>
            <w:r>
              <w:rPr>
                <w:rFonts w:hint="eastAsia" w:ascii="宋体" w:hAnsi="宋体" w:eastAsia="宋体" w:cs="宋体"/>
                <w:color w:val="auto"/>
                <w:spacing w:val="-46"/>
              </w:rPr>
              <w:t xml:space="preserve"> </w:t>
            </w:r>
            <w:r>
              <w:rPr>
                <w:rFonts w:hint="eastAsia" w:ascii="宋体" w:hAnsi="宋体" w:eastAsia="宋体" w:cs="宋体"/>
                <w:color w:val="auto"/>
                <w:spacing w:val="-6"/>
              </w:rPr>
              <w:t>25%</w:t>
            </w:r>
            <w:r>
              <w:rPr>
                <w:rFonts w:hint="eastAsia" w:ascii="宋体" w:hAnsi="宋体" w:eastAsia="宋体" w:cs="宋体"/>
                <w:color w:val="auto"/>
                <w:spacing w:val="-32"/>
              </w:rPr>
              <w:t xml:space="preserve"> </w:t>
            </w:r>
            <w:r>
              <w:rPr>
                <w:rFonts w:hint="eastAsia" w:ascii="宋体" w:hAnsi="宋体" w:eastAsia="宋体" w:cs="宋体"/>
                <w:color w:val="auto"/>
                <w:spacing w:val="-6"/>
              </w:rPr>
              <w:t>，支付￥:</w:t>
            </w:r>
          </w:p>
        </w:tc>
        <w:tc>
          <w:tcPr>
            <w:tcW w:w="1037" w:type="pct"/>
            <w:vAlign w:val="center"/>
          </w:tcPr>
          <w:p w14:paraId="77E25CE3">
            <w:pPr>
              <w:pStyle w:val="253"/>
              <w:keepNext w:val="0"/>
              <w:keepLines w:val="0"/>
              <w:pageBreakBefore w:val="0"/>
              <w:widowControl/>
              <w:tabs>
                <w:tab w:val="left" w:pos="864"/>
              </w:tabs>
              <w:kinsoku w:val="0"/>
              <w:wordWrap/>
              <w:overflowPunct/>
              <w:topLinePunct w:val="0"/>
              <w:autoSpaceDE w:val="0"/>
              <w:autoSpaceDN w:val="0"/>
              <w:bidi w:val="0"/>
              <w:adjustRightInd w:val="0"/>
              <w:snapToGrid w:val="0"/>
              <w:spacing w:before="112" w:line="240" w:lineRule="auto"/>
              <w:ind w:left="87"/>
              <w:jc w:val="both"/>
              <w:textAlignment w:val="baseline"/>
              <w:rPr>
                <w:rFonts w:hint="eastAsia" w:ascii="宋体" w:hAnsi="宋体" w:eastAsia="宋体" w:cs="宋体"/>
                <w:color w:val="auto"/>
              </w:rPr>
            </w:pPr>
            <w:r>
              <w:rPr>
                <w:rFonts w:hint="eastAsia" w:ascii="宋体" w:hAnsi="宋体" w:eastAsia="宋体" w:cs="宋体"/>
                <w:color w:val="auto"/>
                <w:spacing w:val="-37"/>
                <w:w w:val="93"/>
              </w:rPr>
              <w:t>元；</w:t>
            </w:r>
          </w:p>
        </w:tc>
      </w:tr>
      <w:tr w14:paraId="1F3FEC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1194" w:type="pct"/>
            <w:vAlign w:val="center"/>
          </w:tcPr>
          <w:p w14:paraId="39C0911E">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jc w:val="both"/>
              <w:textAlignment w:val="baseline"/>
              <w:rPr>
                <w:rFonts w:hint="eastAsia" w:ascii="宋体" w:hAnsi="宋体" w:eastAsia="宋体" w:cs="宋体"/>
                <w:color w:val="auto"/>
              </w:rPr>
            </w:pPr>
            <w:r>
              <w:rPr>
                <w:rFonts w:hint="eastAsia" w:ascii="宋体" w:hAnsi="宋体" w:eastAsia="宋体" w:cs="宋体"/>
                <w:color w:val="auto"/>
                <w:spacing w:val="-3"/>
              </w:rPr>
              <w:t>202</w:t>
            </w:r>
            <w:r>
              <w:rPr>
                <w:rFonts w:hint="eastAsia" w:ascii="宋体" w:hAnsi="宋体" w:eastAsia="宋体" w:cs="宋体"/>
                <w:color w:val="auto"/>
                <w:spacing w:val="-3"/>
                <w:lang w:val="en-US" w:eastAsia="zh-CN"/>
              </w:rPr>
              <w:t>6</w:t>
            </w:r>
            <w:r>
              <w:rPr>
                <w:rFonts w:hint="eastAsia" w:ascii="宋体" w:hAnsi="宋体" w:eastAsia="宋体" w:cs="宋体"/>
                <w:color w:val="auto"/>
                <w:spacing w:val="11"/>
              </w:rPr>
              <w:t xml:space="preserve"> </w:t>
            </w:r>
            <w:r>
              <w:rPr>
                <w:rFonts w:hint="eastAsia" w:ascii="宋体" w:hAnsi="宋体" w:eastAsia="宋体" w:cs="宋体"/>
                <w:color w:val="auto"/>
                <w:spacing w:val="-3"/>
              </w:rPr>
              <w:t>年</w:t>
            </w:r>
            <w:r>
              <w:rPr>
                <w:rFonts w:hint="eastAsia" w:ascii="宋体" w:hAnsi="宋体" w:eastAsia="宋体" w:cs="宋体"/>
                <w:color w:val="auto"/>
                <w:spacing w:val="8"/>
              </w:rPr>
              <w:t xml:space="preserve">  </w:t>
            </w:r>
            <w:r>
              <w:rPr>
                <w:rFonts w:hint="eastAsia" w:ascii="宋体" w:hAnsi="宋体" w:eastAsia="宋体" w:cs="宋体"/>
                <w:color w:val="auto"/>
                <w:spacing w:val="-3"/>
              </w:rPr>
              <w:t>月</w:t>
            </w:r>
          </w:p>
        </w:tc>
        <w:tc>
          <w:tcPr>
            <w:tcW w:w="395" w:type="pct"/>
            <w:vAlign w:val="center"/>
          </w:tcPr>
          <w:p w14:paraId="5087684A">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ind w:left="186"/>
              <w:jc w:val="both"/>
              <w:textAlignment w:val="baseline"/>
              <w:rPr>
                <w:rFonts w:hint="eastAsia" w:ascii="宋体" w:hAnsi="宋体" w:eastAsia="宋体" w:cs="宋体"/>
                <w:color w:val="auto"/>
              </w:rPr>
            </w:pPr>
            <w:r>
              <w:rPr>
                <w:rFonts w:hint="eastAsia" w:ascii="宋体" w:hAnsi="宋体" w:eastAsia="宋体" w:cs="宋体"/>
                <w:color w:val="auto"/>
              </w:rPr>
              <w:t>前</w:t>
            </w:r>
          </w:p>
        </w:tc>
        <w:tc>
          <w:tcPr>
            <w:tcW w:w="2372" w:type="pct"/>
            <w:vAlign w:val="center"/>
          </w:tcPr>
          <w:p w14:paraId="43F9C9E7">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ind w:left="64"/>
              <w:jc w:val="both"/>
              <w:textAlignment w:val="baseline"/>
              <w:rPr>
                <w:rFonts w:hint="eastAsia" w:ascii="宋体" w:hAnsi="宋体" w:eastAsia="宋体" w:cs="宋体"/>
                <w:color w:val="auto"/>
              </w:rPr>
            </w:pPr>
            <w:r>
              <w:rPr>
                <w:rFonts w:hint="eastAsia" w:ascii="宋体" w:hAnsi="宋体" w:eastAsia="宋体" w:cs="宋体"/>
                <w:color w:val="auto"/>
                <w:spacing w:val="-6"/>
              </w:rPr>
              <w:t>第三次付款</w:t>
            </w:r>
            <w:r>
              <w:rPr>
                <w:rFonts w:hint="eastAsia" w:ascii="宋体" w:hAnsi="宋体" w:eastAsia="宋体" w:cs="宋体"/>
                <w:color w:val="auto"/>
                <w:spacing w:val="-46"/>
              </w:rPr>
              <w:t xml:space="preserve"> </w:t>
            </w:r>
            <w:r>
              <w:rPr>
                <w:rFonts w:hint="eastAsia" w:ascii="宋体" w:hAnsi="宋体" w:eastAsia="宋体" w:cs="宋体"/>
                <w:color w:val="auto"/>
                <w:spacing w:val="-6"/>
              </w:rPr>
              <w:t>25%</w:t>
            </w:r>
            <w:r>
              <w:rPr>
                <w:rFonts w:hint="eastAsia" w:ascii="宋体" w:hAnsi="宋体" w:eastAsia="宋体" w:cs="宋体"/>
                <w:color w:val="auto"/>
                <w:spacing w:val="-32"/>
              </w:rPr>
              <w:t xml:space="preserve"> </w:t>
            </w:r>
            <w:r>
              <w:rPr>
                <w:rFonts w:hint="eastAsia" w:ascii="宋体" w:hAnsi="宋体" w:eastAsia="宋体" w:cs="宋体"/>
                <w:color w:val="auto"/>
                <w:spacing w:val="-6"/>
              </w:rPr>
              <w:t>，支付￥:</w:t>
            </w:r>
          </w:p>
        </w:tc>
        <w:tc>
          <w:tcPr>
            <w:tcW w:w="1037" w:type="pct"/>
            <w:vAlign w:val="center"/>
          </w:tcPr>
          <w:p w14:paraId="6624D41A">
            <w:pPr>
              <w:pStyle w:val="253"/>
              <w:keepNext w:val="0"/>
              <w:keepLines w:val="0"/>
              <w:pageBreakBefore w:val="0"/>
              <w:widowControl/>
              <w:tabs>
                <w:tab w:val="left" w:pos="864"/>
              </w:tabs>
              <w:kinsoku w:val="0"/>
              <w:wordWrap/>
              <w:overflowPunct/>
              <w:topLinePunct w:val="0"/>
              <w:autoSpaceDE w:val="0"/>
              <w:autoSpaceDN w:val="0"/>
              <w:bidi w:val="0"/>
              <w:adjustRightInd w:val="0"/>
              <w:snapToGrid w:val="0"/>
              <w:spacing w:before="112" w:line="240" w:lineRule="auto"/>
              <w:ind w:left="87"/>
              <w:jc w:val="both"/>
              <w:textAlignment w:val="baseline"/>
              <w:rPr>
                <w:rFonts w:hint="eastAsia" w:ascii="宋体" w:hAnsi="宋体" w:eastAsia="宋体" w:cs="宋体"/>
                <w:color w:val="auto"/>
              </w:rPr>
            </w:pPr>
            <w:r>
              <w:rPr>
                <w:rFonts w:hint="eastAsia" w:ascii="宋体" w:hAnsi="宋体" w:eastAsia="宋体" w:cs="宋体"/>
                <w:color w:val="auto"/>
                <w:spacing w:val="-37"/>
                <w:w w:val="93"/>
              </w:rPr>
              <w:t>元；</w:t>
            </w:r>
          </w:p>
        </w:tc>
      </w:tr>
      <w:tr w14:paraId="5C5A50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1194" w:type="pct"/>
            <w:vAlign w:val="center"/>
          </w:tcPr>
          <w:p w14:paraId="29F37665">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jc w:val="both"/>
              <w:textAlignment w:val="baseline"/>
              <w:rPr>
                <w:rFonts w:hint="eastAsia" w:ascii="宋体" w:hAnsi="宋体" w:eastAsia="宋体" w:cs="宋体"/>
                <w:color w:val="auto"/>
              </w:rPr>
            </w:pPr>
            <w:r>
              <w:rPr>
                <w:rFonts w:hint="eastAsia" w:ascii="宋体" w:hAnsi="宋体" w:eastAsia="宋体" w:cs="宋体"/>
                <w:color w:val="auto"/>
                <w:spacing w:val="-3"/>
              </w:rPr>
              <w:t>202</w:t>
            </w:r>
            <w:r>
              <w:rPr>
                <w:rFonts w:hint="eastAsia" w:ascii="宋体" w:hAnsi="宋体" w:eastAsia="宋体" w:cs="宋体"/>
                <w:color w:val="auto"/>
                <w:spacing w:val="-3"/>
                <w:lang w:val="en-US" w:eastAsia="zh-CN"/>
              </w:rPr>
              <w:t>6</w:t>
            </w:r>
            <w:r>
              <w:rPr>
                <w:rFonts w:hint="eastAsia" w:ascii="宋体" w:hAnsi="宋体" w:eastAsia="宋体" w:cs="宋体"/>
                <w:color w:val="auto"/>
                <w:spacing w:val="11"/>
              </w:rPr>
              <w:t xml:space="preserve"> </w:t>
            </w:r>
            <w:r>
              <w:rPr>
                <w:rFonts w:hint="eastAsia" w:ascii="宋体" w:hAnsi="宋体" w:eastAsia="宋体" w:cs="宋体"/>
                <w:color w:val="auto"/>
                <w:spacing w:val="-3"/>
              </w:rPr>
              <w:t>年</w:t>
            </w:r>
            <w:r>
              <w:rPr>
                <w:rFonts w:hint="eastAsia" w:ascii="宋体" w:hAnsi="宋体" w:eastAsia="宋体" w:cs="宋体"/>
                <w:color w:val="auto"/>
                <w:spacing w:val="8"/>
              </w:rPr>
              <w:t xml:space="preserve">  </w:t>
            </w:r>
            <w:r>
              <w:rPr>
                <w:rFonts w:hint="eastAsia" w:ascii="宋体" w:hAnsi="宋体" w:eastAsia="宋体" w:cs="宋体"/>
                <w:color w:val="auto"/>
                <w:spacing w:val="-3"/>
              </w:rPr>
              <w:t>月</w:t>
            </w:r>
          </w:p>
        </w:tc>
        <w:tc>
          <w:tcPr>
            <w:tcW w:w="395" w:type="pct"/>
            <w:vAlign w:val="center"/>
          </w:tcPr>
          <w:p w14:paraId="5CFA6839">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ind w:left="186"/>
              <w:jc w:val="both"/>
              <w:textAlignment w:val="baseline"/>
              <w:rPr>
                <w:rFonts w:hint="eastAsia" w:ascii="宋体" w:hAnsi="宋体" w:eastAsia="宋体" w:cs="宋体"/>
                <w:color w:val="auto"/>
              </w:rPr>
            </w:pPr>
            <w:r>
              <w:rPr>
                <w:rFonts w:hint="eastAsia" w:ascii="宋体" w:hAnsi="宋体" w:eastAsia="宋体" w:cs="宋体"/>
                <w:color w:val="auto"/>
              </w:rPr>
              <w:t>前</w:t>
            </w:r>
          </w:p>
        </w:tc>
        <w:tc>
          <w:tcPr>
            <w:tcW w:w="2372" w:type="pct"/>
            <w:vAlign w:val="center"/>
          </w:tcPr>
          <w:p w14:paraId="441D6AF5">
            <w:pPr>
              <w:pStyle w:val="253"/>
              <w:keepNext w:val="0"/>
              <w:keepLines w:val="0"/>
              <w:pageBreakBefore w:val="0"/>
              <w:widowControl/>
              <w:kinsoku w:val="0"/>
              <w:wordWrap/>
              <w:overflowPunct/>
              <w:topLinePunct w:val="0"/>
              <w:autoSpaceDE w:val="0"/>
              <w:autoSpaceDN w:val="0"/>
              <w:bidi w:val="0"/>
              <w:adjustRightInd w:val="0"/>
              <w:snapToGrid w:val="0"/>
              <w:spacing w:before="113" w:line="240" w:lineRule="auto"/>
              <w:ind w:left="64"/>
              <w:jc w:val="both"/>
              <w:textAlignment w:val="baseline"/>
              <w:rPr>
                <w:rFonts w:hint="eastAsia" w:ascii="宋体" w:hAnsi="宋体" w:eastAsia="宋体" w:cs="宋体"/>
                <w:color w:val="auto"/>
              </w:rPr>
            </w:pPr>
            <w:r>
              <w:rPr>
                <w:rFonts w:hint="eastAsia" w:ascii="宋体" w:hAnsi="宋体" w:eastAsia="宋体" w:cs="宋体"/>
                <w:color w:val="auto"/>
                <w:spacing w:val="-6"/>
              </w:rPr>
              <w:t>第四次付款</w:t>
            </w:r>
            <w:r>
              <w:rPr>
                <w:rFonts w:hint="eastAsia" w:ascii="宋体" w:hAnsi="宋体" w:eastAsia="宋体" w:cs="宋体"/>
                <w:color w:val="auto"/>
                <w:spacing w:val="-46"/>
              </w:rPr>
              <w:t xml:space="preserve"> </w:t>
            </w:r>
            <w:r>
              <w:rPr>
                <w:rFonts w:hint="eastAsia" w:ascii="宋体" w:hAnsi="宋体" w:eastAsia="宋体" w:cs="宋体"/>
                <w:color w:val="auto"/>
                <w:spacing w:val="-6"/>
              </w:rPr>
              <w:t>25%</w:t>
            </w:r>
            <w:r>
              <w:rPr>
                <w:rFonts w:hint="eastAsia" w:ascii="宋体" w:hAnsi="宋体" w:eastAsia="宋体" w:cs="宋体"/>
                <w:color w:val="auto"/>
                <w:spacing w:val="-32"/>
              </w:rPr>
              <w:t xml:space="preserve"> </w:t>
            </w:r>
            <w:r>
              <w:rPr>
                <w:rFonts w:hint="eastAsia" w:ascii="宋体" w:hAnsi="宋体" w:eastAsia="宋体" w:cs="宋体"/>
                <w:color w:val="auto"/>
                <w:spacing w:val="-6"/>
              </w:rPr>
              <w:t>，支付￥:</w:t>
            </w:r>
          </w:p>
        </w:tc>
        <w:tc>
          <w:tcPr>
            <w:tcW w:w="1037" w:type="pct"/>
            <w:vAlign w:val="center"/>
          </w:tcPr>
          <w:p w14:paraId="7C4973D4">
            <w:pPr>
              <w:pStyle w:val="253"/>
              <w:keepNext w:val="0"/>
              <w:keepLines w:val="0"/>
              <w:pageBreakBefore w:val="0"/>
              <w:widowControl/>
              <w:tabs>
                <w:tab w:val="left" w:pos="850"/>
              </w:tabs>
              <w:kinsoku w:val="0"/>
              <w:wordWrap/>
              <w:overflowPunct/>
              <w:topLinePunct w:val="0"/>
              <w:autoSpaceDE w:val="0"/>
              <w:autoSpaceDN w:val="0"/>
              <w:bidi w:val="0"/>
              <w:adjustRightInd w:val="0"/>
              <w:snapToGrid w:val="0"/>
              <w:spacing w:before="113" w:line="240" w:lineRule="auto"/>
              <w:ind w:left="87"/>
              <w:jc w:val="both"/>
              <w:textAlignment w:val="baseline"/>
              <w:rPr>
                <w:rFonts w:hint="eastAsia" w:ascii="宋体" w:hAnsi="宋体" w:eastAsia="宋体" w:cs="宋体"/>
                <w:color w:val="auto"/>
              </w:rPr>
            </w:pPr>
            <w:r>
              <w:rPr>
                <w:rFonts w:hint="eastAsia" w:ascii="宋体" w:hAnsi="宋体" w:eastAsia="宋体" w:cs="宋体"/>
                <w:color w:val="auto"/>
                <w:spacing w:val="-42"/>
                <w:w w:val="98"/>
              </w:rPr>
              <w:t>元。</w:t>
            </w:r>
          </w:p>
        </w:tc>
      </w:tr>
    </w:tbl>
    <w:p w14:paraId="4B0C2F12">
      <w:pPr>
        <w:keepNext w:val="0"/>
        <w:keepLines w:val="0"/>
        <w:pageBreakBefore w:val="0"/>
        <w:widowControl/>
        <w:kinsoku w:val="0"/>
        <w:wordWrap/>
        <w:overflowPunct/>
        <w:topLinePunct w:val="0"/>
        <w:autoSpaceDE w:val="0"/>
        <w:autoSpaceDN w:val="0"/>
        <w:bidi w:val="0"/>
        <w:adjustRightInd w:val="0"/>
        <w:snapToGrid w:val="0"/>
        <w:spacing w:before="227"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物业服务费用包括以下部分：</w:t>
      </w:r>
    </w:p>
    <w:p w14:paraId="3C963297">
      <w:pPr>
        <w:keepNext w:val="0"/>
        <w:keepLines w:val="0"/>
        <w:pageBreakBefore w:val="0"/>
        <w:widowControl/>
        <w:kinsoku w:val="0"/>
        <w:wordWrap/>
        <w:overflowPunct/>
        <w:topLinePunct w:val="0"/>
        <w:autoSpaceDE w:val="0"/>
        <w:autoSpaceDN w:val="0"/>
        <w:bidi w:val="0"/>
        <w:adjustRightInd w:val="0"/>
        <w:snapToGrid w:val="0"/>
        <w:spacing w:before="285" w:line="240" w:lineRule="auto"/>
        <w:ind w:left="36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物业管理服务人员的工资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餐费、工服</w:t>
      </w:r>
      <w:r>
        <w:rPr>
          <w:rFonts w:hint="eastAsia" w:ascii="宋体" w:hAnsi="宋体" w:eastAsia="宋体" w:cs="宋体"/>
          <w:color w:val="auto"/>
          <w:sz w:val="24"/>
          <w:szCs w:val="24"/>
          <w:lang w:val="en-US" w:eastAsia="zh-CN"/>
        </w:rPr>
        <w:t>费</w:t>
      </w:r>
      <w:r>
        <w:rPr>
          <w:rFonts w:hint="eastAsia" w:ascii="宋体" w:hAnsi="宋体" w:eastAsia="宋体" w:cs="宋体"/>
          <w:color w:val="auto"/>
          <w:sz w:val="24"/>
          <w:szCs w:val="24"/>
        </w:rPr>
        <w:t>、社会保险和</w:t>
      </w:r>
      <w:r>
        <w:rPr>
          <w:rFonts w:hint="eastAsia" w:ascii="宋体" w:hAnsi="宋体" w:eastAsia="宋体" w:cs="宋体"/>
          <w:color w:val="auto"/>
          <w:spacing w:val="-1"/>
          <w:sz w:val="24"/>
          <w:szCs w:val="24"/>
        </w:rPr>
        <w:t>按规定提取的福利费等；</w:t>
      </w:r>
    </w:p>
    <w:p w14:paraId="79C39394">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6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 xml:space="preserve"> 物业管理企业办公费用；</w:t>
      </w:r>
    </w:p>
    <w:p w14:paraId="7AE04C7B">
      <w:pPr>
        <w:keepNext w:val="0"/>
        <w:keepLines w:val="0"/>
        <w:pageBreakBefore w:val="0"/>
        <w:widowControl/>
        <w:kinsoku w:val="0"/>
        <w:wordWrap/>
        <w:overflowPunct/>
        <w:topLinePunct w:val="0"/>
        <w:autoSpaceDE w:val="0"/>
        <w:autoSpaceDN w:val="0"/>
        <w:bidi w:val="0"/>
        <w:adjustRightInd w:val="0"/>
        <w:snapToGrid w:val="0"/>
        <w:spacing w:before="180" w:line="240" w:lineRule="auto"/>
        <w:ind w:left="36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rPr>
        <w:t xml:space="preserve"> 法定税费；</w:t>
      </w:r>
    </w:p>
    <w:p w14:paraId="585EB530">
      <w:pPr>
        <w:keepNext w:val="0"/>
        <w:keepLines w:val="0"/>
        <w:pageBreakBefore w:val="0"/>
        <w:widowControl/>
        <w:kinsoku w:val="0"/>
        <w:wordWrap/>
        <w:overflowPunct/>
        <w:topLinePunct w:val="0"/>
        <w:autoSpaceDE w:val="0"/>
        <w:autoSpaceDN w:val="0"/>
        <w:bidi w:val="0"/>
        <w:adjustRightInd w:val="0"/>
        <w:snapToGrid w:val="0"/>
        <w:spacing w:before="182" w:line="240" w:lineRule="auto"/>
        <w:ind w:left="37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 xml:space="preserve"> 物业管理企业的利润。</w:t>
      </w:r>
    </w:p>
    <w:p w14:paraId="0BBB1C31">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69" w:right="200" w:hanging="363"/>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4.   乙方按照上述标准收取物业服务费用，并</w:t>
      </w:r>
      <w:r>
        <w:rPr>
          <w:rFonts w:hint="eastAsia" w:ascii="宋体" w:hAnsi="宋体" w:eastAsia="宋体" w:cs="宋体"/>
          <w:color w:val="auto"/>
          <w:spacing w:val="1"/>
          <w:sz w:val="24"/>
          <w:szCs w:val="24"/>
        </w:rPr>
        <w:t>按照合同约定的服务内容和质量标准提供</w:t>
      </w:r>
      <w:r>
        <w:rPr>
          <w:rFonts w:hint="eastAsia" w:ascii="宋体" w:hAnsi="宋体" w:eastAsia="宋体" w:cs="宋体"/>
          <w:color w:val="auto"/>
          <w:spacing w:val="-4"/>
          <w:sz w:val="24"/>
          <w:szCs w:val="24"/>
        </w:rPr>
        <w:t>服务。</w:t>
      </w:r>
    </w:p>
    <w:p w14:paraId="5CEE6A95">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物业服务费如需调整，由双方协商确定。</w:t>
      </w:r>
    </w:p>
    <w:p w14:paraId="30F81B3C">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第二十</w:t>
      </w:r>
      <w:r>
        <w:rPr>
          <w:rFonts w:hint="eastAsia" w:ascii="宋体" w:hAnsi="宋体" w:eastAsia="宋体" w:cs="宋体"/>
          <w:color w:val="auto"/>
          <w:sz w:val="24"/>
          <w:szCs w:val="24"/>
          <w:lang w:val="en-US"/>
        </w:rPr>
        <w:t>七</w:t>
      </w:r>
      <w:r>
        <w:rPr>
          <w:rFonts w:hint="eastAsia" w:ascii="宋体" w:hAnsi="宋体" w:eastAsia="宋体" w:cs="宋体"/>
          <w:color w:val="auto"/>
          <w:sz w:val="24"/>
          <w:szCs w:val="24"/>
        </w:rPr>
        <w:t>条  物业各部位、各类设备设施的大、中修和更</w:t>
      </w:r>
      <w:r>
        <w:rPr>
          <w:rFonts w:hint="eastAsia" w:ascii="宋体" w:hAnsi="宋体" w:eastAsia="宋体" w:cs="宋体"/>
          <w:color w:val="auto"/>
          <w:spacing w:val="-1"/>
          <w:sz w:val="24"/>
          <w:szCs w:val="24"/>
        </w:rPr>
        <w:t>新改造费用由甲方承担。</w:t>
      </w:r>
    </w:p>
    <w:p w14:paraId="5772F089">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right="200" w:hanging="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第二十</w:t>
      </w:r>
      <w:r>
        <w:rPr>
          <w:rFonts w:hint="eastAsia" w:ascii="宋体" w:hAnsi="宋体" w:eastAsia="宋体" w:cs="宋体"/>
          <w:color w:val="auto"/>
          <w:spacing w:val="-1"/>
          <w:sz w:val="24"/>
          <w:szCs w:val="24"/>
          <w:lang w:val="en-US"/>
        </w:rPr>
        <w:t>八</w:t>
      </w:r>
      <w:r>
        <w:rPr>
          <w:rFonts w:hint="eastAsia" w:ascii="宋体" w:hAnsi="宋体" w:eastAsia="宋体" w:cs="宋体"/>
          <w:color w:val="auto"/>
          <w:spacing w:val="-1"/>
          <w:sz w:val="24"/>
          <w:szCs w:val="24"/>
        </w:rPr>
        <w:t>条  甲方委托乙方提出本合同约</w:t>
      </w:r>
      <w:r>
        <w:rPr>
          <w:rFonts w:hint="eastAsia" w:ascii="宋体" w:hAnsi="宋体" w:eastAsia="宋体" w:cs="宋体"/>
          <w:color w:val="auto"/>
          <w:spacing w:val="-2"/>
          <w:sz w:val="24"/>
          <w:szCs w:val="24"/>
        </w:rPr>
        <w:t>定服务范围以外的特约服务，其服务内容和费用由当事双方自行商定。</w:t>
      </w:r>
    </w:p>
    <w:p w14:paraId="606F03C0">
      <w:pPr>
        <w:keepNext w:val="0"/>
        <w:keepLines w:val="0"/>
        <w:pageBreakBefore w:val="0"/>
        <w:widowControl/>
        <w:kinsoku w:val="0"/>
        <w:wordWrap/>
        <w:overflowPunct/>
        <w:topLinePunct w:val="0"/>
        <w:autoSpaceDE w:val="0"/>
        <w:autoSpaceDN w:val="0"/>
        <w:bidi w:val="0"/>
        <w:adjustRightInd w:val="0"/>
        <w:snapToGrid w:val="0"/>
        <w:spacing w:before="181" w:line="240" w:lineRule="auto"/>
        <w:ind w:left="27" w:right="932" w:hanging="1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第二十</w:t>
      </w:r>
      <w:r>
        <w:rPr>
          <w:rFonts w:hint="eastAsia" w:ascii="宋体" w:hAnsi="宋体" w:eastAsia="宋体" w:cs="宋体"/>
          <w:color w:val="auto"/>
          <w:spacing w:val="-2"/>
          <w:sz w:val="24"/>
          <w:szCs w:val="24"/>
          <w:lang w:val="en-US"/>
        </w:rPr>
        <w:t>九</w:t>
      </w:r>
      <w:r>
        <w:rPr>
          <w:rFonts w:hint="eastAsia" w:ascii="宋体" w:hAnsi="宋体" w:eastAsia="宋体" w:cs="宋体"/>
          <w:color w:val="auto"/>
          <w:spacing w:val="-2"/>
          <w:sz w:val="24"/>
          <w:szCs w:val="24"/>
        </w:rPr>
        <w:t>条  甲乙双方确认查验过的物业各部位、各类设施设备存在以下问题：</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9"/>
          <w:sz w:val="24"/>
          <w:szCs w:val="24"/>
        </w:rPr>
        <w:t>1</w:t>
      </w:r>
      <w:r>
        <w:rPr>
          <w:rFonts w:hint="eastAsia" w:ascii="宋体" w:hAnsi="宋体" w:eastAsia="宋体" w:cs="宋体"/>
          <w:color w:val="auto"/>
          <w:sz w:val="24"/>
          <w:szCs w:val="24"/>
          <w:u w:val="single" w:color="auto"/>
        </w:rPr>
        <w:t xml:space="preserve">                                                    </w:t>
      </w:r>
    </w:p>
    <w:p w14:paraId="4B4FA47F">
      <w:pPr>
        <w:keepNext w:val="0"/>
        <w:keepLines w:val="0"/>
        <w:pageBreakBefore w:val="0"/>
        <w:widowControl/>
        <w:kinsoku w:val="0"/>
        <w:wordWrap/>
        <w:overflowPunct/>
        <w:topLinePunct w:val="0"/>
        <w:autoSpaceDE w:val="0"/>
        <w:autoSpaceDN w:val="0"/>
        <w:bidi w:val="0"/>
        <w:adjustRightInd w:val="0"/>
        <w:snapToGrid w:val="0"/>
        <w:spacing w:before="175"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w:t>
      </w:r>
      <w:r>
        <w:rPr>
          <w:rFonts w:hint="eastAsia" w:ascii="宋体" w:hAnsi="宋体" w:eastAsia="宋体" w:cs="宋体"/>
          <w:color w:val="auto"/>
          <w:spacing w:val="-1"/>
          <w:sz w:val="24"/>
          <w:szCs w:val="24"/>
          <w:lang w:val="en-US"/>
        </w:rPr>
        <w:t>三十</w:t>
      </w:r>
      <w:r>
        <w:rPr>
          <w:rFonts w:hint="eastAsia" w:ascii="宋体" w:hAnsi="宋体" w:eastAsia="宋体" w:cs="宋体"/>
          <w:color w:val="auto"/>
          <w:spacing w:val="-1"/>
          <w:sz w:val="24"/>
          <w:szCs w:val="24"/>
        </w:rPr>
        <w:t>条  对于本合同签订后承接的物业</w:t>
      </w:r>
      <w:r>
        <w:rPr>
          <w:rFonts w:hint="eastAsia" w:ascii="宋体" w:hAnsi="宋体" w:eastAsia="宋体" w:cs="宋体"/>
          <w:color w:val="auto"/>
          <w:spacing w:val="-2"/>
          <w:sz w:val="24"/>
          <w:szCs w:val="24"/>
        </w:rPr>
        <w:t>各部位、各类设施设备，甲乙双方应按照前条</w:t>
      </w:r>
      <w:r>
        <w:rPr>
          <w:rFonts w:hint="eastAsia" w:ascii="宋体" w:hAnsi="宋体" w:eastAsia="宋体" w:cs="宋体"/>
          <w:color w:val="auto"/>
          <w:spacing w:val="-3"/>
          <w:sz w:val="24"/>
          <w:szCs w:val="24"/>
        </w:rPr>
        <w:t>规定进行查验并签订确认书，作为界定各自在开发建设和物业管理方面承担责任的依据。</w:t>
      </w:r>
    </w:p>
    <w:p w14:paraId="07FDC151">
      <w:pPr>
        <w:keepNext w:val="0"/>
        <w:keepLines w:val="0"/>
        <w:pageBreakBefore w:val="0"/>
        <w:widowControl/>
        <w:kinsoku w:val="0"/>
        <w:wordWrap/>
        <w:overflowPunct/>
        <w:topLinePunct w:val="0"/>
        <w:autoSpaceDE w:val="0"/>
        <w:autoSpaceDN w:val="0"/>
        <w:bidi w:val="0"/>
        <w:adjustRightInd w:val="0"/>
        <w:snapToGrid w:val="0"/>
        <w:spacing w:before="184"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w:t>
      </w:r>
      <w:r>
        <w:rPr>
          <w:rFonts w:hint="eastAsia" w:ascii="宋体" w:hAnsi="宋体" w:eastAsia="宋体" w:cs="宋体"/>
          <w:color w:val="auto"/>
          <w:spacing w:val="-2"/>
          <w:sz w:val="24"/>
          <w:szCs w:val="24"/>
          <w:lang w:val="en-US"/>
        </w:rPr>
        <w:t>三十一</w:t>
      </w:r>
      <w:r>
        <w:rPr>
          <w:rFonts w:hint="eastAsia" w:ascii="宋体" w:hAnsi="宋体" w:eastAsia="宋体" w:cs="宋体"/>
          <w:color w:val="auto"/>
          <w:spacing w:val="-2"/>
          <w:sz w:val="24"/>
          <w:szCs w:val="24"/>
        </w:rPr>
        <w:t>条  甲方应在合同生效之日起</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30  日内向乙方移交或组织移交以下</w:t>
      </w:r>
      <w:r>
        <w:rPr>
          <w:rFonts w:hint="eastAsia" w:ascii="宋体" w:hAnsi="宋体" w:eastAsia="宋体" w:cs="宋体"/>
          <w:color w:val="auto"/>
          <w:spacing w:val="-3"/>
          <w:sz w:val="24"/>
          <w:szCs w:val="24"/>
        </w:rPr>
        <w:t>资料：</w:t>
      </w:r>
    </w:p>
    <w:p w14:paraId="7D74AF99">
      <w:pPr>
        <w:keepNext w:val="0"/>
        <w:keepLines w:val="0"/>
        <w:pageBreakBefore w:val="0"/>
        <w:widowControl/>
        <w:kinsoku w:val="0"/>
        <w:wordWrap/>
        <w:overflowPunct/>
        <w:topLinePunct w:val="0"/>
        <w:autoSpaceDE w:val="0"/>
        <w:autoSpaceDN w:val="0"/>
        <w:bidi w:val="0"/>
        <w:adjustRightInd w:val="0"/>
        <w:snapToGrid w:val="0"/>
        <w:spacing w:before="180" w:line="240" w:lineRule="auto"/>
        <w:ind w:left="377" w:right="200" w:hanging="34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竣工总平面图、单位建筑、结构、设备、配套设施、地下管网工程竣工图等竣工验</w:t>
      </w:r>
      <w:r>
        <w:rPr>
          <w:rFonts w:hint="eastAsia" w:ascii="宋体" w:hAnsi="宋体" w:eastAsia="宋体" w:cs="宋体"/>
          <w:color w:val="auto"/>
          <w:spacing w:val="-5"/>
          <w:sz w:val="24"/>
          <w:szCs w:val="24"/>
        </w:rPr>
        <w:t>收资料；</w:t>
      </w:r>
    </w:p>
    <w:p w14:paraId="7400AD5A">
      <w:pPr>
        <w:keepNext w:val="0"/>
        <w:keepLines w:val="0"/>
        <w:pageBreakBefore w:val="0"/>
        <w:widowControl/>
        <w:kinsoku w:val="0"/>
        <w:wordWrap/>
        <w:overflowPunct/>
        <w:topLinePunct w:val="0"/>
        <w:autoSpaceDE w:val="0"/>
        <w:autoSpaceDN w:val="0"/>
        <w:bidi w:val="0"/>
        <w:adjustRightInd w:val="0"/>
        <w:snapToGrid w:val="0"/>
        <w:spacing w:before="181"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设施设备的安装、使用和维护保</w:t>
      </w:r>
      <w:r>
        <w:rPr>
          <w:rFonts w:hint="eastAsia" w:ascii="宋体" w:hAnsi="宋体" w:eastAsia="宋体" w:cs="宋体"/>
          <w:color w:val="auto"/>
          <w:spacing w:val="-1"/>
          <w:sz w:val="24"/>
          <w:szCs w:val="24"/>
        </w:rPr>
        <w:t>养等技术资料；</w:t>
      </w:r>
    </w:p>
    <w:p w14:paraId="1E6A76A8">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物业质量保修文件和物业使用说明文件；</w:t>
      </w:r>
    </w:p>
    <w:p w14:paraId="1A5FE42A">
      <w:pPr>
        <w:keepNext w:val="0"/>
        <w:keepLines w:val="0"/>
        <w:pageBreakBefore w:val="0"/>
        <w:widowControl/>
        <w:kinsoku w:val="0"/>
        <w:wordWrap/>
        <w:overflowPunct/>
        <w:topLinePunct w:val="0"/>
        <w:autoSpaceDE w:val="0"/>
        <w:autoSpaceDN w:val="0"/>
        <w:bidi w:val="0"/>
        <w:adjustRightInd w:val="0"/>
        <w:snapToGrid w:val="0"/>
        <w:spacing w:before="181"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各专业部门验收资料；</w:t>
      </w:r>
    </w:p>
    <w:p w14:paraId="03D48065">
      <w:pPr>
        <w:keepNext w:val="0"/>
        <w:keepLines w:val="0"/>
        <w:pageBreakBefore w:val="0"/>
        <w:widowControl/>
        <w:kinsoku w:val="0"/>
        <w:wordWrap/>
        <w:overflowPunct/>
        <w:topLinePunct w:val="0"/>
        <w:autoSpaceDE w:val="0"/>
        <w:autoSpaceDN w:val="0"/>
        <w:bidi w:val="0"/>
        <w:adjustRightInd w:val="0"/>
        <w:snapToGrid w:val="0"/>
        <w:spacing w:before="286"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房屋和配套设施的产权归属资料；</w:t>
      </w:r>
    </w:p>
    <w:p w14:paraId="1ED0F137">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物业管理所必须的其他资料。</w:t>
      </w:r>
    </w:p>
    <w:p w14:paraId="52C4A84E">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1" w:right="8" w:hanging="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第三十二条  甲方保证交付使用的物业符</w:t>
      </w:r>
      <w:r>
        <w:rPr>
          <w:rFonts w:hint="eastAsia" w:ascii="宋体" w:hAnsi="宋体" w:eastAsia="宋体" w:cs="宋体"/>
          <w:color w:val="auto"/>
          <w:spacing w:val="-2"/>
          <w:sz w:val="24"/>
          <w:szCs w:val="24"/>
        </w:rPr>
        <w:t>合国家规定的验收标准，按照国家规定的保修</w:t>
      </w:r>
      <w:r>
        <w:rPr>
          <w:rFonts w:hint="eastAsia" w:ascii="宋体" w:hAnsi="宋体" w:eastAsia="宋体" w:cs="宋体"/>
          <w:color w:val="auto"/>
          <w:spacing w:val="-1"/>
          <w:sz w:val="24"/>
          <w:szCs w:val="24"/>
        </w:rPr>
        <w:t>期限和保修范围承担物业的保修责任。</w:t>
      </w:r>
    </w:p>
    <w:p w14:paraId="182F2736">
      <w:pPr>
        <w:keepNext w:val="0"/>
        <w:keepLines w:val="0"/>
        <w:pageBreakBefore w:val="0"/>
        <w:widowControl/>
        <w:kinsoku w:val="0"/>
        <w:wordWrap/>
        <w:overflowPunct/>
        <w:topLinePunct w:val="0"/>
        <w:autoSpaceDE w:val="0"/>
        <w:autoSpaceDN w:val="0"/>
        <w:bidi w:val="0"/>
        <w:adjustRightInd w:val="0"/>
        <w:snapToGrid w:val="0"/>
        <w:spacing w:before="5" w:line="240" w:lineRule="auto"/>
        <w:ind w:left="2633"/>
        <w:textAlignment w:val="baseline"/>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第五章</w:t>
      </w:r>
      <w:r>
        <w:rPr>
          <w:rFonts w:hint="eastAsia" w:ascii="宋体" w:hAnsi="宋体" w:eastAsia="宋体" w:cs="宋体"/>
          <w:color w:val="auto"/>
          <w:spacing w:val="1"/>
          <w:sz w:val="31"/>
          <w:szCs w:val="31"/>
        </w:rPr>
        <w:t xml:space="preserve">  </w:t>
      </w:r>
      <w:r>
        <w:rPr>
          <w:rFonts w:hint="eastAsia" w:ascii="宋体" w:hAnsi="宋体" w:eastAsia="宋体" w:cs="宋体"/>
          <w:b/>
          <w:bCs/>
          <w:color w:val="auto"/>
          <w:spacing w:val="5"/>
          <w:sz w:val="31"/>
          <w:szCs w:val="31"/>
        </w:rPr>
        <w:t>物业的使用与维护</w:t>
      </w:r>
    </w:p>
    <w:p w14:paraId="0F16FCEA">
      <w:pPr>
        <w:keepNext w:val="0"/>
        <w:keepLines w:val="0"/>
        <w:pageBreakBefore w:val="0"/>
        <w:widowControl/>
        <w:kinsoku w:val="0"/>
        <w:wordWrap/>
        <w:overflowPunct/>
        <w:topLinePunct w:val="0"/>
        <w:autoSpaceDE w:val="0"/>
        <w:autoSpaceDN w:val="0"/>
        <w:bidi w:val="0"/>
        <w:adjustRightInd w:val="0"/>
        <w:snapToGrid w:val="0"/>
        <w:spacing w:before="87"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第三十</w:t>
      </w:r>
      <w:r>
        <w:rPr>
          <w:rFonts w:hint="eastAsia" w:ascii="宋体" w:hAnsi="宋体" w:eastAsia="宋体" w:cs="宋体"/>
          <w:color w:val="auto"/>
          <w:sz w:val="24"/>
          <w:szCs w:val="24"/>
          <w:lang w:val="en-US"/>
        </w:rPr>
        <w:t>三</w:t>
      </w:r>
      <w:r>
        <w:rPr>
          <w:rFonts w:hint="eastAsia" w:ascii="宋体" w:hAnsi="宋体" w:eastAsia="宋体" w:cs="宋体"/>
          <w:color w:val="auto"/>
          <w:sz w:val="24"/>
          <w:szCs w:val="24"/>
        </w:rPr>
        <w:t>条  乙方根据规章制度提供管理服务时</w:t>
      </w:r>
      <w:r>
        <w:rPr>
          <w:rFonts w:hint="eastAsia" w:ascii="宋体" w:hAnsi="宋体" w:eastAsia="宋体" w:cs="宋体"/>
          <w:color w:val="auto"/>
          <w:spacing w:val="-1"/>
          <w:sz w:val="24"/>
          <w:szCs w:val="24"/>
        </w:rPr>
        <w:t>，甲方应给予必要配合。</w:t>
      </w:r>
    </w:p>
    <w:p w14:paraId="37AE02DB">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第三十</w:t>
      </w:r>
      <w:r>
        <w:rPr>
          <w:rFonts w:hint="eastAsia" w:ascii="宋体" w:hAnsi="宋体" w:eastAsia="宋体" w:cs="宋体"/>
          <w:color w:val="auto"/>
          <w:spacing w:val="-1"/>
          <w:sz w:val="24"/>
          <w:szCs w:val="24"/>
          <w:lang w:val="en-US"/>
        </w:rPr>
        <w:t>四</w:t>
      </w:r>
      <w:r>
        <w:rPr>
          <w:rFonts w:hint="eastAsia" w:ascii="宋体" w:hAnsi="宋体" w:eastAsia="宋体" w:cs="宋体"/>
          <w:color w:val="auto"/>
          <w:spacing w:val="-1"/>
          <w:sz w:val="24"/>
          <w:szCs w:val="24"/>
        </w:rPr>
        <w:t>条  对甲方违反物业管理区域内物业管理规章制度</w:t>
      </w:r>
      <w:r>
        <w:rPr>
          <w:rFonts w:hint="eastAsia" w:ascii="宋体" w:hAnsi="宋体" w:eastAsia="宋体" w:cs="宋体"/>
          <w:color w:val="auto"/>
          <w:spacing w:val="-2"/>
          <w:sz w:val="24"/>
          <w:szCs w:val="24"/>
        </w:rPr>
        <w:t>的行为，乙方可采取批评、</w:t>
      </w:r>
      <w:r>
        <w:rPr>
          <w:rFonts w:hint="eastAsia" w:ascii="宋体" w:hAnsi="宋体" w:eastAsia="宋体" w:cs="宋体"/>
          <w:color w:val="auto"/>
          <w:spacing w:val="-1"/>
          <w:sz w:val="24"/>
          <w:szCs w:val="24"/>
        </w:rPr>
        <w:t>规劝、警告、制止等必要措施。</w:t>
      </w:r>
    </w:p>
    <w:p w14:paraId="7685B70C">
      <w:pPr>
        <w:keepNext w:val="0"/>
        <w:keepLines w:val="0"/>
        <w:pageBreakBefore w:val="0"/>
        <w:widowControl/>
        <w:kinsoku w:val="0"/>
        <w:wordWrap/>
        <w:overflowPunct/>
        <w:topLinePunct w:val="0"/>
        <w:autoSpaceDE w:val="0"/>
        <w:autoSpaceDN w:val="0"/>
        <w:bidi w:val="0"/>
        <w:adjustRightInd w:val="0"/>
        <w:snapToGrid w:val="0"/>
        <w:spacing w:before="185" w:line="240" w:lineRule="auto"/>
        <w:ind w:left="13" w:right="8" w:hanging="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第三十</w:t>
      </w:r>
      <w:r>
        <w:rPr>
          <w:rFonts w:hint="eastAsia" w:ascii="宋体" w:hAnsi="宋体" w:eastAsia="宋体" w:cs="宋体"/>
          <w:color w:val="auto"/>
          <w:spacing w:val="-1"/>
          <w:sz w:val="24"/>
          <w:szCs w:val="24"/>
          <w:lang w:val="en-US"/>
        </w:rPr>
        <w:t>五</w:t>
      </w:r>
      <w:r>
        <w:rPr>
          <w:rFonts w:hint="eastAsia" w:ascii="宋体" w:hAnsi="宋体" w:eastAsia="宋体" w:cs="宋体"/>
          <w:color w:val="auto"/>
          <w:spacing w:val="-1"/>
          <w:sz w:val="24"/>
          <w:szCs w:val="24"/>
        </w:rPr>
        <w:t>条  乙方应及时向甲方通告本物</w:t>
      </w:r>
      <w:r>
        <w:rPr>
          <w:rFonts w:hint="eastAsia" w:ascii="宋体" w:hAnsi="宋体" w:eastAsia="宋体" w:cs="宋体"/>
          <w:color w:val="auto"/>
          <w:spacing w:val="-2"/>
          <w:sz w:val="24"/>
          <w:szCs w:val="24"/>
        </w:rPr>
        <w:t>业管理区域内有关物业管理的重大事项，及时</w:t>
      </w:r>
      <w:r>
        <w:rPr>
          <w:rFonts w:hint="eastAsia" w:ascii="宋体" w:hAnsi="宋体" w:eastAsia="宋体" w:cs="宋体"/>
          <w:color w:val="auto"/>
          <w:spacing w:val="-1"/>
          <w:sz w:val="24"/>
          <w:szCs w:val="24"/>
        </w:rPr>
        <w:t>处理甲方的投诉，接受甲方的监督。</w:t>
      </w:r>
    </w:p>
    <w:p w14:paraId="31F3B566">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right="8" w:hanging="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第三十</w:t>
      </w:r>
      <w:r>
        <w:rPr>
          <w:rFonts w:hint="eastAsia" w:ascii="宋体" w:hAnsi="宋体" w:eastAsia="宋体" w:cs="宋体"/>
          <w:color w:val="auto"/>
          <w:spacing w:val="-1"/>
          <w:sz w:val="24"/>
          <w:szCs w:val="24"/>
          <w:lang w:val="en-US"/>
        </w:rPr>
        <w:t>六</w:t>
      </w:r>
      <w:r>
        <w:rPr>
          <w:rFonts w:hint="eastAsia" w:ascii="宋体" w:hAnsi="宋体" w:eastAsia="宋体" w:cs="宋体"/>
          <w:color w:val="auto"/>
          <w:spacing w:val="-1"/>
          <w:sz w:val="24"/>
          <w:szCs w:val="24"/>
        </w:rPr>
        <w:t>条  因维修物业或者公共利益，</w:t>
      </w:r>
      <w:r>
        <w:rPr>
          <w:rFonts w:hint="eastAsia" w:ascii="宋体" w:hAnsi="宋体" w:eastAsia="宋体" w:cs="宋体"/>
          <w:color w:val="auto"/>
          <w:spacing w:val="-2"/>
          <w:sz w:val="24"/>
          <w:szCs w:val="24"/>
        </w:rPr>
        <w:t>甲方确需临时占用、挖掘本物业管理区域内道路、场地的，应事先通知乙方；乙方确需临时占用、挖掘本物业管理区域内道路、场地</w:t>
      </w:r>
      <w:r>
        <w:rPr>
          <w:rFonts w:hint="eastAsia" w:ascii="宋体" w:hAnsi="宋体" w:eastAsia="宋体" w:cs="宋体"/>
          <w:color w:val="auto"/>
          <w:spacing w:val="-1"/>
          <w:sz w:val="24"/>
          <w:szCs w:val="24"/>
        </w:rPr>
        <w:t>的，应事先征得甲方的同意。</w:t>
      </w:r>
    </w:p>
    <w:p w14:paraId="2EDDDDA2">
      <w:pPr>
        <w:keepNext w:val="0"/>
        <w:keepLines w:val="0"/>
        <w:pageBreakBefore w:val="0"/>
        <w:widowControl/>
        <w:kinsoku w:val="0"/>
        <w:wordWrap/>
        <w:overflowPunct/>
        <w:topLinePunct w:val="0"/>
        <w:autoSpaceDE w:val="0"/>
        <w:autoSpaceDN w:val="0"/>
        <w:bidi w:val="0"/>
        <w:adjustRightInd w:val="0"/>
        <w:snapToGrid w:val="0"/>
        <w:spacing w:before="180" w:line="240" w:lineRule="auto"/>
        <w:ind w:left="43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临时占用、挖掘本物业管理区域内道路、场地的，应在约定期限内恢复原状。</w:t>
      </w:r>
    </w:p>
    <w:p w14:paraId="655E974E">
      <w:pPr>
        <w:keepNext w:val="0"/>
        <w:keepLines w:val="0"/>
        <w:pageBreakBefore w:val="0"/>
        <w:widowControl/>
        <w:kinsoku w:val="0"/>
        <w:wordWrap/>
        <w:overflowPunct/>
        <w:topLinePunct w:val="0"/>
        <w:autoSpaceDE w:val="0"/>
        <w:autoSpaceDN w:val="0"/>
        <w:bidi w:val="0"/>
        <w:adjustRightInd w:val="0"/>
        <w:snapToGrid w:val="0"/>
        <w:spacing w:before="196" w:line="240" w:lineRule="auto"/>
        <w:ind w:left="2955"/>
        <w:textAlignment w:val="baseline"/>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第六章</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4"/>
          <w:sz w:val="31"/>
          <w:szCs w:val="31"/>
        </w:rPr>
        <w:t>双方权利义务</w:t>
      </w:r>
    </w:p>
    <w:p w14:paraId="2C763CDC">
      <w:pPr>
        <w:keepNext w:val="0"/>
        <w:keepLines w:val="0"/>
        <w:pageBreakBefore w:val="0"/>
        <w:widowControl/>
        <w:kinsoku w:val="0"/>
        <w:wordWrap/>
        <w:overflowPunct/>
        <w:topLinePunct w:val="0"/>
        <w:autoSpaceDE w:val="0"/>
        <w:autoSpaceDN w:val="0"/>
        <w:bidi w:val="0"/>
        <w:adjustRightInd w:val="0"/>
        <w:snapToGrid w:val="0"/>
        <w:spacing w:before="88"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第三十</w:t>
      </w:r>
      <w:r>
        <w:rPr>
          <w:rFonts w:hint="eastAsia" w:ascii="宋体" w:hAnsi="宋体" w:eastAsia="宋体" w:cs="宋体"/>
          <w:color w:val="auto"/>
          <w:spacing w:val="-5"/>
          <w:sz w:val="24"/>
          <w:szCs w:val="24"/>
          <w:lang w:val="en-US"/>
        </w:rPr>
        <w:t>七</w:t>
      </w:r>
      <w:r>
        <w:rPr>
          <w:rFonts w:hint="eastAsia" w:ascii="宋体" w:hAnsi="宋体" w:eastAsia="宋体" w:cs="宋体"/>
          <w:color w:val="auto"/>
          <w:spacing w:val="-5"/>
          <w:sz w:val="24"/>
          <w:szCs w:val="24"/>
        </w:rPr>
        <w:t>条</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5"/>
          <w:sz w:val="24"/>
          <w:szCs w:val="24"/>
        </w:rPr>
        <w:t>甲方权利义务</w:t>
      </w:r>
    </w:p>
    <w:p w14:paraId="0D9EAD63">
      <w:pPr>
        <w:keepNext w:val="0"/>
        <w:keepLines w:val="0"/>
        <w:pageBreakBefore w:val="0"/>
        <w:widowControl/>
        <w:kinsoku w:val="0"/>
        <w:wordWrap/>
        <w:overflowPunct/>
        <w:topLinePunct w:val="0"/>
        <w:autoSpaceDE w:val="0"/>
        <w:autoSpaceDN w:val="0"/>
        <w:bidi w:val="0"/>
        <w:adjustRightInd w:val="0"/>
        <w:snapToGrid w:val="0"/>
        <w:spacing w:before="183"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审定乙方制定的物业管理服务计划；</w:t>
      </w:r>
    </w:p>
    <w:p w14:paraId="7FB05847">
      <w:pPr>
        <w:keepNext w:val="0"/>
        <w:keepLines w:val="0"/>
        <w:pageBreakBefore w:val="0"/>
        <w:widowControl/>
        <w:kinsoku w:val="0"/>
        <w:wordWrap/>
        <w:overflowPunct/>
        <w:topLinePunct w:val="0"/>
        <w:autoSpaceDE w:val="0"/>
        <w:autoSpaceDN w:val="0"/>
        <w:bidi w:val="0"/>
        <w:adjustRightInd w:val="0"/>
        <w:snapToGrid w:val="0"/>
        <w:spacing w:before="183"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检查监督乙方管理服务工作的事实情况；</w:t>
      </w:r>
    </w:p>
    <w:p w14:paraId="094184C8">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协助乙方做好物业管理区域内的物业管理工作；</w:t>
      </w:r>
    </w:p>
    <w:p w14:paraId="73C891F6">
      <w:pPr>
        <w:keepNext w:val="0"/>
        <w:keepLines w:val="0"/>
        <w:pageBreakBefore w:val="0"/>
        <w:widowControl/>
        <w:kinsoku w:val="0"/>
        <w:wordWrap/>
        <w:overflowPunct/>
        <w:topLinePunct w:val="0"/>
        <w:autoSpaceDE w:val="0"/>
        <w:autoSpaceDN w:val="0"/>
        <w:bidi w:val="0"/>
        <w:adjustRightInd w:val="0"/>
        <w:snapToGrid w:val="0"/>
        <w:spacing w:before="184" w:line="240" w:lineRule="auto"/>
        <w:ind w:left="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4.   监督和协助乙方履行物业服务合同；</w:t>
      </w:r>
    </w:p>
    <w:p w14:paraId="24DAB96B">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组织物业的交接验收；</w:t>
      </w:r>
    </w:p>
    <w:p w14:paraId="10DA0E43">
      <w:pPr>
        <w:keepNext w:val="0"/>
        <w:keepLines w:val="0"/>
        <w:pageBreakBefore w:val="0"/>
        <w:widowControl/>
        <w:kinsoku w:val="0"/>
        <w:wordWrap/>
        <w:overflowPunct/>
        <w:topLinePunct w:val="0"/>
        <w:autoSpaceDE w:val="0"/>
        <w:autoSpaceDN w:val="0"/>
        <w:bidi w:val="0"/>
        <w:adjustRightInd w:val="0"/>
        <w:snapToGrid w:val="0"/>
        <w:spacing w:before="184"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6.   决定物业各部位、各类设备设施的大、中修和更新改造；</w:t>
      </w:r>
    </w:p>
    <w:p w14:paraId="22712CB9">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7.   合同生效之日起</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15  日内，向乙方提供物</w:t>
      </w:r>
      <w:r>
        <w:rPr>
          <w:rFonts w:hint="eastAsia" w:ascii="宋体" w:hAnsi="宋体" w:eastAsia="宋体" w:cs="宋体"/>
          <w:color w:val="auto"/>
          <w:spacing w:val="-3"/>
          <w:sz w:val="24"/>
          <w:szCs w:val="24"/>
        </w:rPr>
        <w:t>业管理用房，管理用房为无偿使用。</w:t>
      </w:r>
    </w:p>
    <w:p w14:paraId="55B1F499">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8.   甲方原则上不为乙方工作人员提供住宿，夜间值班人员除外。</w:t>
      </w:r>
    </w:p>
    <w:p w14:paraId="210BB586">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第三十</w:t>
      </w:r>
      <w:r>
        <w:rPr>
          <w:rFonts w:hint="eastAsia" w:ascii="宋体" w:hAnsi="宋体" w:eastAsia="宋体" w:cs="宋体"/>
          <w:color w:val="auto"/>
          <w:spacing w:val="-4"/>
          <w:sz w:val="24"/>
          <w:szCs w:val="24"/>
          <w:lang w:val="en-US"/>
        </w:rPr>
        <w:t>八</w:t>
      </w:r>
      <w:r>
        <w:rPr>
          <w:rFonts w:hint="eastAsia" w:ascii="宋体" w:hAnsi="宋体" w:eastAsia="宋体" w:cs="宋体"/>
          <w:color w:val="auto"/>
          <w:spacing w:val="-4"/>
          <w:sz w:val="24"/>
          <w:szCs w:val="24"/>
        </w:rPr>
        <w:t>条</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乙方权利义务</w:t>
      </w:r>
    </w:p>
    <w:p w14:paraId="0E0C6FA2">
      <w:pPr>
        <w:keepNext w:val="0"/>
        <w:keepLines w:val="0"/>
        <w:pageBreakBefore w:val="0"/>
        <w:widowControl/>
        <w:kinsoku w:val="0"/>
        <w:wordWrap/>
        <w:overflowPunct/>
        <w:topLinePunct w:val="0"/>
        <w:autoSpaceDE w:val="0"/>
        <w:autoSpaceDN w:val="0"/>
        <w:bidi w:val="0"/>
        <w:adjustRightInd w:val="0"/>
        <w:snapToGrid w:val="0"/>
        <w:spacing w:before="182" w:line="240" w:lineRule="auto"/>
        <w:ind w:left="369" w:right="8" w:hanging="34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1.   根据甲方的授权和有关法律、法规及本合同的约定，在本物业区域内提供物业管理</w:t>
      </w:r>
      <w:r>
        <w:rPr>
          <w:rFonts w:hint="eastAsia" w:ascii="宋体" w:hAnsi="宋体" w:eastAsia="宋体" w:cs="宋体"/>
          <w:color w:val="auto"/>
          <w:spacing w:val="-4"/>
          <w:sz w:val="24"/>
          <w:szCs w:val="24"/>
        </w:rPr>
        <w:t>服务；</w:t>
      </w:r>
    </w:p>
    <w:p w14:paraId="27E10997">
      <w:pPr>
        <w:keepNext w:val="0"/>
        <w:keepLines w:val="0"/>
        <w:pageBreakBefore w:val="0"/>
        <w:widowControl/>
        <w:kinsoku w:val="0"/>
        <w:wordWrap/>
        <w:overflowPunct/>
        <w:topLinePunct w:val="0"/>
        <w:autoSpaceDE w:val="0"/>
        <w:autoSpaceDN w:val="0"/>
        <w:bidi w:val="0"/>
        <w:adjustRightInd w:val="0"/>
        <w:snapToGrid w:val="0"/>
        <w:spacing w:before="183" w:line="240" w:lineRule="auto"/>
        <w:ind w:left="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2.   有权要求甲方配合乙方的管理服务行为；</w:t>
      </w:r>
    </w:p>
    <w:p w14:paraId="4CD06CC7">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74" w:right="8" w:hanging="364"/>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3.   向甲方收取物业服务费，乙方应</w:t>
      </w:r>
      <w:r>
        <w:rPr>
          <w:rFonts w:hint="eastAsia" w:ascii="宋体" w:hAnsi="宋体" w:eastAsia="宋体" w:cs="宋体"/>
          <w:color w:val="auto"/>
          <w:spacing w:val="1"/>
          <w:sz w:val="24"/>
          <w:szCs w:val="24"/>
        </w:rPr>
        <w:t>按照规范对员工进行安全教育、并提供员工的宿舍</w:t>
      </w:r>
      <w:r>
        <w:rPr>
          <w:rFonts w:hint="eastAsia" w:ascii="宋体" w:hAnsi="宋体" w:eastAsia="宋体" w:cs="宋体"/>
          <w:color w:val="auto"/>
          <w:spacing w:val="-1"/>
          <w:sz w:val="24"/>
          <w:szCs w:val="24"/>
        </w:rPr>
        <w:t>与劳动保障，工作期间，乙方人员的安全责任由乙方自行承担；</w:t>
      </w:r>
    </w:p>
    <w:p w14:paraId="608D32FF">
      <w:pPr>
        <w:keepNext w:val="0"/>
        <w:keepLines w:val="0"/>
        <w:pageBreakBefore w:val="0"/>
        <w:widowControl/>
        <w:kinsoku w:val="0"/>
        <w:wordWrap/>
        <w:overflowPunct/>
        <w:topLinePunct w:val="0"/>
        <w:autoSpaceDE w:val="0"/>
        <w:autoSpaceDN w:val="0"/>
        <w:bidi w:val="0"/>
        <w:adjustRightInd w:val="0"/>
        <w:snapToGrid w:val="0"/>
        <w:spacing w:before="285" w:line="240" w:lineRule="auto"/>
        <w:ind w:left="368" w:right="61" w:hanging="364"/>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4.   经甲方同意，选聘专营公司承担本物业的专项</w:t>
      </w:r>
      <w:r>
        <w:rPr>
          <w:rFonts w:hint="eastAsia" w:ascii="宋体" w:hAnsi="宋体" w:eastAsia="宋体" w:cs="宋体"/>
          <w:color w:val="auto"/>
          <w:spacing w:val="1"/>
          <w:sz w:val="24"/>
          <w:szCs w:val="24"/>
        </w:rPr>
        <w:t>管理业务，但不得将物业的整体管理</w:t>
      </w:r>
      <w:r>
        <w:rPr>
          <w:rFonts w:hint="eastAsia" w:ascii="宋体" w:hAnsi="宋体" w:eastAsia="宋体" w:cs="宋体"/>
          <w:color w:val="auto"/>
          <w:spacing w:val="-2"/>
          <w:sz w:val="24"/>
          <w:szCs w:val="24"/>
        </w:rPr>
        <w:t>委托给第三方；</w:t>
      </w:r>
    </w:p>
    <w:p w14:paraId="750B3C0A">
      <w:pPr>
        <w:keepNext w:val="0"/>
        <w:keepLines w:val="0"/>
        <w:pageBreakBefore w:val="0"/>
        <w:widowControl/>
        <w:kinsoku w:val="0"/>
        <w:wordWrap/>
        <w:overflowPunct/>
        <w:topLinePunct w:val="0"/>
        <w:autoSpaceDE w:val="0"/>
        <w:autoSpaceDN w:val="0"/>
        <w:bidi w:val="0"/>
        <w:adjustRightInd w:val="0"/>
        <w:snapToGrid w:val="0"/>
        <w:spacing w:before="182"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5.   每年度向甲方报告物业管理服务实施情况；</w:t>
      </w:r>
    </w:p>
    <w:p w14:paraId="07B7E5B0">
      <w:pPr>
        <w:keepNext w:val="0"/>
        <w:keepLines w:val="0"/>
        <w:pageBreakBefore w:val="0"/>
        <w:widowControl/>
        <w:kinsoku w:val="0"/>
        <w:wordWrap/>
        <w:overflowPunct/>
        <w:topLinePunct w:val="0"/>
        <w:autoSpaceDE w:val="0"/>
        <w:autoSpaceDN w:val="0"/>
        <w:bidi w:val="0"/>
        <w:adjustRightInd w:val="0"/>
        <w:snapToGrid w:val="0"/>
        <w:spacing w:before="185" w:line="240" w:lineRule="auto"/>
        <w:ind w:left="370" w:right="61" w:hanging="36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6.   对本物业区域内的公用设施不得</w:t>
      </w:r>
      <w:r>
        <w:rPr>
          <w:rFonts w:hint="eastAsia" w:ascii="宋体" w:hAnsi="宋体" w:eastAsia="宋体" w:cs="宋体"/>
          <w:color w:val="auto"/>
          <w:spacing w:val="1"/>
          <w:sz w:val="24"/>
          <w:szCs w:val="24"/>
        </w:rPr>
        <w:t>擅自占用，对甲方提供的物业管理用房不得改变使</w:t>
      </w:r>
      <w:r>
        <w:rPr>
          <w:rFonts w:hint="eastAsia" w:ascii="宋体" w:hAnsi="宋体" w:eastAsia="宋体" w:cs="宋体"/>
          <w:color w:val="auto"/>
          <w:spacing w:val="-3"/>
          <w:sz w:val="24"/>
          <w:szCs w:val="24"/>
        </w:rPr>
        <w:t>用性质；</w:t>
      </w:r>
    </w:p>
    <w:p w14:paraId="0477827D">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71" w:right="61" w:hanging="362"/>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7.   本合同终止时，应移交物业管理权</w:t>
      </w:r>
      <w:r>
        <w:rPr>
          <w:rFonts w:hint="eastAsia" w:ascii="宋体" w:hAnsi="宋体" w:eastAsia="宋体" w:cs="宋体"/>
          <w:color w:val="auto"/>
          <w:spacing w:val="1"/>
          <w:sz w:val="24"/>
          <w:szCs w:val="24"/>
        </w:rPr>
        <w:t>，撤出本物业，协助甲方做好物业服务的交接和</w:t>
      </w:r>
      <w:r>
        <w:rPr>
          <w:rFonts w:hint="eastAsia" w:ascii="宋体" w:hAnsi="宋体" w:eastAsia="宋体" w:cs="宋体"/>
          <w:color w:val="auto"/>
          <w:sz w:val="24"/>
          <w:szCs w:val="24"/>
        </w:rPr>
        <w:t>善后工作，移交属于甲方所有的管理用房、财务</w:t>
      </w:r>
      <w:r>
        <w:rPr>
          <w:rFonts w:hint="eastAsia" w:ascii="宋体" w:hAnsi="宋体" w:eastAsia="宋体" w:cs="宋体"/>
          <w:color w:val="auto"/>
          <w:spacing w:val="-1"/>
          <w:sz w:val="24"/>
          <w:szCs w:val="24"/>
        </w:rPr>
        <w:t>、物业管理的全部档案资料。</w:t>
      </w:r>
    </w:p>
    <w:p w14:paraId="0243427B">
      <w:pPr>
        <w:keepNext w:val="0"/>
        <w:keepLines w:val="0"/>
        <w:pageBreakBefore w:val="0"/>
        <w:widowControl/>
        <w:kinsoku w:val="0"/>
        <w:wordWrap/>
        <w:overflowPunct/>
        <w:topLinePunct w:val="0"/>
        <w:autoSpaceDE w:val="0"/>
        <w:autoSpaceDN w:val="0"/>
        <w:bidi w:val="0"/>
        <w:adjustRightInd w:val="0"/>
        <w:snapToGrid w:val="0"/>
        <w:spacing w:before="196" w:line="240" w:lineRule="auto"/>
        <w:ind w:left="3274"/>
        <w:textAlignment w:val="baseline"/>
        <w:rPr>
          <w:rFonts w:hint="eastAsia" w:ascii="宋体" w:hAnsi="宋体" w:eastAsia="宋体" w:cs="宋体"/>
          <w:color w:val="auto"/>
          <w:sz w:val="31"/>
          <w:szCs w:val="31"/>
        </w:rPr>
      </w:pPr>
      <w:r>
        <w:rPr>
          <w:rFonts w:hint="eastAsia" w:ascii="宋体" w:hAnsi="宋体" w:eastAsia="宋体" w:cs="宋体"/>
          <w:b/>
          <w:bCs/>
          <w:color w:val="auto"/>
          <w:spacing w:val="3"/>
          <w:sz w:val="31"/>
          <w:szCs w:val="31"/>
        </w:rPr>
        <w:t>第七章</w:t>
      </w:r>
      <w:r>
        <w:rPr>
          <w:rFonts w:hint="eastAsia" w:ascii="宋体" w:hAnsi="宋体" w:eastAsia="宋体" w:cs="宋体"/>
          <w:color w:val="auto"/>
          <w:spacing w:val="3"/>
          <w:sz w:val="31"/>
          <w:szCs w:val="31"/>
        </w:rPr>
        <w:t xml:space="preserve">  </w:t>
      </w:r>
      <w:r>
        <w:rPr>
          <w:rFonts w:hint="eastAsia" w:ascii="宋体" w:hAnsi="宋体" w:eastAsia="宋体" w:cs="宋体"/>
          <w:b/>
          <w:bCs/>
          <w:color w:val="auto"/>
          <w:spacing w:val="3"/>
          <w:sz w:val="31"/>
          <w:szCs w:val="31"/>
        </w:rPr>
        <w:t>合同期限</w:t>
      </w:r>
    </w:p>
    <w:p w14:paraId="432E7D6A">
      <w:pPr>
        <w:keepNext w:val="0"/>
        <w:keepLines w:val="0"/>
        <w:pageBreakBefore w:val="0"/>
        <w:widowControl/>
        <w:kinsoku w:val="0"/>
        <w:wordWrap/>
        <w:overflowPunct/>
        <w:topLinePunct w:val="0"/>
        <w:autoSpaceDE w:val="0"/>
        <w:autoSpaceDN w:val="0"/>
        <w:bidi w:val="0"/>
        <w:adjustRightInd w:val="0"/>
        <w:snapToGrid w:val="0"/>
        <w:spacing w:before="88"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第三十</w:t>
      </w:r>
      <w:r>
        <w:rPr>
          <w:rFonts w:hint="eastAsia" w:ascii="宋体" w:hAnsi="宋体" w:eastAsia="宋体" w:cs="宋体"/>
          <w:color w:val="auto"/>
          <w:spacing w:val="-5"/>
          <w:sz w:val="24"/>
          <w:szCs w:val="24"/>
          <w:lang w:val="en-US"/>
        </w:rPr>
        <w:t>九</w:t>
      </w:r>
      <w:r>
        <w:rPr>
          <w:rFonts w:hint="eastAsia" w:ascii="宋体" w:hAnsi="宋体" w:eastAsia="宋体" w:cs="宋体"/>
          <w:color w:val="auto"/>
          <w:spacing w:val="-5"/>
          <w:sz w:val="24"/>
          <w:szCs w:val="24"/>
        </w:rPr>
        <w:t>条  委托管理期限为壹年；</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5"/>
          <w:sz w:val="24"/>
          <w:szCs w:val="24"/>
        </w:rPr>
        <w:t>自</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5"/>
          <w:sz w:val="24"/>
          <w:szCs w:val="24"/>
        </w:rPr>
        <w:t>年</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5"/>
          <w:sz w:val="24"/>
          <w:szCs w:val="24"/>
        </w:rPr>
        <w:t>日至</w:t>
      </w:r>
      <w:r>
        <w:rPr>
          <w:rFonts w:hint="eastAsia" w:ascii="宋体" w:hAnsi="宋体" w:eastAsia="宋体" w:cs="宋体"/>
          <w:color w:val="auto"/>
          <w:spacing w:val="40"/>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5"/>
          <w:sz w:val="24"/>
          <w:szCs w:val="24"/>
        </w:rPr>
        <w:t>年</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rPr>
        <w:t>月</w:t>
      </w:r>
      <w:r>
        <w:rPr>
          <w:rFonts w:hint="eastAsia" w:ascii="宋体" w:hAnsi="宋体" w:eastAsia="宋体" w:cs="宋体"/>
          <w:color w:val="auto"/>
          <w:spacing w:val="60"/>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6"/>
          <w:sz w:val="24"/>
          <w:szCs w:val="24"/>
        </w:rPr>
        <w:t>日为止。</w:t>
      </w:r>
    </w:p>
    <w:p w14:paraId="5CA0CE76">
      <w:pPr>
        <w:keepNext w:val="0"/>
        <w:keepLines w:val="0"/>
        <w:pageBreakBefore w:val="0"/>
        <w:widowControl/>
        <w:kinsoku w:val="0"/>
        <w:wordWrap/>
        <w:overflowPunct/>
        <w:topLinePunct w:val="0"/>
        <w:autoSpaceDE w:val="0"/>
        <w:autoSpaceDN w:val="0"/>
        <w:bidi w:val="0"/>
        <w:adjustRightInd w:val="0"/>
        <w:snapToGrid w:val="0"/>
        <w:spacing w:before="194" w:line="240" w:lineRule="auto"/>
        <w:ind w:left="2312"/>
        <w:textAlignment w:val="baseline"/>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第八章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合同解除和终止的约定</w:t>
      </w:r>
    </w:p>
    <w:p w14:paraId="4E117026">
      <w:pPr>
        <w:keepNext w:val="0"/>
        <w:keepLines w:val="0"/>
        <w:pageBreakBefore w:val="0"/>
        <w:widowControl/>
        <w:kinsoku w:val="0"/>
        <w:wordWrap/>
        <w:overflowPunct/>
        <w:topLinePunct w:val="0"/>
        <w:autoSpaceDE w:val="0"/>
        <w:autoSpaceDN w:val="0"/>
        <w:bidi w:val="0"/>
        <w:adjustRightInd w:val="0"/>
        <w:snapToGrid w:val="0"/>
        <w:spacing w:before="89" w:line="240" w:lineRule="auto"/>
        <w:ind w:left="14" w:right="61" w:hanging="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w:t>
      </w:r>
      <w:r>
        <w:rPr>
          <w:rFonts w:hint="eastAsia" w:ascii="宋体" w:hAnsi="宋体" w:eastAsia="宋体" w:cs="宋体"/>
          <w:color w:val="auto"/>
          <w:spacing w:val="-1"/>
          <w:sz w:val="24"/>
          <w:szCs w:val="24"/>
          <w:lang w:val="en-US"/>
        </w:rPr>
        <w:t>四十</w:t>
      </w:r>
      <w:r>
        <w:rPr>
          <w:rFonts w:hint="eastAsia" w:ascii="宋体" w:hAnsi="宋体" w:eastAsia="宋体" w:cs="宋体"/>
          <w:color w:val="auto"/>
          <w:spacing w:val="-1"/>
          <w:sz w:val="24"/>
          <w:szCs w:val="24"/>
        </w:rPr>
        <w:t>条  本合同期满，甲方决定不委托</w:t>
      </w:r>
      <w:r>
        <w:rPr>
          <w:rFonts w:hint="eastAsia" w:ascii="宋体" w:hAnsi="宋体" w:eastAsia="宋体" w:cs="宋体"/>
          <w:color w:val="auto"/>
          <w:spacing w:val="-2"/>
          <w:sz w:val="24"/>
          <w:szCs w:val="24"/>
        </w:rPr>
        <w:t>乙方的，应提前三个月书面告知乙方；乙方决</w:t>
      </w:r>
      <w:r>
        <w:rPr>
          <w:rFonts w:hint="eastAsia" w:ascii="宋体" w:hAnsi="宋体" w:eastAsia="宋体" w:cs="宋体"/>
          <w:color w:val="auto"/>
          <w:spacing w:val="-1"/>
          <w:sz w:val="24"/>
          <w:szCs w:val="24"/>
        </w:rPr>
        <w:t>定不再接受委托的，应提前三个月书面通知甲方。</w:t>
      </w:r>
    </w:p>
    <w:p w14:paraId="4D100504">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right="6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w:t>
      </w:r>
      <w:r>
        <w:rPr>
          <w:rFonts w:hint="eastAsia" w:ascii="宋体" w:hAnsi="宋体" w:eastAsia="宋体" w:cs="宋体"/>
          <w:color w:val="auto"/>
          <w:spacing w:val="-1"/>
          <w:sz w:val="24"/>
          <w:szCs w:val="24"/>
          <w:lang w:val="en-US"/>
        </w:rPr>
        <w:t>四十一</w:t>
      </w:r>
      <w:r>
        <w:rPr>
          <w:rFonts w:hint="eastAsia" w:ascii="宋体" w:hAnsi="宋体" w:eastAsia="宋体" w:cs="宋体"/>
          <w:color w:val="auto"/>
          <w:spacing w:val="-1"/>
          <w:sz w:val="24"/>
          <w:szCs w:val="24"/>
        </w:rPr>
        <w:t>条  本合同期满，甲方没有将续</w:t>
      </w:r>
      <w:r>
        <w:rPr>
          <w:rFonts w:hint="eastAsia" w:ascii="宋体" w:hAnsi="宋体" w:eastAsia="宋体" w:cs="宋体"/>
          <w:color w:val="auto"/>
          <w:spacing w:val="-2"/>
          <w:sz w:val="24"/>
          <w:szCs w:val="24"/>
        </w:rPr>
        <w:t>聘或不予续聘乙方的意见通知乙方，且没有选</w:t>
      </w:r>
      <w:r>
        <w:rPr>
          <w:rFonts w:hint="eastAsia" w:ascii="宋体" w:hAnsi="宋体" w:eastAsia="宋体" w:cs="宋体"/>
          <w:color w:val="auto"/>
          <w:sz w:val="24"/>
          <w:szCs w:val="24"/>
        </w:rPr>
        <w:t>聘新的物业管理企业，乙方继续提供物业管理服务的</w:t>
      </w:r>
      <w:r>
        <w:rPr>
          <w:rFonts w:hint="eastAsia" w:ascii="宋体" w:hAnsi="宋体" w:eastAsia="宋体" w:cs="宋体"/>
          <w:color w:val="auto"/>
          <w:spacing w:val="-1"/>
          <w:sz w:val="24"/>
          <w:szCs w:val="24"/>
        </w:rPr>
        <w:t>，视为此合同自动延续。</w:t>
      </w:r>
    </w:p>
    <w:p w14:paraId="642DDACB">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8" w:right="61" w:hanging="2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第四十二条  因甲方违约导致乙方不能提</w:t>
      </w:r>
      <w:r>
        <w:rPr>
          <w:rFonts w:hint="eastAsia" w:ascii="宋体" w:hAnsi="宋体" w:eastAsia="宋体" w:cs="宋体"/>
          <w:color w:val="auto"/>
          <w:spacing w:val="-2"/>
          <w:sz w:val="24"/>
          <w:szCs w:val="24"/>
        </w:rPr>
        <w:t>供约定服务的，乙方有权要求甲方在一定期限内解决，逾期未解决且严重违约的，乙方有权解除合同。</w:t>
      </w:r>
    </w:p>
    <w:p w14:paraId="3E90AC50">
      <w:pPr>
        <w:keepNext w:val="0"/>
        <w:keepLines w:val="0"/>
        <w:pageBreakBefore w:val="0"/>
        <w:widowControl/>
        <w:kinsoku w:val="0"/>
        <w:wordWrap/>
        <w:overflowPunct/>
        <w:topLinePunct w:val="0"/>
        <w:autoSpaceDE w:val="0"/>
        <w:autoSpaceDN w:val="0"/>
        <w:bidi w:val="0"/>
        <w:adjustRightInd w:val="0"/>
        <w:snapToGrid w:val="0"/>
        <w:spacing w:before="182" w:line="240" w:lineRule="auto"/>
        <w:ind w:left="39" w:hanging="30"/>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第四十</w:t>
      </w:r>
      <w:r>
        <w:rPr>
          <w:rFonts w:hint="eastAsia" w:ascii="宋体" w:hAnsi="宋体" w:eastAsia="宋体" w:cs="宋体"/>
          <w:color w:val="auto"/>
          <w:spacing w:val="-6"/>
          <w:sz w:val="24"/>
          <w:szCs w:val="24"/>
          <w:lang w:val="en-US"/>
        </w:rPr>
        <w:t>三</w:t>
      </w:r>
      <w:r>
        <w:rPr>
          <w:rFonts w:hint="eastAsia" w:ascii="宋体" w:hAnsi="宋体" w:eastAsia="宋体" w:cs="宋体"/>
          <w:color w:val="auto"/>
          <w:spacing w:val="-6"/>
          <w:sz w:val="24"/>
          <w:szCs w:val="24"/>
        </w:rPr>
        <w:t>条  乙方未能按照约定提供服务，甲方有权要求乙方限期整改，逾期未整改的，</w:t>
      </w:r>
      <w:r>
        <w:rPr>
          <w:rFonts w:hint="eastAsia" w:ascii="宋体" w:hAnsi="宋体" w:eastAsia="宋体" w:cs="宋体"/>
          <w:color w:val="auto"/>
          <w:spacing w:val="-5"/>
          <w:sz w:val="24"/>
          <w:szCs w:val="24"/>
        </w:rPr>
        <w:t>甲方有权解除合同。</w:t>
      </w:r>
    </w:p>
    <w:p w14:paraId="5F1BBCA6">
      <w:pPr>
        <w:keepNext w:val="0"/>
        <w:keepLines w:val="0"/>
        <w:pageBreakBefore w:val="0"/>
        <w:widowControl/>
        <w:kinsoku w:val="0"/>
        <w:wordWrap/>
        <w:overflowPunct/>
        <w:topLinePunct w:val="0"/>
        <w:autoSpaceDE w:val="0"/>
        <w:autoSpaceDN w:val="0"/>
        <w:bidi w:val="0"/>
        <w:adjustRightInd w:val="0"/>
        <w:snapToGrid w:val="0"/>
        <w:spacing w:before="194" w:line="240" w:lineRule="auto"/>
        <w:ind w:left="3274"/>
        <w:textAlignment w:val="baseline"/>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第九章</w:t>
      </w:r>
      <w:r>
        <w:rPr>
          <w:rFonts w:hint="eastAsia" w:ascii="宋体" w:hAnsi="宋体" w:eastAsia="宋体" w:cs="宋体"/>
          <w:color w:val="auto"/>
          <w:sz w:val="31"/>
          <w:szCs w:val="31"/>
        </w:rPr>
        <w:t xml:space="preserve">  </w:t>
      </w:r>
      <w:r>
        <w:rPr>
          <w:rFonts w:hint="eastAsia" w:ascii="宋体" w:hAnsi="宋体" w:eastAsia="宋体" w:cs="宋体"/>
          <w:b/>
          <w:bCs/>
          <w:color w:val="auto"/>
          <w:spacing w:val="4"/>
          <w:sz w:val="31"/>
          <w:szCs w:val="31"/>
        </w:rPr>
        <w:t>违约责任</w:t>
      </w:r>
    </w:p>
    <w:p w14:paraId="665F8E17">
      <w:pPr>
        <w:keepNext w:val="0"/>
        <w:keepLines w:val="0"/>
        <w:pageBreakBefore w:val="0"/>
        <w:widowControl/>
        <w:kinsoku w:val="0"/>
        <w:wordWrap/>
        <w:overflowPunct/>
        <w:topLinePunct w:val="0"/>
        <w:autoSpaceDE w:val="0"/>
        <w:autoSpaceDN w:val="0"/>
        <w:bidi w:val="0"/>
        <w:adjustRightInd w:val="0"/>
        <w:snapToGrid w:val="0"/>
        <w:spacing w:before="88" w:line="240" w:lineRule="auto"/>
        <w:ind w:left="9" w:right="63"/>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第四十</w:t>
      </w:r>
      <w:r>
        <w:rPr>
          <w:rFonts w:hint="eastAsia" w:ascii="宋体" w:hAnsi="宋体" w:eastAsia="宋体" w:cs="宋体"/>
          <w:color w:val="auto"/>
          <w:spacing w:val="5"/>
          <w:sz w:val="24"/>
          <w:szCs w:val="24"/>
          <w:lang w:val="en-US"/>
        </w:rPr>
        <w:t>四</w:t>
      </w:r>
      <w:r>
        <w:rPr>
          <w:rFonts w:hint="eastAsia" w:ascii="宋体" w:hAnsi="宋体" w:eastAsia="宋体" w:cs="宋体"/>
          <w:color w:val="auto"/>
          <w:spacing w:val="5"/>
          <w:sz w:val="24"/>
          <w:szCs w:val="24"/>
        </w:rPr>
        <w:t>条  甲方逾期缴纳物业服务费的，乙方可以从逾期</w:t>
      </w:r>
      <w:r>
        <w:rPr>
          <w:rFonts w:hint="eastAsia" w:ascii="宋体" w:hAnsi="宋体" w:eastAsia="宋体" w:cs="宋体"/>
          <w:color w:val="auto"/>
          <w:spacing w:val="4"/>
          <w:sz w:val="24"/>
          <w:szCs w:val="24"/>
        </w:rPr>
        <w:t>之日起每日按应缴费用的</w:t>
      </w:r>
      <w:r>
        <w:rPr>
          <w:rFonts w:hint="eastAsia" w:ascii="宋体" w:hAnsi="宋体" w:eastAsia="宋体" w:cs="宋体"/>
          <w:color w:val="auto"/>
          <w:spacing w:val="-3"/>
          <w:sz w:val="24"/>
          <w:szCs w:val="24"/>
        </w:rPr>
        <w:t>0.5</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收取违约金。</w:t>
      </w:r>
    </w:p>
    <w:p w14:paraId="026CD6D6">
      <w:pPr>
        <w:keepNext w:val="0"/>
        <w:keepLines w:val="0"/>
        <w:pageBreakBefore w:val="0"/>
        <w:widowControl/>
        <w:kinsoku w:val="0"/>
        <w:wordWrap/>
        <w:overflowPunct/>
        <w:topLinePunct w:val="0"/>
        <w:autoSpaceDE w:val="0"/>
        <w:autoSpaceDN w:val="0"/>
        <w:bidi w:val="0"/>
        <w:adjustRightInd w:val="0"/>
        <w:snapToGrid w:val="0"/>
        <w:spacing w:before="1" w:line="240" w:lineRule="auto"/>
        <w:ind w:left="10" w:right="61" w:hanging="1"/>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第四十</w:t>
      </w:r>
      <w:r>
        <w:rPr>
          <w:rFonts w:hint="eastAsia" w:ascii="宋体" w:hAnsi="宋体" w:eastAsia="宋体" w:cs="宋体"/>
          <w:color w:val="auto"/>
          <w:sz w:val="24"/>
          <w:szCs w:val="24"/>
          <w:lang w:val="en-US"/>
        </w:rPr>
        <w:t>五</w:t>
      </w:r>
      <w:r>
        <w:rPr>
          <w:rFonts w:hint="eastAsia" w:ascii="宋体" w:hAnsi="宋体" w:eastAsia="宋体" w:cs="宋体"/>
          <w:color w:val="auto"/>
          <w:sz w:val="24"/>
          <w:szCs w:val="24"/>
        </w:rPr>
        <w:t>条  任何一方无正当理由提前解除合同的，应向对方支付违约金人民币</w:t>
      </w:r>
      <w:r>
        <w:rPr>
          <w:rFonts w:hint="eastAsia" w:ascii="宋体" w:hAnsi="宋体" w:eastAsia="宋体" w:cs="宋体"/>
          <w:color w:val="auto"/>
          <w:spacing w:val="-16"/>
          <w:sz w:val="24"/>
          <w:szCs w:val="24"/>
        </w:rPr>
        <w:t xml:space="preserve"> </w:t>
      </w:r>
      <w:r>
        <w:rPr>
          <w:rFonts w:hint="eastAsia" w:ascii="宋体" w:hAnsi="宋体" w:eastAsia="宋体" w:cs="宋体"/>
          <w:color w:val="auto"/>
          <w:sz w:val="24"/>
          <w:szCs w:val="24"/>
        </w:rPr>
        <w:t>10</w:t>
      </w:r>
      <w:r>
        <w:rPr>
          <w:rFonts w:hint="eastAsia" w:ascii="宋体" w:hAnsi="宋体" w:eastAsia="宋体" w:cs="宋体"/>
          <w:color w:val="auto"/>
          <w:spacing w:val="17"/>
          <w:w w:val="101"/>
          <w:sz w:val="24"/>
          <w:szCs w:val="24"/>
        </w:rPr>
        <w:t xml:space="preserve"> </w:t>
      </w:r>
      <w:r>
        <w:rPr>
          <w:rFonts w:hint="eastAsia" w:ascii="宋体" w:hAnsi="宋体" w:eastAsia="宋体" w:cs="宋体"/>
          <w:color w:val="auto"/>
          <w:sz w:val="24"/>
          <w:szCs w:val="24"/>
        </w:rPr>
        <w:t>万</w:t>
      </w:r>
      <w:r>
        <w:rPr>
          <w:rFonts w:hint="eastAsia" w:ascii="宋体" w:hAnsi="宋体" w:eastAsia="宋体" w:cs="宋体"/>
          <w:color w:val="auto"/>
          <w:spacing w:val="-1"/>
          <w:sz w:val="24"/>
          <w:szCs w:val="24"/>
        </w:rPr>
        <w:t>元；由于解除合同造成的经济损失超过违约金的，还应给予赔偿。</w:t>
      </w:r>
    </w:p>
    <w:p w14:paraId="3ABA7972">
      <w:pPr>
        <w:keepNext w:val="0"/>
        <w:keepLines w:val="0"/>
        <w:pageBreakBefore w:val="0"/>
        <w:widowControl/>
        <w:kinsoku w:val="0"/>
        <w:wordWrap/>
        <w:overflowPunct/>
        <w:topLinePunct w:val="0"/>
        <w:autoSpaceDE w:val="0"/>
        <w:autoSpaceDN w:val="0"/>
        <w:bidi w:val="0"/>
        <w:adjustRightInd w:val="0"/>
        <w:snapToGrid w:val="0"/>
        <w:spacing w:before="179" w:line="240" w:lineRule="auto"/>
        <w:ind w:left="9" w:right="61"/>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第四十</w:t>
      </w:r>
      <w:r>
        <w:rPr>
          <w:rFonts w:hint="eastAsia" w:ascii="宋体" w:hAnsi="宋体" w:eastAsia="宋体" w:cs="宋体"/>
          <w:color w:val="auto"/>
          <w:spacing w:val="-1"/>
          <w:sz w:val="24"/>
          <w:szCs w:val="24"/>
          <w:lang w:val="en-US"/>
        </w:rPr>
        <w:t>六</w:t>
      </w:r>
      <w:r>
        <w:rPr>
          <w:rFonts w:hint="eastAsia" w:ascii="宋体" w:hAnsi="宋体" w:eastAsia="宋体" w:cs="宋体"/>
          <w:color w:val="auto"/>
          <w:spacing w:val="-1"/>
          <w:sz w:val="24"/>
          <w:szCs w:val="24"/>
        </w:rPr>
        <w:t>条  乙方在合同终止后，不移交</w:t>
      </w:r>
      <w:r>
        <w:rPr>
          <w:rFonts w:hint="eastAsia" w:ascii="宋体" w:hAnsi="宋体" w:eastAsia="宋体" w:cs="宋体"/>
          <w:color w:val="auto"/>
          <w:spacing w:val="-2"/>
          <w:sz w:val="24"/>
          <w:szCs w:val="24"/>
        </w:rPr>
        <w:t>物业管理权，不撤出本物业和移交管理用房及</w:t>
      </w:r>
      <w:r>
        <w:rPr>
          <w:rFonts w:hint="eastAsia" w:ascii="宋体" w:hAnsi="宋体" w:eastAsia="宋体" w:cs="宋体"/>
          <w:color w:val="auto"/>
          <w:spacing w:val="1"/>
          <w:sz w:val="24"/>
          <w:szCs w:val="24"/>
        </w:rPr>
        <w:t>有关档案资料等，每逾期一日应向甲方支付委托期限内平均物业管理年度费用</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0.5％的</w:t>
      </w:r>
      <w:r>
        <w:rPr>
          <w:rFonts w:hint="eastAsia" w:ascii="宋体" w:hAnsi="宋体" w:eastAsia="宋体" w:cs="宋体"/>
          <w:color w:val="auto"/>
          <w:spacing w:val="-1"/>
          <w:sz w:val="24"/>
          <w:szCs w:val="24"/>
        </w:rPr>
        <w:t>违约金，由此造成的经济损失超过违约金的，还应给予赔偿。</w:t>
      </w:r>
    </w:p>
    <w:p w14:paraId="06CF6F69">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1" w:right="61" w:hanging="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第四十</w:t>
      </w:r>
      <w:r>
        <w:rPr>
          <w:rFonts w:hint="eastAsia" w:ascii="宋体" w:hAnsi="宋体" w:eastAsia="宋体" w:cs="宋体"/>
          <w:color w:val="auto"/>
          <w:spacing w:val="-1"/>
          <w:sz w:val="24"/>
          <w:szCs w:val="24"/>
          <w:lang w:val="en-US"/>
        </w:rPr>
        <w:t>七</w:t>
      </w:r>
      <w:r>
        <w:rPr>
          <w:rFonts w:hint="eastAsia" w:ascii="宋体" w:hAnsi="宋体" w:eastAsia="宋体" w:cs="宋体"/>
          <w:color w:val="auto"/>
          <w:spacing w:val="-1"/>
          <w:sz w:val="24"/>
          <w:szCs w:val="24"/>
        </w:rPr>
        <w:t>条  乙方有第四十三条以外的违</w:t>
      </w:r>
      <w:r>
        <w:rPr>
          <w:rFonts w:hint="eastAsia" w:ascii="宋体" w:hAnsi="宋体" w:eastAsia="宋体" w:cs="宋体"/>
          <w:color w:val="auto"/>
          <w:spacing w:val="-2"/>
          <w:sz w:val="24"/>
          <w:szCs w:val="24"/>
        </w:rPr>
        <w:t>约情形，应向甲方支付委托期限内平均物业管</w:t>
      </w:r>
      <w:r>
        <w:rPr>
          <w:rFonts w:hint="eastAsia" w:ascii="宋体" w:hAnsi="宋体" w:eastAsia="宋体" w:cs="宋体"/>
          <w:color w:val="auto"/>
          <w:spacing w:val="1"/>
          <w:sz w:val="24"/>
          <w:szCs w:val="24"/>
        </w:rPr>
        <w:t>理年度费用5％的损害赔偿金，由此造成的经济损失超过损害赔偿金的，应以实际损失</w:t>
      </w:r>
      <w:r>
        <w:rPr>
          <w:rFonts w:hint="eastAsia" w:ascii="宋体" w:hAnsi="宋体" w:eastAsia="宋体" w:cs="宋体"/>
          <w:color w:val="auto"/>
          <w:spacing w:val="-5"/>
          <w:sz w:val="24"/>
          <w:szCs w:val="24"/>
        </w:rPr>
        <w:t>为准。</w:t>
      </w:r>
    </w:p>
    <w:p w14:paraId="023AB91C">
      <w:pPr>
        <w:keepNext w:val="0"/>
        <w:keepLines w:val="0"/>
        <w:pageBreakBefore w:val="0"/>
        <w:widowControl/>
        <w:kinsoku w:val="0"/>
        <w:wordWrap/>
        <w:overflowPunct/>
        <w:topLinePunct w:val="0"/>
        <w:autoSpaceDE w:val="0"/>
        <w:autoSpaceDN w:val="0"/>
        <w:bidi w:val="0"/>
        <w:adjustRightInd w:val="0"/>
        <w:snapToGrid w:val="0"/>
        <w:spacing w:before="179" w:line="240" w:lineRule="auto"/>
        <w:ind w:left="9"/>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第四十</w:t>
      </w:r>
      <w:r>
        <w:rPr>
          <w:rFonts w:hint="eastAsia" w:ascii="宋体" w:hAnsi="宋体" w:eastAsia="宋体" w:cs="宋体"/>
          <w:color w:val="auto"/>
          <w:spacing w:val="-1"/>
          <w:sz w:val="24"/>
          <w:szCs w:val="24"/>
          <w:lang w:val="en-US"/>
        </w:rPr>
        <w:t>八</w:t>
      </w:r>
      <w:r>
        <w:rPr>
          <w:rFonts w:hint="eastAsia" w:ascii="宋体" w:hAnsi="宋体" w:eastAsia="宋体" w:cs="宋体"/>
          <w:color w:val="auto"/>
          <w:spacing w:val="-1"/>
          <w:sz w:val="24"/>
          <w:szCs w:val="24"/>
        </w:rPr>
        <w:t>条  发生以下情况之一，甲方免除违约责任：</w:t>
      </w:r>
      <w:bookmarkStart w:id="680" w:name="bookmark18"/>
      <w:bookmarkEnd w:id="680"/>
    </w:p>
    <w:p w14:paraId="29BB6E67">
      <w:pPr>
        <w:keepNext w:val="0"/>
        <w:keepLines w:val="0"/>
        <w:pageBreakBefore w:val="0"/>
        <w:widowControl/>
        <w:kinsoku w:val="0"/>
        <w:wordWrap/>
        <w:overflowPunct/>
        <w:topLinePunct w:val="0"/>
        <w:autoSpaceDE w:val="0"/>
        <w:autoSpaceDN w:val="0"/>
        <w:bidi w:val="0"/>
        <w:adjustRightInd w:val="0"/>
        <w:snapToGrid w:val="0"/>
        <w:spacing w:before="179"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因不可抗力导致物业管理委托中断的；</w:t>
      </w:r>
    </w:p>
    <w:p w14:paraId="4E952DE3">
      <w:pPr>
        <w:keepNext w:val="0"/>
        <w:keepLines w:val="0"/>
        <w:pageBreakBefore w:val="0"/>
        <w:widowControl/>
        <w:kinsoku w:val="0"/>
        <w:wordWrap/>
        <w:overflowPunct/>
        <w:topLinePunct w:val="0"/>
        <w:autoSpaceDE w:val="0"/>
        <w:autoSpaceDN w:val="0"/>
        <w:bidi w:val="0"/>
        <w:adjustRightInd w:val="0"/>
        <w:snapToGrid w:val="0"/>
        <w:spacing w:before="179" w:line="240" w:lineRule="auto"/>
        <w:ind w:left="12"/>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因乙方为履行本合同约定义务，导致暂</w:t>
      </w:r>
      <w:r>
        <w:rPr>
          <w:rFonts w:hint="eastAsia" w:ascii="宋体" w:hAnsi="宋体" w:eastAsia="宋体" w:cs="宋体"/>
          <w:color w:val="auto"/>
          <w:spacing w:val="-1"/>
          <w:sz w:val="24"/>
          <w:szCs w:val="24"/>
        </w:rPr>
        <w:t>缓或停止支付物业服务费用的；</w:t>
      </w:r>
    </w:p>
    <w:p w14:paraId="5ECF016B">
      <w:pPr>
        <w:keepNext w:val="0"/>
        <w:keepLines w:val="0"/>
        <w:pageBreakBefore w:val="0"/>
        <w:widowControl/>
        <w:kinsoku w:val="0"/>
        <w:wordWrap/>
        <w:overflowPunct/>
        <w:topLinePunct w:val="0"/>
        <w:autoSpaceDE w:val="0"/>
        <w:autoSpaceDN w:val="0"/>
        <w:bidi w:val="0"/>
        <w:adjustRightInd w:val="0"/>
        <w:snapToGrid w:val="0"/>
        <w:spacing w:before="183" w:line="240" w:lineRule="auto"/>
        <w:ind w:left="388" w:right="181" w:hanging="374"/>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3. 因非甲方责任出现供水、供电、供气、供燃及其设施设备运行障碍，造成乙方损失</w:t>
      </w:r>
      <w:r>
        <w:rPr>
          <w:rFonts w:hint="eastAsia" w:ascii="宋体" w:hAnsi="宋体" w:eastAsia="宋体" w:cs="宋体"/>
          <w:color w:val="auto"/>
          <w:spacing w:val="-15"/>
          <w:sz w:val="24"/>
          <w:szCs w:val="24"/>
        </w:rPr>
        <w:t>的；</w:t>
      </w:r>
    </w:p>
    <w:p w14:paraId="6D32CEDB">
      <w:pPr>
        <w:keepNext w:val="0"/>
        <w:keepLines w:val="0"/>
        <w:pageBreakBefore w:val="0"/>
        <w:widowControl/>
        <w:kinsoku w:val="0"/>
        <w:wordWrap/>
        <w:overflowPunct/>
        <w:topLinePunct w:val="0"/>
        <w:autoSpaceDE w:val="0"/>
        <w:autoSpaceDN w:val="0"/>
        <w:bidi w:val="0"/>
        <w:adjustRightInd w:val="0"/>
        <w:snapToGrid w:val="0"/>
        <w:spacing w:before="178"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第四十</w:t>
      </w:r>
      <w:r>
        <w:rPr>
          <w:rFonts w:hint="eastAsia" w:ascii="宋体" w:hAnsi="宋体" w:eastAsia="宋体" w:cs="宋体"/>
          <w:color w:val="auto"/>
          <w:spacing w:val="-1"/>
          <w:sz w:val="24"/>
          <w:szCs w:val="24"/>
          <w:lang w:val="en-US"/>
        </w:rPr>
        <w:t>九</w:t>
      </w:r>
      <w:r>
        <w:rPr>
          <w:rFonts w:hint="eastAsia" w:ascii="宋体" w:hAnsi="宋体" w:eastAsia="宋体" w:cs="宋体"/>
          <w:color w:val="auto"/>
          <w:spacing w:val="-1"/>
          <w:sz w:val="24"/>
          <w:szCs w:val="24"/>
        </w:rPr>
        <w:t>条  发生以下情况之一，乙方免除违约责任：</w:t>
      </w:r>
    </w:p>
    <w:p w14:paraId="77F9F2CD">
      <w:pPr>
        <w:keepNext w:val="0"/>
        <w:keepLines w:val="0"/>
        <w:pageBreakBefore w:val="0"/>
        <w:widowControl/>
        <w:kinsoku w:val="0"/>
        <w:wordWrap/>
        <w:overflowPunct/>
        <w:topLinePunct w:val="0"/>
        <w:autoSpaceDE w:val="0"/>
        <w:autoSpaceDN w:val="0"/>
        <w:bidi w:val="0"/>
        <w:adjustRightInd w:val="0"/>
        <w:snapToGrid w:val="0"/>
        <w:spacing w:before="183" w:line="240" w:lineRule="auto"/>
        <w:ind w:left="28"/>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   因不可抗力导致物业管理服务中断的；</w:t>
      </w:r>
    </w:p>
    <w:p w14:paraId="70B1FDA9">
      <w:pPr>
        <w:keepNext w:val="0"/>
        <w:keepLines w:val="0"/>
        <w:pageBreakBefore w:val="0"/>
        <w:widowControl/>
        <w:kinsoku w:val="0"/>
        <w:wordWrap/>
        <w:overflowPunct/>
        <w:topLinePunct w:val="0"/>
        <w:autoSpaceDE w:val="0"/>
        <w:autoSpaceDN w:val="0"/>
        <w:bidi w:val="0"/>
        <w:adjustRightInd w:val="0"/>
        <w:snapToGrid w:val="0"/>
        <w:spacing w:before="179" w:line="240" w:lineRule="auto"/>
        <w:ind w:left="370" w:right="181" w:hanging="36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2.   因维修养护物业需要，且事先已告知甲方，</w:t>
      </w:r>
      <w:r>
        <w:rPr>
          <w:rFonts w:hint="eastAsia" w:ascii="宋体" w:hAnsi="宋体" w:eastAsia="宋体" w:cs="宋体"/>
          <w:color w:val="auto"/>
          <w:spacing w:val="1"/>
          <w:sz w:val="24"/>
          <w:szCs w:val="24"/>
        </w:rPr>
        <w:t>并征得甲方同意，暂时停水、停电、停</w:t>
      </w:r>
      <w:r>
        <w:rPr>
          <w:rFonts w:hint="eastAsia" w:ascii="宋体" w:hAnsi="宋体" w:eastAsia="宋体" w:cs="宋体"/>
          <w:color w:val="auto"/>
          <w:spacing w:val="-1"/>
          <w:sz w:val="24"/>
          <w:szCs w:val="24"/>
        </w:rPr>
        <w:t>止设施设备使用等造成损失的；</w:t>
      </w:r>
    </w:p>
    <w:p w14:paraId="28BA71D2">
      <w:pPr>
        <w:keepNext w:val="0"/>
        <w:keepLines w:val="0"/>
        <w:pageBreakBefore w:val="0"/>
        <w:widowControl/>
        <w:kinsoku w:val="0"/>
        <w:wordWrap/>
        <w:overflowPunct/>
        <w:topLinePunct w:val="0"/>
        <w:autoSpaceDE w:val="0"/>
        <w:autoSpaceDN w:val="0"/>
        <w:bidi w:val="0"/>
        <w:adjustRightInd w:val="0"/>
        <w:snapToGrid w:val="0"/>
        <w:spacing w:before="182" w:line="240" w:lineRule="auto"/>
        <w:ind w:left="375" w:right="181" w:hanging="36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3.   因非乙方责任出现供水、供电、</w:t>
      </w:r>
      <w:r>
        <w:rPr>
          <w:rFonts w:hint="eastAsia" w:ascii="宋体" w:hAnsi="宋体" w:eastAsia="宋体" w:cs="宋体"/>
          <w:color w:val="auto"/>
          <w:spacing w:val="1"/>
          <w:sz w:val="24"/>
          <w:szCs w:val="24"/>
        </w:rPr>
        <w:t>供气、供燃及其他设施设备运行障碍，造成甲方损</w:t>
      </w:r>
      <w:r>
        <w:rPr>
          <w:rFonts w:hint="eastAsia" w:ascii="宋体" w:hAnsi="宋体" w:eastAsia="宋体" w:cs="宋体"/>
          <w:color w:val="auto"/>
          <w:spacing w:val="-6"/>
          <w:sz w:val="24"/>
          <w:szCs w:val="24"/>
        </w:rPr>
        <w:t>失的。</w:t>
      </w:r>
    </w:p>
    <w:p w14:paraId="730231AD">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0" w:right="101" w:hanging="1"/>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第</w:t>
      </w:r>
      <w:r>
        <w:rPr>
          <w:rFonts w:hint="eastAsia" w:ascii="宋体" w:hAnsi="宋体" w:eastAsia="宋体" w:cs="宋体"/>
          <w:color w:val="auto"/>
          <w:spacing w:val="-5"/>
          <w:sz w:val="24"/>
          <w:szCs w:val="24"/>
          <w:lang w:val="en-US"/>
        </w:rPr>
        <w:t>五十</w:t>
      </w:r>
      <w:r>
        <w:rPr>
          <w:rFonts w:hint="eastAsia" w:ascii="宋体" w:hAnsi="宋体" w:eastAsia="宋体" w:cs="宋体"/>
          <w:color w:val="auto"/>
          <w:spacing w:val="-5"/>
          <w:sz w:val="24"/>
          <w:szCs w:val="24"/>
        </w:rPr>
        <w:t>条  为维护公众、甲方的切身利益，在</w:t>
      </w:r>
      <w:r>
        <w:rPr>
          <w:rFonts w:hint="eastAsia" w:ascii="宋体" w:hAnsi="宋体" w:eastAsia="宋体" w:cs="宋体"/>
          <w:color w:val="auto"/>
          <w:spacing w:val="-6"/>
          <w:sz w:val="24"/>
          <w:szCs w:val="24"/>
        </w:rPr>
        <w:t>不可预见情况下，如发生漏电、管道破裂、</w:t>
      </w:r>
      <w:r>
        <w:rPr>
          <w:rFonts w:hint="eastAsia" w:ascii="宋体" w:hAnsi="宋体" w:eastAsia="宋体" w:cs="宋体"/>
          <w:color w:val="auto"/>
          <w:spacing w:val="-2"/>
          <w:sz w:val="24"/>
          <w:szCs w:val="24"/>
        </w:rPr>
        <w:t>火灾、救助人命、协助公安机关执行任务等情况，乙方因采取紧急避险措施造成财产损</w:t>
      </w:r>
      <w:r>
        <w:rPr>
          <w:rFonts w:hint="eastAsia" w:ascii="宋体" w:hAnsi="宋体" w:eastAsia="宋体" w:cs="宋体"/>
          <w:color w:val="auto"/>
          <w:spacing w:val="-1"/>
          <w:sz w:val="24"/>
          <w:szCs w:val="24"/>
        </w:rPr>
        <w:t>失的，当事双方按有关法律规定处理。</w:t>
      </w:r>
    </w:p>
    <w:p w14:paraId="29683926">
      <w:pPr>
        <w:keepNext w:val="0"/>
        <w:keepLines w:val="0"/>
        <w:pageBreakBefore w:val="0"/>
        <w:widowControl/>
        <w:kinsoku w:val="0"/>
        <w:wordWrap/>
        <w:overflowPunct/>
        <w:topLinePunct w:val="0"/>
        <w:autoSpaceDE w:val="0"/>
        <w:autoSpaceDN w:val="0"/>
        <w:bidi w:val="0"/>
        <w:adjustRightInd w:val="0"/>
        <w:snapToGrid w:val="0"/>
        <w:spacing w:before="10" w:line="240" w:lineRule="auto"/>
        <w:ind w:left="3596"/>
        <w:textAlignment w:val="baseline"/>
        <w:rPr>
          <w:rFonts w:hint="eastAsia" w:ascii="宋体" w:hAnsi="宋体" w:eastAsia="宋体" w:cs="宋体"/>
          <w:color w:val="auto"/>
          <w:sz w:val="31"/>
          <w:szCs w:val="31"/>
        </w:rPr>
      </w:pPr>
      <w:r>
        <w:rPr>
          <w:rFonts w:hint="eastAsia" w:ascii="宋体" w:hAnsi="宋体" w:eastAsia="宋体" w:cs="宋体"/>
          <w:b/>
          <w:bCs/>
          <w:color w:val="auto"/>
          <w:spacing w:val="-3"/>
          <w:sz w:val="31"/>
          <w:szCs w:val="31"/>
        </w:rPr>
        <w:t>第十章</w:t>
      </w:r>
      <w:r>
        <w:rPr>
          <w:rFonts w:hint="eastAsia" w:ascii="宋体" w:hAnsi="宋体" w:eastAsia="宋体" w:cs="宋体"/>
          <w:color w:val="auto"/>
          <w:spacing w:val="12"/>
          <w:sz w:val="31"/>
          <w:szCs w:val="31"/>
        </w:rPr>
        <w:t xml:space="preserve">  </w:t>
      </w:r>
      <w:r>
        <w:rPr>
          <w:rFonts w:hint="eastAsia" w:ascii="宋体" w:hAnsi="宋体" w:eastAsia="宋体" w:cs="宋体"/>
          <w:b/>
          <w:bCs/>
          <w:color w:val="auto"/>
          <w:spacing w:val="-3"/>
          <w:sz w:val="31"/>
          <w:szCs w:val="31"/>
        </w:rPr>
        <w:t>附则</w:t>
      </w:r>
    </w:p>
    <w:p w14:paraId="00F5E6BC">
      <w:pPr>
        <w:keepNext w:val="0"/>
        <w:keepLines w:val="0"/>
        <w:pageBreakBefore w:val="0"/>
        <w:widowControl/>
        <w:kinsoku w:val="0"/>
        <w:wordWrap/>
        <w:overflowPunct/>
        <w:topLinePunct w:val="0"/>
        <w:autoSpaceDE w:val="0"/>
        <w:autoSpaceDN w:val="0"/>
        <w:bidi w:val="0"/>
        <w:adjustRightInd w:val="0"/>
        <w:snapToGrid w:val="0"/>
        <w:spacing w:before="88" w:line="240" w:lineRule="auto"/>
        <w:ind w:left="11" w:right="181" w:hanging="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w:t>
      </w:r>
      <w:r>
        <w:rPr>
          <w:rFonts w:hint="eastAsia" w:ascii="宋体" w:hAnsi="宋体" w:eastAsia="宋体" w:cs="宋体"/>
          <w:color w:val="auto"/>
          <w:spacing w:val="-1"/>
          <w:sz w:val="24"/>
          <w:szCs w:val="24"/>
          <w:lang w:val="en-US"/>
        </w:rPr>
        <w:t>五十一</w:t>
      </w:r>
      <w:r>
        <w:rPr>
          <w:rFonts w:hint="eastAsia" w:ascii="宋体" w:hAnsi="宋体" w:eastAsia="宋体" w:cs="宋体"/>
          <w:color w:val="auto"/>
          <w:spacing w:val="-1"/>
          <w:sz w:val="24"/>
          <w:szCs w:val="24"/>
        </w:rPr>
        <w:t>条  双方约定自本合同生效之日</w:t>
      </w:r>
      <w:r>
        <w:rPr>
          <w:rFonts w:hint="eastAsia" w:ascii="宋体" w:hAnsi="宋体" w:eastAsia="宋体" w:cs="宋体"/>
          <w:color w:val="auto"/>
          <w:spacing w:val="-2"/>
          <w:sz w:val="24"/>
          <w:szCs w:val="24"/>
        </w:rPr>
        <w:t>起，根据甲方委托管理事项，办理接管验收手</w:t>
      </w:r>
      <w:r>
        <w:rPr>
          <w:rFonts w:hint="eastAsia" w:ascii="宋体" w:hAnsi="宋体" w:eastAsia="宋体" w:cs="宋体"/>
          <w:color w:val="auto"/>
          <w:spacing w:val="-7"/>
          <w:sz w:val="24"/>
          <w:szCs w:val="24"/>
        </w:rPr>
        <w:t>续。</w:t>
      </w:r>
    </w:p>
    <w:p w14:paraId="6745692B">
      <w:pPr>
        <w:keepNext w:val="0"/>
        <w:keepLines w:val="0"/>
        <w:pageBreakBefore w:val="0"/>
        <w:widowControl/>
        <w:kinsoku w:val="0"/>
        <w:wordWrap/>
        <w:overflowPunct/>
        <w:topLinePunct w:val="0"/>
        <w:autoSpaceDE w:val="0"/>
        <w:autoSpaceDN w:val="0"/>
        <w:bidi w:val="0"/>
        <w:adjustRightInd w:val="0"/>
        <w:snapToGrid w:val="0"/>
        <w:spacing w:before="181"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第五十二条  本合同正本一式肆份，甲乙双方各执</w:t>
      </w:r>
      <w:r>
        <w:rPr>
          <w:rFonts w:hint="eastAsia" w:ascii="宋体" w:hAnsi="宋体" w:eastAsia="宋体" w:cs="宋体"/>
          <w:color w:val="auto"/>
          <w:spacing w:val="-1"/>
          <w:sz w:val="24"/>
          <w:szCs w:val="24"/>
        </w:rPr>
        <w:t>贰份，具同等法律效力。</w:t>
      </w:r>
    </w:p>
    <w:p w14:paraId="18632E4C">
      <w:pPr>
        <w:keepNext w:val="0"/>
        <w:keepLines w:val="0"/>
        <w:pageBreakBefore w:val="0"/>
        <w:widowControl/>
        <w:kinsoku w:val="0"/>
        <w:wordWrap/>
        <w:overflowPunct/>
        <w:topLinePunct w:val="0"/>
        <w:autoSpaceDE w:val="0"/>
        <w:autoSpaceDN w:val="0"/>
        <w:bidi w:val="0"/>
        <w:adjustRightInd w:val="0"/>
        <w:snapToGrid w:val="0"/>
        <w:spacing w:before="182" w:line="240" w:lineRule="auto"/>
        <w:ind w:left="9" w:right="120"/>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第五十</w:t>
      </w:r>
      <w:r>
        <w:rPr>
          <w:rFonts w:hint="eastAsia" w:ascii="宋体" w:hAnsi="宋体" w:eastAsia="宋体" w:cs="宋体"/>
          <w:color w:val="auto"/>
          <w:spacing w:val="-6"/>
          <w:sz w:val="24"/>
          <w:szCs w:val="24"/>
          <w:lang w:val="en-US"/>
        </w:rPr>
        <w:t>三</w:t>
      </w:r>
      <w:r>
        <w:rPr>
          <w:rFonts w:hint="eastAsia" w:ascii="宋体" w:hAnsi="宋体" w:eastAsia="宋体" w:cs="宋体"/>
          <w:color w:val="auto"/>
          <w:spacing w:val="-6"/>
          <w:sz w:val="24"/>
          <w:szCs w:val="24"/>
        </w:rPr>
        <w:t>条  本合同未尽事宜，双方补充约定如下，也可另行以书面形式签订补充协议，</w:t>
      </w:r>
      <w:r>
        <w:rPr>
          <w:rFonts w:hint="eastAsia" w:ascii="宋体" w:hAnsi="宋体" w:eastAsia="宋体" w:cs="宋体"/>
          <w:color w:val="auto"/>
          <w:spacing w:val="-1"/>
          <w:sz w:val="24"/>
          <w:szCs w:val="24"/>
        </w:rPr>
        <w:t>补充条款和补充协议与本合同具有同等法律效力。</w:t>
      </w:r>
    </w:p>
    <w:p w14:paraId="6EA5BF74">
      <w:pPr>
        <w:keepNext w:val="0"/>
        <w:keepLines w:val="0"/>
        <w:pageBreakBefore w:val="0"/>
        <w:widowControl/>
        <w:kinsoku w:val="0"/>
        <w:wordWrap/>
        <w:overflowPunct/>
        <w:topLinePunct w:val="0"/>
        <w:autoSpaceDE w:val="0"/>
        <w:autoSpaceDN w:val="0"/>
        <w:bidi w:val="0"/>
        <w:adjustRightInd w:val="0"/>
        <w:snapToGrid w:val="0"/>
        <w:spacing w:before="185" w:line="240" w:lineRule="auto"/>
        <w:ind w:left="28"/>
        <w:textAlignment w:val="baseline"/>
        <w:rPr>
          <w:rFonts w:hint="eastAsia" w:ascii="宋体" w:hAnsi="宋体" w:eastAsia="宋体" w:cs="宋体"/>
          <w:color w:val="auto"/>
          <w:sz w:val="24"/>
          <w:szCs w:val="24"/>
          <w:u w:val="none" w:color="auto"/>
        </w:rPr>
      </w:pPr>
      <w:r>
        <w:rPr>
          <w:rFonts w:hint="eastAsia" w:ascii="宋体" w:hAnsi="宋体" w:eastAsia="宋体" w:cs="宋体"/>
          <w:color w:val="auto"/>
          <w:spacing w:val="-1"/>
          <w:sz w:val="24"/>
          <w:szCs w:val="24"/>
          <w:u w:val="none" w:color="auto"/>
        </w:rPr>
        <w:t>1.经甲乙双方友好协商，合同期物业服务费按照据实结算原则进行支付。</w:t>
      </w:r>
    </w:p>
    <w:p w14:paraId="57BC6CEB">
      <w:pPr>
        <w:keepNext w:val="0"/>
        <w:keepLines w:val="0"/>
        <w:pageBreakBefore w:val="0"/>
        <w:widowControl/>
        <w:kinsoku w:val="0"/>
        <w:wordWrap/>
        <w:overflowPunct/>
        <w:topLinePunct w:val="0"/>
        <w:autoSpaceDE w:val="0"/>
        <w:autoSpaceDN w:val="0"/>
        <w:bidi w:val="0"/>
        <w:adjustRightInd w:val="0"/>
        <w:snapToGrid w:val="0"/>
        <w:spacing w:before="179" w:line="240" w:lineRule="auto"/>
        <w:ind w:left="22" w:right="181" w:hanging="1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u w:val="none" w:color="auto"/>
        </w:rPr>
        <w:t>2.经甲乙双方友好协商，因甲方物业服务经费不足，可适当延后进行支付。甲方服务经</w:t>
      </w:r>
      <w:r>
        <w:rPr>
          <w:rFonts w:hint="eastAsia" w:ascii="宋体" w:hAnsi="宋体" w:eastAsia="宋体" w:cs="宋体"/>
          <w:color w:val="auto"/>
          <w:spacing w:val="-1"/>
          <w:sz w:val="24"/>
          <w:szCs w:val="24"/>
          <w:u w:val="none" w:color="auto"/>
        </w:rPr>
        <w:t>费到位后及时向乙方支付完成合同期物业服务费。</w:t>
      </w:r>
      <w:bookmarkStart w:id="773" w:name="_GoBack"/>
      <w:bookmarkEnd w:id="773"/>
    </w:p>
    <w:p w14:paraId="67348DDA">
      <w:pPr>
        <w:keepNext w:val="0"/>
        <w:keepLines w:val="0"/>
        <w:pageBreakBefore w:val="0"/>
        <w:widowControl/>
        <w:kinsoku w:val="0"/>
        <w:wordWrap/>
        <w:overflowPunct/>
        <w:topLinePunct w:val="0"/>
        <w:autoSpaceDE w:val="0"/>
        <w:autoSpaceDN w:val="0"/>
        <w:bidi w:val="0"/>
        <w:adjustRightInd w:val="0"/>
        <w:snapToGrid w:val="0"/>
        <w:spacing w:before="183"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第五十</w:t>
      </w:r>
      <w:r>
        <w:rPr>
          <w:rFonts w:hint="eastAsia" w:ascii="宋体" w:hAnsi="宋体" w:eastAsia="宋体" w:cs="宋体"/>
          <w:color w:val="auto"/>
          <w:sz w:val="24"/>
          <w:szCs w:val="24"/>
          <w:lang w:val="en-US"/>
        </w:rPr>
        <w:t>四</w:t>
      </w:r>
      <w:r>
        <w:rPr>
          <w:rFonts w:hint="eastAsia" w:ascii="宋体" w:hAnsi="宋体" w:eastAsia="宋体" w:cs="宋体"/>
          <w:color w:val="auto"/>
          <w:sz w:val="24"/>
          <w:szCs w:val="24"/>
        </w:rPr>
        <w:t>条  本合同未规定事宜，均遵照中华人民共和</w:t>
      </w:r>
      <w:r>
        <w:rPr>
          <w:rFonts w:hint="eastAsia" w:ascii="宋体" w:hAnsi="宋体" w:eastAsia="宋体" w:cs="宋体"/>
          <w:color w:val="auto"/>
          <w:spacing w:val="-1"/>
          <w:sz w:val="24"/>
          <w:szCs w:val="24"/>
        </w:rPr>
        <w:t>国有关法律、法规执行。</w:t>
      </w:r>
    </w:p>
    <w:p w14:paraId="31BED292">
      <w:pPr>
        <w:keepNext w:val="0"/>
        <w:keepLines w:val="0"/>
        <w:pageBreakBefore w:val="0"/>
        <w:widowControl/>
        <w:kinsoku w:val="0"/>
        <w:wordWrap/>
        <w:overflowPunct/>
        <w:topLinePunct w:val="0"/>
        <w:autoSpaceDE w:val="0"/>
        <w:autoSpaceDN w:val="0"/>
        <w:bidi w:val="0"/>
        <w:adjustRightInd w:val="0"/>
        <w:snapToGrid w:val="0"/>
        <w:spacing w:before="185" w:line="240" w:lineRule="auto"/>
        <w:ind w:left="15" w:hanging="6"/>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第五十</w:t>
      </w:r>
      <w:r>
        <w:rPr>
          <w:rFonts w:hint="eastAsia" w:ascii="宋体" w:hAnsi="宋体" w:eastAsia="宋体" w:cs="宋体"/>
          <w:color w:val="auto"/>
          <w:spacing w:val="-2"/>
          <w:sz w:val="24"/>
          <w:szCs w:val="24"/>
          <w:lang w:val="en-US"/>
        </w:rPr>
        <w:t>五</w:t>
      </w:r>
      <w:r>
        <w:rPr>
          <w:rFonts w:hint="eastAsia" w:ascii="宋体" w:hAnsi="宋体" w:eastAsia="宋体" w:cs="宋体"/>
          <w:color w:val="auto"/>
          <w:spacing w:val="-2"/>
          <w:sz w:val="24"/>
          <w:szCs w:val="24"/>
        </w:rPr>
        <w:t>条本合同在履行中如发生争议，双方应协商解决，协商不成时，甲、乙双方同</w:t>
      </w:r>
      <w:r>
        <w:rPr>
          <w:rFonts w:hint="eastAsia" w:ascii="宋体" w:hAnsi="宋体" w:eastAsia="宋体" w:cs="宋体"/>
          <w:color w:val="auto"/>
          <w:spacing w:val="-3"/>
          <w:sz w:val="24"/>
          <w:szCs w:val="24"/>
        </w:rPr>
        <w:t>意依法向甲方所属地区有管辖权人民法院起诉。但甲方无正当理由拖欠物</w:t>
      </w:r>
      <w:r>
        <w:rPr>
          <w:rFonts w:hint="eastAsia" w:ascii="宋体" w:hAnsi="宋体" w:eastAsia="宋体" w:cs="宋体"/>
          <w:color w:val="auto"/>
          <w:spacing w:val="-4"/>
          <w:sz w:val="24"/>
          <w:szCs w:val="24"/>
        </w:rPr>
        <w:t>业服务费用的，</w:t>
      </w:r>
      <w:r>
        <w:rPr>
          <w:rFonts w:hint="eastAsia" w:ascii="宋体" w:hAnsi="宋体" w:eastAsia="宋体" w:cs="宋体"/>
          <w:color w:val="auto"/>
          <w:spacing w:val="-1"/>
          <w:sz w:val="24"/>
          <w:szCs w:val="24"/>
        </w:rPr>
        <w:t>乙方可以直接按照有关规定向有管辖权的基层人民法院申请支付令。</w:t>
      </w:r>
    </w:p>
    <w:p w14:paraId="7CEEC56F">
      <w:pPr>
        <w:keepNext w:val="0"/>
        <w:keepLines w:val="0"/>
        <w:pageBreakBefore w:val="0"/>
        <w:widowControl/>
        <w:kinsoku w:val="0"/>
        <w:wordWrap/>
        <w:overflowPunct/>
        <w:topLinePunct w:val="0"/>
        <w:autoSpaceDE w:val="0"/>
        <w:autoSpaceDN w:val="0"/>
        <w:bidi w:val="0"/>
        <w:adjustRightInd w:val="0"/>
        <w:snapToGrid w:val="0"/>
        <w:spacing w:before="180"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第五十</w:t>
      </w:r>
      <w:r>
        <w:rPr>
          <w:rFonts w:hint="eastAsia" w:ascii="宋体" w:hAnsi="宋体" w:eastAsia="宋体" w:cs="宋体"/>
          <w:color w:val="auto"/>
          <w:spacing w:val="-1"/>
          <w:sz w:val="24"/>
          <w:szCs w:val="24"/>
          <w:lang w:val="en-US"/>
        </w:rPr>
        <w:t>六</w:t>
      </w:r>
      <w:r>
        <w:rPr>
          <w:rFonts w:hint="eastAsia" w:ascii="宋体" w:hAnsi="宋体" w:eastAsia="宋体" w:cs="宋体"/>
          <w:color w:val="auto"/>
          <w:spacing w:val="-1"/>
          <w:sz w:val="24"/>
          <w:szCs w:val="24"/>
        </w:rPr>
        <w:t>条  本合同自双方法人签字盖章之日起生效。</w:t>
      </w:r>
    </w:p>
    <w:p w14:paraId="0EF095DE">
      <w:pPr>
        <w:keepNext w:val="0"/>
        <w:keepLines w:val="0"/>
        <w:pageBreakBefore w:val="0"/>
        <w:widowControl/>
        <w:kinsoku w:val="0"/>
        <w:wordWrap/>
        <w:overflowPunct/>
        <w:topLinePunct w:val="0"/>
        <w:autoSpaceDE w:val="0"/>
        <w:autoSpaceDN w:val="0"/>
        <w:bidi w:val="0"/>
        <w:adjustRightInd w:val="0"/>
        <w:snapToGrid w:val="0"/>
        <w:spacing w:before="184" w:line="240" w:lineRule="auto"/>
        <w:ind w:left="21"/>
        <w:textAlignment w:val="baseline"/>
        <w:rPr>
          <w:rFonts w:hint="eastAsia" w:ascii="宋体" w:hAnsi="宋体" w:eastAsia="宋体" w:cs="宋体"/>
          <w:color w:val="auto"/>
        </w:rPr>
      </w:pPr>
      <w:r>
        <w:rPr>
          <w:rFonts w:hint="eastAsia" w:ascii="宋体" w:hAnsi="宋体" w:eastAsia="宋体" w:cs="宋体"/>
          <w:color w:val="auto"/>
          <w:spacing w:val="-3"/>
          <w:sz w:val="24"/>
          <w:szCs w:val="24"/>
        </w:rPr>
        <w:t>（以下无正文）</w:t>
      </w:r>
    </w:p>
    <w:p w14:paraId="78F4D9EB">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3E5A0A76">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550349B8">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（本页为签字页）</w:t>
      </w:r>
    </w:p>
    <w:p w14:paraId="100B3183">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0FF3DE79">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72D12358">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0DC1DAC8">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1DC3BD25">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56442402">
      <w:pPr>
        <w:keepNext w:val="0"/>
        <w:keepLines w:val="0"/>
        <w:pageBreakBefore w:val="0"/>
        <w:widowControl/>
        <w:kinsoku w:val="0"/>
        <w:wordWrap/>
        <w:overflowPunct/>
        <w:topLinePunct w:val="0"/>
        <w:autoSpaceDE w:val="0"/>
        <w:autoSpaceDN w:val="0"/>
        <w:bidi w:val="0"/>
        <w:adjustRightInd w:val="0"/>
        <w:snapToGrid w:val="0"/>
        <w:spacing w:before="78" w:line="240" w:lineRule="auto"/>
        <w:ind w:left="4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甲方：北京市第二中学朝阳学校</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5"/>
          <w:sz w:val="24"/>
          <w:szCs w:val="24"/>
        </w:rPr>
        <w:t>乙方：</w:t>
      </w:r>
    </w:p>
    <w:p w14:paraId="5B3DB06B">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7647A007">
      <w:pPr>
        <w:pStyle w:val="1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rPr>
      </w:pPr>
    </w:p>
    <w:p w14:paraId="0C034E74">
      <w:pPr>
        <w:keepNext w:val="0"/>
        <w:keepLines w:val="0"/>
        <w:pageBreakBefore w:val="0"/>
        <w:widowControl/>
        <w:kinsoku w:val="0"/>
        <w:wordWrap/>
        <w:overflowPunct/>
        <w:topLinePunct w:val="0"/>
        <w:autoSpaceDE w:val="0"/>
        <w:autoSpaceDN w:val="0"/>
        <w:bidi w:val="0"/>
        <w:adjustRightInd w:val="0"/>
        <w:snapToGrid w:val="0"/>
        <w:spacing w:before="79" w:line="240" w:lineRule="auto"/>
        <w:ind w:left="9"/>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签章：</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签章：</w:t>
      </w:r>
    </w:p>
    <w:p w14:paraId="625915C2">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法人（或委托代理人签字</w:t>
      </w:r>
      <w:r>
        <w:rPr>
          <w:rFonts w:hint="eastAsia" w:ascii="宋体" w:hAnsi="宋体" w:eastAsia="宋体" w:cs="宋体"/>
          <w:color w:val="auto"/>
          <w:spacing w:val="-62"/>
          <w:w w:val="97"/>
          <w:sz w:val="24"/>
          <w:szCs w:val="24"/>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法人（或委托代理人签字</w:t>
      </w:r>
      <w:r>
        <w:rPr>
          <w:rFonts w:hint="eastAsia" w:ascii="宋体" w:hAnsi="宋体" w:eastAsia="宋体" w:cs="宋体"/>
          <w:color w:val="auto"/>
          <w:spacing w:val="-62"/>
          <w:w w:val="97"/>
          <w:sz w:val="24"/>
          <w:szCs w:val="24"/>
        </w:rPr>
        <w:t>）：</w:t>
      </w:r>
    </w:p>
    <w:p w14:paraId="429F6FB6">
      <w:pPr>
        <w:keepNext w:val="0"/>
        <w:keepLines w:val="0"/>
        <w:pageBreakBefore w:val="0"/>
        <w:widowControl/>
        <w:kinsoku w:val="0"/>
        <w:wordWrap/>
        <w:overflowPunct/>
        <w:topLinePunct w:val="0"/>
        <w:autoSpaceDE w:val="0"/>
        <w:autoSpaceDN w:val="0"/>
        <w:bidi w:val="0"/>
        <w:adjustRightInd w:val="0"/>
        <w:snapToGrid w:val="0"/>
        <w:spacing w:before="183" w:line="240" w:lineRule="auto"/>
        <w:ind w:left="10"/>
        <w:textAlignment w:val="baseline"/>
        <w:rPr>
          <w:rFonts w:hint="eastAsia" w:ascii="宋体" w:hAnsi="宋体" w:eastAsia="宋体" w:cs="宋体"/>
          <w:color w:val="auto"/>
          <w:sz w:val="24"/>
          <w:szCs w:val="24"/>
        </w:rPr>
        <w:sectPr>
          <w:headerReference r:id="rId12" w:type="default"/>
          <w:footerReference r:id="rId13" w:type="default"/>
          <w:pgSz w:w="11907" w:h="16840"/>
          <w:pgMar w:top="1166" w:right="1133" w:bottom="1026" w:left="1701" w:header="829" w:footer="864" w:gutter="0"/>
          <w:pgNumType w:fmt="decimal"/>
          <w:cols w:space="720" w:num="1"/>
        </w:sectPr>
      </w:pPr>
      <w:r>
        <w:rPr>
          <w:rFonts w:hint="eastAsia" w:ascii="宋体" w:hAnsi="宋体" w:eastAsia="宋体" w:cs="宋体"/>
          <w:color w:val="auto"/>
          <w:spacing w:val="-9"/>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9"/>
          <w:sz w:val="24"/>
          <w:szCs w:val="24"/>
        </w:rPr>
        <w:t>日                                年</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 xml:space="preserve">月 </w:t>
      </w:r>
      <w:r>
        <w:rPr>
          <w:rFonts w:hint="eastAsia" w:ascii="宋体" w:hAnsi="宋体" w:eastAsia="宋体" w:cs="宋体"/>
          <w:color w:val="auto"/>
          <w:spacing w:val="-10"/>
          <w:sz w:val="24"/>
          <w:szCs w:val="24"/>
        </w:rPr>
        <w:t xml:space="preserve">     日</w:t>
      </w:r>
    </w:p>
    <w:p w14:paraId="348CA8BE">
      <w:pPr>
        <w:spacing w:line="360" w:lineRule="auto"/>
        <w:jc w:val="center"/>
        <w:outlineLvl w:val="0"/>
        <w:rPr>
          <w:rFonts w:eastAsiaTheme="minorEastAsia"/>
          <w:b/>
          <w:spacing w:val="0"/>
          <w:sz w:val="36"/>
          <w:szCs w:val="36"/>
        </w:rPr>
      </w:pPr>
      <w:r>
        <w:rPr>
          <w:rFonts w:eastAsiaTheme="minorEastAsia"/>
          <w:b/>
          <w:spacing w:val="0"/>
          <w:sz w:val="36"/>
          <w:szCs w:val="36"/>
        </w:rPr>
        <w:t>第六章   响应文件格式</w:t>
      </w:r>
      <w:bookmarkEnd w:id="676"/>
      <w:bookmarkEnd w:id="677"/>
    </w:p>
    <w:p w14:paraId="6ED085ED">
      <w:pPr>
        <w:widowControl/>
        <w:spacing w:line="360" w:lineRule="auto"/>
        <w:jc w:val="left"/>
        <w:rPr>
          <w:rFonts w:eastAsiaTheme="minorEastAsia"/>
          <w:b/>
          <w:spacing w:val="0"/>
          <w:sz w:val="24"/>
        </w:rPr>
      </w:pPr>
    </w:p>
    <w:p w14:paraId="41C37B39">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14:paraId="6B324349">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14:paraId="4DD856B7">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1D0D6408">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14:paraId="30ADC814">
      <w:pPr>
        <w:tabs>
          <w:tab w:val="left" w:pos="900"/>
          <w:tab w:val="left" w:pos="1980"/>
        </w:tabs>
        <w:snapToGrid w:val="0"/>
        <w:spacing w:line="360" w:lineRule="auto"/>
        <w:ind w:left="142"/>
        <w:rPr>
          <w:rFonts w:eastAsiaTheme="minorEastAsia"/>
          <w:spacing w:val="0"/>
          <w:sz w:val="24"/>
        </w:rPr>
      </w:pPr>
    </w:p>
    <w:p w14:paraId="2E3133B7">
      <w:pPr>
        <w:widowControl/>
        <w:jc w:val="left"/>
        <w:rPr>
          <w:rFonts w:eastAsiaTheme="minorEastAsia"/>
          <w:spacing w:val="0"/>
          <w:sz w:val="24"/>
        </w:rPr>
      </w:pPr>
      <w:r>
        <w:rPr>
          <w:rFonts w:eastAsiaTheme="minorEastAsia"/>
          <w:spacing w:val="0"/>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3CE18668">
      <w:pPr>
        <w:rPr>
          <w:rFonts w:eastAsiaTheme="minorEastAsia"/>
          <w:b/>
          <w:spacing w:val="0"/>
          <w:szCs w:val="21"/>
        </w:rPr>
      </w:pPr>
    </w:p>
    <w:p w14:paraId="387A60F2">
      <w:pPr>
        <w:rPr>
          <w:rFonts w:eastAsiaTheme="minorEastAsia"/>
          <w:b/>
          <w:spacing w:val="0"/>
          <w:sz w:val="24"/>
        </w:rPr>
      </w:pPr>
      <w:r>
        <w:rPr>
          <w:rFonts w:eastAsiaTheme="minorEastAsia"/>
          <w:b/>
          <w:spacing w:val="0"/>
          <w:sz w:val="24"/>
        </w:rPr>
        <w:t>响应文件封面（非实质性格式）</w:t>
      </w:r>
    </w:p>
    <w:p w14:paraId="0AD85ABE">
      <w:pPr>
        <w:jc w:val="center"/>
        <w:rPr>
          <w:rFonts w:eastAsiaTheme="minorEastAsia"/>
          <w:spacing w:val="0"/>
          <w:szCs w:val="21"/>
        </w:rPr>
      </w:pPr>
    </w:p>
    <w:p w14:paraId="2778AF38">
      <w:pPr>
        <w:jc w:val="center"/>
        <w:rPr>
          <w:rFonts w:eastAsiaTheme="minorEastAsia"/>
          <w:b/>
          <w:spacing w:val="0"/>
          <w:sz w:val="84"/>
          <w:szCs w:val="84"/>
        </w:rPr>
      </w:pPr>
      <w:r>
        <w:rPr>
          <w:rFonts w:eastAsiaTheme="minorEastAsia"/>
          <w:b/>
          <w:spacing w:val="0"/>
          <w:sz w:val="84"/>
          <w:szCs w:val="84"/>
        </w:rPr>
        <w:t>响 应 文 件</w:t>
      </w:r>
    </w:p>
    <w:p w14:paraId="2201CBC8">
      <w:pPr>
        <w:jc w:val="center"/>
        <w:rPr>
          <w:rFonts w:eastAsiaTheme="minorEastAsia"/>
          <w:b/>
          <w:spacing w:val="0"/>
          <w:sz w:val="52"/>
          <w:szCs w:val="52"/>
        </w:rPr>
      </w:pPr>
    </w:p>
    <w:p w14:paraId="4BC51DEC">
      <w:pPr>
        <w:ind w:firstLine="482" w:firstLineChars="150"/>
        <w:rPr>
          <w:rFonts w:eastAsiaTheme="minorEastAsia"/>
          <w:b/>
          <w:spacing w:val="0"/>
          <w:sz w:val="32"/>
          <w:szCs w:val="32"/>
        </w:rPr>
      </w:pPr>
    </w:p>
    <w:p w14:paraId="3CE39E5A">
      <w:pPr>
        <w:ind w:firstLine="482" w:firstLineChars="150"/>
        <w:rPr>
          <w:rFonts w:eastAsiaTheme="minorEastAsia"/>
          <w:b/>
          <w:spacing w:val="0"/>
          <w:sz w:val="32"/>
          <w:szCs w:val="32"/>
        </w:rPr>
      </w:pPr>
    </w:p>
    <w:p w14:paraId="60E0694E">
      <w:pPr>
        <w:ind w:firstLine="482" w:firstLineChars="150"/>
        <w:rPr>
          <w:rFonts w:eastAsiaTheme="minorEastAsia"/>
          <w:b/>
          <w:spacing w:val="0"/>
          <w:sz w:val="32"/>
          <w:szCs w:val="32"/>
        </w:rPr>
      </w:pPr>
      <w:r>
        <w:rPr>
          <w:rFonts w:eastAsiaTheme="minorEastAsia"/>
          <w:b/>
          <w:spacing w:val="0"/>
          <w:sz w:val="32"/>
          <w:szCs w:val="32"/>
        </w:rPr>
        <w:t>项目名称:</w:t>
      </w:r>
    </w:p>
    <w:p w14:paraId="69F9701A">
      <w:pPr>
        <w:ind w:firstLine="482" w:firstLineChars="150"/>
        <w:rPr>
          <w:rFonts w:eastAsiaTheme="minorEastAsia"/>
          <w:b/>
          <w:spacing w:val="0"/>
          <w:sz w:val="32"/>
          <w:szCs w:val="32"/>
        </w:rPr>
      </w:pPr>
      <w:r>
        <w:rPr>
          <w:rFonts w:eastAsiaTheme="minorEastAsia"/>
          <w:b/>
          <w:spacing w:val="0"/>
          <w:sz w:val="32"/>
          <w:szCs w:val="32"/>
        </w:rPr>
        <w:t>项目编号/包号：</w:t>
      </w:r>
    </w:p>
    <w:p w14:paraId="564ED418">
      <w:pPr>
        <w:ind w:firstLine="482" w:firstLineChars="150"/>
        <w:rPr>
          <w:rFonts w:eastAsiaTheme="minorEastAsia"/>
          <w:b/>
          <w:spacing w:val="0"/>
          <w:sz w:val="32"/>
          <w:szCs w:val="32"/>
        </w:rPr>
      </w:pPr>
    </w:p>
    <w:p w14:paraId="74BCBED1">
      <w:pPr>
        <w:ind w:firstLine="482" w:firstLineChars="150"/>
        <w:rPr>
          <w:rFonts w:eastAsiaTheme="minorEastAsia"/>
          <w:b/>
          <w:spacing w:val="0"/>
          <w:sz w:val="32"/>
          <w:szCs w:val="32"/>
        </w:rPr>
      </w:pPr>
    </w:p>
    <w:p w14:paraId="4FA19B9F">
      <w:pPr>
        <w:jc w:val="center"/>
        <w:rPr>
          <w:rFonts w:eastAsiaTheme="minorEastAsia"/>
          <w:b/>
          <w:spacing w:val="0"/>
          <w:sz w:val="32"/>
          <w:szCs w:val="32"/>
        </w:rPr>
      </w:pPr>
    </w:p>
    <w:p w14:paraId="05FBD6B3">
      <w:pPr>
        <w:jc w:val="center"/>
        <w:rPr>
          <w:rFonts w:eastAsiaTheme="minorEastAsia"/>
          <w:b/>
          <w:spacing w:val="0"/>
          <w:sz w:val="32"/>
          <w:szCs w:val="32"/>
        </w:rPr>
      </w:pPr>
    </w:p>
    <w:p w14:paraId="6D97108E">
      <w:pPr>
        <w:jc w:val="center"/>
        <w:rPr>
          <w:rFonts w:eastAsiaTheme="minorEastAsia"/>
          <w:b/>
          <w:spacing w:val="0"/>
          <w:sz w:val="32"/>
          <w:szCs w:val="32"/>
        </w:rPr>
      </w:pPr>
    </w:p>
    <w:p w14:paraId="7722B13F">
      <w:pPr>
        <w:jc w:val="center"/>
        <w:rPr>
          <w:rFonts w:eastAsiaTheme="minorEastAsia"/>
          <w:b/>
          <w:spacing w:val="0"/>
          <w:sz w:val="32"/>
          <w:szCs w:val="32"/>
        </w:rPr>
      </w:pPr>
    </w:p>
    <w:p w14:paraId="472D7756">
      <w:pPr>
        <w:jc w:val="center"/>
        <w:rPr>
          <w:rFonts w:eastAsiaTheme="minorEastAsia"/>
          <w:b/>
          <w:spacing w:val="0"/>
          <w:sz w:val="32"/>
          <w:szCs w:val="32"/>
        </w:rPr>
      </w:pPr>
    </w:p>
    <w:p w14:paraId="13B50995">
      <w:pPr>
        <w:jc w:val="center"/>
        <w:rPr>
          <w:rFonts w:eastAsiaTheme="minorEastAsia"/>
          <w:b/>
          <w:spacing w:val="0"/>
          <w:sz w:val="32"/>
          <w:szCs w:val="32"/>
        </w:rPr>
      </w:pPr>
    </w:p>
    <w:p w14:paraId="6F2CC3BF">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14:paraId="05A8C4BC">
      <w:pPr>
        <w:jc w:val="center"/>
        <w:rPr>
          <w:rFonts w:eastAsiaTheme="minorEastAsia"/>
          <w:b/>
          <w:spacing w:val="0"/>
          <w:sz w:val="32"/>
          <w:szCs w:val="32"/>
        </w:rPr>
      </w:pPr>
    </w:p>
    <w:p w14:paraId="5B53B19C">
      <w:pPr>
        <w:rPr>
          <w:rFonts w:eastAsiaTheme="minorEastAsia"/>
          <w:b/>
          <w:spacing w:val="0"/>
        </w:rPr>
      </w:pPr>
      <w:r>
        <w:rPr>
          <w:rFonts w:eastAsiaTheme="minorEastAsia"/>
          <w:b/>
          <w:spacing w:val="0"/>
          <w:sz w:val="32"/>
          <w:szCs w:val="32"/>
        </w:rPr>
        <w:br w:type="page"/>
      </w:r>
    </w:p>
    <w:p w14:paraId="75466D03">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14:paraId="4863619A">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14:paraId="31719F2F">
      <w:pPr>
        <w:tabs>
          <w:tab w:val="left" w:pos="1080"/>
        </w:tabs>
        <w:snapToGrid w:val="0"/>
        <w:rPr>
          <w:rFonts w:eastAsiaTheme="minorEastAsia"/>
          <w:spacing w:val="0"/>
          <w:sz w:val="24"/>
        </w:rPr>
      </w:pPr>
    </w:p>
    <w:p w14:paraId="1FB74DF1">
      <w:pPr>
        <w:widowControl/>
        <w:jc w:val="left"/>
        <w:rPr>
          <w:rFonts w:eastAsiaTheme="minorEastAsia"/>
          <w:color w:val="000000"/>
          <w:spacing w:val="0"/>
          <w:sz w:val="24"/>
          <w:szCs w:val="20"/>
        </w:rPr>
      </w:pPr>
      <w:r>
        <w:rPr>
          <w:rFonts w:eastAsiaTheme="minorEastAsia"/>
          <w:color w:val="000000"/>
          <w:spacing w:val="0"/>
          <w:sz w:val="24"/>
        </w:rPr>
        <w:br w:type="page"/>
      </w:r>
    </w:p>
    <w:p w14:paraId="3740021B">
      <w:pPr>
        <w:pStyle w:val="4"/>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14:paraId="5267502B">
      <w:pPr>
        <w:jc w:val="center"/>
        <w:rPr>
          <w:b/>
          <w:color w:val="000000"/>
          <w:spacing w:val="0"/>
          <w:sz w:val="36"/>
          <w:szCs w:val="36"/>
        </w:rPr>
      </w:pPr>
      <w:r>
        <w:rPr>
          <w:b/>
          <w:color w:val="000000"/>
          <w:spacing w:val="0"/>
          <w:sz w:val="36"/>
          <w:szCs w:val="36"/>
        </w:rPr>
        <w:t>供应商资格声明书</w:t>
      </w:r>
    </w:p>
    <w:p w14:paraId="26E15357">
      <w:pPr>
        <w:tabs>
          <w:tab w:val="left" w:pos="5580"/>
        </w:tabs>
        <w:spacing w:line="360" w:lineRule="auto"/>
        <w:rPr>
          <w:rFonts w:eastAsiaTheme="minorEastAsia"/>
          <w:spacing w:val="0"/>
          <w:sz w:val="24"/>
        </w:rPr>
      </w:pPr>
    </w:p>
    <w:p w14:paraId="1F886990">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14:paraId="34B91F72">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14:paraId="78A282B8">
      <w:pPr>
        <w:numPr>
          <w:ilvl w:val="0"/>
          <w:numId w:val="11"/>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14:paraId="75B6E787">
      <w:pPr>
        <w:numPr>
          <w:ilvl w:val="0"/>
          <w:numId w:val="11"/>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14:paraId="4637B9F3">
      <w:pPr>
        <w:numPr>
          <w:ilvl w:val="0"/>
          <w:numId w:val="11"/>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14:paraId="2019CD3E">
      <w:pPr>
        <w:numPr>
          <w:ilvl w:val="0"/>
          <w:numId w:val="11"/>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A6BF30">
      <w:pPr>
        <w:numPr>
          <w:ilvl w:val="0"/>
          <w:numId w:val="11"/>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14:paraId="5009F6B7">
      <w:pPr>
        <w:numPr>
          <w:ilvl w:val="0"/>
          <w:numId w:val="11"/>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14:paraId="04B5CAE1">
      <w:pPr>
        <w:numPr>
          <w:ilvl w:val="0"/>
          <w:numId w:val="11"/>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1F3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39F6A">
            <w:pPr>
              <w:jc w:val="center"/>
              <w:rPr>
                <w:rFonts w:eastAsiaTheme="minorEastAsia"/>
                <w:spacing w:val="0"/>
                <w:sz w:val="24"/>
              </w:rPr>
            </w:pPr>
            <w:r>
              <w:rPr>
                <w:rFonts w:eastAsiaTheme="minorEastAsia"/>
                <w:spacing w:val="0"/>
                <w:sz w:val="24"/>
              </w:rPr>
              <w:t>序号</w:t>
            </w:r>
          </w:p>
        </w:tc>
        <w:tc>
          <w:tcPr>
            <w:tcW w:w="4574" w:type="dxa"/>
            <w:vAlign w:val="center"/>
          </w:tcPr>
          <w:p w14:paraId="7E8CF20B">
            <w:pPr>
              <w:jc w:val="center"/>
              <w:rPr>
                <w:rFonts w:eastAsiaTheme="minorEastAsia"/>
                <w:spacing w:val="0"/>
                <w:sz w:val="24"/>
              </w:rPr>
            </w:pPr>
            <w:r>
              <w:rPr>
                <w:rFonts w:eastAsiaTheme="minorEastAsia"/>
                <w:spacing w:val="0"/>
                <w:sz w:val="24"/>
              </w:rPr>
              <w:t>单位名称</w:t>
            </w:r>
          </w:p>
        </w:tc>
        <w:tc>
          <w:tcPr>
            <w:tcW w:w="2976" w:type="dxa"/>
            <w:vAlign w:val="center"/>
          </w:tcPr>
          <w:p w14:paraId="59CE20CA">
            <w:pPr>
              <w:jc w:val="center"/>
              <w:rPr>
                <w:rFonts w:eastAsiaTheme="minorEastAsia"/>
                <w:spacing w:val="0"/>
                <w:sz w:val="24"/>
              </w:rPr>
            </w:pPr>
            <w:r>
              <w:rPr>
                <w:rFonts w:eastAsiaTheme="minorEastAsia"/>
                <w:spacing w:val="0"/>
                <w:sz w:val="24"/>
              </w:rPr>
              <w:t>相互关系</w:t>
            </w:r>
          </w:p>
        </w:tc>
      </w:tr>
      <w:tr w14:paraId="7236B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97DB63">
            <w:pPr>
              <w:jc w:val="center"/>
              <w:rPr>
                <w:rFonts w:eastAsiaTheme="minorEastAsia"/>
                <w:spacing w:val="0"/>
                <w:sz w:val="24"/>
              </w:rPr>
            </w:pPr>
            <w:r>
              <w:rPr>
                <w:rFonts w:eastAsiaTheme="minorEastAsia"/>
                <w:spacing w:val="0"/>
                <w:sz w:val="24"/>
              </w:rPr>
              <w:t>1</w:t>
            </w:r>
          </w:p>
        </w:tc>
        <w:tc>
          <w:tcPr>
            <w:tcW w:w="4574" w:type="dxa"/>
            <w:vAlign w:val="center"/>
          </w:tcPr>
          <w:p w14:paraId="09C4AB24">
            <w:pPr>
              <w:jc w:val="center"/>
              <w:rPr>
                <w:rFonts w:eastAsiaTheme="minorEastAsia"/>
                <w:spacing w:val="0"/>
                <w:sz w:val="24"/>
              </w:rPr>
            </w:pPr>
          </w:p>
        </w:tc>
        <w:tc>
          <w:tcPr>
            <w:tcW w:w="2976" w:type="dxa"/>
            <w:vAlign w:val="center"/>
          </w:tcPr>
          <w:p w14:paraId="6A298499">
            <w:pPr>
              <w:jc w:val="center"/>
              <w:rPr>
                <w:rFonts w:eastAsiaTheme="minorEastAsia"/>
                <w:spacing w:val="0"/>
                <w:sz w:val="24"/>
              </w:rPr>
            </w:pPr>
          </w:p>
        </w:tc>
      </w:tr>
      <w:tr w14:paraId="2FA2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AA60B5">
            <w:pPr>
              <w:jc w:val="center"/>
              <w:rPr>
                <w:rFonts w:eastAsiaTheme="minorEastAsia"/>
                <w:spacing w:val="0"/>
                <w:sz w:val="24"/>
              </w:rPr>
            </w:pPr>
            <w:r>
              <w:rPr>
                <w:rFonts w:eastAsiaTheme="minorEastAsia"/>
                <w:spacing w:val="0"/>
                <w:sz w:val="24"/>
              </w:rPr>
              <w:t>2</w:t>
            </w:r>
          </w:p>
        </w:tc>
        <w:tc>
          <w:tcPr>
            <w:tcW w:w="4574" w:type="dxa"/>
            <w:vAlign w:val="center"/>
          </w:tcPr>
          <w:p w14:paraId="329CCDD0">
            <w:pPr>
              <w:jc w:val="center"/>
              <w:rPr>
                <w:rFonts w:eastAsiaTheme="minorEastAsia"/>
                <w:spacing w:val="0"/>
                <w:sz w:val="24"/>
              </w:rPr>
            </w:pPr>
          </w:p>
        </w:tc>
        <w:tc>
          <w:tcPr>
            <w:tcW w:w="2976" w:type="dxa"/>
            <w:vAlign w:val="center"/>
          </w:tcPr>
          <w:p w14:paraId="0FEE5234">
            <w:pPr>
              <w:jc w:val="center"/>
              <w:rPr>
                <w:rFonts w:eastAsiaTheme="minorEastAsia"/>
                <w:spacing w:val="0"/>
                <w:sz w:val="24"/>
              </w:rPr>
            </w:pPr>
          </w:p>
        </w:tc>
      </w:tr>
      <w:tr w14:paraId="53FE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B956FE">
            <w:pPr>
              <w:jc w:val="center"/>
              <w:rPr>
                <w:rFonts w:eastAsiaTheme="minorEastAsia"/>
                <w:spacing w:val="0"/>
                <w:sz w:val="24"/>
              </w:rPr>
            </w:pPr>
            <w:r>
              <w:rPr>
                <w:rFonts w:eastAsiaTheme="minorEastAsia"/>
                <w:spacing w:val="0"/>
                <w:sz w:val="24"/>
              </w:rPr>
              <w:t>…</w:t>
            </w:r>
          </w:p>
        </w:tc>
        <w:tc>
          <w:tcPr>
            <w:tcW w:w="4574" w:type="dxa"/>
            <w:vAlign w:val="center"/>
          </w:tcPr>
          <w:p w14:paraId="6EF794C8">
            <w:pPr>
              <w:jc w:val="center"/>
              <w:rPr>
                <w:rFonts w:eastAsiaTheme="minorEastAsia"/>
                <w:spacing w:val="0"/>
                <w:sz w:val="24"/>
              </w:rPr>
            </w:pPr>
          </w:p>
        </w:tc>
        <w:tc>
          <w:tcPr>
            <w:tcW w:w="2976" w:type="dxa"/>
            <w:vAlign w:val="center"/>
          </w:tcPr>
          <w:p w14:paraId="5F64DF70">
            <w:pPr>
              <w:jc w:val="center"/>
              <w:rPr>
                <w:rFonts w:eastAsiaTheme="minorEastAsia"/>
                <w:spacing w:val="0"/>
                <w:sz w:val="24"/>
              </w:rPr>
            </w:pPr>
          </w:p>
        </w:tc>
      </w:tr>
    </w:tbl>
    <w:p w14:paraId="58DC6FE7">
      <w:pPr>
        <w:rPr>
          <w:rFonts w:eastAsiaTheme="minorEastAsia"/>
          <w:spacing w:val="0"/>
        </w:rPr>
      </w:pPr>
    </w:p>
    <w:p w14:paraId="3400F737">
      <w:pPr>
        <w:ind w:firstLine="480" w:firstLineChars="200"/>
        <w:rPr>
          <w:rFonts w:eastAsiaTheme="minorEastAsia"/>
          <w:spacing w:val="0"/>
          <w:sz w:val="24"/>
          <w:szCs w:val="22"/>
        </w:rPr>
      </w:pPr>
      <w:r>
        <w:rPr>
          <w:rFonts w:eastAsiaTheme="minorEastAsia"/>
          <w:spacing w:val="0"/>
          <w:sz w:val="24"/>
        </w:rPr>
        <w:t>上述声明真实有效，否则我方负全部责任。</w:t>
      </w:r>
    </w:p>
    <w:p w14:paraId="30092FDB">
      <w:pPr>
        <w:spacing w:line="360" w:lineRule="auto"/>
        <w:rPr>
          <w:rFonts w:eastAsiaTheme="minorEastAsia"/>
          <w:spacing w:val="0"/>
          <w:sz w:val="24"/>
        </w:rPr>
      </w:pPr>
    </w:p>
    <w:p w14:paraId="3A00ED6C">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4CCBD12F">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14:paraId="4A034190">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14:paraId="057287ED">
      <w:pPr>
        <w:tabs>
          <w:tab w:val="left" w:pos="5580"/>
        </w:tabs>
        <w:spacing w:line="360" w:lineRule="auto"/>
        <w:rPr>
          <w:rFonts w:eastAsiaTheme="minorEastAsia"/>
          <w:spacing w:val="0"/>
          <w:sz w:val="24"/>
        </w:rPr>
        <w:sectPr>
          <w:headerReference r:id="rId15" w:type="first"/>
          <w:footerReference r:id="rId18" w:type="first"/>
          <w:footerReference r:id="rId16" w:type="default"/>
          <w:headerReference r:id="rId14" w:type="even"/>
          <w:footerReference r:id="rId17" w:type="even"/>
          <w:pgSz w:w="11907" w:h="16840"/>
          <w:pgMar w:top="1418" w:right="1134" w:bottom="1418" w:left="1417" w:header="851" w:footer="851" w:gutter="0"/>
          <w:pgNumType w:fmt="decimal"/>
          <w:cols w:space="720" w:num="1"/>
          <w:docGrid w:linePitch="462" w:charSpace="0"/>
        </w:sectPr>
      </w:pPr>
    </w:p>
    <w:p w14:paraId="091F3364">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14:paraId="3D4273D7">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14:paraId="4483D588">
      <w:pPr>
        <w:tabs>
          <w:tab w:val="left" w:pos="5580"/>
        </w:tabs>
        <w:spacing w:line="360" w:lineRule="auto"/>
        <w:rPr>
          <w:rFonts w:eastAsiaTheme="minorEastAsia"/>
          <w:spacing w:val="0"/>
          <w:sz w:val="24"/>
        </w:rPr>
      </w:pPr>
      <w:r>
        <w:rPr>
          <w:rFonts w:eastAsiaTheme="minorEastAsia"/>
          <w:spacing w:val="0"/>
          <w:sz w:val="24"/>
        </w:rPr>
        <w:t>说明：</w:t>
      </w:r>
    </w:p>
    <w:p w14:paraId="4DE6D40A">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14:paraId="0030AEC4">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14:paraId="78F4A313">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4C5DD97">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14:paraId="56AB8CF5">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14:paraId="7E3E30AA">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0E3C15">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14:paraId="27F3E2BE">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14:paraId="12A5D8F1">
      <w:pPr>
        <w:pStyle w:val="6"/>
        <w:rPr>
          <w:rFonts w:ascii="Times New Roman" w:hAnsi="Times New Roman" w:eastAsiaTheme="majorEastAsia"/>
          <w:spacing w:val="0"/>
          <w:sz w:val="24"/>
          <w:szCs w:val="24"/>
        </w:rPr>
      </w:pPr>
      <w:r>
        <w:rPr>
          <w:rFonts w:ascii="Times New Roman" w:hAnsi="Times New Roman" w:eastAsiaTheme="majorEastAsia"/>
          <w:b w:val="0"/>
          <w:bCs/>
          <w:spacing w:val="0"/>
          <w:sz w:val="24"/>
          <w:szCs w:val="24"/>
        </w:rPr>
        <w:t>2-1-1 中小企业</w:t>
      </w:r>
      <w:r>
        <w:rPr>
          <w:rFonts w:hint="eastAsia" w:ascii="Times New Roman" w:hAnsi="Times New Roman" w:eastAsiaTheme="majorEastAsia"/>
          <w:b w:val="0"/>
          <w:bCs/>
          <w:spacing w:val="0"/>
          <w:sz w:val="24"/>
          <w:szCs w:val="24"/>
        </w:rPr>
        <w:t>证明文件</w:t>
      </w:r>
    </w:p>
    <w:p w14:paraId="29069962">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14:paraId="7F385596">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号）的规定，本公司（联合体）参加</w:t>
      </w:r>
      <w:r>
        <w:rPr>
          <w:rFonts w:eastAsiaTheme="minorEastAsia"/>
          <w:spacing w:val="0"/>
          <w:sz w:val="24"/>
          <w:u w:val="single"/>
        </w:rPr>
        <w:t>（单位名称）</w:t>
      </w:r>
      <w:r>
        <w:rPr>
          <w:rFonts w:eastAsiaTheme="minorEastAsia"/>
          <w:spacing w:val="0"/>
          <w:sz w:val="24"/>
        </w:rPr>
        <w:t>的</w:t>
      </w:r>
      <w:r>
        <w:rPr>
          <w:rFonts w:eastAsiaTheme="minorEastAsia"/>
          <w:spacing w:val="0"/>
          <w:sz w:val="24"/>
          <w:u w:val="single"/>
        </w:rPr>
        <w:t>（项目名称）</w:t>
      </w:r>
      <w:r>
        <w:rPr>
          <w:rFonts w:eastAsiaTheme="minorEastAsia"/>
          <w:spacing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F3FF102">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14:paraId="4C2076DE">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14:paraId="3B991D28">
      <w:pPr>
        <w:spacing w:line="360" w:lineRule="auto"/>
        <w:ind w:firstLine="504"/>
        <w:rPr>
          <w:rFonts w:eastAsiaTheme="minorEastAsia"/>
          <w:spacing w:val="0"/>
          <w:sz w:val="24"/>
        </w:rPr>
      </w:pPr>
    </w:p>
    <w:p w14:paraId="47E25521">
      <w:pPr>
        <w:spacing w:line="360" w:lineRule="auto"/>
        <w:ind w:firstLine="504"/>
        <w:rPr>
          <w:rFonts w:eastAsiaTheme="minorEastAsia"/>
          <w:spacing w:val="0"/>
          <w:sz w:val="24"/>
        </w:rPr>
      </w:pPr>
      <w:r>
        <w:rPr>
          <w:rFonts w:eastAsiaTheme="minorEastAsia"/>
          <w:spacing w:val="0"/>
          <w:sz w:val="24"/>
        </w:rPr>
        <w:t>……</w:t>
      </w:r>
    </w:p>
    <w:p w14:paraId="40EAA27E">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14:paraId="69873CB1">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14:paraId="58A32BAA">
      <w:pPr>
        <w:spacing w:line="360" w:lineRule="auto"/>
        <w:ind w:right="360" w:firstLine="480"/>
        <w:jc w:val="right"/>
        <w:rPr>
          <w:rFonts w:eastAsiaTheme="minorEastAsia"/>
          <w:color w:val="000000"/>
          <w:spacing w:val="0"/>
          <w:sz w:val="24"/>
        </w:rPr>
      </w:pPr>
    </w:p>
    <w:p w14:paraId="58276362">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14:paraId="71F72A47">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14:paraId="5D9DE3E4">
      <w:pPr>
        <w:adjustRightInd w:val="0"/>
        <w:snapToGrid w:val="0"/>
        <w:jc w:val="left"/>
        <w:rPr>
          <w:rFonts w:eastAsiaTheme="minorEastAsia"/>
          <w:color w:val="000000"/>
          <w:spacing w:val="0"/>
          <w:sz w:val="24"/>
          <w:szCs w:val="21"/>
        </w:rPr>
      </w:pPr>
    </w:p>
    <w:p w14:paraId="0B01B0EF">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46A27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B424F1C">
            <w:pPr>
              <w:adjustRightInd w:val="0"/>
              <w:snapToGrid w:val="0"/>
              <w:jc w:val="left"/>
              <w:rPr>
                <w:rFonts w:eastAsiaTheme="minorEastAsia"/>
                <w:color w:val="000000"/>
                <w:spacing w:val="0"/>
                <w:szCs w:val="21"/>
              </w:rPr>
            </w:pPr>
            <w:r>
              <w:rPr>
                <w:rFonts w:eastAsiaTheme="minorEastAsia"/>
                <w:color w:val="000000"/>
                <w:spacing w:val="0"/>
                <w:szCs w:val="21"/>
              </w:rPr>
              <w:t>从业人员、营业收入、资产总额填报上一年度数据，无上一年度数据的新成立企业可不填报。</w:t>
            </w:r>
          </w:p>
        </w:tc>
      </w:tr>
    </w:tbl>
    <w:p w14:paraId="020813BE">
      <w:pPr>
        <w:adjustRightInd w:val="0"/>
        <w:snapToGrid w:val="0"/>
        <w:jc w:val="left"/>
        <w:rPr>
          <w:rFonts w:eastAsiaTheme="minorEastAsia"/>
          <w:color w:val="000000"/>
          <w:spacing w:val="0"/>
          <w:szCs w:val="21"/>
          <w:vertAlign w:val="superscript"/>
        </w:rPr>
      </w:pPr>
    </w:p>
    <w:p w14:paraId="31A80F3E">
      <w:pPr>
        <w:spacing w:line="360" w:lineRule="auto"/>
        <w:ind w:right="360" w:firstLine="480"/>
        <w:jc w:val="right"/>
        <w:rPr>
          <w:rFonts w:eastAsiaTheme="minorEastAsia"/>
          <w:color w:val="000000"/>
          <w:spacing w:val="0"/>
          <w:sz w:val="24"/>
        </w:rPr>
      </w:pPr>
    </w:p>
    <w:p w14:paraId="67E6FDD4">
      <w:pPr>
        <w:spacing w:line="360" w:lineRule="auto"/>
        <w:ind w:right="360" w:firstLine="480"/>
        <w:jc w:val="right"/>
        <w:rPr>
          <w:rFonts w:eastAsiaTheme="minorEastAsia"/>
          <w:color w:val="000000"/>
          <w:spacing w:val="0"/>
          <w:sz w:val="24"/>
        </w:rPr>
      </w:pPr>
    </w:p>
    <w:p w14:paraId="26C8B558">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14:paraId="30EB82E2">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14:paraId="7561EBBA">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14:paraId="10B322AF">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14:paraId="5A2FA906">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198005">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14:paraId="16BBF8F1">
      <w:pPr>
        <w:spacing w:line="588" w:lineRule="exact"/>
        <w:ind w:firstLine="480" w:firstLineChars="200"/>
        <w:rPr>
          <w:rFonts w:eastAsiaTheme="minorEastAsia"/>
          <w:spacing w:val="0"/>
          <w:sz w:val="24"/>
        </w:rPr>
      </w:pPr>
    </w:p>
    <w:p w14:paraId="17F1F5DB">
      <w:pPr>
        <w:spacing w:line="588" w:lineRule="exact"/>
        <w:ind w:firstLine="480" w:firstLineChars="200"/>
        <w:rPr>
          <w:rFonts w:eastAsiaTheme="minorEastAsia"/>
          <w:spacing w:val="0"/>
          <w:sz w:val="24"/>
        </w:rPr>
      </w:pPr>
    </w:p>
    <w:p w14:paraId="6E0922DF">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14:paraId="36A62CA7">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14:paraId="18E55689">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2085199">
      <w:pPr>
        <w:pStyle w:val="6"/>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14:paraId="613A6AE8">
      <w:pPr>
        <w:tabs>
          <w:tab w:val="left" w:pos="5580"/>
        </w:tabs>
        <w:spacing w:line="360" w:lineRule="auto"/>
        <w:rPr>
          <w:rFonts w:eastAsiaTheme="minorEastAsia"/>
          <w:spacing w:val="0"/>
          <w:sz w:val="24"/>
        </w:rPr>
      </w:pPr>
      <w:r>
        <w:rPr>
          <w:rFonts w:eastAsiaTheme="minorEastAsia"/>
          <w:spacing w:val="0"/>
          <w:sz w:val="24"/>
        </w:rPr>
        <w:t>说明：</w:t>
      </w:r>
    </w:p>
    <w:p w14:paraId="60385A74">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14:paraId="31792BEA">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14:paraId="4610864A">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14:paraId="16369CB0">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14:paraId="643E6C37">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14:paraId="763F481F">
      <w:pPr>
        <w:autoSpaceDE w:val="0"/>
        <w:autoSpaceDN w:val="0"/>
        <w:adjustRightInd w:val="0"/>
        <w:rPr>
          <w:rFonts w:eastAsiaTheme="minorEastAsia"/>
          <w:color w:val="000000"/>
          <w:spacing w:val="0"/>
          <w:sz w:val="30"/>
          <w:szCs w:val="30"/>
        </w:rPr>
      </w:pPr>
    </w:p>
    <w:p w14:paraId="386363F5">
      <w:pPr>
        <w:widowControl/>
        <w:jc w:val="left"/>
        <w:rPr>
          <w:rFonts w:eastAsiaTheme="minorEastAsia"/>
          <w:b/>
          <w:color w:val="000000"/>
          <w:spacing w:val="0"/>
          <w:sz w:val="36"/>
          <w:szCs w:val="36"/>
        </w:rPr>
      </w:pPr>
      <w:r>
        <w:rPr>
          <w:rFonts w:eastAsiaTheme="minorEastAsia"/>
          <w:b/>
          <w:color w:val="000000"/>
          <w:spacing w:val="0"/>
          <w:sz w:val="36"/>
          <w:szCs w:val="36"/>
        </w:rPr>
        <w:br w:type="page"/>
      </w:r>
    </w:p>
    <w:p w14:paraId="79A203B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14:paraId="2EF4A1B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588E3B7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9879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89CC7F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E6F3A9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14:paraId="50E8BFB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08E05617">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14:paraId="0993863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14:paraId="2E853AA6">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250C7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FC4945C">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14:paraId="3FC47B0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021CC595">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14:paraId="42F1422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14:paraId="231F3A34">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635A3BE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14:paraId="396D70ED">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14:paraId="0650349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14:paraId="3F40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2EF1CC2">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E42106F">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FB6DA02">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7A871D8C">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14:paraId="2265F9CD">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22057F9">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E5975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4A810CB">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D9DB651">
            <w:pPr>
              <w:pStyle w:val="250"/>
              <w:jc w:val="center"/>
              <w:rPr>
                <w:rFonts w:ascii="Times New Roman" w:hAnsi="Times New Roman" w:cs="Times New Roman" w:eastAsiaTheme="minorEastAsia"/>
                <w:spacing w:val="0"/>
                <w:sz w:val="30"/>
                <w:lang w:eastAsia="zh-CN"/>
              </w:rPr>
            </w:pPr>
          </w:p>
        </w:tc>
      </w:tr>
      <w:tr w14:paraId="4096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08395A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FDD16BA">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D59C6B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42961B08">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14:paraId="1FC7557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8F82E2B">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B659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040A8F6">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FF4A343">
            <w:pPr>
              <w:pStyle w:val="250"/>
              <w:jc w:val="center"/>
              <w:rPr>
                <w:rFonts w:ascii="Times New Roman" w:hAnsi="Times New Roman" w:cs="Times New Roman" w:eastAsiaTheme="minorEastAsia"/>
                <w:spacing w:val="0"/>
                <w:sz w:val="30"/>
                <w:lang w:eastAsia="zh-CN"/>
              </w:rPr>
            </w:pPr>
          </w:p>
        </w:tc>
      </w:tr>
      <w:tr w14:paraId="5DAB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BE03F9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79CA0751">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89582EB">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742035">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2D070D">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455E946">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0ACC331">
            <w:pPr>
              <w:pStyle w:val="250"/>
              <w:jc w:val="center"/>
              <w:rPr>
                <w:rFonts w:ascii="Times New Roman" w:hAnsi="Times New Roman" w:cs="Times New Roman" w:eastAsiaTheme="minorEastAsia"/>
                <w:spacing w:val="0"/>
                <w:sz w:val="30"/>
              </w:rPr>
            </w:pPr>
          </w:p>
        </w:tc>
      </w:tr>
      <w:tr w14:paraId="0308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4B5011">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0722570">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BEC00C6">
            <w:pPr>
              <w:pStyle w:val="250"/>
              <w:jc w:val="center"/>
              <w:rPr>
                <w:rFonts w:ascii="Times New Roman" w:hAnsi="Times New Roman" w:cs="Times New Roman" w:eastAsiaTheme="minorEastAsia"/>
                <w:spacing w:val="0"/>
                <w:sz w:val="30"/>
              </w:rPr>
            </w:pPr>
          </w:p>
        </w:tc>
      </w:tr>
    </w:tbl>
    <w:p w14:paraId="613FD29D">
      <w:pPr>
        <w:adjustRightInd w:val="0"/>
        <w:snapToGrid w:val="0"/>
        <w:spacing w:line="360" w:lineRule="auto"/>
        <w:jc w:val="left"/>
        <w:rPr>
          <w:rFonts w:eastAsiaTheme="minorEastAsia"/>
          <w:spacing w:val="0"/>
          <w:sz w:val="24"/>
        </w:rPr>
      </w:pPr>
    </w:p>
    <w:p w14:paraId="27F6234F">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297B2F1C">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14:paraId="22CD5FB0">
      <w:pPr>
        <w:adjustRightInd w:val="0"/>
        <w:snapToGrid w:val="0"/>
        <w:spacing w:line="360" w:lineRule="auto"/>
        <w:jc w:val="left"/>
        <w:rPr>
          <w:rFonts w:eastAsiaTheme="minorEastAsia"/>
          <w:spacing w:val="0"/>
          <w:sz w:val="24"/>
        </w:rPr>
      </w:pPr>
    </w:p>
    <w:p w14:paraId="7619D597">
      <w:pPr>
        <w:adjustRightInd w:val="0"/>
        <w:snapToGrid w:val="0"/>
        <w:spacing w:line="360" w:lineRule="auto"/>
        <w:jc w:val="left"/>
        <w:rPr>
          <w:rFonts w:eastAsiaTheme="minorEastAsia"/>
          <w:spacing w:val="0"/>
          <w:sz w:val="24"/>
        </w:rPr>
      </w:pPr>
      <w:r>
        <w:rPr>
          <w:rFonts w:eastAsiaTheme="minorEastAsia"/>
          <w:spacing w:val="0"/>
          <w:sz w:val="24"/>
        </w:rPr>
        <w:t>注：</w:t>
      </w:r>
    </w:p>
    <w:p w14:paraId="3BAC97A0">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14:paraId="5EC14D01">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14:paraId="65935921">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14:paraId="1CA2DFC7">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14:paraId="47352BA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14:paraId="085175EE">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14:paraId="13A17D64">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14:paraId="40CA103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14:paraId="7F0BAEE7">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14:paraId="0AA528A9">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14:paraId="2159D45A">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14:paraId="24FEF672">
      <w:pPr>
        <w:spacing w:line="360" w:lineRule="auto"/>
        <w:ind w:firstLine="471"/>
        <w:rPr>
          <w:rFonts w:eastAsiaTheme="minorEastAsia"/>
          <w:b/>
          <w:color w:val="000000"/>
          <w:spacing w:val="0"/>
          <w:sz w:val="24"/>
        </w:rPr>
      </w:pPr>
    </w:p>
    <w:p w14:paraId="77BA136B">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14:paraId="1C210849">
      <w:pPr>
        <w:spacing w:line="360" w:lineRule="auto"/>
        <w:ind w:left="480"/>
        <w:jc w:val="right"/>
        <w:rPr>
          <w:rFonts w:eastAsiaTheme="minorEastAsia"/>
          <w:color w:val="000000"/>
          <w:spacing w:val="0"/>
          <w:sz w:val="24"/>
        </w:rPr>
      </w:pPr>
    </w:p>
    <w:p w14:paraId="26397348">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14:paraId="04452FBD">
      <w:pPr>
        <w:tabs>
          <w:tab w:val="left" w:pos="8280"/>
        </w:tabs>
        <w:spacing w:line="360" w:lineRule="auto"/>
        <w:ind w:firstLine="480"/>
        <w:rPr>
          <w:rFonts w:eastAsiaTheme="minorEastAsia"/>
          <w:color w:val="000000"/>
          <w:spacing w:val="0"/>
          <w:sz w:val="24"/>
        </w:rPr>
      </w:pPr>
    </w:p>
    <w:p w14:paraId="129430E2">
      <w:pPr>
        <w:tabs>
          <w:tab w:val="left" w:pos="8280"/>
        </w:tabs>
        <w:spacing w:line="360" w:lineRule="auto"/>
        <w:rPr>
          <w:rFonts w:eastAsiaTheme="minorEastAsia"/>
          <w:color w:val="000000"/>
          <w:spacing w:val="0"/>
          <w:sz w:val="24"/>
        </w:rPr>
      </w:pPr>
      <w:r>
        <w:rPr>
          <w:rFonts w:eastAsiaTheme="minorEastAsia"/>
          <w:color w:val="000000"/>
          <w:spacing w:val="0"/>
          <w:sz w:val="24"/>
        </w:rPr>
        <w:t>注：</w:t>
      </w:r>
    </w:p>
    <w:p w14:paraId="668CFE4A">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14:paraId="6EF1CA19">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14:paraId="69D24810">
      <w:pPr>
        <w:tabs>
          <w:tab w:val="left" w:pos="8280"/>
        </w:tabs>
        <w:spacing w:line="360" w:lineRule="auto"/>
        <w:rPr>
          <w:rFonts w:eastAsiaTheme="minorEastAsia"/>
          <w:color w:val="000000"/>
          <w:spacing w:val="0"/>
          <w:sz w:val="24"/>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p>
    <w:p w14:paraId="429F606F">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14:paraId="7096FA5C">
      <w:pPr>
        <w:widowControl/>
        <w:jc w:val="left"/>
        <w:rPr>
          <w:rFonts w:eastAsiaTheme="minorEastAsia"/>
          <w:spacing w:val="0"/>
          <w:sz w:val="24"/>
        </w:rPr>
      </w:pPr>
    </w:p>
    <w:p w14:paraId="2B261B48">
      <w:pPr>
        <w:widowControl/>
        <w:jc w:val="left"/>
        <w:rPr>
          <w:rFonts w:eastAsiaTheme="minorEastAsia"/>
          <w:spacing w:val="0"/>
          <w:sz w:val="24"/>
        </w:rPr>
      </w:pPr>
      <w:r>
        <w:rPr>
          <w:rFonts w:eastAsiaTheme="minorEastAsia"/>
          <w:spacing w:val="0"/>
          <w:sz w:val="24"/>
        </w:rPr>
        <w:br w:type="page"/>
      </w:r>
    </w:p>
    <w:p w14:paraId="24E96C1C">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14:paraId="715A8CB2">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14:paraId="002A2BA5">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14:paraId="1E98B550">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14:paraId="67369333">
      <w:pPr>
        <w:numPr>
          <w:ilvl w:val="0"/>
          <w:numId w:val="12"/>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14:paraId="5C8DE05E">
      <w:pPr>
        <w:numPr>
          <w:ilvl w:val="0"/>
          <w:numId w:val="12"/>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14:paraId="004E3B00">
      <w:pPr>
        <w:numPr>
          <w:ilvl w:val="0"/>
          <w:numId w:val="12"/>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14:paraId="554C04D3">
      <w:pPr>
        <w:numPr>
          <w:ilvl w:val="0"/>
          <w:numId w:val="12"/>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14:paraId="36FC6784">
      <w:pPr>
        <w:numPr>
          <w:ilvl w:val="0"/>
          <w:numId w:val="12"/>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307856CC">
      <w:pPr>
        <w:numPr>
          <w:ilvl w:val="0"/>
          <w:numId w:val="12"/>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0091AD2C">
      <w:pPr>
        <w:numPr>
          <w:ilvl w:val="0"/>
          <w:numId w:val="12"/>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14:paraId="0EC87B27">
      <w:pPr>
        <w:numPr>
          <w:ilvl w:val="0"/>
          <w:numId w:val="12"/>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14:paraId="36D7349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253B1B1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6667CB5B">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3983E874">
      <w:pPr>
        <w:numPr>
          <w:ilvl w:val="0"/>
          <w:numId w:val="12"/>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14:paraId="7CE0CD7D">
      <w:pPr>
        <w:numPr>
          <w:ilvl w:val="0"/>
          <w:numId w:val="12"/>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14:paraId="071EE82B">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14:paraId="1B41312A">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14:paraId="47F5F303">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14:paraId="722D106A">
      <w:pPr>
        <w:spacing w:line="360" w:lineRule="auto"/>
        <w:ind w:firstLine="471"/>
        <w:rPr>
          <w:color w:val="000000"/>
          <w:spacing w:val="0"/>
          <w:sz w:val="24"/>
        </w:rPr>
      </w:pPr>
    </w:p>
    <w:p w14:paraId="75D09ED4">
      <w:pPr>
        <w:spacing w:line="360" w:lineRule="auto"/>
        <w:ind w:firstLine="471"/>
        <w:rPr>
          <w:color w:val="000000"/>
          <w:spacing w:val="0"/>
          <w:sz w:val="24"/>
        </w:rPr>
      </w:pPr>
    </w:p>
    <w:p w14:paraId="36B63F69">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14:paraId="4E497ACA">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14:paraId="3990D505">
      <w:pPr>
        <w:spacing w:line="360" w:lineRule="auto"/>
        <w:ind w:left="480"/>
        <w:jc w:val="right"/>
        <w:rPr>
          <w:rFonts w:eastAsiaTheme="minorEastAsia"/>
          <w:color w:val="000000"/>
          <w:spacing w:val="0"/>
          <w:sz w:val="24"/>
        </w:rPr>
      </w:pPr>
    </w:p>
    <w:p w14:paraId="4E6C90B0">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14:paraId="132FB44F">
      <w:pPr>
        <w:spacing w:line="360" w:lineRule="auto"/>
        <w:ind w:left="480"/>
        <w:jc w:val="right"/>
        <w:rPr>
          <w:rFonts w:eastAsiaTheme="minorEastAsia"/>
          <w:b/>
          <w:color w:val="000000"/>
          <w:spacing w:val="0"/>
          <w:sz w:val="24"/>
        </w:rPr>
      </w:pPr>
    </w:p>
    <w:p w14:paraId="2430DBB2">
      <w:pPr>
        <w:tabs>
          <w:tab w:val="left" w:pos="8280"/>
        </w:tabs>
        <w:spacing w:line="360" w:lineRule="auto"/>
        <w:ind w:firstLine="480"/>
        <w:rPr>
          <w:rFonts w:eastAsiaTheme="minorEastAsia"/>
          <w:color w:val="000000"/>
          <w:spacing w:val="0"/>
          <w:sz w:val="24"/>
        </w:rPr>
      </w:pPr>
    </w:p>
    <w:p w14:paraId="47ECBEA6">
      <w:pPr>
        <w:tabs>
          <w:tab w:val="left" w:pos="8280"/>
        </w:tabs>
        <w:spacing w:line="360" w:lineRule="auto"/>
        <w:ind w:firstLine="480"/>
        <w:rPr>
          <w:rFonts w:eastAsiaTheme="minorEastAsia"/>
          <w:color w:val="000000"/>
          <w:spacing w:val="0"/>
          <w:sz w:val="24"/>
        </w:rPr>
      </w:pPr>
    </w:p>
    <w:p w14:paraId="22BA0670">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14:paraId="1B29B5F9">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14:paraId="48525631">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14:paraId="0A233AB2">
      <w:pPr>
        <w:widowControl/>
        <w:jc w:val="left"/>
        <w:rPr>
          <w:rFonts w:eastAsiaTheme="minorEastAsia"/>
          <w:spacing w:val="0"/>
          <w:sz w:val="24"/>
        </w:rPr>
      </w:pPr>
      <w:r>
        <w:rPr>
          <w:rFonts w:eastAsiaTheme="minorEastAsia"/>
          <w:spacing w:val="0"/>
          <w:sz w:val="24"/>
        </w:rPr>
        <w:br w:type="page"/>
      </w:r>
    </w:p>
    <w:p w14:paraId="3D10C2B8">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14:paraId="0F376824">
      <w:pPr>
        <w:tabs>
          <w:tab w:val="left" w:pos="5580"/>
        </w:tabs>
        <w:spacing w:line="360" w:lineRule="auto"/>
        <w:rPr>
          <w:rFonts w:eastAsiaTheme="minorEastAsia"/>
          <w:spacing w:val="0"/>
          <w:sz w:val="24"/>
        </w:rPr>
      </w:pPr>
    </w:p>
    <w:p w14:paraId="1DF21C61">
      <w:pPr>
        <w:widowControl/>
        <w:jc w:val="left"/>
        <w:rPr>
          <w:rFonts w:eastAsiaTheme="minorEastAsia"/>
          <w:spacing w:val="0"/>
          <w:sz w:val="24"/>
          <w:szCs w:val="20"/>
        </w:rPr>
      </w:pPr>
      <w:r>
        <w:rPr>
          <w:rFonts w:eastAsiaTheme="minorEastAsia"/>
          <w:spacing w:val="0"/>
          <w:sz w:val="24"/>
          <w:szCs w:val="20"/>
        </w:rPr>
        <w:br w:type="page"/>
      </w:r>
    </w:p>
    <w:p w14:paraId="20E56BBD">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14:paraId="21913CCF">
      <w:pPr>
        <w:widowControl/>
        <w:jc w:val="left"/>
        <w:rPr>
          <w:rFonts w:eastAsiaTheme="minorEastAsia"/>
          <w:spacing w:val="0"/>
          <w:kern w:val="0"/>
          <w:sz w:val="24"/>
          <w:szCs w:val="20"/>
        </w:rPr>
      </w:pPr>
      <w:r>
        <w:rPr>
          <w:rFonts w:eastAsiaTheme="minorEastAsia"/>
          <w:b/>
          <w:spacing w:val="0"/>
          <w:sz w:val="24"/>
        </w:rPr>
        <w:br w:type="page"/>
      </w:r>
    </w:p>
    <w:p w14:paraId="752337FC">
      <w:pPr>
        <w:tabs>
          <w:tab w:val="left" w:pos="360"/>
        </w:tabs>
        <w:snapToGrid w:val="0"/>
        <w:spacing w:line="360" w:lineRule="auto"/>
        <w:outlineLvl w:val="1"/>
        <w:rPr>
          <w:rFonts w:eastAsiaTheme="minorEastAsia"/>
          <w:spacing w:val="0"/>
          <w:sz w:val="24"/>
        </w:rPr>
      </w:pPr>
      <w:bookmarkStart w:id="681" w:name="_Hlt520274393"/>
      <w:bookmarkEnd w:id="681"/>
      <w:bookmarkStart w:id="682" w:name="_Hlt520343392"/>
      <w:bookmarkEnd w:id="682"/>
      <w:bookmarkStart w:id="683" w:name="_Hlt520273711"/>
      <w:bookmarkEnd w:id="683"/>
      <w:bookmarkStart w:id="684" w:name="_Hlt520343000"/>
      <w:bookmarkEnd w:id="684"/>
      <w:bookmarkStart w:id="685" w:name="_Hlt520274121"/>
      <w:bookmarkEnd w:id="685"/>
      <w:bookmarkStart w:id="686" w:name="_Hlt520274407"/>
      <w:bookmarkEnd w:id="686"/>
      <w:bookmarkStart w:id="687" w:name="_Hlt520274065"/>
      <w:bookmarkEnd w:id="687"/>
      <w:bookmarkStart w:id="688" w:name="_Hlt520350918"/>
      <w:bookmarkEnd w:id="688"/>
      <w:bookmarkStart w:id="689" w:name="_Hlt520271212"/>
      <w:bookmarkEnd w:id="689"/>
      <w:bookmarkStart w:id="690" w:name="_Hlt520355504"/>
      <w:bookmarkEnd w:id="690"/>
      <w:bookmarkStart w:id="691" w:name="_Toc480942349"/>
      <w:bookmarkStart w:id="692" w:name="_Ref467988698"/>
      <w:bookmarkStart w:id="693" w:name="_Toc226337252"/>
      <w:bookmarkStart w:id="694" w:name="_Toc142311058"/>
      <w:bookmarkStart w:id="695" w:name="_Toc195842921"/>
      <w:bookmarkStart w:id="696" w:name="_Toc226965746"/>
      <w:bookmarkStart w:id="697" w:name="_Toc127151556"/>
      <w:bookmarkStart w:id="698" w:name="_Toc226309800"/>
      <w:bookmarkStart w:id="699" w:name="_Toc150774761"/>
      <w:bookmarkStart w:id="700" w:name="_Toc150480794"/>
      <w:bookmarkStart w:id="701" w:name="_Toc520356217"/>
      <w:bookmarkStart w:id="702" w:name="_Toc226965829"/>
      <w:r>
        <w:rPr>
          <w:rFonts w:eastAsiaTheme="minorEastAsia"/>
          <w:spacing w:val="0"/>
          <w:sz w:val="24"/>
        </w:rPr>
        <w:t xml:space="preserve">5  </w:t>
      </w:r>
      <w:bookmarkEnd w:id="691"/>
      <w:bookmarkEnd w:id="692"/>
      <w:r>
        <w:rPr>
          <w:rFonts w:eastAsiaTheme="minorEastAsia"/>
          <w:spacing w:val="0"/>
          <w:sz w:val="24"/>
        </w:rPr>
        <w:t>响应书</w:t>
      </w:r>
      <w:bookmarkEnd w:id="693"/>
      <w:bookmarkEnd w:id="694"/>
      <w:bookmarkEnd w:id="695"/>
      <w:bookmarkEnd w:id="696"/>
      <w:bookmarkEnd w:id="697"/>
      <w:bookmarkEnd w:id="698"/>
      <w:bookmarkEnd w:id="699"/>
      <w:bookmarkEnd w:id="700"/>
      <w:bookmarkEnd w:id="701"/>
      <w:bookmarkEnd w:id="702"/>
      <w:r>
        <w:rPr>
          <w:rFonts w:eastAsiaTheme="minorEastAsia"/>
          <w:spacing w:val="0"/>
          <w:sz w:val="24"/>
        </w:rPr>
        <w:t>（实质性格式）</w:t>
      </w:r>
    </w:p>
    <w:p w14:paraId="403F2464">
      <w:pPr>
        <w:tabs>
          <w:tab w:val="left" w:pos="5580"/>
        </w:tabs>
        <w:spacing w:line="360" w:lineRule="auto"/>
        <w:rPr>
          <w:rFonts w:eastAsiaTheme="minorEastAsia"/>
          <w:color w:val="000000"/>
          <w:spacing w:val="0"/>
          <w:sz w:val="24"/>
        </w:rPr>
      </w:pPr>
    </w:p>
    <w:p w14:paraId="447D479D">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14:paraId="0492DA4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79C1FA44">
      <w:pPr>
        <w:tabs>
          <w:tab w:val="left" w:pos="5580"/>
        </w:tabs>
        <w:spacing w:line="360" w:lineRule="auto"/>
        <w:rPr>
          <w:rFonts w:eastAsiaTheme="minorEastAsia"/>
          <w:color w:val="000000"/>
          <w:spacing w:val="0"/>
          <w:sz w:val="24"/>
          <w:szCs w:val="20"/>
        </w:rPr>
      </w:pPr>
    </w:p>
    <w:p w14:paraId="4CCAA5E0">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14:paraId="438E143E">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14:paraId="373AF53B">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14:paraId="4C68EE25">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14:paraId="1F82ECC1">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14:paraId="55B81725">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14:paraId="2F2CB24B">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14:paraId="46AC81A0">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14:paraId="08EB6F96">
      <w:pPr>
        <w:tabs>
          <w:tab w:val="left" w:pos="5580"/>
        </w:tabs>
        <w:spacing w:line="360" w:lineRule="auto"/>
        <w:ind w:left="420"/>
        <w:rPr>
          <w:rFonts w:eastAsiaTheme="minorEastAsia"/>
          <w:color w:val="000000"/>
          <w:spacing w:val="0"/>
          <w:sz w:val="24"/>
          <w:szCs w:val="20"/>
        </w:rPr>
      </w:pPr>
    </w:p>
    <w:p w14:paraId="2E393EC5">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14:paraId="53D31E3A">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14:paraId="279324A5">
      <w:pPr>
        <w:tabs>
          <w:tab w:val="left" w:pos="5580"/>
        </w:tabs>
        <w:spacing w:line="360" w:lineRule="auto"/>
        <w:ind w:left="420"/>
        <w:rPr>
          <w:rFonts w:eastAsiaTheme="minorEastAsia"/>
          <w:color w:val="000000"/>
          <w:spacing w:val="0"/>
          <w:sz w:val="24"/>
          <w:szCs w:val="20"/>
        </w:rPr>
      </w:pPr>
    </w:p>
    <w:p w14:paraId="6139D2B1">
      <w:pPr>
        <w:tabs>
          <w:tab w:val="left" w:pos="5580"/>
        </w:tabs>
        <w:spacing w:line="360" w:lineRule="auto"/>
        <w:ind w:left="420"/>
        <w:rPr>
          <w:rFonts w:eastAsiaTheme="minorEastAsia"/>
          <w:color w:val="000000"/>
          <w:spacing w:val="0"/>
          <w:sz w:val="24"/>
          <w:szCs w:val="20"/>
        </w:rPr>
      </w:pPr>
    </w:p>
    <w:p w14:paraId="1E468F11">
      <w:pPr>
        <w:tabs>
          <w:tab w:val="left" w:pos="5580"/>
        </w:tabs>
        <w:spacing w:line="360" w:lineRule="auto"/>
        <w:ind w:left="420"/>
        <w:rPr>
          <w:rFonts w:eastAsiaTheme="minorEastAsia"/>
          <w:color w:val="000000"/>
          <w:spacing w:val="0"/>
          <w:sz w:val="24"/>
          <w:szCs w:val="20"/>
        </w:rPr>
      </w:pPr>
    </w:p>
    <w:p w14:paraId="6AD6B8A3">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99BA682">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0B7B7ACE">
      <w:pPr>
        <w:tabs>
          <w:tab w:val="left" w:pos="5580"/>
        </w:tabs>
        <w:spacing w:line="360" w:lineRule="auto"/>
        <w:ind w:left="420"/>
        <w:jc w:val="left"/>
        <w:rPr>
          <w:rFonts w:eastAsiaTheme="minorEastAsia"/>
          <w:color w:val="000000"/>
          <w:spacing w:val="0"/>
          <w:sz w:val="24"/>
          <w:szCs w:val="20"/>
        </w:rPr>
      </w:pPr>
    </w:p>
    <w:p w14:paraId="774B20D5">
      <w:pPr>
        <w:widowControl/>
        <w:jc w:val="left"/>
        <w:rPr>
          <w:rFonts w:eastAsiaTheme="minorEastAsia"/>
          <w:b/>
          <w:color w:val="000000"/>
          <w:spacing w:val="0"/>
          <w:sz w:val="24"/>
          <w:szCs w:val="20"/>
        </w:rPr>
      </w:pPr>
      <w:r>
        <w:rPr>
          <w:rFonts w:eastAsiaTheme="minorEastAsia"/>
          <w:b/>
          <w:color w:val="000000"/>
          <w:spacing w:val="0"/>
          <w:sz w:val="24"/>
          <w:szCs w:val="20"/>
        </w:rPr>
        <w:br w:type="page"/>
      </w:r>
    </w:p>
    <w:p w14:paraId="784E663E">
      <w:pPr>
        <w:tabs>
          <w:tab w:val="left" w:pos="360"/>
        </w:tabs>
        <w:snapToGrid w:val="0"/>
        <w:spacing w:line="360" w:lineRule="auto"/>
        <w:outlineLvl w:val="1"/>
        <w:rPr>
          <w:rFonts w:eastAsiaTheme="minorEastAsia"/>
          <w:spacing w:val="0"/>
          <w:sz w:val="24"/>
        </w:rPr>
      </w:pPr>
      <w:bookmarkStart w:id="703" w:name="_Hlt520355938"/>
      <w:bookmarkEnd w:id="703"/>
      <w:bookmarkStart w:id="704" w:name="_Hlt520356243"/>
      <w:bookmarkEnd w:id="704"/>
      <w:bookmarkStart w:id="705" w:name="_Toc142311059"/>
      <w:bookmarkStart w:id="706" w:name="_Toc265228395"/>
      <w:bookmarkStart w:id="707" w:name="_Ref467988705"/>
      <w:bookmarkStart w:id="708" w:name="_Toc150774762"/>
      <w:bookmarkStart w:id="709" w:name="_Toc195842922"/>
      <w:bookmarkStart w:id="710" w:name="_Toc127151557"/>
      <w:bookmarkStart w:id="711" w:name="_Toc264969247"/>
      <w:bookmarkStart w:id="712" w:name="_Toc150480795"/>
      <w:bookmarkStart w:id="713" w:name="_Toc305158825"/>
      <w:bookmarkStart w:id="714" w:name="_Toc305158899"/>
      <w:bookmarkStart w:id="715" w:name="_Toc480942350"/>
      <w:bookmarkStart w:id="716" w:name="_Toc226965747"/>
      <w:bookmarkStart w:id="717" w:name="_Toc226337253"/>
      <w:bookmarkStart w:id="718" w:name="_Toc520356218"/>
      <w:bookmarkStart w:id="719" w:name="_Toc226309801"/>
      <w:bookmarkStart w:id="720" w:name="_Toc226965830"/>
      <w:r>
        <w:rPr>
          <w:rFonts w:eastAsiaTheme="minorEastAsia"/>
          <w:spacing w:val="0"/>
          <w:sz w:val="24"/>
        </w:rPr>
        <w:t>6  授权委托书（实质性格式）</w:t>
      </w:r>
    </w:p>
    <w:p w14:paraId="56C276D3">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14:paraId="560F0E0D">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DB397CA">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14:paraId="405B3263">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14:paraId="0EFAD31C">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14:paraId="1AD17885">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14:paraId="15124ECE">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p>
    <w:p w14:paraId="520BC884">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14:paraId="32953BF1">
      <w:pPr>
        <w:tabs>
          <w:tab w:val="left" w:pos="5580"/>
        </w:tabs>
        <w:spacing w:line="360" w:lineRule="auto"/>
        <w:ind w:firstLine="480" w:firstLineChars="200"/>
        <w:rPr>
          <w:rFonts w:eastAsiaTheme="minorEastAsia"/>
          <w:color w:val="000000"/>
          <w:spacing w:val="0"/>
          <w:sz w:val="24"/>
          <w:szCs w:val="20"/>
        </w:rPr>
      </w:pPr>
    </w:p>
    <w:p w14:paraId="20EA96CA">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14:paraId="7605A789">
      <w:pPr>
        <w:tabs>
          <w:tab w:val="left" w:pos="5580"/>
        </w:tabs>
        <w:spacing w:line="360" w:lineRule="auto"/>
        <w:jc w:val="left"/>
        <w:rPr>
          <w:rFonts w:eastAsiaTheme="minorEastAsia"/>
          <w:color w:val="000000"/>
          <w:spacing w:val="0"/>
          <w:sz w:val="24"/>
          <w:szCs w:val="20"/>
        </w:rPr>
      </w:pPr>
    </w:p>
    <w:p w14:paraId="24810028">
      <w:pPr>
        <w:tabs>
          <w:tab w:val="left" w:pos="5580"/>
        </w:tabs>
        <w:spacing w:line="360" w:lineRule="auto"/>
        <w:jc w:val="left"/>
        <w:rPr>
          <w:rFonts w:eastAsiaTheme="minorEastAsia"/>
          <w:color w:val="000000"/>
          <w:spacing w:val="0"/>
          <w:sz w:val="24"/>
          <w:szCs w:val="20"/>
        </w:rPr>
      </w:pPr>
    </w:p>
    <w:p w14:paraId="10C5D422">
      <w:pPr>
        <w:tabs>
          <w:tab w:val="left" w:pos="5580"/>
        </w:tabs>
        <w:spacing w:line="360" w:lineRule="auto"/>
        <w:jc w:val="left"/>
        <w:rPr>
          <w:rFonts w:eastAsiaTheme="minorEastAsia"/>
          <w:color w:val="000000"/>
          <w:spacing w:val="0"/>
          <w:sz w:val="24"/>
          <w:szCs w:val="20"/>
        </w:rPr>
      </w:pPr>
    </w:p>
    <w:p w14:paraId="5863E068">
      <w:pPr>
        <w:tabs>
          <w:tab w:val="left" w:pos="5580"/>
        </w:tabs>
        <w:spacing w:line="360" w:lineRule="auto"/>
        <w:jc w:val="left"/>
        <w:rPr>
          <w:rFonts w:eastAsiaTheme="minorEastAsia"/>
          <w:color w:val="000000"/>
          <w:spacing w:val="0"/>
          <w:sz w:val="24"/>
          <w:szCs w:val="20"/>
        </w:rPr>
      </w:pPr>
    </w:p>
    <w:p w14:paraId="4828D4B9">
      <w:pPr>
        <w:tabs>
          <w:tab w:val="left" w:pos="5580"/>
        </w:tabs>
        <w:spacing w:line="360" w:lineRule="auto"/>
        <w:jc w:val="left"/>
        <w:rPr>
          <w:rFonts w:eastAsiaTheme="minorEastAsia"/>
          <w:color w:val="000000"/>
          <w:spacing w:val="0"/>
          <w:sz w:val="24"/>
          <w:szCs w:val="20"/>
        </w:rPr>
      </w:pPr>
    </w:p>
    <w:p w14:paraId="7ECFC924">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14:paraId="3538C580">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14:paraId="7C936F7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14:paraId="4670239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14:paraId="24D2D983">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14:paraId="2F41754B">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14:paraId="37C5DA91">
      <w:pPr>
        <w:kinsoku w:val="0"/>
        <w:overflowPunct w:val="0"/>
        <w:spacing w:line="200" w:lineRule="exact"/>
        <w:rPr>
          <w:rFonts w:eastAsiaTheme="minorEastAsia"/>
          <w:spacing w:val="0"/>
          <w:sz w:val="20"/>
          <w:szCs w:val="20"/>
        </w:rPr>
      </w:pPr>
    </w:p>
    <w:p w14:paraId="1CAA41C1">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14:paraId="60D07C6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14:paraId="4C50F8F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14:paraId="75F6F78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6C1462A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14:paraId="32DA7EF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1A27EC1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7BCC0F24">
      <w:pPr>
        <w:pStyle w:val="17"/>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14:paraId="3C022666">
      <w:pPr>
        <w:pStyle w:val="17"/>
        <w:kinsoku w:val="0"/>
        <w:overflowPunct w:val="0"/>
        <w:spacing w:line="583" w:lineRule="auto"/>
        <w:ind w:right="4305"/>
        <w:rPr>
          <w:rFonts w:ascii="Times New Roman" w:hAnsi="Times New Roman" w:eastAsiaTheme="minorEastAsia"/>
          <w:spacing w:val="0"/>
        </w:rPr>
      </w:pPr>
    </w:p>
    <w:p w14:paraId="54EA30E2">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D84B387">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14:paraId="2748F745">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8FB5284">
      <w:pPr>
        <w:widowControl/>
        <w:jc w:val="left"/>
        <w:rPr>
          <w:rFonts w:eastAsiaTheme="minorEastAsia"/>
          <w:i/>
          <w:color w:val="000000"/>
          <w:spacing w:val="0"/>
          <w:sz w:val="24"/>
          <w:szCs w:val="20"/>
          <w:u w:val="single"/>
        </w:rPr>
      </w:pPr>
    </w:p>
    <w:p w14:paraId="2F8FF982">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9ADA848">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0C42E1E">
      <w:pPr>
        <w:spacing w:line="360" w:lineRule="exact"/>
        <w:jc w:val="center"/>
        <w:rPr>
          <w:rFonts w:eastAsiaTheme="minorEastAsia"/>
          <w:b/>
          <w:color w:val="000000"/>
          <w:spacing w:val="0"/>
          <w:sz w:val="36"/>
          <w:szCs w:val="36"/>
          <w:highlight w:val="none"/>
        </w:rPr>
      </w:pPr>
      <w:bookmarkStart w:id="721" w:name="_Toc305158900"/>
      <w:bookmarkStart w:id="722" w:name="_Toc264969248"/>
      <w:bookmarkStart w:id="723" w:name="_Toc265228396"/>
      <w:bookmarkStart w:id="724" w:name="_Toc164608827"/>
      <w:bookmarkStart w:id="725" w:name="_Toc226337254"/>
      <w:bookmarkStart w:id="726" w:name="_Toc305158826"/>
      <w:bookmarkStart w:id="727" w:name="_Toc226309802"/>
      <w:bookmarkStart w:id="728" w:name="_Toc226965748"/>
      <w:bookmarkStart w:id="729" w:name="_Toc195842923"/>
      <w:bookmarkStart w:id="730" w:name="_Toc164608672"/>
      <w:bookmarkStart w:id="731" w:name="_Toc226965831"/>
      <w:r>
        <w:rPr>
          <w:rFonts w:eastAsiaTheme="minorEastAsia"/>
          <w:b/>
          <w:color w:val="000000"/>
          <w:spacing w:val="0"/>
          <w:sz w:val="36"/>
          <w:szCs w:val="36"/>
          <w:highlight w:val="none"/>
        </w:rPr>
        <w:t>报价一览表</w:t>
      </w:r>
      <w:bookmarkEnd w:id="721"/>
      <w:bookmarkEnd w:id="722"/>
      <w:bookmarkEnd w:id="723"/>
      <w:bookmarkEnd w:id="724"/>
      <w:bookmarkEnd w:id="725"/>
      <w:bookmarkEnd w:id="726"/>
      <w:bookmarkEnd w:id="727"/>
      <w:bookmarkEnd w:id="728"/>
      <w:bookmarkEnd w:id="729"/>
      <w:bookmarkEnd w:id="730"/>
      <w:bookmarkEnd w:id="731"/>
    </w:p>
    <w:p w14:paraId="525B2658">
      <w:pPr>
        <w:tabs>
          <w:tab w:val="left" w:pos="1800"/>
          <w:tab w:val="left" w:pos="5580"/>
        </w:tabs>
        <w:spacing w:line="360" w:lineRule="auto"/>
        <w:jc w:val="left"/>
        <w:rPr>
          <w:rFonts w:eastAsiaTheme="minorEastAsia"/>
          <w:color w:val="000000"/>
          <w:spacing w:val="0"/>
          <w:sz w:val="24"/>
        </w:rPr>
      </w:pPr>
    </w:p>
    <w:p w14:paraId="6041F77A">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14:paraId="20D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14:paraId="13940333">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14:paraId="65DB21D9">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14:paraId="5EF0B289">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14:paraId="2D636CEB">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14:paraId="433BABA5">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14:paraId="5BF2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25F134A2">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14:paraId="0B7390C7">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7B37E087">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14:paraId="194E64C4">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14:paraId="68DB332D">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14:paraId="6E2E9450">
            <w:pPr>
              <w:tabs>
                <w:tab w:val="left" w:pos="5580"/>
              </w:tabs>
              <w:jc w:val="center"/>
              <w:rPr>
                <w:rFonts w:eastAsiaTheme="minorEastAsia"/>
                <w:b/>
                <w:spacing w:val="0"/>
                <w:sz w:val="24"/>
              </w:rPr>
            </w:pPr>
          </w:p>
        </w:tc>
      </w:tr>
      <w:tr w14:paraId="6C1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F1338AF">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02A2F956">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3B736241">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53ECEDF0">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14:paraId="37F16DEB">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14:paraId="19213645">
            <w:pPr>
              <w:tabs>
                <w:tab w:val="left" w:pos="5580"/>
              </w:tabs>
              <w:jc w:val="center"/>
              <w:rPr>
                <w:rFonts w:eastAsiaTheme="minorEastAsia"/>
                <w:spacing w:val="0"/>
                <w:sz w:val="24"/>
              </w:rPr>
            </w:pPr>
          </w:p>
        </w:tc>
      </w:tr>
    </w:tbl>
    <w:p w14:paraId="4717220F">
      <w:pPr>
        <w:autoSpaceDE w:val="0"/>
        <w:autoSpaceDN w:val="0"/>
        <w:adjustRightInd w:val="0"/>
        <w:jc w:val="left"/>
        <w:rPr>
          <w:rFonts w:eastAsiaTheme="minorEastAsia"/>
          <w:color w:val="000000"/>
          <w:spacing w:val="0"/>
          <w:kern w:val="0"/>
          <w:sz w:val="24"/>
        </w:rPr>
      </w:pPr>
    </w:p>
    <w:p w14:paraId="7F82B256">
      <w:pPr>
        <w:autoSpaceDE w:val="0"/>
        <w:autoSpaceDN w:val="0"/>
        <w:adjustRightInd w:val="0"/>
        <w:jc w:val="left"/>
        <w:rPr>
          <w:rFonts w:eastAsiaTheme="minorEastAsia"/>
          <w:color w:val="000000"/>
          <w:spacing w:val="0"/>
          <w:sz w:val="24"/>
          <w:szCs w:val="20"/>
        </w:rPr>
      </w:pPr>
      <w:r>
        <w:rPr>
          <w:rFonts w:eastAsiaTheme="minorEastAsia"/>
          <w:color w:val="000000"/>
          <w:spacing w:val="0"/>
          <w:kern w:val="0"/>
          <w:sz w:val="24"/>
        </w:rPr>
        <w:t>注：1</w:t>
      </w:r>
      <w:r>
        <w:rPr>
          <w:rFonts w:eastAsiaTheme="minorEastAsia"/>
          <w:color w:val="000000"/>
          <w:spacing w:val="0"/>
          <w:sz w:val="24"/>
          <w:szCs w:val="20"/>
        </w:rPr>
        <w:t>.此表中，每包的报价应和《分项报价表》中的总价相一致。</w:t>
      </w:r>
    </w:p>
    <w:p w14:paraId="30EF9263">
      <w:pPr>
        <w:tabs>
          <w:tab w:val="left" w:pos="5580"/>
        </w:tabs>
        <w:ind w:firstLine="480" w:firstLineChars="200"/>
        <w:rPr>
          <w:rFonts w:eastAsiaTheme="minorEastAsia"/>
          <w:color w:val="000000"/>
          <w:spacing w:val="0"/>
          <w:sz w:val="24"/>
          <w:szCs w:val="20"/>
        </w:rPr>
      </w:pPr>
      <w:r>
        <w:rPr>
          <w:rFonts w:eastAsiaTheme="minorEastAsia"/>
          <w:color w:val="000000"/>
          <w:spacing w:val="0"/>
          <w:sz w:val="24"/>
          <w:szCs w:val="20"/>
        </w:rPr>
        <w:t>2.本表必须按包分别填写。</w:t>
      </w:r>
    </w:p>
    <w:p w14:paraId="124E9A75">
      <w:pPr>
        <w:tabs>
          <w:tab w:val="left" w:pos="5580"/>
        </w:tabs>
        <w:ind w:firstLine="480" w:firstLineChars="200"/>
        <w:rPr>
          <w:rFonts w:eastAsiaTheme="minorEastAsia"/>
          <w:color w:val="000000"/>
          <w:spacing w:val="0"/>
          <w:sz w:val="24"/>
          <w:szCs w:val="20"/>
        </w:rPr>
      </w:pPr>
    </w:p>
    <w:p w14:paraId="3DA25A23">
      <w:pPr>
        <w:autoSpaceDE w:val="0"/>
        <w:autoSpaceDN w:val="0"/>
        <w:adjustRightInd w:val="0"/>
        <w:snapToGrid w:val="0"/>
        <w:spacing w:before="25" w:after="25" w:line="360" w:lineRule="auto"/>
        <w:rPr>
          <w:rFonts w:eastAsiaTheme="minorEastAsia"/>
          <w:color w:val="000000"/>
          <w:spacing w:val="0"/>
          <w:sz w:val="24"/>
          <w:lang w:val="zh-CN"/>
        </w:rPr>
      </w:pPr>
    </w:p>
    <w:p w14:paraId="081F3E32">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14:paraId="12DE243A">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14:paraId="3F570250">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A06166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14:paraId="3F171FF0">
      <w:pPr>
        <w:tabs>
          <w:tab w:val="left" w:pos="360"/>
        </w:tabs>
        <w:snapToGrid w:val="0"/>
        <w:spacing w:line="360" w:lineRule="auto"/>
        <w:outlineLvl w:val="1"/>
        <w:rPr>
          <w:rFonts w:eastAsiaTheme="minorEastAsia"/>
          <w:spacing w:val="0"/>
          <w:sz w:val="24"/>
        </w:rPr>
        <w:sectPr>
          <w:headerReference r:id="rId24" w:type="first"/>
          <w:footerReference r:id="rId26" w:type="first"/>
          <w:headerReference r:id="rId23" w:type="even"/>
          <w:footerReference r:id="rId25" w:type="even"/>
          <w:pgSz w:w="11907" w:h="16840"/>
          <w:pgMar w:top="1418" w:right="1134" w:bottom="1418" w:left="1701" w:header="851" w:footer="851" w:gutter="0"/>
          <w:pgNumType w:fmt="decimal"/>
          <w:cols w:space="720" w:num="1"/>
          <w:docGrid w:linePitch="462" w:charSpace="0"/>
        </w:sectPr>
      </w:pPr>
      <w:bookmarkStart w:id="732" w:name="_Toc264969249"/>
      <w:bookmarkStart w:id="733" w:name="_Toc226309803"/>
      <w:bookmarkStart w:id="734" w:name="_Toc226337255"/>
      <w:bookmarkStart w:id="735" w:name="_Toc142311060"/>
      <w:bookmarkStart w:id="736" w:name="_Toc226965832"/>
      <w:bookmarkStart w:id="737" w:name="_Toc265228397"/>
      <w:bookmarkStart w:id="738" w:name="_Toc150480796"/>
      <w:bookmarkStart w:id="739" w:name="_Toc226965749"/>
      <w:bookmarkStart w:id="740" w:name="_Toc195842924"/>
      <w:bookmarkStart w:id="741" w:name="_Toc127151558"/>
      <w:bookmarkStart w:id="742" w:name="_Toc305158827"/>
      <w:bookmarkStart w:id="743" w:name="_Toc150774763"/>
      <w:bookmarkStart w:id="744" w:name="_Toc305158901"/>
    </w:p>
    <w:p w14:paraId="7AE62F31">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3C1ABB66">
      <w:pPr>
        <w:spacing w:line="360" w:lineRule="auto"/>
        <w:jc w:val="center"/>
        <w:rPr>
          <w:rFonts w:ascii="宋体" w:hAnsi="宋体" w:cs="宋体"/>
          <w:b/>
          <w:color w:val="auto"/>
          <w:sz w:val="36"/>
          <w:szCs w:val="36"/>
        </w:rPr>
      </w:pPr>
      <w:r>
        <w:rPr>
          <w:rFonts w:hint="eastAsia" w:ascii="宋体" w:hAnsi="宋体" w:cs="宋体"/>
          <w:b/>
          <w:color w:val="auto"/>
          <w:sz w:val="36"/>
          <w:szCs w:val="36"/>
        </w:rPr>
        <w:t>分项报价表</w:t>
      </w:r>
    </w:p>
    <w:p w14:paraId="22660580">
      <w:pPr>
        <w:pStyle w:val="5"/>
      </w:pPr>
    </w:p>
    <w:p w14:paraId="5F101B51">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AD7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7FAF49B9">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14:paraId="15090C10">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14:paraId="1BF18C76">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14:paraId="26CFAD2B">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14:paraId="6B78FF7C">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14:paraId="35C849E7">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14:paraId="33E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692B244">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14:paraId="72E5B2CB">
            <w:pPr>
              <w:adjustRightInd w:val="0"/>
              <w:snapToGrid w:val="0"/>
              <w:jc w:val="left"/>
              <w:rPr>
                <w:rFonts w:eastAsiaTheme="minorEastAsia"/>
                <w:color w:val="000000"/>
                <w:spacing w:val="0"/>
                <w:sz w:val="24"/>
              </w:rPr>
            </w:pPr>
          </w:p>
        </w:tc>
        <w:tc>
          <w:tcPr>
            <w:tcW w:w="1347" w:type="dxa"/>
            <w:vAlign w:val="center"/>
          </w:tcPr>
          <w:p w14:paraId="025BA3B2">
            <w:pPr>
              <w:adjustRightInd w:val="0"/>
              <w:snapToGrid w:val="0"/>
              <w:jc w:val="left"/>
              <w:rPr>
                <w:rFonts w:eastAsiaTheme="minorEastAsia"/>
                <w:color w:val="000000"/>
                <w:spacing w:val="0"/>
                <w:sz w:val="24"/>
              </w:rPr>
            </w:pPr>
          </w:p>
        </w:tc>
        <w:tc>
          <w:tcPr>
            <w:tcW w:w="1345" w:type="dxa"/>
            <w:vAlign w:val="center"/>
          </w:tcPr>
          <w:p w14:paraId="5AD509CC">
            <w:pPr>
              <w:adjustRightInd w:val="0"/>
              <w:snapToGrid w:val="0"/>
              <w:jc w:val="center"/>
              <w:rPr>
                <w:rFonts w:eastAsiaTheme="minorEastAsia"/>
                <w:color w:val="000000"/>
                <w:spacing w:val="0"/>
                <w:sz w:val="24"/>
              </w:rPr>
            </w:pPr>
          </w:p>
        </w:tc>
        <w:tc>
          <w:tcPr>
            <w:tcW w:w="1345" w:type="dxa"/>
            <w:vAlign w:val="center"/>
          </w:tcPr>
          <w:p w14:paraId="0BE65E40">
            <w:pPr>
              <w:adjustRightInd w:val="0"/>
              <w:snapToGrid w:val="0"/>
              <w:jc w:val="left"/>
              <w:rPr>
                <w:rFonts w:eastAsiaTheme="minorEastAsia"/>
                <w:color w:val="000000"/>
                <w:spacing w:val="0"/>
                <w:sz w:val="24"/>
              </w:rPr>
            </w:pPr>
          </w:p>
        </w:tc>
        <w:tc>
          <w:tcPr>
            <w:tcW w:w="1707" w:type="dxa"/>
            <w:vAlign w:val="center"/>
          </w:tcPr>
          <w:p w14:paraId="14DDCAAF">
            <w:pPr>
              <w:adjustRightInd w:val="0"/>
              <w:snapToGrid w:val="0"/>
              <w:jc w:val="left"/>
              <w:rPr>
                <w:rFonts w:eastAsiaTheme="minorEastAsia"/>
                <w:color w:val="000000"/>
                <w:spacing w:val="0"/>
                <w:sz w:val="24"/>
              </w:rPr>
            </w:pPr>
          </w:p>
        </w:tc>
      </w:tr>
      <w:tr w14:paraId="736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03D1B162">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14:paraId="4A2B57B1">
            <w:pPr>
              <w:adjustRightInd w:val="0"/>
              <w:snapToGrid w:val="0"/>
              <w:jc w:val="left"/>
              <w:rPr>
                <w:rFonts w:eastAsiaTheme="minorEastAsia"/>
                <w:color w:val="000000"/>
                <w:spacing w:val="0"/>
                <w:sz w:val="24"/>
              </w:rPr>
            </w:pPr>
          </w:p>
        </w:tc>
        <w:tc>
          <w:tcPr>
            <w:tcW w:w="1347" w:type="dxa"/>
            <w:vAlign w:val="center"/>
          </w:tcPr>
          <w:p w14:paraId="5A07F846">
            <w:pPr>
              <w:adjustRightInd w:val="0"/>
              <w:snapToGrid w:val="0"/>
              <w:jc w:val="left"/>
              <w:rPr>
                <w:rFonts w:eastAsiaTheme="minorEastAsia"/>
                <w:color w:val="000000"/>
                <w:spacing w:val="0"/>
                <w:sz w:val="24"/>
              </w:rPr>
            </w:pPr>
          </w:p>
        </w:tc>
        <w:tc>
          <w:tcPr>
            <w:tcW w:w="1345" w:type="dxa"/>
            <w:vAlign w:val="center"/>
          </w:tcPr>
          <w:p w14:paraId="0FEEFE6B">
            <w:pPr>
              <w:adjustRightInd w:val="0"/>
              <w:snapToGrid w:val="0"/>
              <w:jc w:val="center"/>
              <w:rPr>
                <w:rFonts w:eastAsiaTheme="minorEastAsia"/>
                <w:color w:val="000000"/>
                <w:spacing w:val="0"/>
                <w:sz w:val="24"/>
              </w:rPr>
            </w:pPr>
          </w:p>
        </w:tc>
        <w:tc>
          <w:tcPr>
            <w:tcW w:w="1345" w:type="dxa"/>
            <w:vAlign w:val="center"/>
          </w:tcPr>
          <w:p w14:paraId="6436D1AF">
            <w:pPr>
              <w:adjustRightInd w:val="0"/>
              <w:snapToGrid w:val="0"/>
              <w:jc w:val="left"/>
              <w:rPr>
                <w:rFonts w:eastAsiaTheme="minorEastAsia"/>
                <w:color w:val="000000"/>
                <w:spacing w:val="0"/>
                <w:sz w:val="24"/>
              </w:rPr>
            </w:pPr>
          </w:p>
        </w:tc>
        <w:tc>
          <w:tcPr>
            <w:tcW w:w="1707" w:type="dxa"/>
            <w:vAlign w:val="center"/>
          </w:tcPr>
          <w:p w14:paraId="5F787C4E">
            <w:pPr>
              <w:adjustRightInd w:val="0"/>
              <w:snapToGrid w:val="0"/>
              <w:jc w:val="left"/>
              <w:rPr>
                <w:rFonts w:eastAsiaTheme="minorEastAsia"/>
                <w:color w:val="000000"/>
                <w:spacing w:val="0"/>
                <w:sz w:val="24"/>
              </w:rPr>
            </w:pPr>
          </w:p>
        </w:tc>
      </w:tr>
      <w:tr w14:paraId="5ED0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5F0DAD9E">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14:paraId="643CD5B6">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14:paraId="2DE7C0C2">
            <w:pPr>
              <w:adjustRightInd w:val="0"/>
              <w:snapToGrid w:val="0"/>
              <w:jc w:val="left"/>
              <w:rPr>
                <w:rFonts w:eastAsiaTheme="minorEastAsia"/>
                <w:color w:val="000000"/>
                <w:spacing w:val="0"/>
                <w:sz w:val="24"/>
              </w:rPr>
            </w:pPr>
          </w:p>
        </w:tc>
        <w:tc>
          <w:tcPr>
            <w:tcW w:w="1345" w:type="dxa"/>
            <w:vAlign w:val="center"/>
          </w:tcPr>
          <w:p w14:paraId="272F2F4A">
            <w:pPr>
              <w:adjustRightInd w:val="0"/>
              <w:snapToGrid w:val="0"/>
              <w:jc w:val="center"/>
              <w:rPr>
                <w:rFonts w:eastAsiaTheme="minorEastAsia"/>
                <w:color w:val="000000"/>
                <w:spacing w:val="0"/>
                <w:sz w:val="24"/>
              </w:rPr>
            </w:pPr>
          </w:p>
        </w:tc>
        <w:tc>
          <w:tcPr>
            <w:tcW w:w="1345" w:type="dxa"/>
            <w:vAlign w:val="center"/>
          </w:tcPr>
          <w:p w14:paraId="5E101A80">
            <w:pPr>
              <w:adjustRightInd w:val="0"/>
              <w:snapToGrid w:val="0"/>
              <w:jc w:val="left"/>
              <w:rPr>
                <w:rFonts w:eastAsiaTheme="minorEastAsia"/>
                <w:color w:val="000000"/>
                <w:spacing w:val="0"/>
                <w:sz w:val="24"/>
              </w:rPr>
            </w:pPr>
          </w:p>
        </w:tc>
        <w:tc>
          <w:tcPr>
            <w:tcW w:w="1707" w:type="dxa"/>
            <w:vAlign w:val="center"/>
          </w:tcPr>
          <w:p w14:paraId="786E6F3F">
            <w:pPr>
              <w:adjustRightInd w:val="0"/>
              <w:snapToGrid w:val="0"/>
              <w:jc w:val="left"/>
              <w:rPr>
                <w:rFonts w:eastAsiaTheme="minorEastAsia"/>
                <w:color w:val="000000"/>
                <w:spacing w:val="0"/>
                <w:sz w:val="24"/>
              </w:rPr>
            </w:pPr>
          </w:p>
        </w:tc>
      </w:tr>
      <w:tr w14:paraId="25FA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7FF8FABE">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14:paraId="749321BC">
            <w:pPr>
              <w:adjustRightInd w:val="0"/>
              <w:snapToGrid w:val="0"/>
              <w:jc w:val="left"/>
              <w:rPr>
                <w:rFonts w:eastAsiaTheme="minorEastAsia"/>
                <w:color w:val="000000"/>
                <w:spacing w:val="0"/>
                <w:sz w:val="24"/>
              </w:rPr>
            </w:pPr>
          </w:p>
        </w:tc>
        <w:tc>
          <w:tcPr>
            <w:tcW w:w="1707" w:type="dxa"/>
            <w:vAlign w:val="center"/>
          </w:tcPr>
          <w:p w14:paraId="0961A6D6">
            <w:pPr>
              <w:adjustRightInd w:val="0"/>
              <w:snapToGrid w:val="0"/>
              <w:jc w:val="left"/>
              <w:rPr>
                <w:rFonts w:eastAsiaTheme="minorEastAsia"/>
                <w:color w:val="000000"/>
                <w:spacing w:val="0"/>
                <w:sz w:val="24"/>
              </w:rPr>
            </w:pPr>
          </w:p>
        </w:tc>
      </w:tr>
    </w:tbl>
    <w:p w14:paraId="42994063">
      <w:pPr>
        <w:tabs>
          <w:tab w:val="left" w:pos="1800"/>
          <w:tab w:val="left" w:pos="5580"/>
        </w:tabs>
        <w:jc w:val="left"/>
        <w:rPr>
          <w:rFonts w:eastAsiaTheme="minorEastAsia"/>
          <w:color w:val="000000"/>
          <w:spacing w:val="0"/>
          <w:sz w:val="24"/>
        </w:rPr>
      </w:pPr>
    </w:p>
    <w:p w14:paraId="2A19E3F7">
      <w:pPr>
        <w:tabs>
          <w:tab w:val="left" w:pos="1800"/>
          <w:tab w:val="left" w:pos="5580"/>
        </w:tabs>
        <w:jc w:val="left"/>
        <w:rPr>
          <w:rFonts w:eastAsiaTheme="minorEastAsia"/>
          <w:color w:val="000000"/>
          <w:spacing w:val="0"/>
          <w:sz w:val="24"/>
        </w:rPr>
      </w:pPr>
    </w:p>
    <w:p w14:paraId="2E06DC74">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14:paraId="565732D7">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14:paraId="3A54D5CA">
      <w:pPr>
        <w:tabs>
          <w:tab w:val="left" w:pos="1800"/>
          <w:tab w:val="left" w:pos="5580"/>
        </w:tabs>
        <w:ind w:firstLine="480" w:firstLineChars="200"/>
        <w:jc w:val="left"/>
        <w:rPr>
          <w:color w:val="000000"/>
          <w:spacing w:val="0"/>
          <w:sz w:val="24"/>
        </w:rPr>
      </w:pPr>
      <w:bookmarkStart w:id="745" w:name="_Hlk167094566"/>
    </w:p>
    <w:bookmarkEnd w:id="745"/>
    <w:p w14:paraId="5E4D17FF">
      <w:pPr>
        <w:tabs>
          <w:tab w:val="left" w:pos="1800"/>
          <w:tab w:val="left" w:pos="5580"/>
        </w:tabs>
        <w:ind w:firstLine="480" w:firstLineChars="200"/>
        <w:jc w:val="left"/>
        <w:rPr>
          <w:rFonts w:eastAsiaTheme="minorEastAsia"/>
          <w:color w:val="000000"/>
          <w:spacing w:val="0"/>
          <w:sz w:val="24"/>
        </w:rPr>
      </w:pPr>
    </w:p>
    <w:p w14:paraId="338AFC6C">
      <w:pPr>
        <w:autoSpaceDE w:val="0"/>
        <w:autoSpaceDN w:val="0"/>
        <w:adjustRightInd w:val="0"/>
        <w:snapToGrid w:val="0"/>
        <w:spacing w:before="25" w:after="25" w:line="360" w:lineRule="auto"/>
        <w:rPr>
          <w:rFonts w:eastAsiaTheme="minorEastAsia"/>
          <w:color w:val="000000"/>
          <w:spacing w:val="0"/>
          <w:sz w:val="24"/>
        </w:rPr>
      </w:pPr>
    </w:p>
    <w:p w14:paraId="4BA36F77">
      <w:pPr>
        <w:autoSpaceDE w:val="0"/>
        <w:autoSpaceDN w:val="0"/>
        <w:adjustRightInd w:val="0"/>
        <w:snapToGrid w:val="0"/>
        <w:spacing w:before="25" w:after="25" w:line="360" w:lineRule="auto"/>
        <w:rPr>
          <w:rFonts w:eastAsiaTheme="minorEastAsia"/>
          <w:color w:val="000000"/>
          <w:spacing w:val="0"/>
          <w:sz w:val="24"/>
        </w:rPr>
      </w:pPr>
    </w:p>
    <w:p w14:paraId="0D7710FB">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519DFD3">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091CE216">
      <w:pPr>
        <w:tabs>
          <w:tab w:val="left" w:pos="360"/>
        </w:tabs>
        <w:snapToGrid w:val="0"/>
        <w:spacing w:line="360" w:lineRule="auto"/>
        <w:outlineLvl w:val="1"/>
        <w:rPr>
          <w:rFonts w:eastAsiaTheme="minorEastAsia"/>
          <w:spacing w:val="0"/>
          <w:sz w:val="24"/>
        </w:rPr>
        <w:sectPr>
          <w:pgSz w:w="11907" w:h="16840"/>
          <w:pgMar w:top="1418" w:right="1134" w:bottom="1418" w:left="1701" w:header="851" w:footer="851" w:gutter="0"/>
          <w:pgNumType w:fmt="decimal"/>
          <w:cols w:space="720" w:num="1"/>
          <w:docGrid w:linePitch="462" w:charSpace="0"/>
        </w:sectPr>
      </w:pPr>
      <w:bookmarkStart w:id="746" w:name="_Toc305158830"/>
      <w:bookmarkStart w:id="747" w:name="_Toc226965835"/>
      <w:bookmarkStart w:id="748" w:name="_Toc195842927"/>
      <w:bookmarkStart w:id="749" w:name="_Toc226309806"/>
      <w:bookmarkStart w:id="750" w:name="_Toc305158904"/>
      <w:bookmarkStart w:id="751" w:name="_Toc264969252"/>
      <w:bookmarkStart w:id="752" w:name="_Toc150480798"/>
      <w:bookmarkStart w:id="753" w:name="_Toc142311062"/>
      <w:bookmarkStart w:id="754" w:name="_Toc150774765"/>
      <w:bookmarkStart w:id="755" w:name="_Toc127151562"/>
      <w:bookmarkStart w:id="756" w:name="_Toc265228400"/>
      <w:bookmarkStart w:id="757" w:name="_Toc226337258"/>
      <w:bookmarkStart w:id="758" w:name="_Toc226965752"/>
      <w:bookmarkStart w:id="759" w:name="_Toc226337257"/>
      <w:bookmarkStart w:id="760" w:name="_Toc150480797"/>
      <w:bookmarkStart w:id="761" w:name="_Toc195842926"/>
      <w:bookmarkStart w:id="762" w:name="_Toc305158829"/>
      <w:bookmarkStart w:id="763" w:name="_Toc127151561"/>
      <w:bookmarkStart w:id="764" w:name="_Toc226309805"/>
      <w:bookmarkStart w:id="765" w:name="_Toc150774764"/>
      <w:bookmarkStart w:id="766" w:name="_Toc264969251"/>
      <w:bookmarkStart w:id="767" w:name="_Toc226965834"/>
      <w:bookmarkStart w:id="768" w:name="_Toc265228399"/>
      <w:bookmarkStart w:id="769" w:name="_Toc226965751"/>
      <w:bookmarkStart w:id="770" w:name="_Toc142311061"/>
      <w:bookmarkStart w:id="771" w:name="_Toc305158903"/>
    </w:p>
    <w:p w14:paraId="0ED714AD">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eastAsiaTheme="minorEastAsia"/>
          <w:spacing w:val="0"/>
          <w:sz w:val="24"/>
        </w:rPr>
        <w:t>（实质性格式）</w:t>
      </w:r>
    </w:p>
    <w:p w14:paraId="04BA6D71">
      <w:pPr>
        <w:spacing w:line="360" w:lineRule="auto"/>
        <w:rPr>
          <w:rFonts w:eastAsiaTheme="minorEastAsia"/>
          <w:color w:val="000000"/>
          <w:spacing w:val="0"/>
          <w:sz w:val="24"/>
          <w:szCs w:val="20"/>
        </w:rPr>
      </w:pPr>
    </w:p>
    <w:p w14:paraId="2F3A1207">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14:paraId="3A4627F4">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14:paraId="13A2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046C19F2">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14:paraId="214ECE4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14:paraId="6753955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14:paraId="58060ED1">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14:paraId="3B3AABCC">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14:paraId="437A264B">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2DE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3D196F5">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14:paraId="6CECF7F8">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14:paraId="03BC2523">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14:paraId="28F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784E9B">
            <w:pPr>
              <w:adjustRightInd w:val="0"/>
              <w:snapToGrid w:val="0"/>
              <w:jc w:val="center"/>
              <w:rPr>
                <w:rFonts w:eastAsiaTheme="minorEastAsia"/>
                <w:color w:val="000000"/>
                <w:spacing w:val="0"/>
                <w:sz w:val="24"/>
              </w:rPr>
            </w:pPr>
          </w:p>
        </w:tc>
        <w:tc>
          <w:tcPr>
            <w:tcW w:w="1562" w:type="dxa"/>
            <w:vAlign w:val="center"/>
          </w:tcPr>
          <w:p w14:paraId="6348A719">
            <w:pPr>
              <w:adjustRightInd w:val="0"/>
              <w:snapToGrid w:val="0"/>
              <w:jc w:val="center"/>
              <w:rPr>
                <w:rFonts w:eastAsiaTheme="minorEastAsia"/>
                <w:color w:val="000000"/>
                <w:spacing w:val="0"/>
                <w:sz w:val="24"/>
              </w:rPr>
            </w:pPr>
          </w:p>
        </w:tc>
        <w:tc>
          <w:tcPr>
            <w:tcW w:w="1776" w:type="dxa"/>
            <w:vAlign w:val="center"/>
          </w:tcPr>
          <w:p w14:paraId="1F7D9A02">
            <w:pPr>
              <w:adjustRightInd w:val="0"/>
              <w:snapToGrid w:val="0"/>
              <w:jc w:val="center"/>
              <w:rPr>
                <w:rFonts w:eastAsiaTheme="minorEastAsia"/>
                <w:color w:val="000000"/>
                <w:spacing w:val="0"/>
                <w:sz w:val="24"/>
              </w:rPr>
            </w:pPr>
          </w:p>
        </w:tc>
        <w:tc>
          <w:tcPr>
            <w:tcW w:w="1777" w:type="dxa"/>
            <w:vAlign w:val="center"/>
          </w:tcPr>
          <w:p w14:paraId="1F770079">
            <w:pPr>
              <w:adjustRightInd w:val="0"/>
              <w:snapToGrid w:val="0"/>
              <w:jc w:val="center"/>
              <w:rPr>
                <w:rFonts w:eastAsiaTheme="minorEastAsia"/>
                <w:color w:val="000000"/>
                <w:spacing w:val="0"/>
                <w:sz w:val="24"/>
              </w:rPr>
            </w:pPr>
          </w:p>
        </w:tc>
        <w:tc>
          <w:tcPr>
            <w:tcW w:w="2182" w:type="dxa"/>
            <w:vAlign w:val="center"/>
          </w:tcPr>
          <w:p w14:paraId="5E27D114">
            <w:pPr>
              <w:adjustRightInd w:val="0"/>
              <w:snapToGrid w:val="0"/>
              <w:jc w:val="center"/>
              <w:rPr>
                <w:rFonts w:eastAsiaTheme="minorEastAsia"/>
                <w:color w:val="000000"/>
                <w:spacing w:val="0"/>
                <w:sz w:val="24"/>
              </w:rPr>
            </w:pPr>
          </w:p>
        </w:tc>
        <w:tc>
          <w:tcPr>
            <w:tcW w:w="981" w:type="dxa"/>
            <w:vAlign w:val="center"/>
          </w:tcPr>
          <w:p w14:paraId="3A35ABAE">
            <w:pPr>
              <w:adjustRightInd w:val="0"/>
              <w:snapToGrid w:val="0"/>
              <w:jc w:val="center"/>
              <w:rPr>
                <w:rFonts w:eastAsiaTheme="minorEastAsia"/>
                <w:color w:val="000000"/>
                <w:spacing w:val="0"/>
                <w:sz w:val="24"/>
              </w:rPr>
            </w:pPr>
          </w:p>
        </w:tc>
      </w:tr>
      <w:tr w14:paraId="1E4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0B3E3D">
            <w:pPr>
              <w:adjustRightInd w:val="0"/>
              <w:snapToGrid w:val="0"/>
              <w:jc w:val="center"/>
              <w:rPr>
                <w:rFonts w:eastAsiaTheme="minorEastAsia"/>
                <w:color w:val="000000"/>
                <w:spacing w:val="0"/>
                <w:sz w:val="24"/>
              </w:rPr>
            </w:pPr>
          </w:p>
        </w:tc>
        <w:tc>
          <w:tcPr>
            <w:tcW w:w="1562" w:type="dxa"/>
            <w:vAlign w:val="center"/>
          </w:tcPr>
          <w:p w14:paraId="6F46423A">
            <w:pPr>
              <w:adjustRightInd w:val="0"/>
              <w:snapToGrid w:val="0"/>
              <w:jc w:val="center"/>
              <w:rPr>
                <w:rFonts w:eastAsiaTheme="minorEastAsia"/>
                <w:color w:val="000000"/>
                <w:spacing w:val="0"/>
                <w:sz w:val="24"/>
              </w:rPr>
            </w:pPr>
          </w:p>
        </w:tc>
        <w:tc>
          <w:tcPr>
            <w:tcW w:w="1776" w:type="dxa"/>
            <w:vAlign w:val="center"/>
          </w:tcPr>
          <w:p w14:paraId="0CEE3317">
            <w:pPr>
              <w:adjustRightInd w:val="0"/>
              <w:snapToGrid w:val="0"/>
              <w:jc w:val="center"/>
              <w:rPr>
                <w:rFonts w:eastAsiaTheme="minorEastAsia"/>
                <w:color w:val="000000"/>
                <w:spacing w:val="0"/>
                <w:sz w:val="24"/>
              </w:rPr>
            </w:pPr>
          </w:p>
        </w:tc>
        <w:tc>
          <w:tcPr>
            <w:tcW w:w="1777" w:type="dxa"/>
            <w:vAlign w:val="center"/>
          </w:tcPr>
          <w:p w14:paraId="56A27B39">
            <w:pPr>
              <w:adjustRightInd w:val="0"/>
              <w:snapToGrid w:val="0"/>
              <w:jc w:val="center"/>
              <w:rPr>
                <w:rFonts w:eastAsiaTheme="minorEastAsia"/>
                <w:color w:val="000000"/>
                <w:spacing w:val="0"/>
                <w:sz w:val="24"/>
              </w:rPr>
            </w:pPr>
          </w:p>
        </w:tc>
        <w:tc>
          <w:tcPr>
            <w:tcW w:w="2182" w:type="dxa"/>
            <w:vAlign w:val="center"/>
          </w:tcPr>
          <w:p w14:paraId="3893DFCF">
            <w:pPr>
              <w:adjustRightInd w:val="0"/>
              <w:snapToGrid w:val="0"/>
              <w:jc w:val="center"/>
              <w:rPr>
                <w:rFonts w:eastAsiaTheme="minorEastAsia"/>
                <w:color w:val="000000"/>
                <w:spacing w:val="0"/>
                <w:sz w:val="24"/>
              </w:rPr>
            </w:pPr>
          </w:p>
        </w:tc>
        <w:tc>
          <w:tcPr>
            <w:tcW w:w="981" w:type="dxa"/>
            <w:vAlign w:val="center"/>
          </w:tcPr>
          <w:p w14:paraId="56BF0ED7">
            <w:pPr>
              <w:adjustRightInd w:val="0"/>
              <w:snapToGrid w:val="0"/>
              <w:jc w:val="center"/>
              <w:rPr>
                <w:rFonts w:eastAsiaTheme="minorEastAsia"/>
                <w:color w:val="000000"/>
                <w:spacing w:val="0"/>
                <w:sz w:val="24"/>
              </w:rPr>
            </w:pPr>
          </w:p>
        </w:tc>
      </w:tr>
      <w:tr w14:paraId="46B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9608DDD">
            <w:pPr>
              <w:adjustRightInd w:val="0"/>
              <w:snapToGrid w:val="0"/>
              <w:jc w:val="center"/>
              <w:rPr>
                <w:rFonts w:eastAsiaTheme="minorEastAsia"/>
                <w:color w:val="000000"/>
                <w:spacing w:val="0"/>
                <w:sz w:val="24"/>
              </w:rPr>
            </w:pPr>
          </w:p>
        </w:tc>
        <w:tc>
          <w:tcPr>
            <w:tcW w:w="1562" w:type="dxa"/>
            <w:vAlign w:val="center"/>
          </w:tcPr>
          <w:p w14:paraId="61E1762F">
            <w:pPr>
              <w:adjustRightInd w:val="0"/>
              <w:snapToGrid w:val="0"/>
              <w:jc w:val="center"/>
              <w:rPr>
                <w:rFonts w:eastAsiaTheme="minorEastAsia"/>
                <w:color w:val="000000"/>
                <w:spacing w:val="0"/>
                <w:sz w:val="24"/>
              </w:rPr>
            </w:pPr>
          </w:p>
        </w:tc>
        <w:tc>
          <w:tcPr>
            <w:tcW w:w="1776" w:type="dxa"/>
            <w:vAlign w:val="center"/>
          </w:tcPr>
          <w:p w14:paraId="7D945113">
            <w:pPr>
              <w:adjustRightInd w:val="0"/>
              <w:snapToGrid w:val="0"/>
              <w:jc w:val="center"/>
              <w:rPr>
                <w:rFonts w:eastAsiaTheme="minorEastAsia"/>
                <w:color w:val="000000"/>
                <w:spacing w:val="0"/>
                <w:sz w:val="24"/>
              </w:rPr>
            </w:pPr>
          </w:p>
        </w:tc>
        <w:tc>
          <w:tcPr>
            <w:tcW w:w="1777" w:type="dxa"/>
            <w:vAlign w:val="center"/>
          </w:tcPr>
          <w:p w14:paraId="4AFEF8A4">
            <w:pPr>
              <w:adjustRightInd w:val="0"/>
              <w:snapToGrid w:val="0"/>
              <w:jc w:val="center"/>
              <w:rPr>
                <w:rFonts w:eastAsiaTheme="minorEastAsia"/>
                <w:color w:val="000000"/>
                <w:spacing w:val="0"/>
                <w:sz w:val="24"/>
              </w:rPr>
            </w:pPr>
          </w:p>
        </w:tc>
        <w:tc>
          <w:tcPr>
            <w:tcW w:w="2182" w:type="dxa"/>
            <w:vAlign w:val="center"/>
          </w:tcPr>
          <w:p w14:paraId="6AE57848">
            <w:pPr>
              <w:adjustRightInd w:val="0"/>
              <w:snapToGrid w:val="0"/>
              <w:jc w:val="center"/>
              <w:rPr>
                <w:rFonts w:eastAsiaTheme="minorEastAsia"/>
                <w:color w:val="000000"/>
                <w:spacing w:val="0"/>
                <w:sz w:val="24"/>
              </w:rPr>
            </w:pPr>
          </w:p>
        </w:tc>
        <w:tc>
          <w:tcPr>
            <w:tcW w:w="981" w:type="dxa"/>
            <w:vAlign w:val="center"/>
          </w:tcPr>
          <w:p w14:paraId="1403CB7E">
            <w:pPr>
              <w:adjustRightInd w:val="0"/>
              <w:snapToGrid w:val="0"/>
              <w:jc w:val="center"/>
              <w:rPr>
                <w:rFonts w:eastAsiaTheme="minorEastAsia"/>
                <w:color w:val="000000"/>
                <w:spacing w:val="0"/>
                <w:sz w:val="24"/>
              </w:rPr>
            </w:pPr>
          </w:p>
        </w:tc>
      </w:tr>
      <w:tr w14:paraId="4B0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5773A5A">
            <w:pPr>
              <w:adjustRightInd w:val="0"/>
              <w:snapToGrid w:val="0"/>
              <w:jc w:val="center"/>
              <w:rPr>
                <w:rFonts w:eastAsiaTheme="minorEastAsia"/>
                <w:color w:val="000000"/>
                <w:spacing w:val="0"/>
                <w:sz w:val="24"/>
              </w:rPr>
            </w:pPr>
          </w:p>
        </w:tc>
        <w:tc>
          <w:tcPr>
            <w:tcW w:w="1562" w:type="dxa"/>
            <w:vAlign w:val="center"/>
          </w:tcPr>
          <w:p w14:paraId="285C2FEA">
            <w:pPr>
              <w:adjustRightInd w:val="0"/>
              <w:snapToGrid w:val="0"/>
              <w:jc w:val="center"/>
              <w:rPr>
                <w:rFonts w:eastAsiaTheme="minorEastAsia"/>
                <w:color w:val="000000"/>
                <w:spacing w:val="0"/>
                <w:sz w:val="24"/>
              </w:rPr>
            </w:pPr>
          </w:p>
        </w:tc>
        <w:tc>
          <w:tcPr>
            <w:tcW w:w="1776" w:type="dxa"/>
            <w:vAlign w:val="center"/>
          </w:tcPr>
          <w:p w14:paraId="21606414">
            <w:pPr>
              <w:adjustRightInd w:val="0"/>
              <w:snapToGrid w:val="0"/>
              <w:jc w:val="center"/>
              <w:rPr>
                <w:rFonts w:eastAsiaTheme="minorEastAsia"/>
                <w:color w:val="000000"/>
                <w:spacing w:val="0"/>
                <w:sz w:val="24"/>
              </w:rPr>
            </w:pPr>
          </w:p>
        </w:tc>
        <w:tc>
          <w:tcPr>
            <w:tcW w:w="1777" w:type="dxa"/>
            <w:vAlign w:val="center"/>
          </w:tcPr>
          <w:p w14:paraId="69C50DBB">
            <w:pPr>
              <w:adjustRightInd w:val="0"/>
              <w:snapToGrid w:val="0"/>
              <w:jc w:val="center"/>
              <w:rPr>
                <w:rFonts w:eastAsiaTheme="minorEastAsia"/>
                <w:color w:val="000000"/>
                <w:spacing w:val="0"/>
                <w:sz w:val="24"/>
              </w:rPr>
            </w:pPr>
          </w:p>
        </w:tc>
        <w:tc>
          <w:tcPr>
            <w:tcW w:w="2182" w:type="dxa"/>
            <w:vAlign w:val="center"/>
          </w:tcPr>
          <w:p w14:paraId="4BCC7755">
            <w:pPr>
              <w:adjustRightInd w:val="0"/>
              <w:snapToGrid w:val="0"/>
              <w:jc w:val="center"/>
              <w:rPr>
                <w:rFonts w:eastAsiaTheme="minorEastAsia"/>
                <w:color w:val="000000"/>
                <w:spacing w:val="0"/>
                <w:sz w:val="24"/>
              </w:rPr>
            </w:pPr>
          </w:p>
        </w:tc>
        <w:tc>
          <w:tcPr>
            <w:tcW w:w="981" w:type="dxa"/>
            <w:vAlign w:val="center"/>
          </w:tcPr>
          <w:p w14:paraId="621C0722">
            <w:pPr>
              <w:adjustRightInd w:val="0"/>
              <w:snapToGrid w:val="0"/>
              <w:jc w:val="center"/>
              <w:rPr>
                <w:rFonts w:eastAsiaTheme="minorEastAsia"/>
                <w:color w:val="000000"/>
                <w:spacing w:val="0"/>
                <w:sz w:val="24"/>
              </w:rPr>
            </w:pPr>
          </w:p>
        </w:tc>
      </w:tr>
      <w:tr w14:paraId="49E5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EEA37E4">
            <w:pPr>
              <w:adjustRightInd w:val="0"/>
              <w:snapToGrid w:val="0"/>
              <w:jc w:val="center"/>
              <w:rPr>
                <w:rFonts w:eastAsiaTheme="minorEastAsia"/>
                <w:color w:val="000000"/>
                <w:spacing w:val="0"/>
                <w:sz w:val="24"/>
              </w:rPr>
            </w:pPr>
          </w:p>
        </w:tc>
        <w:tc>
          <w:tcPr>
            <w:tcW w:w="1562" w:type="dxa"/>
            <w:vAlign w:val="center"/>
          </w:tcPr>
          <w:p w14:paraId="1BFA0615">
            <w:pPr>
              <w:adjustRightInd w:val="0"/>
              <w:snapToGrid w:val="0"/>
              <w:jc w:val="center"/>
              <w:rPr>
                <w:rFonts w:eastAsiaTheme="minorEastAsia"/>
                <w:color w:val="000000"/>
                <w:spacing w:val="0"/>
                <w:sz w:val="24"/>
              </w:rPr>
            </w:pPr>
          </w:p>
        </w:tc>
        <w:tc>
          <w:tcPr>
            <w:tcW w:w="1776" w:type="dxa"/>
            <w:vAlign w:val="center"/>
          </w:tcPr>
          <w:p w14:paraId="3336B937">
            <w:pPr>
              <w:adjustRightInd w:val="0"/>
              <w:snapToGrid w:val="0"/>
              <w:jc w:val="center"/>
              <w:rPr>
                <w:rFonts w:eastAsiaTheme="minorEastAsia"/>
                <w:color w:val="000000"/>
                <w:spacing w:val="0"/>
                <w:sz w:val="24"/>
              </w:rPr>
            </w:pPr>
          </w:p>
        </w:tc>
        <w:tc>
          <w:tcPr>
            <w:tcW w:w="1777" w:type="dxa"/>
            <w:vAlign w:val="center"/>
          </w:tcPr>
          <w:p w14:paraId="129D8ABA">
            <w:pPr>
              <w:adjustRightInd w:val="0"/>
              <w:snapToGrid w:val="0"/>
              <w:jc w:val="center"/>
              <w:rPr>
                <w:rFonts w:eastAsiaTheme="minorEastAsia"/>
                <w:color w:val="000000"/>
                <w:spacing w:val="0"/>
                <w:sz w:val="24"/>
              </w:rPr>
            </w:pPr>
          </w:p>
        </w:tc>
        <w:tc>
          <w:tcPr>
            <w:tcW w:w="2182" w:type="dxa"/>
            <w:vAlign w:val="center"/>
          </w:tcPr>
          <w:p w14:paraId="6D1A9E78">
            <w:pPr>
              <w:adjustRightInd w:val="0"/>
              <w:snapToGrid w:val="0"/>
              <w:jc w:val="center"/>
              <w:rPr>
                <w:rFonts w:eastAsiaTheme="minorEastAsia"/>
                <w:color w:val="000000"/>
                <w:spacing w:val="0"/>
                <w:sz w:val="24"/>
              </w:rPr>
            </w:pPr>
          </w:p>
        </w:tc>
        <w:tc>
          <w:tcPr>
            <w:tcW w:w="981" w:type="dxa"/>
            <w:vAlign w:val="center"/>
          </w:tcPr>
          <w:p w14:paraId="1EE83A0A">
            <w:pPr>
              <w:adjustRightInd w:val="0"/>
              <w:snapToGrid w:val="0"/>
              <w:jc w:val="center"/>
              <w:rPr>
                <w:rFonts w:eastAsiaTheme="minorEastAsia"/>
                <w:color w:val="000000"/>
                <w:spacing w:val="0"/>
                <w:sz w:val="24"/>
              </w:rPr>
            </w:pPr>
          </w:p>
        </w:tc>
      </w:tr>
    </w:tbl>
    <w:p w14:paraId="06CDA1E2">
      <w:pPr>
        <w:tabs>
          <w:tab w:val="left" w:pos="1800"/>
          <w:tab w:val="left" w:pos="5580"/>
        </w:tabs>
        <w:jc w:val="left"/>
        <w:rPr>
          <w:rFonts w:eastAsiaTheme="minorEastAsia"/>
          <w:color w:val="000000"/>
          <w:spacing w:val="0"/>
          <w:sz w:val="24"/>
        </w:rPr>
      </w:pPr>
    </w:p>
    <w:p w14:paraId="71B856C0">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14:paraId="6CA98542">
      <w:pPr>
        <w:spacing w:line="360" w:lineRule="auto"/>
        <w:rPr>
          <w:rFonts w:eastAsiaTheme="minorEastAsia"/>
          <w:color w:val="000000"/>
          <w:spacing w:val="0"/>
          <w:sz w:val="24"/>
          <w:szCs w:val="20"/>
        </w:rPr>
      </w:pPr>
    </w:p>
    <w:p w14:paraId="5C6E42B1">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14:paraId="10C5D4D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6FBADCEA">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pacing w:val="0"/>
          <w:sz w:val="24"/>
        </w:rPr>
        <w:t>采购需求偏离表（实质性格式）</w:t>
      </w:r>
    </w:p>
    <w:p w14:paraId="082BD79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14:paraId="76177382">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A96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81C6015">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14:paraId="6289B488">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竞争性磋商文件条目号(页码)</w:t>
            </w:r>
          </w:p>
        </w:tc>
        <w:tc>
          <w:tcPr>
            <w:tcW w:w="2384" w:type="dxa"/>
            <w:vAlign w:val="center"/>
          </w:tcPr>
          <w:p w14:paraId="2CE655ED">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14:paraId="7D506C6B">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14:paraId="6A6A960A">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14:paraId="6BDFCBBA">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1D33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466EF8">
            <w:pPr>
              <w:adjustRightInd w:val="0"/>
              <w:snapToGrid w:val="0"/>
              <w:jc w:val="center"/>
              <w:rPr>
                <w:rFonts w:eastAsiaTheme="minorEastAsia"/>
                <w:color w:val="000000"/>
                <w:spacing w:val="0"/>
                <w:sz w:val="24"/>
              </w:rPr>
            </w:pPr>
          </w:p>
        </w:tc>
        <w:tc>
          <w:tcPr>
            <w:tcW w:w="1482" w:type="dxa"/>
            <w:vAlign w:val="center"/>
          </w:tcPr>
          <w:p w14:paraId="14B3BD84">
            <w:pPr>
              <w:adjustRightInd w:val="0"/>
              <w:snapToGrid w:val="0"/>
              <w:jc w:val="center"/>
              <w:rPr>
                <w:rFonts w:eastAsiaTheme="minorEastAsia"/>
                <w:color w:val="000000"/>
                <w:spacing w:val="0"/>
                <w:sz w:val="24"/>
              </w:rPr>
            </w:pPr>
          </w:p>
        </w:tc>
        <w:tc>
          <w:tcPr>
            <w:tcW w:w="2384" w:type="dxa"/>
            <w:vAlign w:val="center"/>
          </w:tcPr>
          <w:p w14:paraId="15B25127">
            <w:pPr>
              <w:adjustRightInd w:val="0"/>
              <w:snapToGrid w:val="0"/>
              <w:jc w:val="center"/>
              <w:rPr>
                <w:rFonts w:eastAsiaTheme="minorEastAsia"/>
                <w:color w:val="000000"/>
                <w:spacing w:val="0"/>
                <w:sz w:val="24"/>
              </w:rPr>
            </w:pPr>
          </w:p>
        </w:tc>
        <w:tc>
          <w:tcPr>
            <w:tcW w:w="2126" w:type="dxa"/>
            <w:vAlign w:val="center"/>
          </w:tcPr>
          <w:p w14:paraId="555F82EA">
            <w:pPr>
              <w:adjustRightInd w:val="0"/>
              <w:snapToGrid w:val="0"/>
              <w:jc w:val="center"/>
              <w:rPr>
                <w:rFonts w:eastAsiaTheme="minorEastAsia"/>
                <w:color w:val="000000"/>
                <w:spacing w:val="0"/>
                <w:sz w:val="24"/>
              </w:rPr>
            </w:pPr>
          </w:p>
        </w:tc>
        <w:tc>
          <w:tcPr>
            <w:tcW w:w="1875" w:type="dxa"/>
            <w:vAlign w:val="center"/>
          </w:tcPr>
          <w:p w14:paraId="49C8F91F">
            <w:pPr>
              <w:adjustRightInd w:val="0"/>
              <w:snapToGrid w:val="0"/>
              <w:jc w:val="center"/>
              <w:rPr>
                <w:rFonts w:eastAsiaTheme="minorEastAsia"/>
                <w:color w:val="000000"/>
                <w:spacing w:val="0"/>
                <w:sz w:val="24"/>
              </w:rPr>
            </w:pPr>
          </w:p>
        </w:tc>
        <w:tc>
          <w:tcPr>
            <w:tcW w:w="1009" w:type="dxa"/>
            <w:vAlign w:val="center"/>
          </w:tcPr>
          <w:p w14:paraId="72D64936">
            <w:pPr>
              <w:adjustRightInd w:val="0"/>
              <w:snapToGrid w:val="0"/>
              <w:jc w:val="center"/>
              <w:rPr>
                <w:rFonts w:eastAsiaTheme="minorEastAsia"/>
                <w:color w:val="000000"/>
                <w:spacing w:val="0"/>
                <w:sz w:val="24"/>
              </w:rPr>
            </w:pPr>
          </w:p>
        </w:tc>
      </w:tr>
      <w:tr w14:paraId="23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54D129">
            <w:pPr>
              <w:adjustRightInd w:val="0"/>
              <w:snapToGrid w:val="0"/>
              <w:jc w:val="center"/>
              <w:rPr>
                <w:rFonts w:eastAsiaTheme="minorEastAsia"/>
                <w:color w:val="000000"/>
                <w:spacing w:val="0"/>
                <w:sz w:val="24"/>
              </w:rPr>
            </w:pPr>
          </w:p>
        </w:tc>
        <w:tc>
          <w:tcPr>
            <w:tcW w:w="1482" w:type="dxa"/>
            <w:vAlign w:val="center"/>
          </w:tcPr>
          <w:p w14:paraId="3B54EB3F">
            <w:pPr>
              <w:adjustRightInd w:val="0"/>
              <w:snapToGrid w:val="0"/>
              <w:jc w:val="center"/>
              <w:rPr>
                <w:rFonts w:eastAsiaTheme="minorEastAsia"/>
                <w:color w:val="000000"/>
                <w:spacing w:val="0"/>
                <w:sz w:val="24"/>
              </w:rPr>
            </w:pPr>
          </w:p>
        </w:tc>
        <w:tc>
          <w:tcPr>
            <w:tcW w:w="2384" w:type="dxa"/>
            <w:vAlign w:val="center"/>
          </w:tcPr>
          <w:p w14:paraId="3B691636">
            <w:pPr>
              <w:adjustRightInd w:val="0"/>
              <w:snapToGrid w:val="0"/>
              <w:jc w:val="center"/>
              <w:rPr>
                <w:rFonts w:eastAsiaTheme="minorEastAsia"/>
                <w:color w:val="000000"/>
                <w:spacing w:val="0"/>
                <w:sz w:val="24"/>
              </w:rPr>
            </w:pPr>
          </w:p>
        </w:tc>
        <w:tc>
          <w:tcPr>
            <w:tcW w:w="2126" w:type="dxa"/>
            <w:vAlign w:val="center"/>
          </w:tcPr>
          <w:p w14:paraId="192804A5">
            <w:pPr>
              <w:adjustRightInd w:val="0"/>
              <w:snapToGrid w:val="0"/>
              <w:jc w:val="center"/>
              <w:rPr>
                <w:rFonts w:eastAsiaTheme="minorEastAsia"/>
                <w:color w:val="000000"/>
                <w:spacing w:val="0"/>
                <w:sz w:val="24"/>
              </w:rPr>
            </w:pPr>
          </w:p>
        </w:tc>
        <w:tc>
          <w:tcPr>
            <w:tcW w:w="1875" w:type="dxa"/>
            <w:vAlign w:val="center"/>
          </w:tcPr>
          <w:p w14:paraId="6231DBAD">
            <w:pPr>
              <w:adjustRightInd w:val="0"/>
              <w:snapToGrid w:val="0"/>
              <w:jc w:val="center"/>
              <w:rPr>
                <w:rFonts w:eastAsiaTheme="minorEastAsia"/>
                <w:color w:val="000000"/>
                <w:spacing w:val="0"/>
                <w:sz w:val="24"/>
              </w:rPr>
            </w:pPr>
          </w:p>
        </w:tc>
        <w:tc>
          <w:tcPr>
            <w:tcW w:w="1009" w:type="dxa"/>
            <w:vAlign w:val="center"/>
          </w:tcPr>
          <w:p w14:paraId="033A8E41">
            <w:pPr>
              <w:adjustRightInd w:val="0"/>
              <w:snapToGrid w:val="0"/>
              <w:jc w:val="center"/>
              <w:rPr>
                <w:rFonts w:eastAsiaTheme="minorEastAsia"/>
                <w:color w:val="000000"/>
                <w:spacing w:val="0"/>
                <w:sz w:val="24"/>
              </w:rPr>
            </w:pPr>
          </w:p>
        </w:tc>
      </w:tr>
      <w:tr w14:paraId="1800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C4B4DA">
            <w:pPr>
              <w:adjustRightInd w:val="0"/>
              <w:snapToGrid w:val="0"/>
              <w:jc w:val="center"/>
              <w:rPr>
                <w:rFonts w:eastAsiaTheme="minorEastAsia"/>
                <w:color w:val="000000"/>
                <w:spacing w:val="0"/>
                <w:sz w:val="24"/>
              </w:rPr>
            </w:pPr>
          </w:p>
        </w:tc>
        <w:tc>
          <w:tcPr>
            <w:tcW w:w="1482" w:type="dxa"/>
            <w:vAlign w:val="center"/>
          </w:tcPr>
          <w:p w14:paraId="78A3E913">
            <w:pPr>
              <w:adjustRightInd w:val="0"/>
              <w:snapToGrid w:val="0"/>
              <w:jc w:val="center"/>
              <w:rPr>
                <w:rFonts w:eastAsiaTheme="minorEastAsia"/>
                <w:color w:val="000000"/>
                <w:spacing w:val="0"/>
                <w:sz w:val="24"/>
              </w:rPr>
            </w:pPr>
          </w:p>
        </w:tc>
        <w:tc>
          <w:tcPr>
            <w:tcW w:w="2384" w:type="dxa"/>
            <w:vAlign w:val="center"/>
          </w:tcPr>
          <w:p w14:paraId="4400EACE">
            <w:pPr>
              <w:adjustRightInd w:val="0"/>
              <w:snapToGrid w:val="0"/>
              <w:jc w:val="center"/>
              <w:rPr>
                <w:rFonts w:eastAsiaTheme="minorEastAsia"/>
                <w:color w:val="000000"/>
                <w:spacing w:val="0"/>
                <w:sz w:val="24"/>
              </w:rPr>
            </w:pPr>
          </w:p>
        </w:tc>
        <w:tc>
          <w:tcPr>
            <w:tcW w:w="2126" w:type="dxa"/>
            <w:vAlign w:val="center"/>
          </w:tcPr>
          <w:p w14:paraId="09F8AE95">
            <w:pPr>
              <w:adjustRightInd w:val="0"/>
              <w:snapToGrid w:val="0"/>
              <w:jc w:val="center"/>
              <w:rPr>
                <w:rFonts w:eastAsiaTheme="minorEastAsia"/>
                <w:color w:val="000000"/>
                <w:spacing w:val="0"/>
                <w:sz w:val="24"/>
              </w:rPr>
            </w:pPr>
          </w:p>
        </w:tc>
        <w:tc>
          <w:tcPr>
            <w:tcW w:w="1875" w:type="dxa"/>
            <w:vAlign w:val="center"/>
          </w:tcPr>
          <w:p w14:paraId="135D5EF2">
            <w:pPr>
              <w:adjustRightInd w:val="0"/>
              <w:snapToGrid w:val="0"/>
              <w:jc w:val="center"/>
              <w:rPr>
                <w:rFonts w:eastAsiaTheme="minorEastAsia"/>
                <w:color w:val="000000"/>
                <w:spacing w:val="0"/>
                <w:sz w:val="24"/>
              </w:rPr>
            </w:pPr>
          </w:p>
        </w:tc>
        <w:tc>
          <w:tcPr>
            <w:tcW w:w="1009" w:type="dxa"/>
            <w:vAlign w:val="center"/>
          </w:tcPr>
          <w:p w14:paraId="44870C5C">
            <w:pPr>
              <w:adjustRightInd w:val="0"/>
              <w:snapToGrid w:val="0"/>
              <w:jc w:val="center"/>
              <w:rPr>
                <w:rFonts w:eastAsiaTheme="minorEastAsia"/>
                <w:color w:val="000000"/>
                <w:spacing w:val="0"/>
                <w:sz w:val="24"/>
              </w:rPr>
            </w:pPr>
          </w:p>
        </w:tc>
      </w:tr>
      <w:tr w14:paraId="1AB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688210">
            <w:pPr>
              <w:adjustRightInd w:val="0"/>
              <w:snapToGrid w:val="0"/>
              <w:jc w:val="center"/>
              <w:rPr>
                <w:rFonts w:eastAsiaTheme="minorEastAsia"/>
                <w:color w:val="000000"/>
                <w:spacing w:val="0"/>
                <w:sz w:val="24"/>
              </w:rPr>
            </w:pPr>
          </w:p>
        </w:tc>
        <w:tc>
          <w:tcPr>
            <w:tcW w:w="1482" w:type="dxa"/>
            <w:vAlign w:val="center"/>
          </w:tcPr>
          <w:p w14:paraId="52EA1D99">
            <w:pPr>
              <w:adjustRightInd w:val="0"/>
              <w:snapToGrid w:val="0"/>
              <w:jc w:val="center"/>
              <w:rPr>
                <w:rFonts w:eastAsiaTheme="minorEastAsia"/>
                <w:color w:val="000000"/>
                <w:spacing w:val="0"/>
                <w:sz w:val="24"/>
              </w:rPr>
            </w:pPr>
          </w:p>
        </w:tc>
        <w:tc>
          <w:tcPr>
            <w:tcW w:w="2384" w:type="dxa"/>
            <w:vAlign w:val="center"/>
          </w:tcPr>
          <w:p w14:paraId="462C19F7">
            <w:pPr>
              <w:adjustRightInd w:val="0"/>
              <w:snapToGrid w:val="0"/>
              <w:jc w:val="center"/>
              <w:rPr>
                <w:rFonts w:eastAsiaTheme="minorEastAsia"/>
                <w:color w:val="000000"/>
                <w:spacing w:val="0"/>
                <w:sz w:val="24"/>
              </w:rPr>
            </w:pPr>
          </w:p>
        </w:tc>
        <w:tc>
          <w:tcPr>
            <w:tcW w:w="2126" w:type="dxa"/>
            <w:vAlign w:val="center"/>
          </w:tcPr>
          <w:p w14:paraId="2FA87BA4">
            <w:pPr>
              <w:adjustRightInd w:val="0"/>
              <w:snapToGrid w:val="0"/>
              <w:jc w:val="center"/>
              <w:rPr>
                <w:rFonts w:eastAsiaTheme="minorEastAsia"/>
                <w:color w:val="000000"/>
                <w:spacing w:val="0"/>
                <w:sz w:val="24"/>
              </w:rPr>
            </w:pPr>
          </w:p>
        </w:tc>
        <w:tc>
          <w:tcPr>
            <w:tcW w:w="1875" w:type="dxa"/>
            <w:vAlign w:val="center"/>
          </w:tcPr>
          <w:p w14:paraId="389B7A33">
            <w:pPr>
              <w:adjustRightInd w:val="0"/>
              <w:snapToGrid w:val="0"/>
              <w:jc w:val="center"/>
              <w:rPr>
                <w:rFonts w:eastAsiaTheme="minorEastAsia"/>
                <w:color w:val="000000"/>
                <w:spacing w:val="0"/>
                <w:sz w:val="24"/>
              </w:rPr>
            </w:pPr>
          </w:p>
        </w:tc>
        <w:tc>
          <w:tcPr>
            <w:tcW w:w="1009" w:type="dxa"/>
            <w:vAlign w:val="center"/>
          </w:tcPr>
          <w:p w14:paraId="62BF7AD2">
            <w:pPr>
              <w:adjustRightInd w:val="0"/>
              <w:snapToGrid w:val="0"/>
              <w:jc w:val="center"/>
              <w:rPr>
                <w:rFonts w:eastAsiaTheme="minorEastAsia"/>
                <w:color w:val="000000"/>
                <w:spacing w:val="0"/>
                <w:sz w:val="24"/>
              </w:rPr>
            </w:pPr>
          </w:p>
        </w:tc>
      </w:tr>
      <w:tr w14:paraId="5B68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9FF03">
            <w:pPr>
              <w:adjustRightInd w:val="0"/>
              <w:snapToGrid w:val="0"/>
              <w:jc w:val="center"/>
              <w:rPr>
                <w:rFonts w:eastAsiaTheme="minorEastAsia"/>
                <w:color w:val="000000"/>
                <w:spacing w:val="0"/>
                <w:sz w:val="24"/>
              </w:rPr>
            </w:pPr>
          </w:p>
        </w:tc>
        <w:tc>
          <w:tcPr>
            <w:tcW w:w="1482" w:type="dxa"/>
            <w:vAlign w:val="center"/>
          </w:tcPr>
          <w:p w14:paraId="473D6DC4">
            <w:pPr>
              <w:adjustRightInd w:val="0"/>
              <w:snapToGrid w:val="0"/>
              <w:jc w:val="center"/>
              <w:rPr>
                <w:rFonts w:eastAsiaTheme="minorEastAsia"/>
                <w:color w:val="000000"/>
                <w:spacing w:val="0"/>
                <w:sz w:val="24"/>
              </w:rPr>
            </w:pPr>
          </w:p>
        </w:tc>
        <w:tc>
          <w:tcPr>
            <w:tcW w:w="2384" w:type="dxa"/>
            <w:vAlign w:val="center"/>
          </w:tcPr>
          <w:p w14:paraId="7A9A4608">
            <w:pPr>
              <w:adjustRightInd w:val="0"/>
              <w:snapToGrid w:val="0"/>
              <w:jc w:val="center"/>
              <w:rPr>
                <w:rFonts w:eastAsiaTheme="minorEastAsia"/>
                <w:color w:val="000000"/>
                <w:spacing w:val="0"/>
                <w:sz w:val="24"/>
              </w:rPr>
            </w:pPr>
          </w:p>
        </w:tc>
        <w:tc>
          <w:tcPr>
            <w:tcW w:w="2126" w:type="dxa"/>
            <w:vAlign w:val="center"/>
          </w:tcPr>
          <w:p w14:paraId="49450D1C">
            <w:pPr>
              <w:adjustRightInd w:val="0"/>
              <w:snapToGrid w:val="0"/>
              <w:jc w:val="center"/>
              <w:rPr>
                <w:rFonts w:eastAsiaTheme="minorEastAsia"/>
                <w:color w:val="000000"/>
                <w:spacing w:val="0"/>
                <w:sz w:val="24"/>
              </w:rPr>
            </w:pPr>
          </w:p>
        </w:tc>
        <w:tc>
          <w:tcPr>
            <w:tcW w:w="1875" w:type="dxa"/>
            <w:vAlign w:val="center"/>
          </w:tcPr>
          <w:p w14:paraId="71BB6AE3">
            <w:pPr>
              <w:adjustRightInd w:val="0"/>
              <w:snapToGrid w:val="0"/>
              <w:jc w:val="center"/>
              <w:rPr>
                <w:rFonts w:eastAsiaTheme="minorEastAsia"/>
                <w:color w:val="000000"/>
                <w:spacing w:val="0"/>
                <w:sz w:val="24"/>
              </w:rPr>
            </w:pPr>
          </w:p>
        </w:tc>
        <w:tc>
          <w:tcPr>
            <w:tcW w:w="1009" w:type="dxa"/>
            <w:vAlign w:val="center"/>
          </w:tcPr>
          <w:p w14:paraId="07DB2EEE">
            <w:pPr>
              <w:adjustRightInd w:val="0"/>
              <w:snapToGrid w:val="0"/>
              <w:jc w:val="center"/>
              <w:rPr>
                <w:rFonts w:eastAsiaTheme="minorEastAsia"/>
                <w:color w:val="000000"/>
                <w:spacing w:val="0"/>
                <w:sz w:val="24"/>
              </w:rPr>
            </w:pPr>
          </w:p>
        </w:tc>
      </w:tr>
      <w:tr w14:paraId="5290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D0C092">
            <w:pPr>
              <w:adjustRightInd w:val="0"/>
              <w:snapToGrid w:val="0"/>
              <w:jc w:val="center"/>
              <w:rPr>
                <w:rFonts w:eastAsiaTheme="minorEastAsia"/>
                <w:color w:val="000000"/>
                <w:spacing w:val="0"/>
                <w:sz w:val="24"/>
              </w:rPr>
            </w:pPr>
          </w:p>
        </w:tc>
        <w:tc>
          <w:tcPr>
            <w:tcW w:w="1482" w:type="dxa"/>
            <w:vAlign w:val="center"/>
          </w:tcPr>
          <w:p w14:paraId="52EBDC0C">
            <w:pPr>
              <w:adjustRightInd w:val="0"/>
              <w:snapToGrid w:val="0"/>
              <w:jc w:val="center"/>
              <w:rPr>
                <w:rFonts w:eastAsiaTheme="minorEastAsia"/>
                <w:color w:val="000000"/>
                <w:spacing w:val="0"/>
                <w:sz w:val="24"/>
              </w:rPr>
            </w:pPr>
          </w:p>
        </w:tc>
        <w:tc>
          <w:tcPr>
            <w:tcW w:w="2384" w:type="dxa"/>
            <w:vAlign w:val="center"/>
          </w:tcPr>
          <w:p w14:paraId="391EA5BD">
            <w:pPr>
              <w:adjustRightInd w:val="0"/>
              <w:snapToGrid w:val="0"/>
              <w:jc w:val="center"/>
              <w:rPr>
                <w:rFonts w:eastAsiaTheme="minorEastAsia"/>
                <w:color w:val="000000"/>
                <w:spacing w:val="0"/>
                <w:sz w:val="24"/>
              </w:rPr>
            </w:pPr>
          </w:p>
        </w:tc>
        <w:tc>
          <w:tcPr>
            <w:tcW w:w="2126" w:type="dxa"/>
            <w:vAlign w:val="center"/>
          </w:tcPr>
          <w:p w14:paraId="2E5F57D2">
            <w:pPr>
              <w:adjustRightInd w:val="0"/>
              <w:snapToGrid w:val="0"/>
              <w:jc w:val="center"/>
              <w:rPr>
                <w:rFonts w:eastAsiaTheme="minorEastAsia"/>
                <w:color w:val="000000"/>
                <w:spacing w:val="0"/>
                <w:sz w:val="24"/>
              </w:rPr>
            </w:pPr>
          </w:p>
        </w:tc>
        <w:tc>
          <w:tcPr>
            <w:tcW w:w="1875" w:type="dxa"/>
            <w:vAlign w:val="center"/>
          </w:tcPr>
          <w:p w14:paraId="340071E6">
            <w:pPr>
              <w:adjustRightInd w:val="0"/>
              <w:snapToGrid w:val="0"/>
              <w:jc w:val="center"/>
              <w:rPr>
                <w:rFonts w:eastAsiaTheme="minorEastAsia"/>
                <w:color w:val="000000"/>
                <w:spacing w:val="0"/>
                <w:sz w:val="24"/>
              </w:rPr>
            </w:pPr>
          </w:p>
        </w:tc>
        <w:tc>
          <w:tcPr>
            <w:tcW w:w="1009" w:type="dxa"/>
            <w:vAlign w:val="center"/>
          </w:tcPr>
          <w:p w14:paraId="61FE01CE">
            <w:pPr>
              <w:adjustRightInd w:val="0"/>
              <w:snapToGrid w:val="0"/>
              <w:jc w:val="center"/>
              <w:rPr>
                <w:rFonts w:eastAsiaTheme="minorEastAsia"/>
                <w:color w:val="000000"/>
                <w:spacing w:val="0"/>
                <w:sz w:val="24"/>
              </w:rPr>
            </w:pPr>
          </w:p>
        </w:tc>
      </w:tr>
    </w:tbl>
    <w:p w14:paraId="72CE26D4">
      <w:pPr>
        <w:tabs>
          <w:tab w:val="left" w:pos="1800"/>
          <w:tab w:val="left" w:pos="5580"/>
        </w:tabs>
        <w:spacing w:line="360" w:lineRule="auto"/>
        <w:ind w:firstLine="360" w:firstLineChars="150"/>
        <w:jc w:val="left"/>
        <w:rPr>
          <w:rFonts w:eastAsiaTheme="minorEastAsia"/>
          <w:color w:val="000000"/>
          <w:spacing w:val="0"/>
          <w:sz w:val="24"/>
          <w:u w:val="single"/>
        </w:rPr>
      </w:pPr>
    </w:p>
    <w:p w14:paraId="411AB620">
      <w:pPr>
        <w:tabs>
          <w:tab w:val="left" w:pos="1800"/>
          <w:tab w:val="left" w:pos="5580"/>
        </w:tabs>
        <w:spacing w:line="360" w:lineRule="auto"/>
        <w:ind w:firstLine="360" w:firstLineChars="150"/>
        <w:jc w:val="left"/>
        <w:rPr>
          <w:rFonts w:eastAsiaTheme="minorEastAsia"/>
          <w:color w:val="000000"/>
          <w:spacing w:val="0"/>
          <w:sz w:val="24"/>
          <w:u w:val="single"/>
        </w:rPr>
      </w:pPr>
    </w:p>
    <w:p w14:paraId="7A602221">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14:paraId="34B06271">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14:paraId="749C2327">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14:paraId="4924D8E2">
      <w:pPr>
        <w:tabs>
          <w:tab w:val="left" w:pos="1800"/>
          <w:tab w:val="left" w:pos="5580"/>
        </w:tabs>
        <w:jc w:val="left"/>
        <w:rPr>
          <w:rFonts w:eastAsiaTheme="minorEastAsia"/>
          <w:color w:val="000000"/>
          <w:spacing w:val="0"/>
          <w:sz w:val="24"/>
        </w:rPr>
      </w:pPr>
    </w:p>
    <w:p w14:paraId="00EA87B8">
      <w:pPr>
        <w:rPr>
          <w:rFonts w:eastAsiaTheme="minorEastAsia"/>
          <w:color w:val="000000"/>
          <w:spacing w:val="0"/>
          <w:sz w:val="24"/>
          <w:szCs w:val="20"/>
        </w:rPr>
      </w:pPr>
    </w:p>
    <w:p w14:paraId="758EADE8">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7C68FB29">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3D5E9F0D">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14:paraId="01CFEF8C">
      <w:pPr>
        <w:widowControl/>
        <w:jc w:val="left"/>
        <w:rPr>
          <w:rFonts w:eastAsiaTheme="minorEastAsia"/>
          <w:b/>
          <w:spacing w:val="0"/>
          <w:sz w:val="36"/>
          <w:szCs w:val="36"/>
        </w:rPr>
      </w:pPr>
    </w:p>
    <w:p w14:paraId="72CD3486">
      <w:pPr>
        <w:widowControl/>
        <w:jc w:val="left"/>
        <w:rPr>
          <w:color w:val="000000"/>
          <w:spacing w:val="0"/>
          <w:sz w:val="24"/>
          <w:szCs w:val="20"/>
        </w:rPr>
      </w:pPr>
      <w:bookmarkStart w:id="772"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2B87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134BF9B">
            <w:pPr>
              <w:rPr>
                <w:spacing w:val="0"/>
                <w:sz w:val="24"/>
              </w:rPr>
            </w:pPr>
            <w:r>
              <w:rPr>
                <w:rFonts w:hint="eastAsia"/>
                <w:spacing w:val="0"/>
                <w:sz w:val="24"/>
              </w:rPr>
              <w:t>供应商名称</w:t>
            </w:r>
          </w:p>
        </w:tc>
        <w:tc>
          <w:tcPr>
            <w:tcW w:w="3097" w:type="dxa"/>
          </w:tcPr>
          <w:p w14:paraId="5BB4C57C">
            <w:pPr>
              <w:rPr>
                <w:spacing w:val="0"/>
                <w:sz w:val="24"/>
              </w:rPr>
            </w:pPr>
            <w:r>
              <w:rPr>
                <w:rFonts w:hint="eastAsia"/>
                <w:spacing w:val="0"/>
                <w:sz w:val="24"/>
              </w:rPr>
              <w:t>供应商所属性别</w:t>
            </w:r>
          </w:p>
        </w:tc>
        <w:tc>
          <w:tcPr>
            <w:tcW w:w="3095" w:type="dxa"/>
          </w:tcPr>
          <w:p w14:paraId="0B3B86CE">
            <w:pPr>
              <w:rPr>
                <w:spacing w:val="0"/>
                <w:sz w:val="24"/>
              </w:rPr>
            </w:pPr>
            <w:r>
              <w:rPr>
                <w:rFonts w:hint="eastAsia"/>
                <w:spacing w:val="0"/>
                <w:sz w:val="24"/>
              </w:rPr>
              <w:t>外商投资类型</w:t>
            </w:r>
          </w:p>
        </w:tc>
      </w:tr>
      <w:tr w14:paraId="45BE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039061D2">
            <w:pPr>
              <w:rPr>
                <w:spacing w:val="0"/>
                <w:sz w:val="24"/>
              </w:rPr>
            </w:pPr>
          </w:p>
        </w:tc>
        <w:tc>
          <w:tcPr>
            <w:tcW w:w="3097" w:type="dxa"/>
          </w:tcPr>
          <w:p w14:paraId="2867C385">
            <w:pPr>
              <w:rPr>
                <w:spacing w:val="0"/>
                <w:sz w:val="24"/>
              </w:rPr>
            </w:pPr>
          </w:p>
        </w:tc>
        <w:tc>
          <w:tcPr>
            <w:tcW w:w="3095" w:type="dxa"/>
          </w:tcPr>
          <w:p w14:paraId="7AB7A080">
            <w:pPr>
              <w:rPr>
                <w:spacing w:val="0"/>
                <w:sz w:val="24"/>
              </w:rPr>
            </w:pPr>
          </w:p>
        </w:tc>
      </w:tr>
      <w:tr w14:paraId="7D8C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4F81231">
            <w:pPr>
              <w:rPr>
                <w:spacing w:val="0"/>
              </w:rPr>
            </w:pPr>
          </w:p>
        </w:tc>
        <w:tc>
          <w:tcPr>
            <w:tcW w:w="3097" w:type="dxa"/>
          </w:tcPr>
          <w:p w14:paraId="697A04C3">
            <w:pPr>
              <w:rPr>
                <w:spacing w:val="0"/>
              </w:rPr>
            </w:pPr>
          </w:p>
        </w:tc>
        <w:tc>
          <w:tcPr>
            <w:tcW w:w="3095" w:type="dxa"/>
          </w:tcPr>
          <w:p w14:paraId="6D2FD1E1">
            <w:pPr>
              <w:rPr>
                <w:spacing w:val="0"/>
              </w:rPr>
            </w:pPr>
          </w:p>
        </w:tc>
      </w:tr>
      <w:tr w14:paraId="173C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00C8CBDE">
            <w:pPr>
              <w:rPr>
                <w:spacing w:val="0"/>
              </w:rPr>
            </w:pPr>
          </w:p>
        </w:tc>
        <w:tc>
          <w:tcPr>
            <w:tcW w:w="3097" w:type="dxa"/>
          </w:tcPr>
          <w:p w14:paraId="432BA075">
            <w:pPr>
              <w:rPr>
                <w:spacing w:val="0"/>
              </w:rPr>
            </w:pPr>
          </w:p>
        </w:tc>
        <w:tc>
          <w:tcPr>
            <w:tcW w:w="3095" w:type="dxa"/>
          </w:tcPr>
          <w:p w14:paraId="33B458EE">
            <w:pPr>
              <w:rPr>
                <w:spacing w:val="0"/>
              </w:rPr>
            </w:pPr>
          </w:p>
        </w:tc>
      </w:tr>
      <w:tr w14:paraId="04B0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15EFD2F">
            <w:pPr>
              <w:rPr>
                <w:spacing w:val="0"/>
              </w:rPr>
            </w:pPr>
          </w:p>
        </w:tc>
        <w:tc>
          <w:tcPr>
            <w:tcW w:w="3097" w:type="dxa"/>
          </w:tcPr>
          <w:p w14:paraId="1063E4B7">
            <w:pPr>
              <w:rPr>
                <w:spacing w:val="0"/>
              </w:rPr>
            </w:pPr>
          </w:p>
        </w:tc>
        <w:tc>
          <w:tcPr>
            <w:tcW w:w="3095" w:type="dxa"/>
          </w:tcPr>
          <w:p w14:paraId="14450BA5">
            <w:pPr>
              <w:rPr>
                <w:spacing w:val="0"/>
              </w:rPr>
            </w:pPr>
          </w:p>
        </w:tc>
      </w:tr>
    </w:tbl>
    <w:p w14:paraId="320E29EB">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14:paraId="3684FD66">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14:paraId="4FCB238B">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72"/>
    <w:p w14:paraId="655EA110">
      <w:pPr>
        <w:widowControl/>
        <w:jc w:val="left"/>
        <w:rPr>
          <w:rFonts w:eastAsiaTheme="minorEastAsia"/>
          <w:color w:val="000000"/>
          <w:spacing w:val="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C98E">
    <w:pPr>
      <w:pStyle w:val="29"/>
      <w:framePr w:wrap="around" w:vAnchor="text" w:hAnchor="margin" w:xAlign="center" w:y="1"/>
      <w:rPr>
        <w:rStyle w:val="50"/>
      </w:rPr>
    </w:pPr>
    <w:r>
      <w:fldChar w:fldCharType="begin"/>
    </w:r>
    <w:r>
      <w:rPr>
        <w:rStyle w:val="50"/>
      </w:rPr>
      <w:instrText xml:space="preserve">PAGE  </w:instrText>
    </w:r>
    <w:r>
      <w:fldChar w:fldCharType="end"/>
    </w:r>
  </w:p>
  <w:p w14:paraId="6799BB83">
    <w:pPr>
      <w:pStyle w:val="2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452E">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B8058A8">
    <w:pPr>
      <w:pStyle w:val="29"/>
      <w:ind w:right="360"/>
    </w:pPr>
  </w:p>
  <w:p w14:paraId="7B20355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30BB">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6D18">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22B3ACB">
    <w:pPr>
      <w:pStyle w:val="29"/>
      <w:ind w:right="360"/>
    </w:pPr>
  </w:p>
  <w:p w14:paraId="30800AA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C16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2A6C">
    <w:pPr>
      <w:pStyle w:val="29"/>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B20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1467">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0D50A">
    <w:pPr>
      <w:spacing w:line="176" w:lineRule="auto"/>
      <w:ind w:left="44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A048">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FA66">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D29F">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335EE82">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A6E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B1C">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EC74">
    <w:pPr>
      <w:pStyle w:val="30"/>
    </w:pPr>
  </w:p>
  <w:p w14:paraId="0FA2E93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21B1">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089A">
    <w:pPr>
      <w:pStyle w:val="30"/>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9F33">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F87D">
    <w:pPr>
      <w:pStyle w:val="1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A422">
    <w:pPr>
      <w:spacing w:before="48" w:line="219" w:lineRule="auto"/>
      <w:jc w:val="right"/>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701040</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5.2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AyOLYAAAADAEAAA8AAAAAAAAA&#10;AQAgAAAAIgAAAGRycy9kb3ducmV2LnhtbFBLAQIUABQAAAAIAIdO4kCHbISBEQIAAHsEAAAOAAAA&#10;AAAAAAEAIAAAACcBAABkcnMvZTJvRG9jLnhtbFBLBQYAAAAABgAGAFkBAACqBQAAAAA=&#10;" path="m0,0l9072,0,9072,14,0,14,0,0xe">
              <v:fill on="t" focussize="0,0"/>
              <v:stroke on="f"/>
              <v:imagedata o:title=""/>
              <o:lock v:ext="edit" aspectratio="f"/>
            </v:shape>
          </w:pict>
        </mc:Fallback>
      </mc:AlternateContent>
    </w:r>
    <w:r>
      <w:rPr>
        <w:rFonts w:ascii="宋体" w:hAnsi="宋体" w:eastAsia="宋体" w:cs="宋体"/>
        <w:spacing w:val="-1"/>
        <w:sz w:val="18"/>
        <w:szCs w:val="18"/>
      </w:rPr>
      <w:t>北京市政府采购项目竞争性磋商文件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6B17">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605">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845A">
    <w:pPr>
      <w:pStyle w:val="30"/>
    </w:pPr>
  </w:p>
  <w:p w14:paraId="1EB6D29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3D5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4F53"/>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B666B"/>
    <w:rsid w:val="015974C0"/>
    <w:rsid w:val="01C34C34"/>
    <w:rsid w:val="01D82977"/>
    <w:rsid w:val="01EC20E2"/>
    <w:rsid w:val="02785724"/>
    <w:rsid w:val="028D7421"/>
    <w:rsid w:val="02B80216"/>
    <w:rsid w:val="02BE2E48"/>
    <w:rsid w:val="05C80770"/>
    <w:rsid w:val="06B949C8"/>
    <w:rsid w:val="06EC048E"/>
    <w:rsid w:val="076A5F83"/>
    <w:rsid w:val="07D7113E"/>
    <w:rsid w:val="085E716A"/>
    <w:rsid w:val="08803584"/>
    <w:rsid w:val="0A0C3321"/>
    <w:rsid w:val="0A3B6154"/>
    <w:rsid w:val="0AD54D2F"/>
    <w:rsid w:val="0B660C1A"/>
    <w:rsid w:val="0B6929FA"/>
    <w:rsid w:val="0C3D67FB"/>
    <w:rsid w:val="0C882A07"/>
    <w:rsid w:val="0D2C3CDA"/>
    <w:rsid w:val="0D956E51"/>
    <w:rsid w:val="0EB67F3F"/>
    <w:rsid w:val="0F461BB7"/>
    <w:rsid w:val="0F66355B"/>
    <w:rsid w:val="0FD04F3C"/>
    <w:rsid w:val="10495509"/>
    <w:rsid w:val="10AA1E71"/>
    <w:rsid w:val="14535FF1"/>
    <w:rsid w:val="146B158C"/>
    <w:rsid w:val="14D8301D"/>
    <w:rsid w:val="15254FBD"/>
    <w:rsid w:val="15EE09F8"/>
    <w:rsid w:val="16145F86"/>
    <w:rsid w:val="16320C6E"/>
    <w:rsid w:val="163D2AB4"/>
    <w:rsid w:val="16A30ACD"/>
    <w:rsid w:val="16B0772A"/>
    <w:rsid w:val="16B25250"/>
    <w:rsid w:val="16DE7E36"/>
    <w:rsid w:val="17120F09"/>
    <w:rsid w:val="17A633BC"/>
    <w:rsid w:val="17F07E5F"/>
    <w:rsid w:val="17F93E0B"/>
    <w:rsid w:val="18477C1A"/>
    <w:rsid w:val="184E71FB"/>
    <w:rsid w:val="189C0EA3"/>
    <w:rsid w:val="18EB2C9C"/>
    <w:rsid w:val="18EF453A"/>
    <w:rsid w:val="18FF7066"/>
    <w:rsid w:val="19021497"/>
    <w:rsid w:val="198D10B9"/>
    <w:rsid w:val="19A21501"/>
    <w:rsid w:val="1A9F5CF3"/>
    <w:rsid w:val="1B12758E"/>
    <w:rsid w:val="1B397D65"/>
    <w:rsid w:val="1B7C407F"/>
    <w:rsid w:val="1BC872C4"/>
    <w:rsid w:val="1C455CA5"/>
    <w:rsid w:val="1C844F99"/>
    <w:rsid w:val="1CC950A2"/>
    <w:rsid w:val="1CE95744"/>
    <w:rsid w:val="1D0F29DF"/>
    <w:rsid w:val="1D183933"/>
    <w:rsid w:val="1D1B793D"/>
    <w:rsid w:val="1D2C69D2"/>
    <w:rsid w:val="1D3C3AC6"/>
    <w:rsid w:val="1E82654C"/>
    <w:rsid w:val="1ECC2C27"/>
    <w:rsid w:val="1ED01E61"/>
    <w:rsid w:val="201C373B"/>
    <w:rsid w:val="204A02A8"/>
    <w:rsid w:val="20630DDD"/>
    <w:rsid w:val="2067586A"/>
    <w:rsid w:val="208377AD"/>
    <w:rsid w:val="20C95363"/>
    <w:rsid w:val="210B3EDB"/>
    <w:rsid w:val="216005AF"/>
    <w:rsid w:val="2177331E"/>
    <w:rsid w:val="21A766EF"/>
    <w:rsid w:val="22431A44"/>
    <w:rsid w:val="22C30E9F"/>
    <w:rsid w:val="233D0598"/>
    <w:rsid w:val="2343665A"/>
    <w:rsid w:val="239E00B4"/>
    <w:rsid w:val="240D5F3A"/>
    <w:rsid w:val="24684E68"/>
    <w:rsid w:val="251E74A4"/>
    <w:rsid w:val="25D724B8"/>
    <w:rsid w:val="25E116AE"/>
    <w:rsid w:val="260E5609"/>
    <w:rsid w:val="26431A21"/>
    <w:rsid w:val="26C41673"/>
    <w:rsid w:val="26FD1AB5"/>
    <w:rsid w:val="270C546F"/>
    <w:rsid w:val="27114397"/>
    <w:rsid w:val="27843CE5"/>
    <w:rsid w:val="283F23D4"/>
    <w:rsid w:val="29D81F0C"/>
    <w:rsid w:val="2ABE2A73"/>
    <w:rsid w:val="2B092619"/>
    <w:rsid w:val="2B524FD6"/>
    <w:rsid w:val="2B8B3652"/>
    <w:rsid w:val="2BA411B4"/>
    <w:rsid w:val="2BAA609E"/>
    <w:rsid w:val="2BBF793E"/>
    <w:rsid w:val="2C0B1008"/>
    <w:rsid w:val="2CF03CB3"/>
    <w:rsid w:val="2D2506AD"/>
    <w:rsid w:val="2D4F514F"/>
    <w:rsid w:val="2D55050F"/>
    <w:rsid w:val="2DBB27E5"/>
    <w:rsid w:val="2E494580"/>
    <w:rsid w:val="2E871EC5"/>
    <w:rsid w:val="2EAE4CB2"/>
    <w:rsid w:val="2EC41B6D"/>
    <w:rsid w:val="2F1C5505"/>
    <w:rsid w:val="2F397E65"/>
    <w:rsid w:val="30CF5A24"/>
    <w:rsid w:val="31360116"/>
    <w:rsid w:val="31D15433"/>
    <w:rsid w:val="321F46F2"/>
    <w:rsid w:val="32943604"/>
    <w:rsid w:val="32CB171C"/>
    <w:rsid w:val="32EB653A"/>
    <w:rsid w:val="33D402CE"/>
    <w:rsid w:val="34736073"/>
    <w:rsid w:val="34C95B23"/>
    <w:rsid w:val="351137AF"/>
    <w:rsid w:val="3575264D"/>
    <w:rsid w:val="361707D4"/>
    <w:rsid w:val="36B44275"/>
    <w:rsid w:val="36F07EBF"/>
    <w:rsid w:val="370276D6"/>
    <w:rsid w:val="37497117"/>
    <w:rsid w:val="378B6E72"/>
    <w:rsid w:val="379E3B63"/>
    <w:rsid w:val="37C52BDE"/>
    <w:rsid w:val="38562119"/>
    <w:rsid w:val="3913458B"/>
    <w:rsid w:val="3A347611"/>
    <w:rsid w:val="3A845141"/>
    <w:rsid w:val="3B570A07"/>
    <w:rsid w:val="3BCB6780"/>
    <w:rsid w:val="3C2158F2"/>
    <w:rsid w:val="3C241253"/>
    <w:rsid w:val="3E7F160D"/>
    <w:rsid w:val="3F295895"/>
    <w:rsid w:val="3F696C81"/>
    <w:rsid w:val="3F8D4B70"/>
    <w:rsid w:val="40276A74"/>
    <w:rsid w:val="40567B1C"/>
    <w:rsid w:val="40593DF5"/>
    <w:rsid w:val="42CD0A98"/>
    <w:rsid w:val="431A0C09"/>
    <w:rsid w:val="44947AEE"/>
    <w:rsid w:val="46B207D1"/>
    <w:rsid w:val="46E37A97"/>
    <w:rsid w:val="47183F5C"/>
    <w:rsid w:val="480E2158"/>
    <w:rsid w:val="48376AB4"/>
    <w:rsid w:val="48A0075C"/>
    <w:rsid w:val="49663452"/>
    <w:rsid w:val="4A111CB3"/>
    <w:rsid w:val="4AA26D70"/>
    <w:rsid w:val="4AC40263"/>
    <w:rsid w:val="4B65373A"/>
    <w:rsid w:val="4B920BD1"/>
    <w:rsid w:val="4C9D5A7F"/>
    <w:rsid w:val="4CA2085B"/>
    <w:rsid w:val="4CA5797A"/>
    <w:rsid w:val="4CBE57F1"/>
    <w:rsid w:val="4D00163A"/>
    <w:rsid w:val="4D08475C"/>
    <w:rsid w:val="4D2E027D"/>
    <w:rsid w:val="4DAE15C6"/>
    <w:rsid w:val="4F005421"/>
    <w:rsid w:val="4F0F5BE3"/>
    <w:rsid w:val="4F552641"/>
    <w:rsid w:val="4F675A42"/>
    <w:rsid w:val="5134057D"/>
    <w:rsid w:val="52422029"/>
    <w:rsid w:val="52691264"/>
    <w:rsid w:val="52D01139"/>
    <w:rsid w:val="537137C2"/>
    <w:rsid w:val="53A2110F"/>
    <w:rsid w:val="53A33A3D"/>
    <w:rsid w:val="55040901"/>
    <w:rsid w:val="559A7B22"/>
    <w:rsid w:val="56183E35"/>
    <w:rsid w:val="563867C7"/>
    <w:rsid w:val="56DF05DE"/>
    <w:rsid w:val="56E6232E"/>
    <w:rsid w:val="571406EC"/>
    <w:rsid w:val="576D7830"/>
    <w:rsid w:val="57827D4C"/>
    <w:rsid w:val="57FC6189"/>
    <w:rsid w:val="58316107"/>
    <w:rsid w:val="585B234B"/>
    <w:rsid w:val="58E46427"/>
    <w:rsid w:val="59FD5DAF"/>
    <w:rsid w:val="5B34049B"/>
    <w:rsid w:val="5B724F33"/>
    <w:rsid w:val="5B8B1CAF"/>
    <w:rsid w:val="5BE508A9"/>
    <w:rsid w:val="5C9347A9"/>
    <w:rsid w:val="5CD56B70"/>
    <w:rsid w:val="5D247A17"/>
    <w:rsid w:val="5DF474C9"/>
    <w:rsid w:val="5E420EAE"/>
    <w:rsid w:val="5F015B06"/>
    <w:rsid w:val="5F066AD1"/>
    <w:rsid w:val="5F073306"/>
    <w:rsid w:val="5F506A56"/>
    <w:rsid w:val="5F5F73B9"/>
    <w:rsid w:val="60B71B8D"/>
    <w:rsid w:val="60F03F78"/>
    <w:rsid w:val="610A2898"/>
    <w:rsid w:val="619C2EE2"/>
    <w:rsid w:val="61B319BC"/>
    <w:rsid w:val="61F734FF"/>
    <w:rsid w:val="630261E5"/>
    <w:rsid w:val="63F67889"/>
    <w:rsid w:val="65F60A0C"/>
    <w:rsid w:val="662D5327"/>
    <w:rsid w:val="663E7534"/>
    <w:rsid w:val="66421262"/>
    <w:rsid w:val="664F0039"/>
    <w:rsid w:val="668533B4"/>
    <w:rsid w:val="669732DA"/>
    <w:rsid w:val="669E4476"/>
    <w:rsid w:val="674943E2"/>
    <w:rsid w:val="67944631"/>
    <w:rsid w:val="67C779FD"/>
    <w:rsid w:val="67E660D5"/>
    <w:rsid w:val="681E4797"/>
    <w:rsid w:val="6838144E"/>
    <w:rsid w:val="6897117D"/>
    <w:rsid w:val="68AA7398"/>
    <w:rsid w:val="697975DC"/>
    <w:rsid w:val="6A793230"/>
    <w:rsid w:val="6B664D09"/>
    <w:rsid w:val="6C6D0B73"/>
    <w:rsid w:val="6E113780"/>
    <w:rsid w:val="6EBC7B8F"/>
    <w:rsid w:val="71B03980"/>
    <w:rsid w:val="72363513"/>
    <w:rsid w:val="729A01E8"/>
    <w:rsid w:val="72EF50C7"/>
    <w:rsid w:val="731A1328"/>
    <w:rsid w:val="742C597A"/>
    <w:rsid w:val="752F7C03"/>
    <w:rsid w:val="75383CE8"/>
    <w:rsid w:val="754E52B9"/>
    <w:rsid w:val="758E3908"/>
    <w:rsid w:val="75CA7ED8"/>
    <w:rsid w:val="76EF3954"/>
    <w:rsid w:val="7709679A"/>
    <w:rsid w:val="770F43B6"/>
    <w:rsid w:val="77C37BF5"/>
    <w:rsid w:val="788A0C2E"/>
    <w:rsid w:val="78943F6D"/>
    <w:rsid w:val="78957C5C"/>
    <w:rsid w:val="78B10039"/>
    <w:rsid w:val="791660EE"/>
    <w:rsid w:val="79246369"/>
    <w:rsid w:val="79A90D10"/>
    <w:rsid w:val="7A4B1DC7"/>
    <w:rsid w:val="7B827CE5"/>
    <w:rsid w:val="7DA26D90"/>
    <w:rsid w:val="7DC507E5"/>
    <w:rsid w:val="7E105802"/>
    <w:rsid w:val="7EC565E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next w:val="19"/>
    <w:link w:val="70"/>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next w:val="17"/>
    <w:qFormat/>
    <w:uiPriority w:val="0"/>
    <w:pPr>
      <w:jc w:val="center"/>
    </w:pPr>
    <w:rPr>
      <w:b/>
      <w:bCs/>
      <w:sz w:val="72"/>
    </w:r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8"/>
    <w:next w:val="1"/>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5"/>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5"/>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5"/>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2"/>
    <w:qFormat/>
    <w:uiPriority w:val="0"/>
    <w:rPr>
      <w:rFonts w:ascii="宋体"/>
      <w:b/>
      <w:kern w:val="44"/>
      <w:sz w:val="32"/>
    </w:rPr>
  </w:style>
  <w:style w:type="character" w:customStyle="1" w:styleId="233">
    <w:name w:val="标题 4 字符"/>
    <w:basedOn w:val="48"/>
    <w:link w:val="6"/>
    <w:qFormat/>
    <w:uiPriority w:val="0"/>
    <w:rPr>
      <w:rFonts w:ascii="Arial" w:hAnsi="Arial" w:eastAsia="黑体"/>
      <w:b/>
      <w:sz w:val="28"/>
    </w:rPr>
  </w:style>
  <w:style w:type="character" w:customStyle="1" w:styleId="234">
    <w:name w:val="标题 5 字符"/>
    <w:basedOn w:val="48"/>
    <w:link w:val="7"/>
    <w:qFormat/>
    <w:uiPriority w:val="0"/>
    <w:rPr>
      <w:b/>
      <w:sz w:val="28"/>
    </w:rPr>
  </w:style>
  <w:style w:type="character" w:customStyle="1" w:styleId="235">
    <w:name w:val="标题 6 字符"/>
    <w:basedOn w:val="48"/>
    <w:link w:val="8"/>
    <w:qFormat/>
    <w:uiPriority w:val="0"/>
    <w:rPr>
      <w:rFonts w:ascii="Arial" w:hAnsi="Arial" w:eastAsia="黑体"/>
      <w:b/>
      <w:sz w:val="24"/>
    </w:rPr>
  </w:style>
  <w:style w:type="character" w:customStyle="1" w:styleId="236">
    <w:name w:val="标题 7 字符"/>
    <w:basedOn w:val="48"/>
    <w:link w:val="9"/>
    <w:qFormat/>
    <w:uiPriority w:val="0"/>
    <w:rPr>
      <w:b/>
      <w:sz w:val="24"/>
    </w:rPr>
  </w:style>
  <w:style w:type="character" w:customStyle="1" w:styleId="237">
    <w:name w:val="标题 8 字符"/>
    <w:basedOn w:val="48"/>
    <w:link w:val="10"/>
    <w:qFormat/>
    <w:uiPriority w:val="0"/>
    <w:rPr>
      <w:rFonts w:ascii="Arial" w:hAnsi="Arial" w:eastAsia="黑体"/>
      <w:sz w:val="24"/>
    </w:rPr>
  </w:style>
  <w:style w:type="character" w:customStyle="1" w:styleId="238">
    <w:name w:val="标题 9 字符"/>
    <w:basedOn w:val="48"/>
    <w:link w:val="11"/>
    <w:qFormat/>
    <w:uiPriority w:val="0"/>
    <w:rPr>
      <w:rFonts w:ascii="Arial" w:hAnsi="Arial" w:eastAsia="黑体"/>
      <w:sz w:val="21"/>
    </w:rPr>
  </w:style>
  <w:style w:type="character" w:customStyle="1" w:styleId="239">
    <w:name w:val="文档结构图 字符"/>
    <w:basedOn w:val="48"/>
    <w:link w:val="14"/>
    <w:qFormat/>
    <w:uiPriority w:val="0"/>
    <w:rPr>
      <w:kern w:val="2"/>
      <w:sz w:val="21"/>
      <w:szCs w:val="24"/>
      <w:shd w:val="clear" w:color="auto" w:fill="000080"/>
    </w:rPr>
  </w:style>
  <w:style w:type="character" w:customStyle="1" w:styleId="240">
    <w:name w:val="正文文本 3 字符"/>
    <w:basedOn w:val="48"/>
    <w:link w:val="16"/>
    <w:qFormat/>
    <w:uiPriority w:val="0"/>
    <w:rPr>
      <w:kern w:val="2"/>
      <w:sz w:val="16"/>
      <w:szCs w:val="16"/>
    </w:rPr>
  </w:style>
  <w:style w:type="character" w:customStyle="1" w:styleId="241">
    <w:name w:val="正文文本 字符"/>
    <w:basedOn w:val="48"/>
    <w:link w:val="17"/>
    <w:qFormat/>
    <w:uiPriority w:val="0"/>
    <w:rPr>
      <w:rFonts w:ascii="宋体" w:hAnsi="宋体"/>
      <w:kern w:val="2"/>
      <w:sz w:val="24"/>
      <w:szCs w:val="24"/>
    </w:rPr>
  </w:style>
  <w:style w:type="character" w:customStyle="1" w:styleId="242">
    <w:name w:val="日期 字符"/>
    <w:basedOn w:val="48"/>
    <w:link w:val="26"/>
    <w:qFormat/>
    <w:uiPriority w:val="0"/>
    <w:rPr>
      <w:rFonts w:ascii="仿宋_GB2312" w:hAnsi="宋体" w:eastAsia="仿宋_GB2312"/>
      <w:color w:val="000000"/>
      <w:kern w:val="2"/>
      <w:sz w:val="24"/>
      <w:szCs w:val="24"/>
    </w:rPr>
  </w:style>
  <w:style w:type="character" w:customStyle="1" w:styleId="243">
    <w:name w:val="正文文本缩进 2 字符"/>
    <w:basedOn w:val="48"/>
    <w:link w:val="27"/>
    <w:qFormat/>
    <w:uiPriority w:val="0"/>
    <w:rPr>
      <w:rFonts w:ascii="仿宋_GB2312" w:eastAsia="仿宋_GB2312"/>
      <w:kern w:val="2"/>
      <w:sz w:val="24"/>
      <w:szCs w:val="24"/>
    </w:rPr>
  </w:style>
  <w:style w:type="character" w:customStyle="1" w:styleId="244">
    <w:name w:val="批注框文本 字符"/>
    <w:basedOn w:val="48"/>
    <w:link w:val="28"/>
    <w:qFormat/>
    <w:uiPriority w:val="0"/>
    <w:rPr>
      <w:kern w:val="2"/>
      <w:sz w:val="18"/>
      <w:szCs w:val="18"/>
    </w:rPr>
  </w:style>
  <w:style w:type="character" w:customStyle="1" w:styleId="245">
    <w:name w:val="正文文本缩进 3 字符"/>
    <w:basedOn w:val="48"/>
    <w:link w:val="34"/>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 w:type="paragraph" w:customStyle="1" w:styleId="255">
    <w:name w:val="Body text|1"/>
    <w:basedOn w:val="1"/>
    <w:qFormat/>
    <w:uiPriority w:val="0"/>
    <w:pPr>
      <w:spacing w:after="80"/>
      <w:jc w:val="center"/>
    </w:pPr>
    <w:rPr>
      <w:rFonts w:ascii="宋体" w:hAnsi="宋体" w:cs="宋体"/>
      <w:sz w:val="34"/>
      <w:szCs w:val="34"/>
      <w:lang w:val="zh-TW" w:eastAsia="zh-TW" w:bidi="zh-TW"/>
    </w:rPr>
  </w:style>
  <w:style w:type="paragraph" w:customStyle="1" w:styleId="256">
    <w:name w:val="&quot;Table Paragraph&quot;"/>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2237</Words>
  <Characters>2575</Characters>
  <Lines>230</Lines>
  <Paragraphs>65</Paragraphs>
  <TotalTime>0</TotalTime>
  <ScaleCrop>false</ScaleCrop>
  <LinksUpToDate>false</LinksUpToDate>
  <CharactersWithSpaces>2669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Administrator</cp:lastModifiedBy>
  <cp:lastPrinted>2020-04-01T03:13:00Z</cp:lastPrinted>
  <dcterms:modified xsi:type="dcterms:W3CDTF">2025-12-17T14:22:28Z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9DAB296D6BE44422AFEE6714F4DAE07F_13</vt:lpwstr>
  </property>
  <property fmtid="{D5CDD505-2E9C-101B-9397-08002B2CF9AE}" pid="4" name="KSOTemplateDocerSaveRecord">
    <vt:lpwstr>eyJoZGlkIjoiMWU1NDVjZDE4M2EzNWU1NTIxOGRjNzVlZTNhYjg4ZjkiLCJ1c2VySWQiOiIyMTY2OTk3MTYifQ==</vt:lpwstr>
  </property>
</Properties>
</file>