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EA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中标结果公告</w:t>
      </w:r>
    </w:p>
    <w:p w14:paraId="34617CC6">
      <w:pPr>
        <w:rPr>
          <w:rFonts w:hint="eastAsia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一、项目编号：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"http://219.232.204.193:8080/frontend/plan/project_detail.html?projectUuid=211cfd30-f340-4f3b-b336-eafb27ec80cc"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11011525210200026652-XM001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 w14:paraId="138B2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2025年互联网及数字专线链路服务项目</w:t>
      </w:r>
    </w:p>
    <w:p w14:paraId="437E2B16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三、中标信息：</w:t>
      </w:r>
    </w:p>
    <w:p w14:paraId="62F31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第一包：</w:t>
      </w:r>
    </w:p>
    <w:p w14:paraId="1C7F1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供应商名称：北京首信网创网络信息服务有限责任公司</w:t>
      </w:r>
    </w:p>
    <w:p w14:paraId="210C9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w w:val="90"/>
          <w:sz w:val="28"/>
          <w:szCs w:val="28"/>
        </w:rPr>
        <w:t>北京市东城区隆福寺街95号、钱粮胡同38号32幢5层E501</w:t>
      </w:r>
    </w:p>
    <w:p w14:paraId="10EDC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金额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73.8</w:t>
      </w:r>
      <w:r>
        <w:rPr>
          <w:rFonts w:hint="eastAsia" w:ascii="仿宋" w:hAnsi="仿宋" w:eastAsia="仿宋"/>
          <w:sz w:val="28"/>
          <w:szCs w:val="28"/>
        </w:rPr>
        <w:t>万元</w:t>
      </w:r>
    </w:p>
    <w:p w14:paraId="4D6E4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第二包：</w:t>
      </w:r>
    </w:p>
    <w:p w14:paraId="486C5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供应商名称：中国电信股份有限公司北京分公司</w:t>
      </w:r>
    </w:p>
    <w:p w14:paraId="51EF1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供应商地址：北京市东城区朝阳门北大街21号16层</w:t>
      </w:r>
    </w:p>
    <w:p w14:paraId="20127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金额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38</w:t>
      </w:r>
      <w:r>
        <w:rPr>
          <w:rFonts w:hint="eastAsia" w:ascii="仿宋" w:hAnsi="仿宋" w:eastAsia="仿宋"/>
          <w:sz w:val="28"/>
          <w:szCs w:val="28"/>
        </w:rPr>
        <w:t>万元</w:t>
      </w:r>
    </w:p>
    <w:p w14:paraId="11A32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第三包：</w:t>
      </w:r>
    </w:p>
    <w:p w14:paraId="6A0F7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供应商名称：中国移动通信集团北京有限公司</w:t>
      </w:r>
    </w:p>
    <w:p w14:paraId="1A568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供应商地址：北京市东城区东直门南大街7号</w:t>
      </w:r>
    </w:p>
    <w:p w14:paraId="184F9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金额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38.52</w:t>
      </w:r>
      <w:r>
        <w:rPr>
          <w:rFonts w:hint="eastAsia" w:ascii="仿宋" w:hAnsi="仿宋" w:eastAsia="仿宋"/>
          <w:sz w:val="28"/>
          <w:szCs w:val="28"/>
        </w:rPr>
        <w:t>万元</w:t>
      </w:r>
    </w:p>
    <w:p w14:paraId="07595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第四包：</w:t>
      </w:r>
    </w:p>
    <w:p w14:paraId="7B381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供应商名称：北京华迅通信技术有限公司</w:t>
      </w:r>
    </w:p>
    <w:p w14:paraId="29F11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w w:val="90"/>
          <w:sz w:val="28"/>
          <w:szCs w:val="28"/>
        </w:rPr>
        <w:t>北京市门头沟区石龙西路58号永定镇政府办公楼YD773</w:t>
      </w:r>
    </w:p>
    <w:p w14:paraId="1253A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金额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154.58</w:t>
      </w:r>
      <w:r>
        <w:rPr>
          <w:rFonts w:hint="eastAsia" w:ascii="仿宋" w:hAnsi="仿宋" w:eastAsia="仿宋"/>
          <w:sz w:val="28"/>
          <w:szCs w:val="28"/>
        </w:rPr>
        <w:t>万元</w:t>
      </w:r>
    </w:p>
    <w:p w14:paraId="7A76671E"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 w14:paraId="2131B7FD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主要标的信息</w:t>
      </w:r>
    </w:p>
    <w:tbl>
      <w:tblPr>
        <w:tblStyle w:val="6"/>
        <w:tblpPr w:leftFromText="180" w:rightFromText="180" w:vertAnchor="text" w:horzAnchor="page" w:tblpX="2176" w:tblpY="243"/>
        <w:tblOverlap w:val="never"/>
        <w:tblW w:w="7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720"/>
        <w:gridCol w:w="1882"/>
      </w:tblGrid>
      <w:tr w14:paraId="6123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44" w:type="dxa"/>
            <w:shd w:val="clear" w:color="auto" w:fill="auto"/>
            <w:vAlign w:val="center"/>
          </w:tcPr>
          <w:p w14:paraId="77B68CF7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包号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0BF605C8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货物或服务名称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8BDB9B6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  <w:t>金额（元）</w:t>
            </w:r>
          </w:p>
        </w:tc>
      </w:tr>
      <w:tr w14:paraId="411E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44" w:type="dxa"/>
            <w:shd w:val="clear" w:color="auto" w:fill="auto"/>
            <w:vAlign w:val="center"/>
          </w:tcPr>
          <w:p w14:paraId="52A6AFF7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第一包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18363A3A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 互联网接入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156928E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738000</w:t>
            </w:r>
          </w:p>
        </w:tc>
      </w:tr>
      <w:tr w14:paraId="2500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44" w:type="dxa"/>
            <w:shd w:val="clear" w:color="auto" w:fill="auto"/>
            <w:vAlign w:val="center"/>
          </w:tcPr>
          <w:p w14:paraId="5A99F7B6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第二包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6DBC3A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300M 互联网及数字专线接入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AFE4C9C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380000</w:t>
            </w:r>
          </w:p>
        </w:tc>
      </w:tr>
      <w:tr w14:paraId="45A7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44" w:type="dxa"/>
            <w:shd w:val="clear" w:color="auto" w:fill="auto"/>
            <w:vAlign w:val="center"/>
          </w:tcPr>
          <w:p w14:paraId="72F11E9A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第三包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19B438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250M 互联网及数字专线接入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C082E80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385200</w:t>
            </w:r>
          </w:p>
        </w:tc>
      </w:tr>
      <w:tr w14:paraId="444C7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44" w:type="dxa"/>
            <w:shd w:val="clear" w:color="auto" w:fill="auto"/>
            <w:vAlign w:val="center"/>
          </w:tcPr>
          <w:p w14:paraId="3664EB7D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第四包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20FCB1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3350M 互联网及数字专线接入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44BBF34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1545800</w:t>
            </w:r>
          </w:p>
        </w:tc>
      </w:tr>
    </w:tbl>
    <w:p w14:paraId="394966DA">
      <w:pPr>
        <w:pStyle w:val="3"/>
        <w:rPr>
          <w:rFonts w:hint="eastAsia"/>
        </w:rPr>
      </w:pPr>
    </w:p>
    <w:p w14:paraId="5BA0F875">
      <w:pPr>
        <w:pStyle w:val="4"/>
        <w:rPr>
          <w:rFonts w:hint="eastAsia"/>
        </w:rPr>
      </w:pPr>
    </w:p>
    <w:p w14:paraId="49BC97AD">
      <w:pPr>
        <w:rPr>
          <w:rFonts w:hint="eastAsia" w:ascii="黑体" w:hAnsi="黑体" w:eastAsia="黑体" w:cs="黑体"/>
          <w:sz w:val="28"/>
          <w:szCs w:val="28"/>
        </w:rPr>
      </w:pPr>
    </w:p>
    <w:p w14:paraId="75AE3A41">
      <w:pPr>
        <w:rPr>
          <w:rFonts w:hint="eastAsia" w:ascii="黑体" w:hAnsi="黑体" w:eastAsia="黑体" w:cs="黑体"/>
          <w:sz w:val="28"/>
          <w:szCs w:val="28"/>
        </w:rPr>
      </w:pPr>
    </w:p>
    <w:p w14:paraId="303BE729">
      <w:pPr>
        <w:rPr>
          <w:rFonts w:hint="eastAsia" w:ascii="黑体" w:hAnsi="黑体" w:eastAsia="黑体" w:cs="黑体"/>
          <w:sz w:val="28"/>
          <w:szCs w:val="28"/>
        </w:rPr>
      </w:pPr>
    </w:p>
    <w:p w14:paraId="482483DA">
      <w:pPr>
        <w:rPr>
          <w:rFonts w:hint="eastAsia" w:ascii="黑体" w:hAnsi="黑体" w:eastAsia="黑体" w:cs="黑体"/>
          <w:sz w:val="28"/>
          <w:szCs w:val="28"/>
        </w:rPr>
      </w:pPr>
    </w:p>
    <w:p w14:paraId="21E2FAEB">
      <w:pPr>
        <w:rPr>
          <w:rFonts w:hint="eastAsia" w:ascii="黑体" w:hAnsi="黑体" w:eastAsia="黑体" w:cs="黑体"/>
          <w:sz w:val="28"/>
          <w:szCs w:val="28"/>
        </w:rPr>
      </w:pPr>
    </w:p>
    <w:p w14:paraId="32D6ACE6">
      <w:pPr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</w:rPr>
        <w:t>五、评审专家名单：</w:t>
      </w:r>
    </w:p>
    <w:p w14:paraId="74A53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张琳、李继娟、金祎、滑京涛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、高凯</w:t>
      </w:r>
    </w:p>
    <w:p w14:paraId="26EA8529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六、代理服务收费标准及金额：</w:t>
      </w:r>
    </w:p>
    <w:p w14:paraId="1E82F5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不收取代理服务费</w:t>
      </w:r>
    </w:p>
    <w:p w14:paraId="3EEB87FF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七、公告期限</w:t>
      </w:r>
    </w:p>
    <w:p w14:paraId="37D24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自本公告发布之日起1个工作日</w:t>
      </w:r>
    </w:p>
    <w:p w14:paraId="2BE72306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八、其他补充事宜</w:t>
      </w:r>
    </w:p>
    <w:p w14:paraId="3B8F6353">
      <w:pPr>
        <w:ind w:left="559" w:leftChars="266"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经评标小组评审，采购人确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定，北京首信网创网络信息服务有限责任公司被确定为本项目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中标供应商，评审总得分：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87分；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中国电信股份有限公司北京分公司被确定为本项目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中标供应商，评审总得分：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87.14分；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中国移动通信集团北京有限公司被确定为本项目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中标供应商，评审总得分：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81.97分；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北京华迅通信技术有限公司</w:t>
      </w:r>
      <w:r>
        <w:rPr>
          <w:rFonts w:hint="eastAsia" w:ascii="仿宋" w:hAnsi="仿宋" w:eastAsia="仿宋" w:cs="仿宋"/>
          <w:sz w:val="28"/>
          <w:szCs w:val="28"/>
        </w:rPr>
        <w:t>被确定为本项目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第四包</w:t>
      </w:r>
      <w:r>
        <w:rPr>
          <w:rFonts w:hint="eastAsia" w:ascii="仿宋" w:hAnsi="仿宋" w:eastAsia="仿宋" w:cs="仿宋"/>
          <w:sz w:val="28"/>
          <w:szCs w:val="28"/>
        </w:rPr>
        <w:t>中标供应商，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评审总得分：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60分。</w:t>
      </w:r>
    </w:p>
    <w:p w14:paraId="5F0E958E">
      <w:pPr>
        <w:rPr>
          <w:rFonts w:hint="eastAsia" w:ascii="黑体" w:hAnsi="黑体" w:eastAsia="黑体" w:cs="黑体"/>
          <w:sz w:val="28"/>
          <w:szCs w:val="28"/>
        </w:rPr>
      </w:pPr>
      <w:bookmarkStart w:id="1" w:name="_GoBack"/>
      <w:bookmarkEnd w:id="1"/>
    </w:p>
    <w:p w14:paraId="16CB2F43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九、凡对本次公告内容提出询问，请按以下方式联系。</w:t>
      </w:r>
    </w:p>
    <w:p w14:paraId="589B9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 w14:paraId="47E8059C">
      <w:pPr>
        <w:pStyle w:val="10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北京市大兴区政务服务和数据管理局</w:t>
      </w:r>
    </w:p>
    <w:p w14:paraId="26DA738C">
      <w:pPr>
        <w:pStyle w:val="10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_GB2312" w:eastAsia="仿宋_GB2312"/>
          <w:color w:val="auto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bookmarkStart w:id="0" w:name="_Hlk44403296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北京市大兴区黄村镇兴华大街三段15号</w:t>
      </w:r>
    </w:p>
    <w:bookmarkEnd w:id="0"/>
    <w:p w14:paraId="3BAE3323">
      <w:pPr>
        <w:pStyle w:val="10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010-81299316</w:t>
      </w:r>
    </w:p>
    <w:p w14:paraId="21347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 w14:paraId="14B8F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北京市大兴区政府采购中心</w:t>
      </w:r>
    </w:p>
    <w:p w14:paraId="3392C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　  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北京市大兴区公共资源交易分中心三层</w:t>
      </w:r>
    </w:p>
    <w:p w14:paraId="50260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none"/>
        </w:rPr>
        <w:t>010-69231333、69231339</w:t>
      </w:r>
    </w:p>
    <w:p w14:paraId="7CBE1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3.项目联系方式</w:t>
      </w:r>
    </w:p>
    <w:p w14:paraId="644F3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牛老师</w:t>
      </w:r>
    </w:p>
    <w:p w14:paraId="794E1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　  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010-69231333转209</w:t>
      </w:r>
    </w:p>
    <w:p w14:paraId="2ECD2E4E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十、附件</w:t>
      </w:r>
    </w:p>
    <w:p w14:paraId="08DC6CEE">
      <w:p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ZTUxNTQzMmNmODY4OThmZjFmNWVhMTU1NGJmYjgifQ=="/>
  </w:docVars>
  <w:rsids>
    <w:rsidRoot w:val="00172A27"/>
    <w:rsid w:val="00EA5D5C"/>
    <w:rsid w:val="017902ED"/>
    <w:rsid w:val="01BA5B62"/>
    <w:rsid w:val="01F47824"/>
    <w:rsid w:val="03163071"/>
    <w:rsid w:val="03A9796F"/>
    <w:rsid w:val="086929DB"/>
    <w:rsid w:val="0A4C4224"/>
    <w:rsid w:val="0C25278A"/>
    <w:rsid w:val="0F754385"/>
    <w:rsid w:val="0F7B0065"/>
    <w:rsid w:val="0F896F6F"/>
    <w:rsid w:val="1A6F2A31"/>
    <w:rsid w:val="1D940DB0"/>
    <w:rsid w:val="1EA566F2"/>
    <w:rsid w:val="2011428E"/>
    <w:rsid w:val="23E72442"/>
    <w:rsid w:val="263373EC"/>
    <w:rsid w:val="27AF5446"/>
    <w:rsid w:val="2A4F17B1"/>
    <w:rsid w:val="2D3F3E44"/>
    <w:rsid w:val="2DD55BC4"/>
    <w:rsid w:val="2EA47FAC"/>
    <w:rsid w:val="32255F11"/>
    <w:rsid w:val="32660391"/>
    <w:rsid w:val="328F6BFC"/>
    <w:rsid w:val="373943B7"/>
    <w:rsid w:val="379D6BDA"/>
    <w:rsid w:val="37B06E27"/>
    <w:rsid w:val="38257918"/>
    <w:rsid w:val="38914439"/>
    <w:rsid w:val="39C857AC"/>
    <w:rsid w:val="39E505CC"/>
    <w:rsid w:val="3A0A068D"/>
    <w:rsid w:val="3A302D0B"/>
    <w:rsid w:val="3BB06F14"/>
    <w:rsid w:val="3EF87FD9"/>
    <w:rsid w:val="41695227"/>
    <w:rsid w:val="43864E1C"/>
    <w:rsid w:val="43CB69AE"/>
    <w:rsid w:val="450612DE"/>
    <w:rsid w:val="466F7606"/>
    <w:rsid w:val="475455D0"/>
    <w:rsid w:val="494A752C"/>
    <w:rsid w:val="4C165825"/>
    <w:rsid w:val="4C303F46"/>
    <w:rsid w:val="4C5A46E9"/>
    <w:rsid w:val="4D4917A1"/>
    <w:rsid w:val="4EAE256E"/>
    <w:rsid w:val="50882CA2"/>
    <w:rsid w:val="52A801C5"/>
    <w:rsid w:val="55D829CA"/>
    <w:rsid w:val="57E16165"/>
    <w:rsid w:val="586820F4"/>
    <w:rsid w:val="5996453D"/>
    <w:rsid w:val="5D6600AF"/>
    <w:rsid w:val="5E005E6E"/>
    <w:rsid w:val="65F54E11"/>
    <w:rsid w:val="67E1286C"/>
    <w:rsid w:val="6AC447F1"/>
    <w:rsid w:val="6D9558E8"/>
    <w:rsid w:val="6F10348F"/>
    <w:rsid w:val="6FE238B2"/>
    <w:rsid w:val="716E3E59"/>
    <w:rsid w:val="717A6734"/>
    <w:rsid w:val="71EE5130"/>
    <w:rsid w:val="72A23AA5"/>
    <w:rsid w:val="740E1D63"/>
    <w:rsid w:val="769073C2"/>
    <w:rsid w:val="78B505D9"/>
    <w:rsid w:val="794656AE"/>
    <w:rsid w:val="7C9F2269"/>
    <w:rsid w:val="7D1C3F4A"/>
    <w:rsid w:val="7D546AB8"/>
    <w:rsid w:val="7FA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unhideWhenUsed/>
    <w:qFormat/>
    <w:uiPriority w:val="99"/>
    <w:pPr>
      <w:spacing w:after="120"/>
    </w:pPr>
  </w:style>
  <w:style w:type="paragraph" w:customStyle="1" w:styleId="4">
    <w:name w:val="目录 11"/>
    <w:next w:val="1"/>
    <w:autoRedefine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5">
    <w:name w:val="toc 3"/>
    <w:basedOn w:val="1"/>
    <w:next w:val="1"/>
    <w:autoRedefine/>
    <w:qFormat/>
    <w:uiPriority w:val="0"/>
    <w:pPr>
      <w:ind w:left="840" w:leftChars="400"/>
    </w:pPr>
  </w:style>
  <w:style w:type="table" w:styleId="7">
    <w:name w:val="Table Grid"/>
    <w:basedOn w:val="6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Normal_0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en-US" w:eastAsia="en-US" w:bidi="ar-SA"/>
    </w:rPr>
  </w:style>
  <w:style w:type="character" w:customStyle="1" w:styleId="11">
    <w:name w:val="not([class*=suffix])"/>
    <w:basedOn w:val="8"/>
    <w:autoRedefine/>
    <w:qFormat/>
    <w:uiPriority w:val="0"/>
    <w:rPr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758</Words>
  <Characters>903</Characters>
  <Lines>0</Lines>
  <Paragraphs>0</Paragraphs>
  <TotalTime>5</TotalTime>
  <ScaleCrop>false</ScaleCrop>
  <LinksUpToDate>false</LinksUpToDate>
  <CharactersWithSpaces>925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2022-02-18T08:25:00Z</dcterms:created>
  <dc:creator>解艳侠</dc:creator>
  <cp:lastModifiedBy>金金</cp:lastModifiedBy>
  <dcterms:modified xsi:type="dcterms:W3CDTF">2025-06-05T01:33:58Z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478B6311511E4D599053C48ED304B6DF_13</vt:lpwstr>
  </property>
  <property fmtid="{D5CDD505-2E9C-101B-9397-08002B2CF9AE}" pid="4" name="KSOTemplateDocerSaveRecord">
    <vt:lpwstr>eyJoZGlkIjoiODIwZTUxNTQzMmNmODY4OThmZjFmNWVhMTU1NGJmYjgiLCJ1c2VySWQiOiIyMTc4NjczMzkifQ==</vt:lpwstr>
  </property>
</Properties>
</file>